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Мерки за оздравяване</w:t>
      </w:r>
    </w:p>
    <w:p w:rsidR="003F15B9" w:rsidRDefault="00761276" w:rsidP="003F15B9">
      <w:r>
        <w:br/>
      </w:r>
      <w:r>
        <w:t>Решение за предприемане на мярка за оздравяване на [наименование на застрахователното дружество]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Публикация в съответствие с член 271 от Директива 2009/138/ЕО на Европейския парламент и на Съвета от 25 ноември 2009 г. относно започването и упражняването на застрахователна и презастрахователна дейност (Платежоспособност II)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Застрахователно дружество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[официално наименование, търговско наименование и адрес на седалище или ако няма седалище – на главното управление]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Дата, влизане в сила и същност на решението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[дата, дата на влизане в сила и същност на решението]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Компетентни органи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[наименование и адрес]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Надзорен орган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[наименование и адрес]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Назначен управител (синдик)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[име, адрес и координати за връзка; при юридическите лица се дават координатите на упълномощеното физическо лице]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Приложимо право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[държава и позоваване на съответните законови разпоредби]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bg-BG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bg-BG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bg-BG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bg-BG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bg-BG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bg-BG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