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Mesures d'assainissement</w:t>
      </w:r>
    </w:p>
    <w:p w:rsidR="003F15B9" w:rsidRDefault="00761276" w:rsidP="003F15B9">
      <w:r>
        <w:br/>
      </w:r>
      <w:r>
        <w:t>Décision relative à une mesure d’assainissement à l'égard de [nom de l’entreprise d’assurance]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Publication effectuée conformément à l’article 271 de la directive 2009/138/CE du Parlement européen et du Conseil du 25 novembre 2009 sur l’accès aux activités de l’assurance et de la réassurance et leur exercice (solvabilité II)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Entreprises d’assurance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[nom officiel, raison sociale et adresse du siège social ou, en l’absence de siège, son administration centrale]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Date, entrée en vigueur et nature de la décision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[date, date d'entrée en vigueur et nature de la décision]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Autorités compétentes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[nom et adresse]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Autorité de contrôle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[nom et adresse]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Administrateur désigné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[nom, adresse et coordonnées; s’il s’agit d’une personne morale, identité de la personne physique qui agit en son nom]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Loi applicable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[pays et référence aux dispositions légales applicables]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fr-FR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fr-FR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fr-FR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fr-FR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fr-FR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fr-FR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