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Reorganizációs intézkedések</w:t>
      </w:r>
    </w:p>
    <w:p w:rsidR="003F15B9" w:rsidRDefault="00761276" w:rsidP="003F15B9">
      <w:r>
        <w:br/>
      </w:r>
      <w:r>
        <w:t>Határozat a(z) [biztosító neve] tekintetében történő reorganizációs intézkedésről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Közzététel a biztosítási és viszontbiztosítási üzleti tevékenység megkezdéséről és gyakorlásáról szóló, 2009. november 25-i 2009/138/EK európai parlamenti és tanácsi irányelv (Szolvencia II. irányelv) 271. cikke alapján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Biztosító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[hivatalos név, kereskedelmi név és a székhely – vagy annak hiányában a központi iroda – címe]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A határozat kelte, hatálybalépése és jellege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[a határozat kelte, hatálybalépésének napja és jellege]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Illetékes hatóságok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[név és cím]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Felügyeleti hatóság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[név és cím]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Kinevezett vagyonfelügyelő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[név, cím és elérhetőség, jogi személy esetében a nevében eljáró természetes személy]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Alkalmazandó jog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[ország és a vonatkozó jogszabályi rendelkezés(ek)re való hivatkozás]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hu-HU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hu-HU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hu-HU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hu-HU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hu-HU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hu-HU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