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Reorganizavimo priemonės</w:t>
      </w:r>
    </w:p>
    <w:p w:rsidR="003F15B9" w:rsidRDefault="00761276" w:rsidP="003F15B9">
      <w:r>
        <w:br/>
      </w:r>
      <w:r>
        <w:t>Sprendimas dėl [draudimo įmonės pavadinimas] reorganizavimo priemonės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Skelbiama pagal 2009 m. lapkričio 25 d. Europos Parlamento ir Tarybos direktyvos 2009/138/EB dėl draudimo ir perdraudimo veiklos pradėjimo ir jos vykdymo (Mokumas II) 271 straipsnį.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Draudimo įmonė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[oficialus pavadinimas, prekybinis pavadinimas ir registruotos buveinės adresas, o jeigu jos nėra – pagrindinės buveinės adresas]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Sprendimo data, įsigaliojimas ir pobūdis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[sprendimo data, įsigaliojimo data ir pobūdis]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Kompetentingos institucijos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[pavadinimas ir adresas]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Priežiūros institucija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[pavadinimas ir adresas]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Paskirtasis administratorius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[vardas ir pavardė, adresas ir kontaktiniai duomenys; jei tai juridinis asmuo, nurodomas jo vardu veikiantis fizinis asmuo]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Taikytina teisė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[šalis ir nuoroda į atitinkamas teisės aktų nuostatas]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lt-LT" w:eastAsia="lt-LT" w:bidi="lt-L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lt-LT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lt-LT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lt-LT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lt-LT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lt-LT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lt-LT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