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Rekonstruktionsåtgärder</w:t>
      </w:r>
    </w:p>
    <w:p w:rsidR="003F15B9" w:rsidRDefault="00761276" w:rsidP="003F15B9">
      <w:r>
        <w:br/>
      </w:r>
      <w:r>
        <w:t>Beslut om en rekonstruktionsåtgärd för [försäkringsföretagets namn]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Offentliggörande i enlighet med artikel 271 i Europaparlamentets och rådets direktiv 2009/138/EG av den 25 november 2009 om upptagande och utövande av försäkrings- och återförsäkringsverksamhet (Solvens II).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Försäkringsföretag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[Officiell benämning, företagsnamn, adress till företagets säte eller, om något sådant inte finns, till dess huvudkontor]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Beslutsdatum, datum för ikraftträdande och beslutets ändamål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[Beslutsdatum, datum för ikraftträdande och beslutets ändamål]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Behöriga myndigheter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[namn och adress]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Tillsynsmyndighet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[namn och adress]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Utsedd förvaltare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[namn, adress och kontaktuppgifter eller uppgifter om juridisk persons företrädare]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Tillämplig lag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[land och hänvisning till tillämplig lagstiftning]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sv-SE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sv-SE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sv-SE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sv-SE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sv-SE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sv-SE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