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AA853" w14:textId="7AD91E4A" w:rsidR="00BD256A" w:rsidRPr="00887D29" w:rsidRDefault="00023DF5" w:rsidP="00A20A5A">
      <w:pPr>
        <w:rPr>
          <w:rFonts w:ascii="Arial" w:hAnsi="Arial" w:cs="Arial"/>
          <w:lang w:val="en-US" w:eastAsia="zh-CN"/>
        </w:rPr>
      </w:pPr>
      <w:r w:rsidRPr="00BF3A61">
        <w:rPr>
          <w:rFonts w:ascii="Arial" w:hAnsi="Arial" w:cs="Arial"/>
          <w:b/>
          <w:bCs/>
          <w:lang w:val="en-US"/>
        </w:rPr>
        <w:t xml:space="preserve">Centralized cash management </w:t>
      </w:r>
      <w:r w:rsidR="0065798E" w:rsidRPr="00BF3A61">
        <w:rPr>
          <w:rFonts w:ascii="Arial" w:hAnsi="Arial" w:cs="Arial"/>
          <w:b/>
          <w:bCs/>
          <w:lang w:val="en-US"/>
        </w:rPr>
        <w:t xml:space="preserve">of non-financial groups are no payment service </w:t>
      </w:r>
      <w:r w:rsidR="0065798E" w:rsidRPr="00A20A5A">
        <w:rPr>
          <w:rFonts w:ascii="Arial" w:hAnsi="Arial" w:cs="Arial"/>
          <w:b/>
          <w:bCs/>
          <w:lang w:val="en-US"/>
        </w:rPr>
        <w:t xml:space="preserve">provider, </w:t>
      </w:r>
      <w:r w:rsidR="00BD256A" w:rsidRPr="00887D29">
        <w:rPr>
          <w:rFonts w:ascii="Arial" w:hAnsi="Arial" w:cs="Arial"/>
          <w:b/>
          <w:bCs/>
          <w:lang w:val="en-US" w:eastAsia="zh-CN"/>
        </w:rPr>
        <w:t>Article 3 lit.(N) of Directive (EU) 2015/2366  and Recital 17.</w:t>
      </w:r>
      <w:r w:rsidR="00BD256A" w:rsidRPr="00887D29">
        <w:rPr>
          <w:rFonts w:ascii="Arial" w:hAnsi="Arial" w:cs="Arial"/>
          <w:lang w:val="en-US" w:eastAsia="zh-CN"/>
        </w:rPr>
        <w:t xml:space="preserve"> </w:t>
      </w:r>
    </w:p>
    <w:p w14:paraId="41283E4B" w14:textId="77777777" w:rsidR="00BD256A" w:rsidRDefault="00BD256A" w:rsidP="00275A66">
      <w:pPr>
        <w:rPr>
          <w:rFonts w:ascii="Arial" w:hAnsi="Arial" w:cs="Arial"/>
          <w:lang w:val="en-US"/>
        </w:rPr>
      </w:pPr>
    </w:p>
    <w:p w14:paraId="571D99F8" w14:textId="76C29FDC" w:rsidR="004C1DE0" w:rsidRPr="004C1DE0" w:rsidRDefault="004C1DE0" w:rsidP="004C1DE0">
      <w:pPr>
        <w:spacing w:after="160" w:line="259" w:lineRule="auto"/>
        <w:rPr>
          <w:rFonts w:ascii="Arial" w:hAnsi="Arial" w:cs="Arial"/>
          <w:lang w:val="en-US" w:eastAsia="zh-CN"/>
        </w:rPr>
      </w:pPr>
      <w:r w:rsidRPr="004C1DE0">
        <w:rPr>
          <w:rFonts w:ascii="Arial" w:hAnsi="Arial" w:cs="Arial"/>
          <w:lang w:val="en-US" w:eastAsia="zh-CN"/>
        </w:rPr>
        <w:t xml:space="preserve">The German regulator BaFin interprets the exemption of payments within a group very narrowly and understands it as only covering payment transactions within a group.  </w:t>
      </w:r>
      <w:r w:rsidRPr="004C1DE0">
        <w:rPr>
          <w:rFonts w:ascii="Arial" w:hAnsi="Arial" w:cs="Arial"/>
          <w:lang w:val="en-US" w:eastAsia="zh-CN"/>
        </w:rPr>
        <w:br/>
        <w:t>In the opinion of the authority, the legal wording of ZAG (</w:t>
      </w:r>
      <w:proofErr w:type="spellStart"/>
      <w:r w:rsidR="00884C8D">
        <w:rPr>
          <w:rFonts w:ascii="Arial" w:hAnsi="Arial" w:cs="Arial"/>
          <w:lang w:val="en-US" w:eastAsia="zh-CN"/>
        </w:rPr>
        <w:t>Zahlungsdiensteaufsichtsgesetz</w:t>
      </w:r>
      <w:proofErr w:type="spellEnd"/>
      <w:r w:rsidR="00884C8D">
        <w:rPr>
          <w:rFonts w:ascii="Arial" w:hAnsi="Arial" w:cs="Arial"/>
          <w:lang w:val="en-US" w:eastAsia="zh-CN"/>
        </w:rPr>
        <w:t xml:space="preserve"> = national </w:t>
      </w:r>
      <w:r w:rsidR="00021245">
        <w:rPr>
          <w:rFonts w:ascii="Arial" w:hAnsi="Arial" w:cs="Arial"/>
          <w:lang w:val="en-US" w:eastAsia="zh-CN"/>
        </w:rPr>
        <w:t xml:space="preserve">transformation of </w:t>
      </w:r>
      <w:r w:rsidRPr="004C1DE0">
        <w:rPr>
          <w:rFonts w:ascii="Arial" w:hAnsi="Arial" w:cs="Arial"/>
          <w:lang w:val="en-US" w:eastAsia="zh-CN"/>
        </w:rPr>
        <w:t xml:space="preserve">PSD2) does not allow for an extension of the payment exemption to payments from third parties to a group company or from a group company to a third party, which are bundled via a central unit within the group. Furthermore, the corresponding regulation in PSD 2, under Art. 3(n), also does not support a corresponding extension of the "payment </w:t>
      </w:r>
      <w:r w:rsidR="009D1FF1">
        <w:rPr>
          <w:rFonts w:ascii="Arial" w:hAnsi="Arial" w:cs="Arial"/>
          <w:lang w:val="en-US" w:eastAsia="zh-CN"/>
        </w:rPr>
        <w:t>exemption</w:t>
      </w:r>
      <w:r w:rsidRPr="004C1DE0">
        <w:rPr>
          <w:rFonts w:ascii="Arial" w:hAnsi="Arial" w:cs="Arial"/>
          <w:lang w:val="en-US" w:eastAsia="zh-CN"/>
        </w:rPr>
        <w:t xml:space="preserve">". </w:t>
      </w:r>
    </w:p>
    <w:p w14:paraId="51790B44" w14:textId="2BB217C8" w:rsidR="0001378D" w:rsidRDefault="0001378D" w:rsidP="00275A66">
      <w:pPr>
        <w:rPr>
          <w:rFonts w:ascii="Arial" w:hAnsi="Arial" w:cs="Arial"/>
          <w:lang w:val="en-US" w:eastAsia="zh-CN"/>
        </w:rPr>
      </w:pPr>
    </w:p>
    <w:p w14:paraId="4FE52FA9" w14:textId="5A6C6916" w:rsidR="00361FBB" w:rsidRDefault="0010305C" w:rsidP="000E62E6">
      <w:pPr>
        <w:spacing w:after="160" w:line="259" w:lineRule="auto"/>
        <w:rPr>
          <w:rFonts w:ascii="Arial" w:hAnsi="Arial" w:cs="Arial"/>
          <w:lang w:val="en-US" w:eastAsia="zh-CN"/>
        </w:rPr>
      </w:pPr>
      <w:r>
        <w:rPr>
          <w:lang w:val="en-US"/>
        </w:rPr>
        <w:t xml:space="preserve">With the implementation of SEPA an extended payment format in the XML scheme was introduced by the EPC/ERPB allowing for initiating “payments or collections on-behalf of” (POBO/COBO) introducing XML-tags like “Ultimate </w:t>
      </w:r>
      <w:proofErr w:type="spellStart"/>
      <w:r>
        <w:rPr>
          <w:lang w:val="en-US"/>
        </w:rPr>
        <w:t>Benificiary</w:t>
      </w:r>
      <w:proofErr w:type="spellEnd"/>
      <w:r>
        <w:rPr>
          <w:lang w:val="en-US"/>
        </w:rPr>
        <w:t xml:space="preserve">” or “Ultimate Debtor”. So with these payment options, SEPA </w:t>
      </w:r>
      <w:r w:rsidR="00544740">
        <w:rPr>
          <w:lang w:val="en-US"/>
        </w:rPr>
        <w:t xml:space="preserve">supported the implementation of </w:t>
      </w:r>
      <w:r w:rsidR="00B10C2B">
        <w:rPr>
          <w:lang w:val="en-US"/>
        </w:rPr>
        <w:t xml:space="preserve">centralized </w:t>
      </w:r>
      <w:r w:rsidR="00B10C2B" w:rsidRPr="000E62E6">
        <w:rPr>
          <w:rFonts w:ascii="Arial" w:hAnsi="Arial" w:cs="Arial"/>
          <w:lang w:val="en-US" w:eastAsia="zh-CN"/>
        </w:rPr>
        <w:t>cash management systems</w:t>
      </w:r>
      <w:r w:rsidR="00E8419F">
        <w:rPr>
          <w:rFonts w:ascii="Arial" w:hAnsi="Arial" w:cs="Arial"/>
          <w:lang w:val="en-US" w:eastAsia="zh-CN"/>
        </w:rPr>
        <w:t>.</w:t>
      </w:r>
    </w:p>
    <w:p w14:paraId="721232AE" w14:textId="6646956A" w:rsidR="000E62E6" w:rsidRPr="000E62E6" w:rsidRDefault="000E62E6" w:rsidP="000E62E6">
      <w:pPr>
        <w:spacing w:after="160" w:line="259" w:lineRule="auto"/>
        <w:rPr>
          <w:rFonts w:ascii="Arial" w:hAnsi="Arial" w:cs="Arial"/>
          <w:lang w:val="en-US" w:eastAsia="zh-CN"/>
        </w:rPr>
      </w:pPr>
      <w:r w:rsidRPr="000E62E6">
        <w:rPr>
          <w:rFonts w:ascii="Arial" w:hAnsi="Arial" w:cs="Arial"/>
          <w:lang w:val="en-US" w:eastAsia="zh-CN"/>
        </w:rPr>
        <w:t xml:space="preserve">The centralized payment processes within a group, has </w:t>
      </w:r>
      <w:r w:rsidR="00C579DF">
        <w:rPr>
          <w:rFonts w:ascii="Arial" w:hAnsi="Arial" w:cs="Arial"/>
          <w:lang w:val="en-US" w:eastAsia="zh-CN"/>
        </w:rPr>
        <w:t xml:space="preserve">various </w:t>
      </w:r>
      <w:r w:rsidRPr="000E62E6">
        <w:rPr>
          <w:rFonts w:ascii="Arial" w:hAnsi="Arial" w:cs="Arial"/>
          <w:lang w:val="en-US" w:eastAsia="zh-CN"/>
        </w:rPr>
        <w:t>advantages. It facilitate the implementation of legal requirements and thus contribute significantly to the prevention of fraud or other misuse as well as the creation of transparency and the centralized control of the payment transactions of group companies.</w:t>
      </w:r>
    </w:p>
    <w:p w14:paraId="51DE384A" w14:textId="5562F590" w:rsidR="00275A66" w:rsidRPr="000E62E6" w:rsidRDefault="00A74002" w:rsidP="00275A66">
      <w:pPr>
        <w:pStyle w:val="NurText"/>
        <w:jc w:val="both"/>
        <w:rPr>
          <w:rFonts w:ascii="Arial" w:hAnsi="Arial" w:cs="Arial"/>
          <w:sz w:val="24"/>
          <w:szCs w:val="24"/>
          <w:lang w:val="en-US"/>
        </w:rPr>
      </w:pPr>
      <w:r w:rsidRPr="00A74002">
        <w:rPr>
          <w:rFonts w:ascii="Arial" w:hAnsi="Arial" w:cs="Arial"/>
          <w:sz w:val="24"/>
          <w:szCs w:val="24"/>
          <w:lang w:val="en-US"/>
        </w:rPr>
        <w:t xml:space="preserve">We </w:t>
      </w:r>
      <w:proofErr w:type="spellStart"/>
      <w:r w:rsidRPr="00A74002">
        <w:rPr>
          <w:rFonts w:ascii="Arial" w:hAnsi="Arial" w:cs="Arial"/>
          <w:sz w:val="24"/>
          <w:szCs w:val="24"/>
          <w:lang w:val="en-US"/>
        </w:rPr>
        <w:t>realise</w:t>
      </w:r>
      <w:proofErr w:type="spellEnd"/>
      <w:r w:rsidRPr="00A74002">
        <w:rPr>
          <w:rFonts w:ascii="Arial" w:hAnsi="Arial" w:cs="Arial"/>
          <w:sz w:val="24"/>
          <w:szCs w:val="24"/>
          <w:lang w:val="en-US"/>
        </w:rPr>
        <w:t xml:space="preserve"> that the EU-legislator was aware of this and that </w:t>
      </w:r>
      <w:proofErr w:type="spellStart"/>
      <w:r w:rsidRPr="00A74002">
        <w:rPr>
          <w:rFonts w:ascii="Arial" w:hAnsi="Arial" w:cs="Arial"/>
          <w:sz w:val="24"/>
          <w:szCs w:val="24"/>
          <w:lang w:val="en-US"/>
        </w:rPr>
        <w:t>centralised</w:t>
      </w:r>
      <w:proofErr w:type="spellEnd"/>
      <w:r w:rsidRPr="00A74002">
        <w:rPr>
          <w:rFonts w:ascii="Arial" w:hAnsi="Arial" w:cs="Arial"/>
          <w:sz w:val="24"/>
          <w:szCs w:val="24"/>
          <w:lang w:val="en-US"/>
        </w:rPr>
        <w:t xml:space="preserve"> cash management systems should therefore be excluded from the scope of PSD 2. This purpose of the EU-legislator is shown in recital 17 of PSD 2. In particular, sentence 3 of recital 17 PSD 2 refers to the allowance to operate a "collection factory" without the need for a </w:t>
      </w:r>
      <w:proofErr w:type="spellStart"/>
      <w:r w:rsidRPr="00A74002">
        <w:rPr>
          <w:rFonts w:ascii="Arial" w:hAnsi="Arial" w:cs="Arial"/>
          <w:sz w:val="24"/>
          <w:szCs w:val="24"/>
          <w:lang w:val="en-US"/>
        </w:rPr>
        <w:t>licence</w:t>
      </w:r>
      <w:proofErr w:type="spellEnd"/>
      <w:r w:rsidRPr="00A74002">
        <w:rPr>
          <w:rFonts w:ascii="Arial" w:hAnsi="Arial" w:cs="Arial"/>
          <w:sz w:val="24"/>
          <w:szCs w:val="24"/>
          <w:lang w:val="en-US"/>
        </w:rPr>
        <w:t>.</w:t>
      </w:r>
    </w:p>
    <w:p w14:paraId="456F8BDA" w14:textId="6C99F049" w:rsidR="00DF440B" w:rsidRDefault="00DF440B" w:rsidP="00275A66">
      <w:pPr>
        <w:pStyle w:val="NurText"/>
        <w:jc w:val="both"/>
        <w:rPr>
          <w:rFonts w:ascii="Arial" w:hAnsi="Arial" w:cs="Arial"/>
          <w:sz w:val="24"/>
          <w:szCs w:val="24"/>
          <w:lang w:val="en-US"/>
        </w:rPr>
      </w:pPr>
    </w:p>
    <w:p w14:paraId="3AC2ACCF" w14:textId="2D789AE1" w:rsidR="00DF440B" w:rsidRPr="00C322C8" w:rsidRDefault="006E4EA9" w:rsidP="00275A66">
      <w:pPr>
        <w:pStyle w:val="NurText"/>
        <w:jc w:val="both"/>
        <w:rPr>
          <w:rFonts w:ascii="Arial" w:hAnsi="Arial" w:cs="Arial"/>
          <w:sz w:val="24"/>
          <w:szCs w:val="24"/>
          <w:lang w:val="en-US"/>
        </w:rPr>
      </w:pPr>
      <w:r>
        <w:rPr>
          <w:rFonts w:ascii="Arial" w:hAnsi="Arial" w:cs="Arial"/>
          <w:sz w:val="24"/>
          <w:szCs w:val="24"/>
          <w:lang w:val="en-US"/>
        </w:rPr>
        <w:t>We propose that t</w:t>
      </w:r>
      <w:r w:rsidR="005B7BD3">
        <w:rPr>
          <w:rFonts w:ascii="Arial" w:hAnsi="Arial" w:cs="Arial"/>
          <w:sz w:val="24"/>
          <w:szCs w:val="24"/>
          <w:lang w:val="en-US"/>
        </w:rPr>
        <w:t xml:space="preserve">he review </w:t>
      </w:r>
      <w:r w:rsidR="00C322C8" w:rsidRPr="00C322C8">
        <w:rPr>
          <w:rFonts w:ascii="Arial" w:hAnsi="Arial" w:cs="Arial"/>
          <w:sz w:val="24"/>
          <w:szCs w:val="24"/>
          <w:lang w:val="en-US"/>
        </w:rPr>
        <w:t xml:space="preserve">of the exemption should </w:t>
      </w:r>
      <w:r w:rsidR="005B7BD3">
        <w:rPr>
          <w:rFonts w:ascii="Arial" w:hAnsi="Arial" w:cs="Arial"/>
          <w:sz w:val="24"/>
          <w:szCs w:val="24"/>
          <w:lang w:val="en-US"/>
        </w:rPr>
        <w:t xml:space="preserve">take into consideration </w:t>
      </w:r>
      <w:r w:rsidR="00C322C8" w:rsidRPr="00C322C8">
        <w:rPr>
          <w:rFonts w:ascii="Arial" w:hAnsi="Arial" w:cs="Arial"/>
          <w:sz w:val="24"/>
          <w:szCs w:val="24"/>
          <w:lang w:val="en-US"/>
        </w:rPr>
        <w:t xml:space="preserve">that non-financial groups can provide and properly operate </w:t>
      </w:r>
      <w:proofErr w:type="spellStart"/>
      <w:r w:rsidR="00C322C8" w:rsidRPr="00C322C8">
        <w:rPr>
          <w:rFonts w:ascii="Arial" w:hAnsi="Arial" w:cs="Arial"/>
          <w:sz w:val="24"/>
          <w:szCs w:val="24"/>
          <w:lang w:val="en-US"/>
        </w:rPr>
        <w:t>centralised</w:t>
      </w:r>
      <w:proofErr w:type="spellEnd"/>
      <w:r w:rsidR="00C322C8" w:rsidRPr="00C322C8">
        <w:rPr>
          <w:rFonts w:ascii="Arial" w:hAnsi="Arial" w:cs="Arial"/>
          <w:sz w:val="24"/>
          <w:szCs w:val="24"/>
          <w:lang w:val="en-US"/>
        </w:rPr>
        <w:t xml:space="preserve"> cash management systems (and related services), including payment factories and related incoming and/or outgoing payments of a group entity that are centrally processed through another group entity.</w:t>
      </w:r>
    </w:p>
    <w:p w14:paraId="56A508A9" w14:textId="144A21C0" w:rsidR="008102BB" w:rsidRPr="00BF3A61" w:rsidRDefault="008102BB" w:rsidP="00275A66">
      <w:pPr>
        <w:pStyle w:val="NurText"/>
        <w:jc w:val="both"/>
        <w:rPr>
          <w:rFonts w:ascii="Arial" w:hAnsi="Arial" w:cs="Arial"/>
          <w:sz w:val="24"/>
          <w:szCs w:val="24"/>
          <w:lang w:val="en-US"/>
        </w:rPr>
      </w:pPr>
    </w:p>
    <w:p w14:paraId="5F13E3B1" w14:textId="37E43A78" w:rsidR="00BD256A" w:rsidRDefault="00357C8C" w:rsidP="00635A2C">
      <w:pPr>
        <w:pStyle w:val="NurText"/>
        <w:jc w:val="both"/>
        <w:rPr>
          <w:rFonts w:ascii="Arial" w:hAnsi="Arial" w:cs="Arial"/>
          <w:sz w:val="24"/>
          <w:szCs w:val="24"/>
          <w:lang w:val="en-US"/>
        </w:rPr>
      </w:pPr>
      <w:r w:rsidRPr="00357C8C">
        <w:rPr>
          <w:rFonts w:ascii="Arial" w:hAnsi="Arial" w:cs="Arial"/>
          <w:sz w:val="24"/>
          <w:szCs w:val="24"/>
          <w:lang w:val="en-US"/>
        </w:rPr>
        <w:t>Due to the narrow interpretation of the German regulator</w:t>
      </w:r>
      <w:r w:rsidR="00A71558">
        <w:rPr>
          <w:rFonts w:ascii="Arial" w:hAnsi="Arial" w:cs="Arial"/>
          <w:sz w:val="24"/>
          <w:szCs w:val="24"/>
          <w:lang w:val="en-US"/>
        </w:rPr>
        <w:t xml:space="preserve"> </w:t>
      </w:r>
      <w:r w:rsidRPr="00357C8C">
        <w:rPr>
          <w:rFonts w:ascii="Arial" w:hAnsi="Arial" w:cs="Arial"/>
          <w:sz w:val="24"/>
          <w:szCs w:val="24"/>
          <w:lang w:val="en-US"/>
        </w:rPr>
        <w:t xml:space="preserve">a joint letter of understanding </w:t>
      </w:r>
      <w:r w:rsidR="007948F6">
        <w:rPr>
          <w:rFonts w:ascii="Arial" w:hAnsi="Arial" w:cs="Arial"/>
          <w:sz w:val="24"/>
          <w:szCs w:val="24"/>
          <w:lang w:val="en-US"/>
        </w:rPr>
        <w:t xml:space="preserve">dated 30.07.2018 </w:t>
      </w:r>
      <w:r w:rsidR="00B0422A">
        <w:rPr>
          <w:rFonts w:ascii="Arial" w:hAnsi="Arial" w:cs="Arial"/>
          <w:sz w:val="24"/>
          <w:szCs w:val="24"/>
          <w:lang w:val="en-US"/>
        </w:rPr>
        <w:t xml:space="preserve">was developed by 8 </w:t>
      </w:r>
      <w:r w:rsidR="009834E2">
        <w:rPr>
          <w:rFonts w:ascii="Arial" w:hAnsi="Arial" w:cs="Arial"/>
          <w:sz w:val="24"/>
          <w:szCs w:val="24"/>
          <w:lang w:val="en-US"/>
        </w:rPr>
        <w:t>relevant</w:t>
      </w:r>
      <w:r w:rsidR="00A84873">
        <w:rPr>
          <w:rFonts w:ascii="Arial" w:hAnsi="Arial" w:cs="Arial"/>
          <w:sz w:val="24"/>
          <w:szCs w:val="24"/>
          <w:lang w:val="en-US"/>
        </w:rPr>
        <w:t xml:space="preserve"> </w:t>
      </w:r>
      <w:proofErr w:type="spellStart"/>
      <w:r w:rsidR="00A84873">
        <w:rPr>
          <w:rFonts w:ascii="Arial" w:hAnsi="Arial" w:cs="Arial"/>
          <w:sz w:val="24"/>
          <w:szCs w:val="24"/>
          <w:lang w:val="en-US"/>
        </w:rPr>
        <w:t>german</w:t>
      </w:r>
      <w:proofErr w:type="spellEnd"/>
      <w:r w:rsidR="00A84873">
        <w:rPr>
          <w:rFonts w:ascii="Arial" w:hAnsi="Arial" w:cs="Arial"/>
          <w:sz w:val="24"/>
          <w:szCs w:val="24"/>
          <w:lang w:val="en-US"/>
        </w:rPr>
        <w:t xml:space="preserve"> </w:t>
      </w:r>
      <w:r w:rsidRPr="00357C8C">
        <w:rPr>
          <w:rFonts w:ascii="Arial" w:hAnsi="Arial" w:cs="Arial"/>
          <w:sz w:val="24"/>
          <w:szCs w:val="24"/>
          <w:lang w:val="en-US"/>
        </w:rPr>
        <w:t xml:space="preserve">associations, so that the majority of German companies do not have to apply for a </w:t>
      </w:r>
      <w:proofErr w:type="spellStart"/>
      <w:r w:rsidRPr="00357C8C">
        <w:rPr>
          <w:rFonts w:ascii="Arial" w:hAnsi="Arial" w:cs="Arial"/>
          <w:sz w:val="24"/>
          <w:szCs w:val="24"/>
          <w:lang w:val="en-US"/>
        </w:rPr>
        <w:t>licence</w:t>
      </w:r>
      <w:proofErr w:type="spellEnd"/>
      <w:r w:rsidRPr="00357C8C">
        <w:rPr>
          <w:rFonts w:ascii="Arial" w:hAnsi="Arial" w:cs="Arial"/>
          <w:sz w:val="24"/>
          <w:szCs w:val="24"/>
          <w:lang w:val="en-US"/>
        </w:rPr>
        <w:t xml:space="preserve"> in order to be able to carry out their payment transactions and thus obtain a certain degree of security in the area of validity of the PSD2.</w:t>
      </w:r>
      <w:r w:rsidR="00635A2C">
        <w:rPr>
          <w:rFonts w:ascii="Arial" w:hAnsi="Arial" w:cs="Arial"/>
          <w:sz w:val="24"/>
          <w:szCs w:val="24"/>
          <w:lang w:val="en-US"/>
        </w:rPr>
        <w:t xml:space="preserve"> This was confirmed by the </w:t>
      </w:r>
      <w:r w:rsidR="004419C9" w:rsidRPr="00887D29">
        <w:rPr>
          <w:rFonts w:ascii="Arial" w:hAnsi="Arial" w:cs="Arial"/>
          <w:sz w:val="24"/>
          <w:szCs w:val="24"/>
          <w:lang w:val="en-US"/>
        </w:rPr>
        <w:t>Federal Financial Supervisory Authority (BaFin) dated 03.08.2018</w:t>
      </w:r>
    </w:p>
    <w:p w14:paraId="03B1A7CC" w14:textId="77777777" w:rsidR="00BD256A" w:rsidRDefault="00BD256A" w:rsidP="00635A2C">
      <w:pPr>
        <w:pStyle w:val="NurText"/>
        <w:jc w:val="both"/>
        <w:rPr>
          <w:rFonts w:ascii="Arial" w:hAnsi="Arial" w:cs="Arial"/>
          <w:sz w:val="24"/>
          <w:szCs w:val="24"/>
          <w:lang w:val="en-US"/>
        </w:rPr>
      </w:pPr>
    </w:p>
    <w:p w14:paraId="5835BF99" w14:textId="02E06E2B" w:rsidR="00377E26" w:rsidRPr="00377E26" w:rsidRDefault="0059099A" w:rsidP="00377E26">
      <w:pPr>
        <w:pStyle w:val="NurText"/>
        <w:jc w:val="both"/>
        <w:rPr>
          <w:rFonts w:ascii="Arial" w:hAnsi="Arial" w:cs="Arial"/>
          <w:sz w:val="24"/>
          <w:szCs w:val="24"/>
          <w:lang w:val="en-US"/>
        </w:rPr>
      </w:pPr>
      <w:r>
        <w:rPr>
          <w:rFonts w:ascii="Arial" w:hAnsi="Arial" w:cs="Arial"/>
          <w:sz w:val="24"/>
          <w:szCs w:val="24"/>
          <w:lang w:val="en-US"/>
        </w:rPr>
        <w:t xml:space="preserve">We - </w:t>
      </w:r>
      <w:r w:rsidR="00377E26" w:rsidRPr="00377E26">
        <w:rPr>
          <w:rFonts w:ascii="Arial" w:hAnsi="Arial" w:cs="Arial"/>
          <w:sz w:val="24"/>
          <w:szCs w:val="24"/>
          <w:lang w:val="en-US"/>
        </w:rPr>
        <w:t xml:space="preserve">VDT </w:t>
      </w:r>
      <w:proofErr w:type="spellStart"/>
      <w:r w:rsidR="00377E26" w:rsidRPr="00377E26">
        <w:rPr>
          <w:rFonts w:ascii="Arial" w:hAnsi="Arial" w:cs="Arial"/>
          <w:sz w:val="24"/>
          <w:szCs w:val="24"/>
          <w:lang w:val="en-US"/>
        </w:rPr>
        <w:t>e.V.</w:t>
      </w:r>
      <w:proofErr w:type="spellEnd"/>
      <w:r w:rsidR="00377E26" w:rsidRPr="00377E26">
        <w:rPr>
          <w:rFonts w:ascii="Arial" w:hAnsi="Arial" w:cs="Arial"/>
          <w:sz w:val="24"/>
          <w:szCs w:val="24"/>
          <w:lang w:val="en-US"/>
        </w:rPr>
        <w:t xml:space="preserve"> </w:t>
      </w:r>
      <w:r>
        <w:rPr>
          <w:rFonts w:ascii="Arial" w:hAnsi="Arial" w:cs="Arial"/>
          <w:sz w:val="24"/>
          <w:szCs w:val="24"/>
          <w:lang w:val="en-US"/>
        </w:rPr>
        <w:t xml:space="preserve">- </w:t>
      </w:r>
      <w:r w:rsidR="00377E26" w:rsidRPr="00377E26">
        <w:rPr>
          <w:rFonts w:ascii="Arial" w:hAnsi="Arial" w:cs="Arial"/>
          <w:sz w:val="24"/>
          <w:szCs w:val="24"/>
          <w:lang w:val="en-US"/>
        </w:rPr>
        <w:t>proposes to rev</w:t>
      </w:r>
      <w:r w:rsidR="000E48C8">
        <w:rPr>
          <w:rFonts w:ascii="Arial" w:hAnsi="Arial" w:cs="Arial"/>
          <w:sz w:val="24"/>
          <w:szCs w:val="24"/>
          <w:lang w:val="en-US"/>
        </w:rPr>
        <w:t xml:space="preserve">iew PSD2 </w:t>
      </w:r>
      <w:r w:rsidR="00377E26" w:rsidRPr="00377E26">
        <w:rPr>
          <w:rFonts w:ascii="Arial" w:hAnsi="Arial" w:cs="Arial"/>
          <w:sz w:val="24"/>
          <w:szCs w:val="24"/>
          <w:lang w:val="en-US"/>
        </w:rPr>
        <w:t xml:space="preserve">in order to achieve clearer legal certainty for intra-group payment services. </w:t>
      </w:r>
      <w:r w:rsidR="0029471C">
        <w:rPr>
          <w:rFonts w:ascii="Arial" w:hAnsi="Arial" w:cs="Arial"/>
          <w:sz w:val="24"/>
          <w:szCs w:val="24"/>
          <w:lang w:val="en-US"/>
        </w:rPr>
        <w:t xml:space="preserve">The exemption </w:t>
      </w:r>
      <w:r w:rsidR="00764D42">
        <w:rPr>
          <w:rFonts w:ascii="Arial" w:hAnsi="Arial" w:cs="Arial"/>
          <w:sz w:val="24"/>
          <w:szCs w:val="24"/>
          <w:lang w:val="en-US"/>
        </w:rPr>
        <w:t xml:space="preserve">of group payments </w:t>
      </w:r>
      <w:r w:rsidR="00377E26" w:rsidRPr="00377E26">
        <w:rPr>
          <w:rFonts w:ascii="Arial" w:hAnsi="Arial" w:cs="Arial"/>
          <w:sz w:val="24"/>
          <w:szCs w:val="24"/>
          <w:lang w:val="en-US"/>
        </w:rPr>
        <w:t>should refer to "payment services" provided or properly operated within a non-financial group and not to payment transactions and related services.</w:t>
      </w:r>
    </w:p>
    <w:p w14:paraId="3C065CB0" w14:textId="509C7244" w:rsidR="00275A66" w:rsidRDefault="00377E26" w:rsidP="00377E26">
      <w:pPr>
        <w:pStyle w:val="NurText"/>
        <w:jc w:val="both"/>
        <w:rPr>
          <w:rFonts w:ascii="Arial" w:hAnsi="Arial" w:cs="Arial"/>
          <w:sz w:val="24"/>
          <w:szCs w:val="24"/>
          <w:lang w:val="en-US"/>
        </w:rPr>
      </w:pPr>
      <w:r w:rsidRPr="00377E26">
        <w:rPr>
          <w:rFonts w:ascii="Arial" w:hAnsi="Arial" w:cs="Arial"/>
          <w:sz w:val="24"/>
          <w:szCs w:val="24"/>
          <w:lang w:val="en-US"/>
        </w:rPr>
        <w:t>T</w:t>
      </w:r>
      <w:r w:rsidR="00F53DB0">
        <w:rPr>
          <w:rFonts w:ascii="Arial" w:hAnsi="Arial" w:cs="Arial"/>
          <w:sz w:val="24"/>
          <w:szCs w:val="24"/>
          <w:lang w:val="en-US"/>
        </w:rPr>
        <w:t xml:space="preserve">o avoid misunderstandings </w:t>
      </w:r>
      <w:r w:rsidRPr="00377E26">
        <w:rPr>
          <w:rFonts w:ascii="Arial" w:hAnsi="Arial" w:cs="Arial"/>
          <w:sz w:val="24"/>
          <w:szCs w:val="24"/>
          <w:lang w:val="en-US"/>
        </w:rPr>
        <w:t>it includes</w:t>
      </w:r>
      <w:r w:rsidR="00FD4272">
        <w:rPr>
          <w:rFonts w:ascii="Arial" w:hAnsi="Arial" w:cs="Arial"/>
          <w:sz w:val="24"/>
          <w:szCs w:val="24"/>
          <w:lang w:val="en-US"/>
        </w:rPr>
        <w:t xml:space="preserve"> as well</w:t>
      </w:r>
      <w:r w:rsidRPr="00377E26">
        <w:rPr>
          <w:rFonts w:ascii="Arial" w:hAnsi="Arial" w:cs="Arial"/>
          <w:sz w:val="24"/>
          <w:szCs w:val="24"/>
          <w:lang w:val="en-US"/>
        </w:rPr>
        <w:t xml:space="preserve"> processing/receiving payments to/from third parties for and on behalf of other group companies.</w:t>
      </w:r>
    </w:p>
    <w:p w14:paraId="1CD87AFD" w14:textId="783C2433" w:rsidR="00D350C1" w:rsidRDefault="00D350C1" w:rsidP="00377E26">
      <w:pPr>
        <w:pStyle w:val="NurText"/>
        <w:jc w:val="both"/>
        <w:rPr>
          <w:rFonts w:ascii="Arial" w:hAnsi="Arial" w:cs="Arial"/>
          <w:sz w:val="24"/>
          <w:szCs w:val="24"/>
          <w:lang w:val="en-US"/>
        </w:rPr>
      </w:pPr>
    </w:p>
    <w:p w14:paraId="3645B163" w14:textId="731F8392" w:rsidR="00D350C1" w:rsidRPr="00357C8C" w:rsidRDefault="003F36CA" w:rsidP="00377E26">
      <w:pPr>
        <w:pStyle w:val="NurText"/>
        <w:jc w:val="both"/>
        <w:rPr>
          <w:rFonts w:ascii="Arial" w:hAnsi="Arial" w:cs="Arial"/>
          <w:sz w:val="24"/>
          <w:szCs w:val="24"/>
          <w:lang w:val="en-US"/>
        </w:rPr>
      </w:pPr>
      <w:r>
        <w:rPr>
          <w:rFonts w:ascii="Arial" w:hAnsi="Arial" w:cs="Arial"/>
          <w:sz w:val="24"/>
          <w:szCs w:val="24"/>
          <w:lang w:val="en-US"/>
        </w:rPr>
        <w:t>We very much appreciated that the VDT was able to participate in an online meeting</w:t>
      </w:r>
      <w:r w:rsidR="0080506F">
        <w:rPr>
          <w:rFonts w:ascii="Arial" w:hAnsi="Arial" w:cs="Arial"/>
          <w:sz w:val="24"/>
          <w:szCs w:val="24"/>
          <w:lang w:val="en-US"/>
        </w:rPr>
        <w:t xml:space="preserve"> </w:t>
      </w:r>
      <w:r w:rsidR="00F0330B">
        <w:rPr>
          <w:rFonts w:ascii="Arial" w:hAnsi="Arial" w:cs="Arial"/>
          <w:sz w:val="24"/>
          <w:szCs w:val="24"/>
          <w:lang w:val="en-US"/>
        </w:rPr>
        <w:t>“</w:t>
      </w:r>
      <w:r w:rsidR="00FE0A12">
        <w:rPr>
          <w:rFonts w:ascii="Arial" w:hAnsi="Arial" w:cs="Arial"/>
          <w:sz w:val="24"/>
          <w:szCs w:val="24"/>
          <w:lang w:val="en-US"/>
        </w:rPr>
        <w:t>EACT/FISMA B.3 EU Payment Initi</w:t>
      </w:r>
      <w:r w:rsidR="00F0330B">
        <w:rPr>
          <w:rFonts w:ascii="Arial" w:hAnsi="Arial" w:cs="Arial"/>
          <w:sz w:val="24"/>
          <w:szCs w:val="24"/>
          <w:lang w:val="en-US"/>
        </w:rPr>
        <w:t xml:space="preserve">ative” </w:t>
      </w:r>
      <w:r w:rsidR="0080506F">
        <w:rPr>
          <w:rFonts w:ascii="Arial" w:hAnsi="Arial" w:cs="Arial"/>
          <w:sz w:val="24"/>
          <w:szCs w:val="24"/>
          <w:lang w:val="en-US"/>
        </w:rPr>
        <w:t>on June 17</w:t>
      </w:r>
      <w:r w:rsidR="0080506F" w:rsidRPr="0080506F">
        <w:rPr>
          <w:rFonts w:ascii="Arial" w:hAnsi="Arial" w:cs="Arial"/>
          <w:sz w:val="24"/>
          <w:szCs w:val="24"/>
          <w:vertAlign w:val="superscript"/>
          <w:lang w:val="en-US"/>
        </w:rPr>
        <w:t>th</w:t>
      </w:r>
      <w:r w:rsidR="0080506F">
        <w:rPr>
          <w:rFonts w:ascii="Arial" w:hAnsi="Arial" w:cs="Arial"/>
          <w:sz w:val="24"/>
          <w:szCs w:val="24"/>
          <w:lang w:val="en-US"/>
        </w:rPr>
        <w:t xml:space="preserve">, 2022 </w:t>
      </w:r>
      <w:r w:rsidR="002072F3">
        <w:rPr>
          <w:rFonts w:ascii="Arial" w:hAnsi="Arial" w:cs="Arial"/>
          <w:sz w:val="24"/>
          <w:szCs w:val="24"/>
          <w:lang w:val="en-US"/>
        </w:rPr>
        <w:t>and contribute to this top</w:t>
      </w:r>
      <w:r w:rsidR="009305DE">
        <w:rPr>
          <w:rFonts w:ascii="Arial" w:hAnsi="Arial" w:cs="Arial"/>
          <w:sz w:val="24"/>
          <w:szCs w:val="24"/>
          <w:lang w:val="en-US"/>
        </w:rPr>
        <w:t>ic.</w:t>
      </w:r>
    </w:p>
    <w:p w14:paraId="4279ED13" w14:textId="77777777" w:rsidR="00275A66" w:rsidRPr="00BF3A61" w:rsidRDefault="00275A66" w:rsidP="00275A66">
      <w:pPr>
        <w:pStyle w:val="NurText"/>
        <w:jc w:val="both"/>
        <w:rPr>
          <w:rFonts w:ascii="Arial" w:hAnsi="Arial" w:cs="Arial"/>
          <w:sz w:val="24"/>
          <w:szCs w:val="24"/>
          <w:lang w:val="en-US"/>
        </w:rPr>
      </w:pPr>
    </w:p>
    <w:sectPr w:rsidR="00275A66" w:rsidRPr="00BF3A61" w:rsidSect="000E67C5">
      <w:pgSz w:w="11906" w:h="16838"/>
      <w:pgMar w:top="851"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09A96" w14:textId="77777777" w:rsidR="00882C47" w:rsidRDefault="00882C47" w:rsidP="00882C47">
      <w:r>
        <w:separator/>
      </w:r>
    </w:p>
  </w:endnote>
  <w:endnote w:type="continuationSeparator" w:id="0">
    <w:p w14:paraId="42C827C7" w14:textId="77777777" w:rsidR="00882C47" w:rsidRDefault="00882C47" w:rsidP="00882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888E6" w14:textId="77777777" w:rsidR="00882C47" w:rsidRDefault="00882C47" w:rsidP="00882C47">
      <w:r>
        <w:separator/>
      </w:r>
    </w:p>
  </w:footnote>
  <w:footnote w:type="continuationSeparator" w:id="0">
    <w:p w14:paraId="4FD739DB" w14:textId="77777777" w:rsidR="00882C47" w:rsidRDefault="00882C47" w:rsidP="00882C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A66"/>
    <w:rsid w:val="0001378D"/>
    <w:rsid w:val="00021245"/>
    <w:rsid w:val="00023DF5"/>
    <w:rsid w:val="00044DF3"/>
    <w:rsid w:val="00080AD9"/>
    <w:rsid w:val="000E48C8"/>
    <w:rsid w:val="000E62E6"/>
    <w:rsid w:val="000E67C5"/>
    <w:rsid w:val="0010305C"/>
    <w:rsid w:val="001063EA"/>
    <w:rsid w:val="001C7F25"/>
    <w:rsid w:val="001F6B18"/>
    <w:rsid w:val="002072F3"/>
    <w:rsid w:val="00223BF2"/>
    <w:rsid w:val="002250C3"/>
    <w:rsid w:val="00275A66"/>
    <w:rsid w:val="00276768"/>
    <w:rsid w:val="00276C65"/>
    <w:rsid w:val="002812E8"/>
    <w:rsid w:val="00282132"/>
    <w:rsid w:val="0028376E"/>
    <w:rsid w:val="00286081"/>
    <w:rsid w:val="0029471C"/>
    <w:rsid w:val="00314D9C"/>
    <w:rsid w:val="003403A6"/>
    <w:rsid w:val="00355CCC"/>
    <w:rsid w:val="00357C8C"/>
    <w:rsid w:val="00361FBB"/>
    <w:rsid w:val="00377E26"/>
    <w:rsid w:val="0038485A"/>
    <w:rsid w:val="003B771A"/>
    <w:rsid w:val="003D6BCA"/>
    <w:rsid w:val="003E06F8"/>
    <w:rsid w:val="003F36CA"/>
    <w:rsid w:val="003F4668"/>
    <w:rsid w:val="00435093"/>
    <w:rsid w:val="004419C9"/>
    <w:rsid w:val="0046207B"/>
    <w:rsid w:val="00474CED"/>
    <w:rsid w:val="004C1DE0"/>
    <w:rsid w:val="00503DE1"/>
    <w:rsid w:val="00544740"/>
    <w:rsid w:val="0059099A"/>
    <w:rsid w:val="005B7BD3"/>
    <w:rsid w:val="00621DD8"/>
    <w:rsid w:val="006341F1"/>
    <w:rsid w:val="00635A2C"/>
    <w:rsid w:val="0065798E"/>
    <w:rsid w:val="00660F3C"/>
    <w:rsid w:val="006A1EDA"/>
    <w:rsid w:val="006E4EA9"/>
    <w:rsid w:val="00764D42"/>
    <w:rsid w:val="00782652"/>
    <w:rsid w:val="007948F6"/>
    <w:rsid w:val="007E3CE3"/>
    <w:rsid w:val="0080506F"/>
    <w:rsid w:val="008102BB"/>
    <w:rsid w:val="00836470"/>
    <w:rsid w:val="00874460"/>
    <w:rsid w:val="00882C47"/>
    <w:rsid w:val="00884C8D"/>
    <w:rsid w:val="00887D29"/>
    <w:rsid w:val="008F03B1"/>
    <w:rsid w:val="008F3A31"/>
    <w:rsid w:val="0091360E"/>
    <w:rsid w:val="009305DE"/>
    <w:rsid w:val="009834E2"/>
    <w:rsid w:val="009907FE"/>
    <w:rsid w:val="009D02F6"/>
    <w:rsid w:val="009D1FF1"/>
    <w:rsid w:val="00A1339B"/>
    <w:rsid w:val="00A20A5A"/>
    <w:rsid w:val="00A71558"/>
    <w:rsid w:val="00A74002"/>
    <w:rsid w:val="00A84873"/>
    <w:rsid w:val="00B0422A"/>
    <w:rsid w:val="00B10C2B"/>
    <w:rsid w:val="00B56934"/>
    <w:rsid w:val="00B669C3"/>
    <w:rsid w:val="00BD256A"/>
    <w:rsid w:val="00BD27CA"/>
    <w:rsid w:val="00BF3A61"/>
    <w:rsid w:val="00C322C8"/>
    <w:rsid w:val="00C579DF"/>
    <w:rsid w:val="00CA0527"/>
    <w:rsid w:val="00CB0D58"/>
    <w:rsid w:val="00CF672A"/>
    <w:rsid w:val="00D1080C"/>
    <w:rsid w:val="00D32069"/>
    <w:rsid w:val="00D350C1"/>
    <w:rsid w:val="00D36D2A"/>
    <w:rsid w:val="00D40641"/>
    <w:rsid w:val="00D43E43"/>
    <w:rsid w:val="00D80525"/>
    <w:rsid w:val="00DC1360"/>
    <w:rsid w:val="00DF440B"/>
    <w:rsid w:val="00E72BB3"/>
    <w:rsid w:val="00E8419F"/>
    <w:rsid w:val="00ED75C4"/>
    <w:rsid w:val="00EF5617"/>
    <w:rsid w:val="00F0330B"/>
    <w:rsid w:val="00F2772F"/>
    <w:rsid w:val="00F53DB0"/>
    <w:rsid w:val="00F852B8"/>
    <w:rsid w:val="00F96386"/>
    <w:rsid w:val="00FB43CB"/>
    <w:rsid w:val="00FD4272"/>
    <w:rsid w:val="00FD5F84"/>
    <w:rsid w:val="00FE0A1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5FC1C"/>
  <w15:chartTrackingRefBased/>
  <w15:docId w15:val="{59056FDD-EB1D-4EAC-92BC-94A323A1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75A66"/>
    <w:pPr>
      <w:spacing w:after="0" w:line="240" w:lineRule="auto"/>
    </w:pPr>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275A66"/>
    <w:rPr>
      <w:rFonts w:ascii="Calibri" w:hAnsi="Calibri"/>
      <w:sz w:val="22"/>
      <w:szCs w:val="21"/>
      <w:lang w:eastAsia="zh-CN"/>
    </w:rPr>
  </w:style>
  <w:style w:type="character" w:customStyle="1" w:styleId="NurTextZchn">
    <w:name w:val="Nur Text Zchn"/>
    <w:basedOn w:val="Absatz-Standardschriftart"/>
    <w:link w:val="NurText"/>
    <w:uiPriority w:val="99"/>
    <w:rsid w:val="00275A66"/>
    <w:rPr>
      <w:rFonts w:ascii="Calibri" w:hAnsi="Calibri"/>
      <w:szCs w:val="21"/>
    </w:rPr>
  </w:style>
  <w:style w:type="paragraph" w:styleId="Kopfzeile">
    <w:name w:val="header"/>
    <w:basedOn w:val="Standard"/>
    <w:link w:val="KopfzeileZchn"/>
    <w:uiPriority w:val="99"/>
    <w:unhideWhenUsed/>
    <w:rsid w:val="00882C47"/>
    <w:pPr>
      <w:tabs>
        <w:tab w:val="center" w:pos="4536"/>
        <w:tab w:val="right" w:pos="9072"/>
      </w:tabs>
    </w:pPr>
  </w:style>
  <w:style w:type="character" w:customStyle="1" w:styleId="KopfzeileZchn">
    <w:name w:val="Kopfzeile Zchn"/>
    <w:basedOn w:val="Absatz-Standardschriftart"/>
    <w:link w:val="Kopfzeile"/>
    <w:uiPriority w:val="99"/>
    <w:rsid w:val="00882C47"/>
    <w:rPr>
      <w:sz w:val="24"/>
      <w:szCs w:val="24"/>
      <w:lang w:eastAsia="de-DE"/>
    </w:rPr>
  </w:style>
  <w:style w:type="paragraph" w:styleId="Fuzeile">
    <w:name w:val="footer"/>
    <w:basedOn w:val="Standard"/>
    <w:link w:val="FuzeileZchn"/>
    <w:uiPriority w:val="99"/>
    <w:unhideWhenUsed/>
    <w:rsid w:val="00882C47"/>
    <w:pPr>
      <w:tabs>
        <w:tab w:val="center" w:pos="4536"/>
        <w:tab w:val="right" w:pos="9072"/>
      </w:tabs>
    </w:pPr>
  </w:style>
  <w:style w:type="character" w:customStyle="1" w:styleId="FuzeileZchn">
    <w:name w:val="Fußzeile Zchn"/>
    <w:basedOn w:val="Absatz-Standardschriftart"/>
    <w:link w:val="Fuzeile"/>
    <w:uiPriority w:val="99"/>
    <w:rsid w:val="00882C47"/>
    <w:rPr>
      <w:sz w:val="24"/>
      <w:szCs w:val="24"/>
      <w:lang w:eastAsia="de-DE"/>
    </w:rPr>
  </w:style>
  <w:style w:type="paragraph" w:customStyle="1" w:styleId="TextStellungnahme">
    <w:name w:val="Text Stellungnahme"/>
    <w:basedOn w:val="Standard"/>
    <w:qFormat/>
    <w:rsid w:val="00D32069"/>
    <w:pPr>
      <w:spacing w:after="230" w:line="276" w:lineRule="auto"/>
    </w:pPr>
    <w:rPr>
      <w:rFonts w:ascii="Calibri" w:eastAsia="????" w:hAnsi="Calibri" w:cs="Times New Roman"/>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2810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Deisemann, Regina</dc:creator>
  <cp:keywords/>
  <dc:description/>
  <cp:lastModifiedBy>Deisemann, Regina</cp:lastModifiedBy>
  <cp:revision>2</cp:revision>
  <dcterms:created xsi:type="dcterms:W3CDTF">2022-07-02T13:15:00Z</dcterms:created>
  <dcterms:modified xsi:type="dcterms:W3CDTF">2022-07-02T13:15:00Z</dcterms:modified>
</cp:coreProperties>
</file>