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C8CFC" w14:textId="373FB105" w:rsidR="00923D4A" w:rsidRPr="002B0150" w:rsidRDefault="00923D4A" w:rsidP="002B0150">
      <w:pPr>
        <w:rPr>
          <w:rFonts w:ascii="Museo Sans 700" w:hAnsi="Museo Sans 700"/>
          <w:b/>
          <w:bCs/>
        </w:rPr>
      </w:pPr>
      <w:r>
        <w:rPr>
          <w:rFonts w:ascii="Museo Sans 700" w:hAnsi="Museo Sans 700"/>
          <w:color w:val="07545C"/>
          <w:sz w:val="24"/>
        </w:rPr>
        <w:t>About CMSPI</w:t>
      </w:r>
    </w:p>
    <w:p w14:paraId="47C89FC9" w14:textId="412EB04B" w:rsidR="002B0150" w:rsidRPr="00B92CAA" w:rsidRDefault="002B0150" w:rsidP="002B0150">
      <w:pPr>
        <w:rPr>
          <w:b/>
          <w:bCs/>
          <w:color w:val="FF0000"/>
        </w:rPr>
      </w:pPr>
      <w:r w:rsidRPr="00B92CAA">
        <w:rPr>
          <w:b/>
          <w:bCs/>
        </w:rPr>
        <w:t xml:space="preserve"> </w:t>
      </w:r>
    </w:p>
    <w:p w14:paraId="1F5075D2" w14:textId="6E44EBB7" w:rsidR="00B128CB" w:rsidRPr="002B0150" w:rsidRDefault="002B0150" w:rsidP="002B0150">
      <w:pPr>
        <w:rPr>
          <w:rFonts w:ascii="Museo Sans 300" w:hAnsi="Museo Sans 300"/>
        </w:rPr>
      </w:pPr>
      <w:r w:rsidRPr="002B0150">
        <w:rPr>
          <w:rFonts w:ascii="Museo Sans 300" w:hAnsi="Museo Sans 300"/>
        </w:rPr>
        <w:t xml:space="preserve">CMSPI is a global leader in retail payments consulting. Our expert team works to empower the retail community </w:t>
      </w:r>
      <w:r w:rsidRPr="140BEFF7">
        <w:rPr>
          <w:rFonts w:ascii="Museo Sans 300" w:hAnsi="Museo Sans 300"/>
        </w:rPr>
        <w:t xml:space="preserve">and payments industry </w:t>
      </w:r>
      <w:r w:rsidRPr="002B0150">
        <w:rPr>
          <w:rFonts w:ascii="Museo Sans 300" w:hAnsi="Museo Sans 300"/>
        </w:rPr>
        <w:t xml:space="preserve">with insights, expertise, benchmarking, and analysis to drive value in their payments </w:t>
      </w:r>
      <w:r w:rsidRPr="140BEFF7">
        <w:rPr>
          <w:rFonts w:ascii="Museo Sans 300" w:hAnsi="Museo Sans 300"/>
        </w:rPr>
        <w:t>partnerships</w:t>
      </w:r>
      <w:r w:rsidRPr="002B0150">
        <w:rPr>
          <w:rFonts w:ascii="Museo Sans 300" w:hAnsi="Museo Sans 300"/>
        </w:rPr>
        <w:t>.</w:t>
      </w:r>
      <w:r w:rsidR="00FB3FAF">
        <w:rPr>
          <w:rFonts w:ascii="Museo Sans 300" w:hAnsi="Museo Sans 300"/>
        </w:rPr>
        <w:t xml:space="preserve"> </w:t>
      </w:r>
      <w:r w:rsidRPr="002B0150">
        <w:rPr>
          <w:rFonts w:ascii="Museo Sans 300" w:hAnsi="Museo Sans 300"/>
        </w:rPr>
        <w:t>This consultation response was constructed by CMSPI’s market-leading ‘</w:t>
      </w:r>
      <w:r w:rsidRPr="002B0150">
        <w:rPr>
          <w:rFonts w:ascii="Museo Sans 300" w:hAnsi="Museo Sans 300"/>
          <w:b/>
          <w:bCs/>
          <w:i/>
          <w:iCs/>
        </w:rPr>
        <w:t>Insights Team’</w:t>
      </w:r>
      <w:r w:rsidRPr="002B0150">
        <w:rPr>
          <w:rFonts w:ascii="Museo Sans 300" w:hAnsi="Museo Sans 300"/>
        </w:rPr>
        <w:t>, which is made up of economists, data and statistical experts, and experienced payments professionals.</w:t>
      </w:r>
      <w:r w:rsidR="00B128CB">
        <w:rPr>
          <w:rFonts w:ascii="Museo Sans 300" w:hAnsi="Museo Sans 300"/>
        </w:rPr>
        <w:t xml:space="preserve"> We have structured our response to reflect the key areas </w:t>
      </w:r>
      <w:r w:rsidR="00A04FD9">
        <w:rPr>
          <w:rFonts w:ascii="Museo Sans 300" w:hAnsi="Museo Sans 300"/>
        </w:rPr>
        <w:t xml:space="preserve">of the consultation document </w:t>
      </w:r>
      <w:r w:rsidR="00B128CB">
        <w:rPr>
          <w:rFonts w:ascii="Museo Sans 300" w:hAnsi="Museo Sans 300"/>
        </w:rPr>
        <w:t xml:space="preserve">in which CMSPI can offer unique insights. </w:t>
      </w:r>
    </w:p>
    <w:p w14:paraId="20B7AB2D" w14:textId="77777777" w:rsidR="002B0150" w:rsidRDefault="002B0150" w:rsidP="002B0150"/>
    <w:p w14:paraId="043D39B7" w14:textId="77777777" w:rsidR="002B0150" w:rsidRDefault="002B0150" w:rsidP="002B0150">
      <w:pPr>
        <w:rPr>
          <w:b/>
          <w:bCs/>
        </w:rPr>
      </w:pPr>
    </w:p>
    <w:p w14:paraId="3BDBD8DA" w14:textId="6259CAC3" w:rsidR="002B0150" w:rsidRDefault="00923D4A" w:rsidP="002B0150">
      <w:pPr>
        <w:rPr>
          <w:rFonts w:ascii="Museo Sans 700" w:hAnsi="Museo Sans 700"/>
          <w:color w:val="07545C"/>
          <w:sz w:val="24"/>
        </w:rPr>
      </w:pPr>
      <w:r>
        <w:rPr>
          <w:rFonts w:ascii="Museo Sans 700" w:hAnsi="Museo Sans 700"/>
          <w:color w:val="07545C"/>
          <w:sz w:val="24"/>
        </w:rPr>
        <w:t>CMSPI Response to the</w:t>
      </w:r>
      <w:r w:rsidR="00126092">
        <w:rPr>
          <w:rFonts w:ascii="Museo Sans 700" w:hAnsi="Museo Sans 700"/>
          <w:color w:val="07545C"/>
          <w:sz w:val="24"/>
        </w:rPr>
        <w:t xml:space="preserve"> European Commission</w:t>
      </w:r>
    </w:p>
    <w:p w14:paraId="29C48324" w14:textId="143E5D26" w:rsidR="006443C5" w:rsidRDefault="006443C5" w:rsidP="002B0150">
      <w:pPr>
        <w:rPr>
          <w:rFonts w:ascii="Museo Sans 300" w:hAnsi="Museo Sans 300"/>
        </w:rPr>
      </w:pPr>
      <w:r w:rsidRPr="006443C5">
        <w:rPr>
          <w:rFonts w:ascii="Museo Sans 300" w:hAnsi="Museo Sans 300"/>
        </w:rPr>
        <w:t xml:space="preserve">As outlined in the consultation document, the PSD2 was intended to produce a more ‘integrated, competitive, and innovative’ EU payments market with </w:t>
      </w:r>
      <w:proofErr w:type="gramStart"/>
      <w:r w:rsidR="001C36CD">
        <w:rPr>
          <w:rFonts w:ascii="Museo Sans 300" w:hAnsi="Museo Sans 300"/>
        </w:rPr>
        <w:t>particular aims</w:t>
      </w:r>
      <w:proofErr w:type="gramEnd"/>
      <w:r w:rsidR="001C36CD">
        <w:rPr>
          <w:rFonts w:ascii="Museo Sans 300" w:hAnsi="Museo Sans 300"/>
        </w:rPr>
        <w:t xml:space="preserve"> to</w:t>
      </w:r>
      <w:r w:rsidRPr="006443C5">
        <w:rPr>
          <w:rFonts w:ascii="Museo Sans 300" w:hAnsi="Museo Sans 300"/>
        </w:rPr>
        <w:t>:</w:t>
      </w:r>
    </w:p>
    <w:p w14:paraId="00C4ECA2" w14:textId="77777777" w:rsidR="006443C5" w:rsidRPr="006443C5" w:rsidRDefault="006443C5" w:rsidP="002B0150">
      <w:pPr>
        <w:rPr>
          <w:rFonts w:ascii="Museo Sans 300" w:hAnsi="Museo Sans 300"/>
        </w:rPr>
      </w:pPr>
    </w:p>
    <w:p w14:paraId="5F450B2E" w14:textId="6F0FABF9" w:rsidR="00126092" w:rsidRPr="006443C5" w:rsidRDefault="006443C5" w:rsidP="00126092">
      <w:pPr>
        <w:pStyle w:val="ListParagraph"/>
        <w:numPr>
          <w:ilvl w:val="0"/>
          <w:numId w:val="20"/>
        </w:numPr>
        <w:spacing w:after="160" w:line="259" w:lineRule="auto"/>
        <w:rPr>
          <w:rFonts w:ascii="Museo Sans 300" w:hAnsi="Museo Sans 300"/>
        </w:rPr>
      </w:pPr>
      <w:r>
        <w:rPr>
          <w:rFonts w:ascii="Museo Sans 300" w:hAnsi="Museo Sans 300"/>
        </w:rPr>
        <w:t>M</w:t>
      </w:r>
      <w:r w:rsidR="00126092" w:rsidRPr="006443C5">
        <w:rPr>
          <w:rFonts w:ascii="Museo Sans 300" w:hAnsi="Museo Sans 300"/>
        </w:rPr>
        <w:t xml:space="preserve">ake it easier and safer to use online payment services </w:t>
      </w:r>
    </w:p>
    <w:p w14:paraId="76CADA2B" w14:textId="6502548E" w:rsidR="00126092" w:rsidRPr="006443C5" w:rsidRDefault="006443C5" w:rsidP="00126092">
      <w:pPr>
        <w:pStyle w:val="ListParagraph"/>
        <w:numPr>
          <w:ilvl w:val="0"/>
          <w:numId w:val="20"/>
        </w:numPr>
        <w:spacing w:after="160" w:line="259" w:lineRule="auto"/>
        <w:rPr>
          <w:rFonts w:ascii="Museo Sans 300" w:hAnsi="Museo Sans 300"/>
        </w:rPr>
      </w:pPr>
      <w:r>
        <w:rPr>
          <w:rFonts w:ascii="Museo Sans 300" w:hAnsi="Museo Sans 300"/>
        </w:rPr>
        <w:t>B</w:t>
      </w:r>
      <w:r w:rsidR="00126092" w:rsidRPr="006443C5">
        <w:rPr>
          <w:rFonts w:ascii="Museo Sans 300" w:hAnsi="Museo Sans 300"/>
        </w:rPr>
        <w:t xml:space="preserve">etter protect payment services users against fraud, abuse, and payment problems </w:t>
      </w:r>
    </w:p>
    <w:p w14:paraId="5F20AA7E" w14:textId="3D6BB3CD" w:rsidR="00126092" w:rsidRPr="006443C5" w:rsidRDefault="006443C5" w:rsidP="00126092">
      <w:pPr>
        <w:pStyle w:val="ListParagraph"/>
        <w:numPr>
          <w:ilvl w:val="0"/>
          <w:numId w:val="20"/>
        </w:numPr>
        <w:spacing w:after="160" w:line="259" w:lineRule="auto"/>
        <w:rPr>
          <w:rFonts w:ascii="Museo Sans 300" w:hAnsi="Museo Sans 300"/>
        </w:rPr>
      </w:pPr>
      <w:r>
        <w:rPr>
          <w:rFonts w:ascii="Museo Sans 300" w:hAnsi="Museo Sans 300"/>
        </w:rPr>
        <w:t>P</w:t>
      </w:r>
      <w:r w:rsidR="00126092" w:rsidRPr="006443C5">
        <w:rPr>
          <w:rFonts w:ascii="Museo Sans 300" w:hAnsi="Museo Sans 300"/>
        </w:rPr>
        <w:t xml:space="preserve">romote innovative payment services </w:t>
      </w:r>
    </w:p>
    <w:p w14:paraId="03397BD1" w14:textId="7BE010F6" w:rsidR="00126092" w:rsidRDefault="006443C5" w:rsidP="00126092">
      <w:pPr>
        <w:pStyle w:val="ListParagraph"/>
        <w:numPr>
          <w:ilvl w:val="0"/>
          <w:numId w:val="20"/>
        </w:numPr>
        <w:spacing w:after="160" w:line="259" w:lineRule="auto"/>
        <w:rPr>
          <w:rFonts w:ascii="Museo Sans 300" w:hAnsi="Museo Sans 300"/>
        </w:rPr>
      </w:pPr>
      <w:r>
        <w:rPr>
          <w:rFonts w:ascii="Museo Sans 300" w:hAnsi="Museo Sans 300"/>
        </w:rPr>
        <w:t>St</w:t>
      </w:r>
      <w:r w:rsidR="00126092" w:rsidRPr="006443C5">
        <w:rPr>
          <w:rFonts w:ascii="Museo Sans 300" w:hAnsi="Museo Sans 300"/>
        </w:rPr>
        <w:t>rengthen the rights of payment services users</w:t>
      </w:r>
    </w:p>
    <w:p w14:paraId="5511E7C7" w14:textId="664E1CE2" w:rsidR="00D039C1" w:rsidRDefault="006443C5" w:rsidP="006443C5">
      <w:pPr>
        <w:spacing w:after="160" w:line="259" w:lineRule="auto"/>
        <w:rPr>
          <w:rFonts w:ascii="Museo Sans 300" w:hAnsi="Museo Sans 300"/>
        </w:rPr>
      </w:pPr>
      <w:r>
        <w:rPr>
          <w:rFonts w:ascii="Museo Sans 300" w:hAnsi="Museo Sans 300"/>
        </w:rPr>
        <w:t xml:space="preserve">Whilst PSD2 regulation provided an important step in realising these goals, </w:t>
      </w:r>
      <w:proofErr w:type="gramStart"/>
      <w:r>
        <w:rPr>
          <w:rFonts w:ascii="Museo Sans 300" w:hAnsi="Museo Sans 300"/>
        </w:rPr>
        <w:t>in particular by</w:t>
      </w:r>
      <w:proofErr w:type="gramEnd"/>
      <w:r>
        <w:rPr>
          <w:rFonts w:ascii="Museo Sans 300" w:hAnsi="Museo Sans 300"/>
        </w:rPr>
        <w:t xml:space="preserve"> </w:t>
      </w:r>
      <w:r w:rsidR="003C4878">
        <w:rPr>
          <w:rFonts w:ascii="Museo Sans 300" w:hAnsi="Museo Sans 300"/>
        </w:rPr>
        <w:t>creating a</w:t>
      </w:r>
      <w:r>
        <w:rPr>
          <w:rFonts w:ascii="Museo Sans 300" w:hAnsi="Museo Sans 300"/>
        </w:rPr>
        <w:t xml:space="preserve"> foundation for Open Banking across the EU, there are certain areas in which merchants’ experiences could be improved in response to market developments following its implementation. In this response, we focus on three key areas: security, surcharging practices, and Open Banking. </w:t>
      </w:r>
    </w:p>
    <w:p w14:paraId="7652E233" w14:textId="79B1054A" w:rsidR="00D039C1" w:rsidRPr="00D039C1" w:rsidRDefault="00FF0391" w:rsidP="00D039C1">
      <w:pPr>
        <w:pStyle w:val="ListParagraph"/>
        <w:numPr>
          <w:ilvl w:val="0"/>
          <w:numId w:val="21"/>
        </w:numPr>
        <w:spacing w:after="160" w:line="259" w:lineRule="auto"/>
        <w:rPr>
          <w:rFonts w:ascii="Museo Sans 700" w:hAnsi="Museo Sans 700"/>
          <w:color w:val="07545C"/>
          <w:sz w:val="24"/>
        </w:rPr>
      </w:pPr>
      <w:r>
        <w:rPr>
          <w:rFonts w:ascii="Museo Sans 700" w:hAnsi="Museo Sans 700"/>
          <w:color w:val="07545C"/>
          <w:sz w:val="24"/>
        </w:rPr>
        <w:t xml:space="preserve">The </w:t>
      </w:r>
      <w:r w:rsidR="00D039C1" w:rsidRPr="00D039C1">
        <w:rPr>
          <w:rFonts w:ascii="Museo Sans 700" w:hAnsi="Museo Sans 700"/>
          <w:color w:val="07545C"/>
          <w:sz w:val="24"/>
        </w:rPr>
        <w:t>Security of Online Payments Services</w:t>
      </w:r>
    </w:p>
    <w:p w14:paraId="1C974E60" w14:textId="658D5353" w:rsidR="00D039C1" w:rsidRDefault="00D039C1" w:rsidP="00D039C1">
      <w:pPr>
        <w:spacing w:after="160" w:line="259" w:lineRule="auto"/>
        <w:rPr>
          <w:rFonts w:ascii="Museo Sans 300" w:hAnsi="Museo Sans 300"/>
        </w:rPr>
      </w:pPr>
      <w:r>
        <w:rPr>
          <w:rFonts w:ascii="Museo Sans 300" w:hAnsi="Museo Sans 300"/>
        </w:rPr>
        <w:t xml:space="preserve">One of the core tenets of the PSD2 was the introduction of Strong Customer Authentication (SCA) requirements across Europe. </w:t>
      </w:r>
      <w:r w:rsidR="00B54866">
        <w:rPr>
          <w:rFonts w:ascii="Museo Sans 300" w:hAnsi="Museo Sans 300"/>
        </w:rPr>
        <w:t>In prioritising f</w:t>
      </w:r>
      <w:r>
        <w:rPr>
          <w:rFonts w:ascii="Museo Sans 300" w:hAnsi="Museo Sans 300"/>
        </w:rPr>
        <w:t xml:space="preserve">raud prevention, particularly in the online environment, </w:t>
      </w:r>
      <w:r w:rsidR="00C97DAE">
        <w:rPr>
          <w:rFonts w:ascii="Museo Sans 300" w:hAnsi="Museo Sans 300"/>
        </w:rPr>
        <w:t>this goal is st</w:t>
      </w:r>
      <w:r w:rsidR="00484DBD">
        <w:rPr>
          <w:rFonts w:ascii="Museo Sans 300" w:hAnsi="Museo Sans 300"/>
        </w:rPr>
        <w:t>rongly aligned with merchants’ aims</w:t>
      </w:r>
      <w:r>
        <w:rPr>
          <w:rFonts w:ascii="Museo Sans 300" w:hAnsi="Museo Sans 300"/>
        </w:rPr>
        <w:t xml:space="preserve">. Our </w:t>
      </w:r>
      <w:r w:rsidRPr="00424560">
        <w:rPr>
          <w:rFonts w:ascii="Museo Sans 300" w:hAnsi="Museo Sans 300"/>
        </w:rPr>
        <w:t xml:space="preserve">estimates suggest that </w:t>
      </w:r>
      <w:r w:rsidR="00484DBD">
        <w:rPr>
          <w:rFonts w:ascii="Museo Sans 300" w:hAnsi="Museo Sans 300"/>
        </w:rPr>
        <w:t xml:space="preserve">in 2021, </w:t>
      </w:r>
      <w:r w:rsidRPr="00424560">
        <w:rPr>
          <w:rFonts w:ascii="Museo Sans 300" w:hAnsi="Museo Sans 300"/>
        </w:rPr>
        <w:t>the average European merchant spen</w:t>
      </w:r>
      <w:r w:rsidR="00484DBD">
        <w:rPr>
          <w:rFonts w:ascii="Museo Sans 300" w:hAnsi="Museo Sans 300"/>
        </w:rPr>
        <w:t>t</w:t>
      </w:r>
      <w:r w:rsidRPr="00424560">
        <w:rPr>
          <w:rFonts w:ascii="Museo Sans 300" w:hAnsi="Museo Sans 300"/>
        </w:rPr>
        <w:t xml:space="preserve"> three times more on fraud prevention than they los</w:t>
      </w:r>
      <w:r w:rsidR="00484DBD">
        <w:rPr>
          <w:rFonts w:ascii="Museo Sans 300" w:hAnsi="Museo Sans 300"/>
        </w:rPr>
        <w:t>t</w:t>
      </w:r>
      <w:r w:rsidRPr="00424560">
        <w:rPr>
          <w:rFonts w:ascii="Museo Sans 300" w:hAnsi="Museo Sans 300"/>
        </w:rPr>
        <w:t xml:space="preserve"> to fraud itself</w:t>
      </w:r>
      <w:r w:rsidR="00484DBD">
        <w:rPr>
          <w:rFonts w:ascii="Museo Sans 300" w:hAnsi="Museo Sans 300"/>
        </w:rPr>
        <w:t xml:space="preserve"> (Figure 1).</w:t>
      </w:r>
    </w:p>
    <w:p w14:paraId="682BE020" w14:textId="5D713933" w:rsidR="00A773A0" w:rsidRDefault="00A773A0" w:rsidP="00D039C1">
      <w:pPr>
        <w:spacing w:after="160" w:line="259" w:lineRule="auto"/>
        <w:rPr>
          <w:rFonts w:ascii="Museo Sans 300" w:hAnsi="Museo Sans 300"/>
        </w:rPr>
      </w:pPr>
      <w:r>
        <w:rPr>
          <w:noProof/>
        </w:rPr>
        <w:lastRenderedPageBreak/>
        <w:drawing>
          <wp:inline distT="0" distB="0" distL="0" distR="0" wp14:anchorId="5BAC44F9" wp14:editId="3FEFA44D">
            <wp:extent cx="5731510" cy="2788920"/>
            <wp:effectExtent l="0" t="0" r="0" b="0"/>
            <wp:docPr id="11" name="Chart 11">
              <a:extLst xmlns:a="http://schemas.openxmlformats.org/drawingml/2006/main">
                <a:ext uri="{FF2B5EF4-FFF2-40B4-BE49-F238E27FC236}">
                  <a16:creationId xmlns:a16="http://schemas.microsoft.com/office/drawing/2014/main" id="{DBF53C24-366B-4A4C-BFDB-0764786121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7B58BE" w14:textId="4153B0AF" w:rsidR="00A773A0" w:rsidRPr="00484DBD" w:rsidRDefault="00A773A0" w:rsidP="00484DBD">
      <w:pPr>
        <w:spacing w:after="160" w:line="259" w:lineRule="auto"/>
        <w:jc w:val="center"/>
        <w:rPr>
          <w:rFonts w:ascii="Museo Sans 300" w:hAnsi="Museo Sans 300"/>
          <w:i/>
          <w:iCs/>
        </w:rPr>
      </w:pPr>
      <w:r w:rsidRPr="00484DBD">
        <w:rPr>
          <w:rFonts w:ascii="Museo Sans 300" w:hAnsi="Museo Sans 300"/>
          <w:i/>
          <w:iCs/>
        </w:rPr>
        <w:t xml:space="preserve">Figure </w:t>
      </w:r>
      <w:r w:rsidR="00484DBD" w:rsidRPr="00484DBD">
        <w:rPr>
          <w:rFonts w:ascii="Museo Sans 300" w:hAnsi="Museo Sans 300"/>
          <w:i/>
          <w:iCs/>
        </w:rPr>
        <w:t>1</w:t>
      </w:r>
      <w:r w:rsidRPr="00484DBD">
        <w:rPr>
          <w:rFonts w:ascii="Museo Sans 300" w:hAnsi="Museo Sans 300"/>
          <w:i/>
          <w:iCs/>
        </w:rPr>
        <w:t>. Estimated annual merchant expenditure on fraud prevention compared to merchant fraud losses</w:t>
      </w:r>
      <w:r w:rsidR="00484DBD" w:rsidRPr="00484DBD">
        <w:rPr>
          <w:rFonts w:ascii="Museo Sans 300" w:hAnsi="Museo Sans 300"/>
          <w:i/>
          <w:iCs/>
        </w:rPr>
        <w:t xml:space="preserve"> over time. Source: CMSPI estimates and analysis.</w:t>
      </w:r>
    </w:p>
    <w:p w14:paraId="091B7B7F" w14:textId="38280A39" w:rsidR="007A50E6" w:rsidRDefault="007A50E6" w:rsidP="007A50E6">
      <w:pPr>
        <w:pStyle w:val="Heading2"/>
      </w:pPr>
      <w:r>
        <w:t>SCA Implementation</w:t>
      </w:r>
    </w:p>
    <w:p w14:paraId="4719DF03" w14:textId="77777777" w:rsidR="001B7DD9" w:rsidRDefault="00D039C1" w:rsidP="00D039C1">
      <w:pPr>
        <w:spacing w:after="160" w:line="259" w:lineRule="auto"/>
        <w:rPr>
          <w:rFonts w:ascii="Museo Sans 300" w:hAnsi="Museo Sans 300"/>
        </w:rPr>
      </w:pPr>
      <w:r>
        <w:rPr>
          <w:rFonts w:ascii="Museo Sans 300" w:hAnsi="Museo Sans 300"/>
        </w:rPr>
        <w:t xml:space="preserve">During the roll-out of SCA, CMSPI worked closely with merchant advocates who raised concerns around industry readiness and the potential for </w:t>
      </w:r>
      <w:r w:rsidR="006E106B">
        <w:rPr>
          <w:rFonts w:ascii="Museo Sans 300" w:hAnsi="Museo Sans 300"/>
        </w:rPr>
        <w:t>adverse impacts on</w:t>
      </w:r>
      <w:r>
        <w:rPr>
          <w:rFonts w:ascii="Museo Sans 300" w:hAnsi="Museo Sans 300"/>
        </w:rPr>
        <w:t xml:space="preserve"> online sales</w:t>
      </w:r>
      <w:r w:rsidR="006E106B">
        <w:rPr>
          <w:rFonts w:ascii="Museo Sans 300" w:hAnsi="Museo Sans 300"/>
        </w:rPr>
        <w:t xml:space="preserve"> and</w:t>
      </w:r>
      <w:r w:rsidR="003F092C">
        <w:rPr>
          <w:rFonts w:ascii="Museo Sans 300" w:hAnsi="Museo Sans 300"/>
        </w:rPr>
        <w:t xml:space="preserve"> the</w:t>
      </w:r>
      <w:r w:rsidR="006E106B">
        <w:rPr>
          <w:rFonts w:ascii="Museo Sans 300" w:hAnsi="Museo Sans 300"/>
        </w:rPr>
        <w:t xml:space="preserve"> customer experience</w:t>
      </w:r>
      <w:r>
        <w:rPr>
          <w:rFonts w:ascii="Museo Sans 300" w:hAnsi="Museo Sans 300"/>
        </w:rPr>
        <w:t>.</w:t>
      </w:r>
      <w:r w:rsidR="004437EC">
        <w:rPr>
          <w:rFonts w:ascii="Museo Sans 300" w:hAnsi="Museo Sans 300"/>
        </w:rPr>
        <w:t xml:space="preserve"> </w:t>
      </w:r>
      <w:r w:rsidR="002F43B2">
        <w:rPr>
          <w:rFonts w:ascii="Museo Sans 300" w:hAnsi="Museo Sans 300"/>
        </w:rPr>
        <w:t xml:space="preserve">The core focus was on a lack of readiness, </w:t>
      </w:r>
      <w:r w:rsidR="001B7DD9">
        <w:rPr>
          <w:rFonts w:ascii="Museo Sans 300" w:hAnsi="Museo Sans 300"/>
        </w:rPr>
        <w:t xml:space="preserve">clarification regarding complex use cases, and flexibility once these issues were raised by parties across the </w:t>
      </w:r>
      <w:proofErr w:type="gramStart"/>
      <w:r w:rsidR="001B7DD9">
        <w:rPr>
          <w:rFonts w:ascii="Museo Sans 300" w:hAnsi="Museo Sans 300"/>
        </w:rPr>
        <w:t>payments</w:t>
      </w:r>
      <w:proofErr w:type="gramEnd"/>
      <w:r w:rsidR="001B7DD9">
        <w:rPr>
          <w:rFonts w:ascii="Museo Sans 300" w:hAnsi="Museo Sans 300"/>
        </w:rPr>
        <w:t xml:space="preserve"> ecosystem. </w:t>
      </w:r>
    </w:p>
    <w:p w14:paraId="5DF7A746" w14:textId="340F3966" w:rsidR="006443C5" w:rsidRPr="00D039C1" w:rsidRDefault="004437EC" w:rsidP="00D039C1">
      <w:pPr>
        <w:spacing w:after="160" w:line="259" w:lineRule="auto"/>
        <w:rPr>
          <w:rFonts w:ascii="Museo Sans 300" w:hAnsi="Museo Sans 300"/>
        </w:rPr>
      </w:pPr>
      <w:r>
        <w:rPr>
          <w:rFonts w:ascii="Museo Sans 300" w:hAnsi="Museo Sans 300"/>
        </w:rPr>
        <w:t>O</w:t>
      </w:r>
      <w:r w:rsidR="00E0430B">
        <w:rPr>
          <w:rFonts w:ascii="Museo Sans 300" w:hAnsi="Museo Sans 300"/>
        </w:rPr>
        <w:t>ur estimates suggest that the failure rate (</w:t>
      </w:r>
      <w:r w:rsidR="002E5470">
        <w:rPr>
          <w:rFonts w:ascii="Museo Sans 300" w:hAnsi="Museo Sans 300"/>
        </w:rPr>
        <w:t xml:space="preserve">which </w:t>
      </w:r>
      <w:r w:rsidR="00E0430B">
        <w:rPr>
          <w:rFonts w:ascii="Museo Sans 300" w:hAnsi="Museo Sans 300"/>
        </w:rPr>
        <w:t>includ</w:t>
      </w:r>
      <w:r w:rsidR="002E5470">
        <w:rPr>
          <w:rFonts w:ascii="Museo Sans 300" w:hAnsi="Museo Sans 300"/>
        </w:rPr>
        <w:t>es</w:t>
      </w:r>
      <w:r w:rsidR="00E0430B">
        <w:rPr>
          <w:rFonts w:ascii="Museo Sans 300" w:hAnsi="Museo Sans 300"/>
        </w:rPr>
        <w:t xml:space="preserve"> both declined transactions and those </w:t>
      </w:r>
      <w:r w:rsidR="005349C3">
        <w:rPr>
          <w:rFonts w:ascii="Museo Sans 300" w:hAnsi="Museo Sans 300"/>
        </w:rPr>
        <w:t>in which</w:t>
      </w:r>
      <w:r w:rsidR="00E0430B">
        <w:rPr>
          <w:rFonts w:ascii="Museo Sans 300" w:hAnsi="Museo Sans 300"/>
        </w:rPr>
        <w:t xml:space="preserve"> a customer drop</w:t>
      </w:r>
      <w:r w:rsidR="004B76E6">
        <w:rPr>
          <w:rFonts w:ascii="Museo Sans 300" w:hAnsi="Museo Sans 300"/>
        </w:rPr>
        <w:t xml:space="preserve">s </w:t>
      </w:r>
      <w:r w:rsidR="00E0430B">
        <w:rPr>
          <w:rFonts w:ascii="Museo Sans 300" w:hAnsi="Museo Sans 300"/>
        </w:rPr>
        <w:t>out of the payment process</w:t>
      </w:r>
      <w:r w:rsidR="009506B9">
        <w:rPr>
          <w:rFonts w:ascii="Museo Sans 300" w:hAnsi="Museo Sans 300"/>
        </w:rPr>
        <w:t xml:space="preserve"> </w:t>
      </w:r>
      <w:r w:rsidR="00184E4E">
        <w:rPr>
          <w:rFonts w:ascii="Museo Sans 300" w:hAnsi="Museo Sans 300"/>
        </w:rPr>
        <w:t xml:space="preserve">following the new </w:t>
      </w:r>
      <w:r w:rsidR="009506B9">
        <w:rPr>
          <w:rFonts w:ascii="Museo Sans 300" w:hAnsi="Museo Sans 300"/>
        </w:rPr>
        <w:t>friction</w:t>
      </w:r>
      <w:r w:rsidR="00E0430B">
        <w:rPr>
          <w:rFonts w:ascii="Museo Sans 300" w:hAnsi="Museo Sans 300"/>
        </w:rPr>
        <w:t>) remained above 24% on a weighted average basis across Europe between January and September 2021</w:t>
      </w:r>
      <w:r w:rsidR="00EA05BB">
        <w:rPr>
          <w:rFonts w:ascii="Museo Sans 300" w:hAnsi="Museo Sans 300"/>
        </w:rPr>
        <w:t xml:space="preserve"> (Figure 2)</w:t>
      </w:r>
      <w:r w:rsidR="00E0430B">
        <w:rPr>
          <w:rFonts w:ascii="Museo Sans 300" w:hAnsi="Museo Sans 300"/>
        </w:rPr>
        <w:t xml:space="preserve">. </w:t>
      </w:r>
      <w:r w:rsidR="007A50E6">
        <w:rPr>
          <w:rFonts w:ascii="Museo Sans 300" w:hAnsi="Museo Sans 300"/>
        </w:rPr>
        <w:t xml:space="preserve">This represented </w:t>
      </w:r>
      <w:r w:rsidR="00184E4E">
        <w:rPr>
          <w:rFonts w:ascii="Museo Sans 300" w:hAnsi="Museo Sans 300"/>
        </w:rPr>
        <w:t>a significant challenge</w:t>
      </w:r>
      <w:r w:rsidR="007A50E6">
        <w:rPr>
          <w:rFonts w:ascii="Museo Sans 300" w:hAnsi="Museo Sans 300"/>
        </w:rPr>
        <w:t xml:space="preserve"> for many merchants, particularly in markets such as Belgium, Italy, and Germany. </w:t>
      </w:r>
      <w:r w:rsidR="00184E4E">
        <w:rPr>
          <w:rFonts w:ascii="Museo Sans 300" w:hAnsi="Museo Sans 300"/>
        </w:rPr>
        <w:t xml:space="preserve">This was </w:t>
      </w:r>
      <w:r w:rsidR="00406164">
        <w:rPr>
          <w:rFonts w:ascii="Museo Sans 300" w:hAnsi="Museo Sans 300"/>
        </w:rPr>
        <w:t xml:space="preserve">observed even in cases where </w:t>
      </w:r>
      <w:r w:rsidR="00184E4E">
        <w:rPr>
          <w:rFonts w:ascii="Museo Sans 300" w:hAnsi="Museo Sans 300"/>
        </w:rPr>
        <w:t xml:space="preserve">National Competent Authorities </w:t>
      </w:r>
      <w:r w:rsidR="00406164">
        <w:rPr>
          <w:rFonts w:ascii="Museo Sans 300" w:hAnsi="Museo Sans 300"/>
        </w:rPr>
        <w:t>recognised the potential impact and delayed SCA implementation.</w:t>
      </w:r>
      <w:r w:rsidR="00184E4E">
        <w:rPr>
          <w:rFonts w:ascii="Museo Sans 300" w:hAnsi="Museo Sans 300"/>
        </w:rPr>
        <w:t xml:space="preserve"> </w:t>
      </w:r>
    </w:p>
    <w:p w14:paraId="74811F76" w14:textId="4E007BA2" w:rsidR="001E0E7C" w:rsidRDefault="00794553" w:rsidP="002B0150">
      <w:pPr>
        <w:rPr>
          <w:rFonts w:ascii="Museo Sans 300" w:hAnsi="Museo Sans 300"/>
        </w:rPr>
      </w:pPr>
      <w:r>
        <w:rPr>
          <w:rFonts w:ascii="Museo Sans 300" w:hAnsi="Museo Sans 300"/>
        </w:rPr>
        <w:lastRenderedPageBreak/>
        <w:t xml:space="preserve"> </w:t>
      </w:r>
      <w:r w:rsidR="00E0430B">
        <w:rPr>
          <w:noProof/>
        </w:rPr>
        <w:drawing>
          <wp:inline distT="0" distB="0" distL="0" distR="0" wp14:anchorId="13D776A9" wp14:editId="21791229">
            <wp:extent cx="6042660" cy="3596640"/>
            <wp:effectExtent l="0" t="0" r="0" b="0"/>
            <wp:docPr id="1" name="Chart 1">
              <a:extLst xmlns:a="http://schemas.openxmlformats.org/drawingml/2006/main">
                <a:ext uri="{FF2B5EF4-FFF2-40B4-BE49-F238E27FC236}">
                  <a16:creationId xmlns:a16="http://schemas.microsoft.com/office/drawing/2014/main" id="{B9DB400C-A817-48C2-947F-5773D63739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C225C0" w14:textId="1B0A415D" w:rsidR="00EA05BB" w:rsidRPr="00920634" w:rsidRDefault="00EA05BB" w:rsidP="00920634">
      <w:pPr>
        <w:jc w:val="center"/>
        <w:rPr>
          <w:rFonts w:ascii="Museo Sans 300" w:hAnsi="Museo Sans 300"/>
          <w:i/>
          <w:iCs/>
        </w:rPr>
      </w:pPr>
      <w:r w:rsidRPr="00920634">
        <w:rPr>
          <w:rFonts w:ascii="Museo Sans 300" w:hAnsi="Museo Sans 300"/>
          <w:i/>
          <w:iCs/>
        </w:rPr>
        <w:t xml:space="preserve">Figure 2. Estimated failure rates on </w:t>
      </w:r>
      <w:r w:rsidR="003C6267" w:rsidRPr="00920634">
        <w:rPr>
          <w:rFonts w:ascii="Museo Sans 300" w:hAnsi="Museo Sans 300"/>
          <w:i/>
          <w:iCs/>
        </w:rPr>
        <w:t>3DS transactions and challenged transactions (</w:t>
      </w:r>
      <w:proofErr w:type="gramStart"/>
      <w:r w:rsidR="003C6267" w:rsidRPr="00920634">
        <w:rPr>
          <w:rFonts w:ascii="Museo Sans 300" w:hAnsi="Museo Sans 300"/>
          <w:i/>
          <w:iCs/>
        </w:rPr>
        <w:t>i.e.</w:t>
      </w:r>
      <w:proofErr w:type="gramEnd"/>
      <w:r w:rsidR="003C6267" w:rsidRPr="00920634">
        <w:rPr>
          <w:rFonts w:ascii="Museo Sans 300" w:hAnsi="Museo Sans 300"/>
          <w:i/>
          <w:iCs/>
        </w:rPr>
        <w:t xml:space="preserve"> those ‘stepped up’ to require two-factor authentication). Source: CMSPI SCA </w:t>
      </w:r>
      <w:r w:rsidR="00CF0AF2" w:rsidRPr="00920634">
        <w:rPr>
          <w:rFonts w:ascii="Museo Sans 300" w:hAnsi="Museo Sans 300"/>
          <w:i/>
          <w:iCs/>
        </w:rPr>
        <w:t>Economic I</w:t>
      </w:r>
      <w:r w:rsidR="003C6267" w:rsidRPr="00920634">
        <w:rPr>
          <w:rFonts w:ascii="Museo Sans 300" w:hAnsi="Museo Sans 300"/>
          <w:i/>
          <w:iCs/>
        </w:rPr>
        <w:t xml:space="preserve">mpact </w:t>
      </w:r>
      <w:r w:rsidR="00CF0AF2" w:rsidRPr="00920634">
        <w:rPr>
          <w:rFonts w:ascii="Museo Sans 300" w:hAnsi="Museo Sans 300"/>
          <w:i/>
          <w:iCs/>
        </w:rPr>
        <w:t>A</w:t>
      </w:r>
      <w:r w:rsidR="003C6267" w:rsidRPr="00920634">
        <w:rPr>
          <w:rFonts w:ascii="Museo Sans 300" w:hAnsi="Museo Sans 300"/>
          <w:i/>
          <w:iCs/>
        </w:rPr>
        <w:t>ssessment.</w:t>
      </w:r>
      <w:r w:rsidR="00CF0AF2" w:rsidRPr="00920634">
        <w:rPr>
          <w:rStyle w:val="FootnoteReference"/>
          <w:rFonts w:ascii="Museo Sans 300" w:hAnsi="Museo Sans 300"/>
          <w:i/>
          <w:iCs/>
        </w:rPr>
        <w:footnoteReference w:id="2"/>
      </w:r>
    </w:p>
    <w:p w14:paraId="57CAD2EA" w14:textId="77777777" w:rsidR="00920634" w:rsidRDefault="00920634" w:rsidP="002B0150">
      <w:pPr>
        <w:rPr>
          <w:rFonts w:ascii="Museo Sans 300" w:hAnsi="Museo Sans 300"/>
        </w:rPr>
      </w:pPr>
    </w:p>
    <w:p w14:paraId="0393C9B3" w14:textId="0B249875" w:rsidR="007A50E6" w:rsidRDefault="007A50E6" w:rsidP="002B0150">
      <w:pPr>
        <w:rPr>
          <w:rFonts w:ascii="Museo Sans 300" w:hAnsi="Museo Sans 300"/>
        </w:rPr>
      </w:pPr>
      <w:r>
        <w:rPr>
          <w:rFonts w:ascii="Museo Sans 300" w:hAnsi="Museo Sans 300"/>
        </w:rPr>
        <w:t xml:space="preserve">From CMSPI’s discussions with the broader industry, </w:t>
      </w:r>
      <w:proofErr w:type="gramStart"/>
      <w:r>
        <w:rPr>
          <w:rFonts w:ascii="Museo Sans 300" w:hAnsi="Museo Sans 300"/>
        </w:rPr>
        <w:t>a number of</w:t>
      </w:r>
      <w:proofErr w:type="gramEnd"/>
      <w:r>
        <w:rPr>
          <w:rFonts w:ascii="Museo Sans 300" w:hAnsi="Museo Sans 300"/>
        </w:rPr>
        <w:t xml:space="preserve"> the </w:t>
      </w:r>
      <w:r w:rsidR="00920634">
        <w:rPr>
          <w:rFonts w:ascii="Museo Sans 300" w:hAnsi="Museo Sans 300"/>
        </w:rPr>
        <w:t>factors contributing to high failure rates</w:t>
      </w:r>
      <w:r>
        <w:rPr>
          <w:rFonts w:ascii="Museo Sans 300" w:hAnsi="Museo Sans 300"/>
        </w:rPr>
        <w:t xml:space="preserve"> </w:t>
      </w:r>
      <w:r w:rsidR="00690707">
        <w:rPr>
          <w:rFonts w:ascii="Museo Sans 300" w:hAnsi="Museo Sans 300"/>
        </w:rPr>
        <w:t>resulted from</w:t>
      </w:r>
      <w:r>
        <w:rPr>
          <w:rFonts w:ascii="Museo Sans 300" w:hAnsi="Museo Sans 300"/>
        </w:rPr>
        <w:t xml:space="preserve"> </w:t>
      </w:r>
      <w:r w:rsidR="000E1E96">
        <w:rPr>
          <w:rFonts w:ascii="Museo Sans 300" w:hAnsi="Museo Sans 300"/>
        </w:rPr>
        <w:t xml:space="preserve">challenges faced by </w:t>
      </w:r>
      <w:r>
        <w:rPr>
          <w:rFonts w:ascii="Museo Sans 300" w:hAnsi="Museo Sans 300"/>
        </w:rPr>
        <w:t xml:space="preserve">the payments supply chain. For example, </w:t>
      </w:r>
      <w:r w:rsidR="000D0BA9">
        <w:rPr>
          <w:rFonts w:ascii="Museo Sans 300" w:hAnsi="Museo Sans 300"/>
        </w:rPr>
        <w:t xml:space="preserve">CMSPI heard reports of </w:t>
      </w:r>
      <w:r>
        <w:rPr>
          <w:rFonts w:ascii="Museo Sans 300" w:hAnsi="Museo Sans 300"/>
        </w:rPr>
        <w:t xml:space="preserve">some issuing banks rejecting TRA exemptions based on their own fraud rate, as opposed to assessing the exemption based on the acquirer’s rate as specified by regulation. </w:t>
      </w:r>
    </w:p>
    <w:p w14:paraId="62EF0F71" w14:textId="083044E3" w:rsidR="007A50E6" w:rsidRDefault="007A50E6" w:rsidP="002B0150">
      <w:pPr>
        <w:rPr>
          <w:rFonts w:ascii="Museo Sans 300" w:hAnsi="Museo Sans 300"/>
        </w:rPr>
      </w:pPr>
    </w:p>
    <w:p w14:paraId="6BFEDDE1" w14:textId="366B5929" w:rsidR="007A50E6" w:rsidRDefault="007A50E6" w:rsidP="002B0150">
      <w:pPr>
        <w:rPr>
          <w:rFonts w:ascii="Museo Sans 300" w:hAnsi="Museo Sans 300"/>
        </w:rPr>
      </w:pPr>
      <w:r>
        <w:rPr>
          <w:rFonts w:ascii="Museo Sans 300" w:hAnsi="Museo Sans 300"/>
        </w:rPr>
        <w:t xml:space="preserve">Merchants in certain verticals also experienced sector-specific challenges. For instance, merchants processing a large volume of Merchant-Initiated Transactions faced lack of clarity around ‘reasonable customer expectations’ of price changes, </w:t>
      </w:r>
      <w:r w:rsidR="00C67B89">
        <w:rPr>
          <w:rFonts w:ascii="Museo Sans 300" w:hAnsi="Museo Sans 300"/>
        </w:rPr>
        <w:t xml:space="preserve">as well as </w:t>
      </w:r>
      <w:r>
        <w:rPr>
          <w:rFonts w:ascii="Museo Sans 300" w:hAnsi="Museo Sans 300"/>
        </w:rPr>
        <w:t xml:space="preserve">the application of the Grandfathering Provision </w:t>
      </w:r>
      <w:r w:rsidR="00100379">
        <w:rPr>
          <w:rFonts w:ascii="Museo Sans 300" w:hAnsi="Museo Sans 300"/>
        </w:rPr>
        <w:t xml:space="preserve">in countries where SCA was implemented gradually for different transaction </w:t>
      </w:r>
      <w:r w:rsidR="00D3509B">
        <w:rPr>
          <w:rFonts w:ascii="Museo Sans 300" w:hAnsi="Museo Sans 300"/>
        </w:rPr>
        <w:t>thresholds</w:t>
      </w:r>
      <w:r w:rsidR="00100379">
        <w:rPr>
          <w:rFonts w:ascii="Museo Sans 300" w:hAnsi="Museo Sans 300"/>
        </w:rPr>
        <w:t>.</w:t>
      </w:r>
      <w:r w:rsidR="00AC3C9D">
        <w:rPr>
          <w:rFonts w:ascii="Museo Sans 300" w:hAnsi="Museo Sans 300"/>
        </w:rPr>
        <w:t xml:space="preserve"> These challenges are outlined in more detail in CMSPI’s MIT report.</w:t>
      </w:r>
      <w:r w:rsidR="00100379">
        <w:rPr>
          <w:rStyle w:val="FootnoteReference"/>
          <w:rFonts w:ascii="Museo Sans 300" w:hAnsi="Museo Sans 300"/>
        </w:rPr>
        <w:footnoteReference w:id="3"/>
      </w:r>
    </w:p>
    <w:p w14:paraId="3EAC90EC" w14:textId="77777777" w:rsidR="007A50E6" w:rsidRDefault="007A50E6" w:rsidP="002B0150">
      <w:pPr>
        <w:rPr>
          <w:rFonts w:ascii="Museo Sans 300" w:hAnsi="Museo Sans 300"/>
        </w:rPr>
      </w:pPr>
    </w:p>
    <w:p w14:paraId="3ECF5BFB" w14:textId="6513C610" w:rsidR="007A50E6" w:rsidRDefault="00100379" w:rsidP="002B0150">
      <w:pPr>
        <w:rPr>
          <w:rFonts w:ascii="Museo Sans 300" w:hAnsi="Museo Sans 300"/>
        </w:rPr>
      </w:pPr>
      <w:r>
        <w:rPr>
          <w:rFonts w:ascii="Museo Sans 300" w:hAnsi="Museo Sans 300"/>
        </w:rPr>
        <w:t xml:space="preserve">Whilst a certain level of friction is to be expected with any new regulation, today merchants are still facing difficulties in </w:t>
      </w:r>
      <w:r w:rsidR="0073097C">
        <w:rPr>
          <w:rFonts w:ascii="Museo Sans 300" w:hAnsi="Museo Sans 300"/>
        </w:rPr>
        <w:t>minimising</w:t>
      </w:r>
      <w:r w:rsidR="00CF784A">
        <w:rPr>
          <w:rFonts w:ascii="Museo Sans 300" w:hAnsi="Museo Sans 300"/>
        </w:rPr>
        <w:t xml:space="preserve"> t</w:t>
      </w:r>
      <w:r>
        <w:rPr>
          <w:rFonts w:ascii="Museo Sans 300" w:hAnsi="Museo Sans 300"/>
        </w:rPr>
        <w:t xml:space="preserve">he </w:t>
      </w:r>
      <w:r w:rsidR="00CF784A">
        <w:rPr>
          <w:rFonts w:ascii="Museo Sans 300" w:hAnsi="Museo Sans 300"/>
        </w:rPr>
        <w:t xml:space="preserve">friction associated with SCA </w:t>
      </w:r>
      <w:r w:rsidR="008827FE">
        <w:rPr>
          <w:rFonts w:ascii="Museo Sans 300" w:hAnsi="Museo Sans 300"/>
        </w:rPr>
        <w:t xml:space="preserve">– </w:t>
      </w:r>
      <w:proofErr w:type="gramStart"/>
      <w:r w:rsidR="008827FE">
        <w:rPr>
          <w:rFonts w:ascii="Museo Sans 300" w:hAnsi="Museo Sans 300"/>
        </w:rPr>
        <w:t>in particular through</w:t>
      </w:r>
      <w:proofErr w:type="gramEnd"/>
      <w:r w:rsidR="008827FE">
        <w:rPr>
          <w:rFonts w:ascii="Museo Sans 300" w:hAnsi="Museo Sans 300"/>
        </w:rPr>
        <w:t xml:space="preserve"> the </w:t>
      </w:r>
      <w:r w:rsidR="00281747">
        <w:rPr>
          <w:rFonts w:ascii="Museo Sans 300" w:hAnsi="Museo Sans 300"/>
        </w:rPr>
        <w:lastRenderedPageBreak/>
        <w:t xml:space="preserve">application </w:t>
      </w:r>
      <w:r w:rsidR="008827FE">
        <w:rPr>
          <w:rFonts w:ascii="Museo Sans 300" w:hAnsi="Museo Sans 300"/>
        </w:rPr>
        <w:t xml:space="preserve">of exemptions intended to facilitate transactions with a lower fraud risk. </w:t>
      </w:r>
      <w:r w:rsidR="00B359A3">
        <w:rPr>
          <w:rFonts w:ascii="Museo Sans 300" w:hAnsi="Museo Sans 300"/>
        </w:rPr>
        <w:t xml:space="preserve">Recent data from the EHI </w:t>
      </w:r>
      <w:r w:rsidR="00D17A8A">
        <w:rPr>
          <w:rFonts w:ascii="Museo Sans 300" w:hAnsi="Museo Sans 300"/>
        </w:rPr>
        <w:t>Retail I</w:t>
      </w:r>
      <w:r w:rsidR="00B359A3">
        <w:rPr>
          <w:rFonts w:ascii="Museo Sans 300" w:hAnsi="Museo Sans 300"/>
        </w:rPr>
        <w:t xml:space="preserve">nstitute suggests that </w:t>
      </w:r>
      <w:r w:rsidR="00693917">
        <w:rPr>
          <w:rFonts w:ascii="Museo Sans 300" w:hAnsi="Museo Sans 300"/>
        </w:rPr>
        <w:t>of the top online retailers in Germany,</w:t>
      </w:r>
      <w:r w:rsidR="00A84251">
        <w:rPr>
          <w:rFonts w:ascii="Museo Sans 300" w:hAnsi="Museo Sans 300"/>
        </w:rPr>
        <w:t xml:space="preserve"> just 9% use exemptions or otherwise bypass two-factor authentication.</w:t>
      </w:r>
      <w:r w:rsidR="00A84251">
        <w:rPr>
          <w:rStyle w:val="FootnoteReference"/>
          <w:rFonts w:ascii="Museo Sans 300" w:hAnsi="Museo Sans 300"/>
        </w:rPr>
        <w:footnoteReference w:id="4"/>
      </w:r>
      <w:r w:rsidR="00A84251">
        <w:rPr>
          <w:rFonts w:ascii="Museo Sans 300" w:hAnsi="Museo Sans 300"/>
        </w:rPr>
        <w:t xml:space="preserve"> If the current SCA requirements stay in place, m</w:t>
      </w:r>
      <w:r w:rsidR="00DD7A27">
        <w:rPr>
          <w:rFonts w:ascii="Museo Sans 300" w:hAnsi="Museo Sans 300"/>
        </w:rPr>
        <w:t>erchants (especially small and medium-sized business who may lack the resource</w:t>
      </w:r>
      <w:r w:rsidR="00BD6B8F">
        <w:rPr>
          <w:rFonts w:ascii="Museo Sans 300" w:hAnsi="Museo Sans 300"/>
        </w:rPr>
        <w:t>s</w:t>
      </w:r>
      <w:r w:rsidR="00DD7A27">
        <w:rPr>
          <w:rFonts w:ascii="Museo Sans 300" w:hAnsi="Museo Sans 300"/>
        </w:rPr>
        <w:t xml:space="preserve"> </w:t>
      </w:r>
      <w:r w:rsidR="001E0C1D">
        <w:rPr>
          <w:rFonts w:ascii="Museo Sans 300" w:hAnsi="Museo Sans 300"/>
        </w:rPr>
        <w:t>or expertise to conduct the necessary analysis)</w:t>
      </w:r>
      <w:r w:rsidR="00DD7A27">
        <w:rPr>
          <w:rFonts w:ascii="Museo Sans 300" w:hAnsi="Museo Sans 300"/>
        </w:rPr>
        <w:t xml:space="preserve"> would benefit from additional clarity and support in accessing exemption options. </w:t>
      </w:r>
    </w:p>
    <w:p w14:paraId="3DD51864" w14:textId="77777777" w:rsidR="00DD7A27" w:rsidRDefault="00DD7A27" w:rsidP="002B0150">
      <w:pPr>
        <w:rPr>
          <w:rFonts w:ascii="Museo Sans 300" w:hAnsi="Museo Sans 300"/>
        </w:rPr>
      </w:pPr>
    </w:p>
    <w:p w14:paraId="56ECAE22" w14:textId="287EF447" w:rsidR="007A50E6" w:rsidRDefault="007A50E6" w:rsidP="00AF0906">
      <w:pPr>
        <w:pStyle w:val="Heading2"/>
      </w:pPr>
      <w:r>
        <w:t>Fees</w:t>
      </w:r>
      <w:r w:rsidR="00705129">
        <w:t xml:space="preserve"> for SCA</w:t>
      </w:r>
      <w:r w:rsidR="00EE24E8">
        <w:t xml:space="preserve"> Compliance</w:t>
      </w:r>
    </w:p>
    <w:p w14:paraId="5DD08FB9" w14:textId="4E7EEE1C" w:rsidR="00DD7A27" w:rsidRDefault="00DD7A27" w:rsidP="002B0150">
      <w:pPr>
        <w:rPr>
          <w:rFonts w:ascii="Museo Sans 300" w:hAnsi="Museo Sans 300"/>
        </w:rPr>
      </w:pPr>
    </w:p>
    <w:p w14:paraId="07198D72" w14:textId="3BCC2C99" w:rsidR="00DE6505" w:rsidRDefault="00DD7A27" w:rsidP="002B0150">
      <w:pPr>
        <w:rPr>
          <w:rFonts w:ascii="Museo Sans 300" w:hAnsi="Museo Sans 300"/>
        </w:rPr>
      </w:pPr>
      <w:r>
        <w:rPr>
          <w:rFonts w:ascii="Museo Sans 300" w:hAnsi="Museo Sans 300"/>
        </w:rPr>
        <w:t>Another factor increasing the difficult</w:t>
      </w:r>
      <w:r w:rsidR="00816B8E">
        <w:rPr>
          <w:rFonts w:ascii="Museo Sans 300" w:hAnsi="Museo Sans 300"/>
        </w:rPr>
        <w:t>y</w:t>
      </w:r>
      <w:r>
        <w:rPr>
          <w:rFonts w:ascii="Museo Sans 300" w:hAnsi="Museo Sans 300"/>
        </w:rPr>
        <w:t xml:space="preserve"> merchant</w:t>
      </w:r>
      <w:r w:rsidR="00816B8E">
        <w:rPr>
          <w:rFonts w:ascii="Museo Sans 300" w:hAnsi="Museo Sans 300"/>
        </w:rPr>
        <w:t xml:space="preserve">s </w:t>
      </w:r>
      <w:r>
        <w:rPr>
          <w:rFonts w:ascii="Museo Sans 300" w:hAnsi="Museo Sans 300"/>
        </w:rPr>
        <w:t xml:space="preserve">face following the introduction of SCA is the various fees </w:t>
      </w:r>
      <w:r w:rsidR="00816B8E">
        <w:rPr>
          <w:rFonts w:ascii="Museo Sans 300" w:hAnsi="Museo Sans 300"/>
        </w:rPr>
        <w:t xml:space="preserve">now </w:t>
      </w:r>
      <w:r w:rsidR="003229E8">
        <w:rPr>
          <w:rFonts w:ascii="Museo Sans 300" w:hAnsi="Museo Sans 300"/>
        </w:rPr>
        <w:t>charged for compliance. CMSPI has observed the introduction of</w:t>
      </w:r>
      <w:r w:rsidR="00E06C07">
        <w:rPr>
          <w:rFonts w:ascii="Museo Sans 300" w:hAnsi="Museo Sans 300"/>
        </w:rPr>
        <w:t xml:space="preserve"> charges</w:t>
      </w:r>
      <w:r w:rsidR="003229E8">
        <w:rPr>
          <w:rFonts w:ascii="Museo Sans 300" w:hAnsi="Museo Sans 300"/>
        </w:rPr>
        <w:t xml:space="preserve"> for the use of 3DS technology, </w:t>
      </w:r>
      <w:r w:rsidR="003D0635">
        <w:rPr>
          <w:rFonts w:ascii="Museo Sans 300" w:hAnsi="Museo Sans 300"/>
        </w:rPr>
        <w:t xml:space="preserve">as well as fees for exemption usage (including </w:t>
      </w:r>
      <w:r w:rsidR="00F772AF">
        <w:rPr>
          <w:rFonts w:ascii="Museo Sans 300" w:hAnsi="Museo Sans 300"/>
        </w:rPr>
        <w:t xml:space="preserve">explicit exemption fees, as well as those </w:t>
      </w:r>
      <w:r w:rsidR="003D0635">
        <w:rPr>
          <w:rFonts w:ascii="Museo Sans 300" w:hAnsi="Museo Sans 300"/>
        </w:rPr>
        <w:t>for the use of Address Verification and CVC data</w:t>
      </w:r>
      <w:r w:rsidR="000A16E0">
        <w:rPr>
          <w:rFonts w:ascii="Museo Sans 300" w:hAnsi="Museo Sans 300"/>
        </w:rPr>
        <w:t>, which merchants may use</w:t>
      </w:r>
      <w:r w:rsidR="00963960">
        <w:rPr>
          <w:rFonts w:ascii="Museo Sans 300" w:hAnsi="Museo Sans 300"/>
        </w:rPr>
        <w:t xml:space="preserve"> to minimise fraud risk on non-3DS transactions)</w:t>
      </w:r>
      <w:r w:rsidR="003D0635">
        <w:rPr>
          <w:rFonts w:ascii="Museo Sans 300" w:hAnsi="Museo Sans 300"/>
        </w:rPr>
        <w:t xml:space="preserve">, and fees for declined transactions. </w:t>
      </w:r>
      <w:r w:rsidR="00FE26BC">
        <w:rPr>
          <w:rFonts w:ascii="Museo Sans 300" w:hAnsi="Museo Sans 300"/>
        </w:rPr>
        <w:t xml:space="preserve">We have also </w:t>
      </w:r>
      <w:r w:rsidR="00A8093E">
        <w:rPr>
          <w:rFonts w:ascii="Museo Sans 300" w:hAnsi="Museo Sans 300"/>
        </w:rPr>
        <w:t>seen</w:t>
      </w:r>
      <w:r w:rsidR="00FE26BC">
        <w:rPr>
          <w:rFonts w:ascii="Museo Sans 300" w:hAnsi="Museo Sans 300"/>
        </w:rPr>
        <w:t xml:space="preserve"> fees </w:t>
      </w:r>
      <w:r w:rsidR="004E05DC">
        <w:rPr>
          <w:rFonts w:ascii="Museo Sans 300" w:hAnsi="Museo Sans 300"/>
        </w:rPr>
        <w:t>introduced for</w:t>
      </w:r>
      <w:r w:rsidR="00FE26BC">
        <w:rPr>
          <w:rFonts w:ascii="Museo Sans 300" w:hAnsi="Museo Sans 300"/>
        </w:rPr>
        <w:t xml:space="preserve"> when a minimum threshold of transactions going through 3DS is not met.</w:t>
      </w:r>
      <w:r w:rsidR="00925694">
        <w:rPr>
          <w:rStyle w:val="FootnoteReference"/>
          <w:rFonts w:ascii="Museo Sans 300" w:hAnsi="Museo Sans 300"/>
        </w:rPr>
        <w:footnoteReference w:id="5"/>
      </w:r>
      <w:r w:rsidR="00FE26BC">
        <w:rPr>
          <w:rFonts w:ascii="Museo Sans 300" w:hAnsi="Museo Sans 300"/>
        </w:rPr>
        <w:t xml:space="preserve"> </w:t>
      </w:r>
      <w:r w:rsidR="00DE6505">
        <w:rPr>
          <w:rFonts w:ascii="Museo Sans 300" w:hAnsi="Museo Sans 300"/>
        </w:rPr>
        <w:t>Merchants have raised concerns that</w:t>
      </w:r>
      <w:r w:rsidR="00F92ABA">
        <w:rPr>
          <w:rFonts w:ascii="Museo Sans 300" w:hAnsi="Museo Sans 300"/>
        </w:rPr>
        <w:t>,</w:t>
      </w:r>
      <w:r w:rsidR="00DE6505">
        <w:rPr>
          <w:rFonts w:ascii="Museo Sans 300" w:hAnsi="Museo Sans 300"/>
        </w:rPr>
        <w:t xml:space="preserve"> </w:t>
      </w:r>
      <w:r w:rsidR="002A16FB">
        <w:rPr>
          <w:rFonts w:ascii="Museo Sans 300" w:hAnsi="Museo Sans 300"/>
        </w:rPr>
        <w:t>wh</w:t>
      </w:r>
      <w:r w:rsidR="00486077">
        <w:rPr>
          <w:rFonts w:ascii="Museo Sans 300" w:hAnsi="Museo Sans 300"/>
        </w:rPr>
        <w:t>ile</w:t>
      </w:r>
      <w:r w:rsidR="002A16FB">
        <w:rPr>
          <w:rFonts w:ascii="Museo Sans 300" w:hAnsi="Museo Sans 300"/>
        </w:rPr>
        <w:t xml:space="preserve"> there may be initial sunk costs for the creation of these technologies, </w:t>
      </w:r>
      <w:r w:rsidR="00BF734A">
        <w:rPr>
          <w:rFonts w:ascii="Museo Sans 300" w:hAnsi="Museo Sans 300"/>
        </w:rPr>
        <w:t xml:space="preserve">ongoing per-transaction fees can continue indefinitely given </w:t>
      </w:r>
      <w:r w:rsidR="00D6610D">
        <w:rPr>
          <w:rFonts w:ascii="Museo Sans 300" w:hAnsi="Museo Sans 300"/>
        </w:rPr>
        <w:t>enforced merchant dependenc</w:t>
      </w:r>
      <w:r w:rsidR="00486077">
        <w:rPr>
          <w:rFonts w:ascii="Museo Sans 300" w:hAnsi="Museo Sans 300"/>
        </w:rPr>
        <w:t>e,</w:t>
      </w:r>
      <w:r w:rsidR="000A400B">
        <w:rPr>
          <w:rFonts w:ascii="Museo Sans 300" w:hAnsi="Museo Sans 300"/>
        </w:rPr>
        <w:t xml:space="preserve"> highlighting broader </w:t>
      </w:r>
      <w:r w:rsidR="00486077">
        <w:rPr>
          <w:rFonts w:ascii="Museo Sans 300" w:hAnsi="Museo Sans 300"/>
        </w:rPr>
        <w:t>concerns around competition in the industry.</w:t>
      </w:r>
    </w:p>
    <w:p w14:paraId="056047EA" w14:textId="77777777" w:rsidR="00DE6505" w:rsidRDefault="00DE6505" w:rsidP="002B0150">
      <w:pPr>
        <w:rPr>
          <w:rFonts w:ascii="Museo Sans 300" w:hAnsi="Museo Sans 300"/>
        </w:rPr>
      </w:pPr>
    </w:p>
    <w:p w14:paraId="76817DE3" w14:textId="3AE59F9F" w:rsidR="00DD7A27" w:rsidRDefault="00963960" w:rsidP="002B0150">
      <w:pPr>
        <w:rPr>
          <w:rFonts w:ascii="Museo Sans 300" w:hAnsi="Museo Sans 300"/>
        </w:rPr>
      </w:pPr>
      <w:r>
        <w:rPr>
          <w:rFonts w:ascii="Museo Sans 300" w:hAnsi="Museo Sans 300"/>
        </w:rPr>
        <w:t xml:space="preserve">The result has been that many merchants now face </w:t>
      </w:r>
      <w:r w:rsidR="00FE26BC">
        <w:rPr>
          <w:rFonts w:ascii="Museo Sans 300" w:hAnsi="Museo Sans 300"/>
        </w:rPr>
        <w:t xml:space="preserve">unavoidable, </w:t>
      </w:r>
      <w:r>
        <w:rPr>
          <w:rFonts w:ascii="Museo Sans 300" w:hAnsi="Museo Sans 300"/>
        </w:rPr>
        <w:t xml:space="preserve">additional costs regardless of </w:t>
      </w:r>
      <w:r w:rsidR="00FE26BC">
        <w:rPr>
          <w:rFonts w:ascii="Museo Sans 300" w:hAnsi="Museo Sans 300"/>
        </w:rPr>
        <w:t>which SCA strategy they choose.</w:t>
      </w:r>
      <w:r>
        <w:rPr>
          <w:rFonts w:ascii="Museo Sans 300" w:hAnsi="Museo Sans 300"/>
        </w:rPr>
        <w:t xml:space="preserve"> </w:t>
      </w:r>
      <w:r w:rsidR="00FE26BC">
        <w:rPr>
          <w:rFonts w:ascii="Museo Sans 300" w:hAnsi="Museo Sans 300"/>
        </w:rPr>
        <w:t>These act to increase the cost of</w:t>
      </w:r>
      <w:r w:rsidR="00F50D82">
        <w:rPr>
          <w:rFonts w:ascii="Museo Sans 300" w:hAnsi="Museo Sans 300"/>
        </w:rPr>
        <w:t xml:space="preserve"> payments acceptance online</w:t>
      </w:r>
      <w:r w:rsidR="00691B8C">
        <w:rPr>
          <w:rFonts w:ascii="Museo Sans 300" w:hAnsi="Museo Sans 300"/>
        </w:rPr>
        <w:t xml:space="preserve">, </w:t>
      </w:r>
      <w:r w:rsidR="002B3951">
        <w:rPr>
          <w:rFonts w:ascii="Museo Sans 300" w:hAnsi="Museo Sans 300"/>
        </w:rPr>
        <w:t>and</w:t>
      </w:r>
      <w:r w:rsidR="00691B8C">
        <w:rPr>
          <w:rFonts w:ascii="Museo Sans 300" w:hAnsi="Museo Sans 300"/>
        </w:rPr>
        <w:t xml:space="preserve"> regularly alter the business case for different strategies</w:t>
      </w:r>
      <w:r w:rsidR="002B3951">
        <w:rPr>
          <w:rFonts w:ascii="Museo Sans 300" w:hAnsi="Museo Sans 300"/>
        </w:rPr>
        <w:t xml:space="preserve"> when a new fee is introduced</w:t>
      </w:r>
      <w:r w:rsidR="00691B8C">
        <w:rPr>
          <w:rFonts w:ascii="Museo Sans 300" w:hAnsi="Museo Sans 300"/>
        </w:rPr>
        <w:t>.</w:t>
      </w:r>
      <w:r w:rsidR="006548FD">
        <w:rPr>
          <w:rFonts w:ascii="Museo Sans 300" w:hAnsi="Museo Sans 300"/>
        </w:rPr>
        <w:t xml:space="preserve"> These changes are often not communicated clearly or in advance, and merchants often lack the expertise </w:t>
      </w:r>
      <w:r w:rsidR="009A68A9">
        <w:rPr>
          <w:rFonts w:ascii="Museo Sans 300" w:hAnsi="Museo Sans 300"/>
        </w:rPr>
        <w:t>or resource</w:t>
      </w:r>
      <w:r w:rsidR="00DA19E2">
        <w:rPr>
          <w:rFonts w:ascii="Museo Sans 300" w:hAnsi="Museo Sans 300"/>
        </w:rPr>
        <w:t>s</w:t>
      </w:r>
      <w:r w:rsidR="009A68A9">
        <w:rPr>
          <w:rFonts w:ascii="Museo Sans 300" w:hAnsi="Museo Sans 300"/>
        </w:rPr>
        <w:t xml:space="preserve"> to understand the impact they will have on their cost base at a time of record inflation across the Eurozone. </w:t>
      </w:r>
      <w:r w:rsidR="00691B8C">
        <w:rPr>
          <w:rFonts w:ascii="Museo Sans 300" w:hAnsi="Museo Sans 300"/>
        </w:rPr>
        <w:t xml:space="preserve"> </w:t>
      </w:r>
    </w:p>
    <w:p w14:paraId="568ABF09" w14:textId="77777777" w:rsidR="00F50D82" w:rsidRDefault="00F50D82" w:rsidP="002B0150">
      <w:pPr>
        <w:rPr>
          <w:rFonts w:ascii="Museo Sans 300" w:hAnsi="Museo Sans 300"/>
        </w:rPr>
      </w:pPr>
    </w:p>
    <w:p w14:paraId="63405183" w14:textId="7C9B0A36" w:rsidR="00100379" w:rsidRDefault="00100379" w:rsidP="00AF0906">
      <w:pPr>
        <w:pStyle w:val="Heading2"/>
      </w:pPr>
      <w:r>
        <w:t>Fraud</w:t>
      </w:r>
    </w:p>
    <w:p w14:paraId="62E3A74F" w14:textId="77777777" w:rsidR="00AF0906" w:rsidRDefault="00AF0906" w:rsidP="002B0150">
      <w:pPr>
        <w:rPr>
          <w:rFonts w:ascii="Museo Sans 300" w:hAnsi="Museo Sans 300"/>
        </w:rPr>
      </w:pPr>
    </w:p>
    <w:p w14:paraId="45035EAB" w14:textId="18DDD7FE" w:rsidR="00050B50" w:rsidRDefault="00050B50" w:rsidP="002B0150">
      <w:pPr>
        <w:rPr>
          <w:rFonts w:ascii="Museo Sans 300" w:hAnsi="Museo Sans 300"/>
        </w:rPr>
      </w:pPr>
      <w:r>
        <w:rPr>
          <w:rFonts w:ascii="Museo Sans 300" w:hAnsi="Museo Sans 300"/>
        </w:rPr>
        <w:t xml:space="preserve">Finally, the main aim of SCA requirements </w:t>
      </w:r>
      <w:r w:rsidR="00D33588">
        <w:rPr>
          <w:rFonts w:ascii="Museo Sans 300" w:hAnsi="Museo Sans 300"/>
        </w:rPr>
        <w:t>wa</w:t>
      </w:r>
      <w:r>
        <w:rPr>
          <w:rFonts w:ascii="Museo Sans 300" w:hAnsi="Museo Sans 300"/>
        </w:rPr>
        <w:t>s to increase the security of online transactions for consumers</w:t>
      </w:r>
      <w:r w:rsidR="008B24DC">
        <w:rPr>
          <w:rFonts w:ascii="Museo Sans 300" w:hAnsi="Museo Sans 300"/>
        </w:rPr>
        <w:t>,</w:t>
      </w:r>
      <w:r>
        <w:rPr>
          <w:rFonts w:ascii="Museo Sans 300" w:hAnsi="Museo Sans 300"/>
        </w:rPr>
        <w:t xml:space="preserve"> as specified in </w:t>
      </w:r>
      <w:r w:rsidR="008B24DC">
        <w:rPr>
          <w:rFonts w:ascii="Museo Sans 300" w:hAnsi="Museo Sans 300"/>
        </w:rPr>
        <w:t xml:space="preserve">the </w:t>
      </w:r>
      <w:r>
        <w:rPr>
          <w:rFonts w:ascii="Museo Sans 300" w:hAnsi="Museo Sans 300"/>
        </w:rPr>
        <w:t>PSD2</w:t>
      </w:r>
      <w:r w:rsidR="008B24DC">
        <w:rPr>
          <w:rFonts w:ascii="Museo Sans 300" w:hAnsi="Museo Sans 300"/>
        </w:rPr>
        <w:t xml:space="preserve"> regulation</w:t>
      </w:r>
      <w:r>
        <w:rPr>
          <w:rFonts w:ascii="Museo Sans 300" w:hAnsi="Museo Sans 300"/>
        </w:rPr>
        <w:t xml:space="preserve">. In its work, CMSPI has not observed a material </w:t>
      </w:r>
      <w:r w:rsidR="006813B0">
        <w:rPr>
          <w:rFonts w:ascii="Museo Sans 300" w:hAnsi="Museo Sans 300"/>
        </w:rPr>
        <w:t>reduction in merchant</w:t>
      </w:r>
      <w:r>
        <w:rPr>
          <w:rFonts w:ascii="Museo Sans 300" w:hAnsi="Museo Sans 300"/>
        </w:rPr>
        <w:t xml:space="preserve"> fraud levels </w:t>
      </w:r>
      <w:r w:rsidR="00DD5785">
        <w:rPr>
          <w:rFonts w:ascii="Museo Sans 300" w:hAnsi="Museo Sans 300"/>
        </w:rPr>
        <w:t>since the introduction of SCA</w:t>
      </w:r>
      <w:r w:rsidR="006F0C36">
        <w:rPr>
          <w:rFonts w:ascii="Museo Sans 300" w:hAnsi="Museo Sans 300"/>
        </w:rPr>
        <w:t xml:space="preserve"> despite significant increases in merchant fraud prevention expenditure (see Figure 1).</w:t>
      </w:r>
      <w:r w:rsidR="00DD5785">
        <w:rPr>
          <w:rFonts w:ascii="Museo Sans 300" w:hAnsi="Museo Sans 300"/>
        </w:rPr>
        <w:t xml:space="preserve"> Whilst we have heard reports of fraud </w:t>
      </w:r>
      <w:r w:rsidR="00AA7080">
        <w:rPr>
          <w:rFonts w:ascii="Museo Sans 300" w:hAnsi="Museo Sans 300"/>
        </w:rPr>
        <w:t>improvements</w:t>
      </w:r>
      <w:r w:rsidR="00DD5785">
        <w:rPr>
          <w:rFonts w:ascii="Museo Sans 300" w:hAnsi="Museo Sans 300"/>
        </w:rPr>
        <w:t xml:space="preserve"> for specific local </w:t>
      </w:r>
      <w:r w:rsidR="00D50D0F">
        <w:rPr>
          <w:rFonts w:ascii="Museo Sans 300" w:hAnsi="Museo Sans 300"/>
        </w:rPr>
        <w:t xml:space="preserve">card </w:t>
      </w:r>
      <w:r w:rsidR="00DD5785">
        <w:rPr>
          <w:rFonts w:ascii="Museo Sans 300" w:hAnsi="Museo Sans 300"/>
        </w:rPr>
        <w:t xml:space="preserve">schemes, </w:t>
      </w:r>
      <w:r w:rsidR="00DD1DC5">
        <w:rPr>
          <w:rFonts w:ascii="Museo Sans 300" w:hAnsi="Museo Sans 300"/>
        </w:rPr>
        <w:t>there is a concern amongst merchants that SCA has increased the cost of doing business online</w:t>
      </w:r>
      <w:r w:rsidR="00AF0906">
        <w:rPr>
          <w:rFonts w:ascii="Museo Sans 300" w:hAnsi="Museo Sans 300"/>
        </w:rPr>
        <w:t xml:space="preserve"> </w:t>
      </w:r>
      <w:r w:rsidR="00E60CBF">
        <w:rPr>
          <w:rFonts w:ascii="Museo Sans 300" w:hAnsi="Museo Sans 300"/>
        </w:rPr>
        <w:t>without</w:t>
      </w:r>
      <w:r w:rsidR="00FE1A5A">
        <w:rPr>
          <w:rFonts w:ascii="Museo Sans 300" w:hAnsi="Museo Sans 300"/>
        </w:rPr>
        <w:t xml:space="preserve"> improving the customer shopping experience</w:t>
      </w:r>
      <w:r w:rsidR="00764EE6">
        <w:rPr>
          <w:rFonts w:ascii="Museo Sans 300" w:hAnsi="Museo Sans 300"/>
        </w:rPr>
        <w:t xml:space="preserve"> or</w:t>
      </w:r>
      <w:r w:rsidR="00E60CBF">
        <w:rPr>
          <w:rFonts w:ascii="Museo Sans 300" w:hAnsi="Museo Sans 300"/>
        </w:rPr>
        <w:t xml:space="preserve"> mitigating the required </w:t>
      </w:r>
      <w:r w:rsidR="00AF0906">
        <w:rPr>
          <w:rFonts w:ascii="Museo Sans 300" w:hAnsi="Museo Sans 300"/>
        </w:rPr>
        <w:t xml:space="preserve">investment in their own fraud prevention strategies. </w:t>
      </w:r>
    </w:p>
    <w:p w14:paraId="3F9F4D8F" w14:textId="0FB2C119" w:rsidR="00050B50" w:rsidRDefault="00050B50" w:rsidP="00050B50">
      <w:pPr>
        <w:rPr>
          <w:rFonts w:ascii="Museo Sans 300" w:hAnsi="Museo Sans 300"/>
        </w:rPr>
      </w:pPr>
    </w:p>
    <w:p w14:paraId="2AF6B608" w14:textId="5A0B7793" w:rsidR="00AF0906" w:rsidRDefault="00AF0906" w:rsidP="00AF0906">
      <w:pPr>
        <w:pStyle w:val="ListParagraph"/>
        <w:numPr>
          <w:ilvl w:val="0"/>
          <w:numId w:val="21"/>
        </w:numPr>
        <w:spacing w:after="160" w:line="259" w:lineRule="auto"/>
        <w:rPr>
          <w:rFonts w:ascii="Museo Sans 700" w:hAnsi="Museo Sans 700"/>
          <w:color w:val="07545C"/>
          <w:sz w:val="24"/>
          <w:szCs w:val="24"/>
        </w:rPr>
      </w:pPr>
      <w:r w:rsidRPr="68684C7C">
        <w:rPr>
          <w:rFonts w:ascii="Museo Sans 700" w:hAnsi="Museo Sans 700"/>
          <w:color w:val="004F5F" w:themeColor="accent3"/>
          <w:sz w:val="24"/>
          <w:szCs w:val="24"/>
        </w:rPr>
        <w:t>Surcharging</w:t>
      </w:r>
    </w:p>
    <w:p w14:paraId="14A97F0B" w14:textId="43B064FC" w:rsidR="68684C7C" w:rsidRDefault="001B2E90" w:rsidP="008649DD">
      <w:pPr>
        <w:pStyle w:val="Heading2"/>
      </w:pPr>
      <w:r>
        <w:lastRenderedPageBreak/>
        <w:t>Overview of Surcharging</w:t>
      </w:r>
    </w:p>
    <w:p w14:paraId="4F8C8368" w14:textId="4725DE9F" w:rsidR="68684C7C" w:rsidRDefault="00121AE4" w:rsidP="15E4423C">
      <w:pPr>
        <w:spacing w:after="160" w:line="259" w:lineRule="auto"/>
      </w:pPr>
      <w:r>
        <w:rPr>
          <w:rFonts w:ascii="Museo Sans 300" w:eastAsia="Museo Sans 300" w:hAnsi="Museo Sans 300" w:cs="Museo Sans 300"/>
        </w:rPr>
        <w:t xml:space="preserve">In the PSD2, the Commission notes that </w:t>
      </w:r>
      <w:r w:rsidR="00AF1E61">
        <w:rPr>
          <w:rFonts w:ascii="Museo Sans 300" w:eastAsia="Museo Sans 300" w:hAnsi="Museo Sans 300" w:cs="Museo Sans 300"/>
        </w:rPr>
        <w:t>different national practices had led to heterogeneity in surcharging practices</w:t>
      </w:r>
      <w:r w:rsidR="00E16B16">
        <w:rPr>
          <w:rFonts w:ascii="Museo Sans 300" w:eastAsia="Museo Sans 300" w:hAnsi="Museo Sans 300" w:cs="Museo Sans 300"/>
        </w:rPr>
        <w:t xml:space="preserve"> across the EU. There were </w:t>
      </w:r>
      <w:r w:rsidR="00797B73">
        <w:rPr>
          <w:rFonts w:ascii="Museo Sans 300" w:eastAsia="Museo Sans 300" w:hAnsi="Museo Sans 300" w:cs="Museo Sans 300"/>
        </w:rPr>
        <w:t xml:space="preserve">also concerns around surcharges </w:t>
      </w:r>
      <w:r w:rsidR="0041343F">
        <w:rPr>
          <w:rFonts w:ascii="Museo Sans 300" w:eastAsia="Museo Sans 300" w:hAnsi="Museo Sans 300" w:cs="Museo Sans 300"/>
        </w:rPr>
        <w:t>set</w:t>
      </w:r>
      <w:r w:rsidR="00797B73">
        <w:rPr>
          <w:rFonts w:ascii="Museo Sans 300" w:eastAsia="Museo Sans 300" w:hAnsi="Museo Sans 300" w:cs="Museo Sans 300"/>
        </w:rPr>
        <w:t xml:space="preserve"> at levels that did not reflect the underlying cost of payment instruments. </w:t>
      </w:r>
      <w:r w:rsidR="00AF1E61">
        <w:rPr>
          <w:rFonts w:ascii="Museo Sans 300" w:eastAsia="Museo Sans 300" w:hAnsi="Museo Sans 300" w:cs="Museo Sans 300"/>
        </w:rPr>
        <w:t xml:space="preserve"> </w:t>
      </w:r>
    </w:p>
    <w:p w14:paraId="54AE6027" w14:textId="2D44DD6A" w:rsidR="68684C7C" w:rsidRDefault="0A75C103" w:rsidP="0A75C103">
      <w:pPr>
        <w:spacing w:after="160" w:line="259" w:lineRule="auto"/>
      </w:pPr>
      <w:r w:rsidRPr="0A75C103">
        <w:rPr>
          <w:rFonts w:ascii="Museo Sans 300" w:eastAsia="Museo Sans 300" w:hAnsi="Museo Sans 300" w:cs="Museo Sans 300"/>
        </w:rPr>
        <w:t xml:space="preserve">Article 62(3) </w:t>
      </w:r>
      <w:r w:rsidR="00797B73">
        <w:rPr>
          <w:rFonts w:ascii="Museo Sans 300" w:eastAsia="Museo Sans 300" w:hAnsi="Museo Sans 300" w:cs="Museo Sans 300"/>
        </w:rPr>
        <w:t xml:space="preserve">therefore </w:t>
      </w:r>
      <w:r w:rsidRPr="0A75C103">
        <w:rPr>
          <w:rFonts w:ascii="Museo Sans 300" w:eastAsia="Museo Sans 300" w:hAnsi="Museo Sans 300" w:cs="Museo Sans 300"/>
        </w:rPr>
        <w:t xml:space="preserve">states: “The payment service provider shall not prevent the payee from requesting from the payer a charge, offering him a </w:t>
      </w:r>
      <w:proofErr w:type="gramStart"/>
      <w:r w:rsidRPr="0A75C103">
        <w:rPr>
          <w:rFonts w:ascii="Museo Sans 300" w:eastAsia="Museo Sans 300" w:hAnsi="Museo Sans 300" w:cs="Museo Sans 300"/>
        </w:rPr>
        <w:t>reduction</w:t>
      </w:r>
      <w:proofErr w:type="gramEnd"/>
      <w:r w:rsidRPr="0A75C103">
        <w:rPr>
          <w:rFonts w:ascii="Museo Sans 300" w:eastAsia="Museo Sans 300" w:hAnsi="Museo Sans 300" w:cs="Museo Sans 300"/>
        </w:rPr>
        <w:t xml:space="preserve"> or otherwise steering him towards the use of a given payment instrument. Any charges applied shall not exceed the direct costs borne by the payee for the use of the specific payment instrument.” </w:t>
      </w:r>
    </w:p>
    <w:p w14:paraId="70DB924F" w14:textId="3650AB4D" w:rsidR="68684C7C" w:rsidRDefault="0A75C103" w:rsidP="68684C7C">
      <w:pPr>
        <w:spacing w:after="160" w:line="259" w:lineRule="auto"/>
        <w:rPr>
          <w:rFonts w:ascii="Museo Sans 300" w:eastAsia="Museo Sans 300" w:hAnsi="Museo Sans 300" w:cs="Museo Sans 300"/>
        </w:rPr>
      </w:pPr>
      <w:r w:rsidRPr="0A75C103">
        <w:rPr>
          <w:rFonts w:ascii="Museo Sans 300" w:eastAsia="Museo Sans 300" w:hAnsi="Museo Sans 300" w:cs="Museo Sans 300"/>
        </w:rPr>
        <w:t>Article 62(4) states: “In any case, Member States shall ensure that the payee shall not request charges for the use of payment instruments for which interchange fees are regulated under Chapter II of Regulation (EU) 2015/751 and for those payment services to which Regulation (EU) No 260/2012 applies.”</w:t>
      </w:r>
    </w:p>
    <w:p w14:paraId="0FCE4E11" w14:textId="7AC27DFA" w:rsidR="51B5FDD5" w:rsidRDefault="51B5FDD5" w:rsidP="51B5FDD5">
      <w:pPr>
        <w:spacing w:after="160" w:line="259" w:lineRule="auto"/>
        <w:rPr>
          <w:rFonts w:ascii="Museo Sans 300" w:eastAsia="Museo Sans 300" w:hAnsi="Museo Sans 300" w:cs="Museo Sans 300"/>
        </w:rPr>
      </w:pPr>
      <w:r w:rsidRPr="0C0F9696">
        <w:rPr>
          <w:rFonts w:ascii="Museo Sans 300" w:eastAsia="Museo Sans 300" w:hAnsi="Museo Sans 300" w:cs="Museo Sans 300"/>
        </w:rPr>
        <w:t>Reducing inhibitors – both regulatory and operational – to surcharging is an opportunity to curb rising scheme fees. As evidenced in other geographies</w:t>
      </w:r>
      <w:r w:rsidR="00F5130F">
        <w:rPr>
          <w:rStyle w:val="FootnoteReference"/>
          <w:rFonts w:ascii="Museo Sans 300" w:eastAsia="Museo Sans 300" w:hAnsi="Museo Sans 300" w:cs="Museo Sans 300"/>
        </w:rPr>
        <w:footnoteReference w:id="6"/>
      </w:r>
      <w:r w:rsidR="00960009">
        <w:rPr>
          <w:rStyle w:val="FootnoteReference"/>
          <w:rFonts w:ascii="Museo Sans 300" w:eastAsia="Museo Sans 300" w:hAnsi="Museo Sans 300" w:cs="Museo Sans 300"/>
        </w:rPr>
        <w:footnoteReference w:id="7"/>
      </w:r>
      <w:r w:rsidRPr="0C0F9696">
        <w:rPr>
          <w:rFonts w:ascii="Museo Sans 300" w:eastAsia="Museo Sans 300" w:hAnsi="Museo Sans 300" w:cs="Museo Sans 300"/>
        </w:rPr>
        <w:t>, even the temporary application of a brand-level surcharge has impacted business' ability to negotiate card acceptance rates.</w:t>
      </w:r>
      <w:r w:rsidR="004A42A8">
        <w:rPr>
          <w:rFonts w:ascii="Museo Sans 300" w:eastAsia="Museo Sans 300" w:hAnsi="Museo Sans 300" w:cs="Museo Sans 300"/>
        </w:rPr>
        <w:t xml:space="preserve"> Whil</w:t>
      </w:r>
      <w:r w:rsidR="00BE6ECD">
        <w:rPr>
          <w:rFonts w:ascii="Museo Sans 300" w:eastAsia="Museo Sans 300" w:hAnsi="Museo Sans 300" w:cs="Museo Sans 300"/>
        </w:rPr>
        <w:t>e these</w:t>
      </w:r>
      <w:r w:rsidR="004A42A8">
        <w:rPr>
          <w:rFonts w:ascii="Museo Sans 300" w:eastAsia="Museo Sans 300" w:hAnsi="Museo Sans 300" w:cs="Museo Sans 300"/>
        </w:rPr>
        <w:t xml:space="preserve"> high-profile cases typically relate to the largest merchants,</w:t>
      </w:r>
      <w:r w:rsidR="00723F98">
        <w:rPr>
          <w:rFonts w:ascii="Museo Sans 300" w:eastAsia="Museo Sans 300" w:hAnsi="Museo Sans 300" w:cs="Museo Sans 300"/>
        </w:rPr>
        <w:t xml:space="preserve"> </w:t>
      </w:r>
      <w:r w:rsidR="00C11FA4">
        <w:rPr>
          <w:rFonts w:ascii="Museo Sans 300" w:eastAsia="Museo Sans 300" w:hAnsi="Museo Sans 300" w:cs="Museo Sans 300"/>
        </w:rPr>
        <w:t xml:space="preserve">we discuss below how rising fees and technical limitations </w:t>
      </w:r>
      <w:r w:rsidR="00D95373">
        <w:rPr>
          <w:rFonts w:ascii="Museo Sans 300" w:eastAsia="Museo Sans 300" w:hAnsi="Museo Sans 300" w:cs="Museo Sans 300"/>
        </w:rPr>
        <w:t>increase their relevance for smaller businesses.</w:t>
      </w:r>
    </w:p>
    <w:p w14:paraId="1FEC1940" w14:textId="15F8F17C" w:rsidR="008649DD" w:rsidRDefault="00266F78" w:rsidP="008649DD">
      <w:pPr>
        <w:pStyle w:val="Heading2"/>
      </w:pPr>
      <w:r>
        <w:t xml:space="preserve">Rising Scheme Fees on Regulated </w:t>
      </w:r>
      <w:r w:rsidR="00442D8D">
        <w:t>Payment Methods</w:t>
      </w:r>
    </w:p>
    <w:p w14:paraId="7450DEAF" w14:textId="67F7792B" w:rsidR="00442D8D" w:rsidRPr="006769EA" w:rsidRDefault="00FE08FF" w:rsidP="00442D8D">
      <w:pPr>
        <w:rPr>
          <w:rFonts w:ascii="Museo Sans 300" w:eastAsia="Museo Sans 300" w:hAnsi="Museo Sans 300" w:cs="Museo Sans 300"/>
        </w:rPr>
      </w:pPr>
      <w:r w:rsidRPr="006769EA">
        <w:rPr>
          <w:rFonts w:ascii="Museo Sans 300" w:eastAsia="Museo Sans 300" w:hAnsi="Museo Sans 300" w:cs="Museo Sans 300"/>
        </w:rPr>
        <w:t xml:space="preserve">PSD2 </w:t>
      </w:r>
      <w:r w:rsidR="0037377F" w:rsidRPr="006769EA">
        <w:rPr>
          <w:rFonts w:ascii="Museo Sans 300" w:eastAsia="Museo Sans 300" w:hAnsi="Museo Sans 300" w:cs="Museo Sans 300"/>
        </w:rPr>
        <w:t xml:space="preserve">prevents Member States from requesting surcharges for </w:t>
      </w:r>
      <w:r w:rsidR="0049006C" w:rsidRPr="006769EA">
        <w:rPr>
          <w:rFonts w:ascii="Museo Sans 300" w:eastAsia="Museo Sans 300" w:hAnsi="Museo Sans 300" w:cs="Museo Sans 300"/>
        </w:rPr>
        <w:t xml:space="preserve">payment methods that are regulated under the </w:t>
      </w:r>
      <w:r w:rsidR="00991386">
        <w:rPr>
          <w:rFonts w:ascii="Museo Sans 300" w:eastAsia="Museo Sans 300" w:hAnsi="Museo Sans 300" w:cs="Museo Sans 300"/>
        </w:rPr>
        <w:t xml:space="preserve">EU’s </w:t>
      </w:r>
      <w:r w:rsidR="0049006C" w:rsidRPr="006769EA">
        <w:rPr>
          <w:rFonts w:ascii="Museo Sans 300" w:eastAsia="Museo Sans 300" w:hAnsi="Museo Sans 300" w:cs="Museo Sans 300"/>
        </w:rPr>
        <w:t>I</w:t>
      </w:r>
      <w:r w:rsidR="00991386">
        <w:rPr>
          <w:rFonts w:ascii="Museo Sans 300" w:eastAsia="Museo Sans 300" w:hAnsi="Museo Sans 300" w:cs="Museo Sans 300"/>
        </w:rPr>
        <w:t xml:space="preserve">nterchange </w:t>
      </w:r>
      <w:r w:rsidR="0049006C" w:rsidRPr="006769EA">
        <w:rPr>
          <w:rFonts w:ascii="Museo Sans 300" w:eastAsia="Museo Sans 300" w:hAnsi="Museo Sans 300" w:cs="Museo Sans 300"/>
        </w:rPr>
        <w:t>F</w:t>
      </w:r>
      <w:r w:rsidR="00991386">
        <w:rPr>
          <w:rFonts w:ascii="Museo Sans 300" w:eastAsia="Museo Sans 300" w:hAnsi="Museo Sans 300" w:cs="Museo Sans 300"/>
        </w:rPr>
        <w:t xml:space="preserve">ee </w:t>
      </w:r>
      <w:r w:rsidR="0049006C" w:rsidRPr="006769EA">
        <w:rPr>
          <w:rFonts w:ascii="Museo Sans 300" w:eastAsia="Museo Sans 300" w:hAnsi="Museo Sans 300" w:cs="Museo Sans 300"/>
        </w:rPr>
        <w:t>R</w:t>
      </w:r>
      <w:r w:rsidR="00991386">
        <w:rPr>
          <w:rFonts w:ascii="Museo Sans 300" w:eastAsia="Museo Sans 300" w:hAnsi="Museo Sans 300" w:cs="Museo Sans 300"/>
        </w:rPr>
        <w:t>egulation</w:t>
      </w:r>
      <w:r w:rsidR="0049006C" w:rsidRPr="006769EA">
        <w:rPr>
          <w:rFonts w:ascii="Museo Sans 300" w:eastAsia="Museo Sans 300" w:hAnsi="Museo Sans 300" w:cs="Museo Sans 300"/>
        </w:rPr>
        <w:t xml:space="preserve"> on the basis </w:t>
      </w:r>
      <w:r w:rsidR="00753F29" w:rsidRPr="006769EA">
        <w:rPr>
          <w:rFonts w:ascii="Museo Sans 300" w:eastAsia="Museo Sans 300" w:hAnsi="Museo Sans 300" w:cs="Museo Sans 300"/>
        </w:rPr>
        <w:t xml:space="preserve">that </w:t>
      </w:r>
      <w:r w:rsidR="00031E4F" w:rsidRPr="006769EA">
        <w:rPr>
          <w:rFonts w:ascii="Museo Sans 300" w:eastAsia="Museo Sans 300" w:hAnsi="Museo Sans 300" w:cs="Museo Sans 300"/>
        </w:rPr>
        <w:t xml:space="preserve">interchange fees, which </w:t>
      </w:r>
      <w:r w:rsidR="00F47E70" w:rsidRPr="006769EA">
        <w:rPr>
          <w:rFonts w:ascii="Museo Sans 300" w:eastAsia="Museo Sans 300" w:hAnsi="Museo Sans 300" w:cs="Museo Sans 300"/>
        </w:rPr>
        <w:t>“constitute the main component of merchant charges for cards and card-based systems”</w:t>
      </w:r>
      <w:r w:rsidR="00964378" w:rsidRPr="006769EA">
        <w:rPr>
          <w:rFonts w:ascii="Museo Sans 300" w:eastAsia="Museo Sans 300" w:hAnsi="Museo Sans 300" w:cs="Museo Sans 300"/>
        </w:rPr>
        <w:t>,</w:t>
      </w:r>
      <w:r w:rsidR="000B1197" w:rsidRPr="006C2096">
        <w:rPr>
          <w:rFonts w:ascii="Museo Sans 300" w:eastAsia="Museo Sans 300" w:hAnsi="Museo Sans 300" w:cs="Museo Sans 300"/>
          <w:vertAlign w:val="superscript"/>
        </w:rPr>
        <w:footnoteReference w:id="8"/>
      </w:r>
      <w:r w:rsidR="00964378" w:rsidRPr="006C2096">
        <w:rPr>
          <w:rFonts w:ascii="Museo Sans 300" w:eastAsia="Museo Sans 300" w:hAnsi="Museo Sans 300" w:cs="Museo Sans 300"/>
          <w:vertAlign w:val="superscript"/>
        </w:rPr>
        <w:t xml:space="preserve"> </w:t>
      </w:r>
      <w:r w:rsidR="00964378" w:rsidRPr="006769EA">
        <w:rPr>
          <w:rFonts w:ascii="Museo Sans 300" w:eastAsia="Museo Sans 300" w:hAnsi="Museo Sans 300" w:cs="Museo Sans 300"/>
        </w:rPr>
        <w:t xml:space="preserve">are </w:t>
      </w:r>
      <w:r w:rsidR="00017663" w:rsidRPr="006769EA">
        <w:rPr>
          <w:rFonts w:ascii="Museo Sans 300" w:eastAsia="Museo Sans 300" w:hAnsi="Museo Sans 300" w:cs="Museo Sans 300"/>
        </w:rPr>
        <w:t>regulated.</w:t>
      </w:r>
      <w:r w:rsidR="00AF4884" w:rsidRPr="006769EA">
        <w:rPr>
          <w:rFonts w:ascii="Museo Sans 300" w:eastAsia="Museo Sans 300" w:hAnsi="Museo Sans 300" w:cs="Museo Sans 300"/>
        </w:rPr>
        <w:t xml:space="preserve"> </w:t>
      </w:r>
      <w:r w:rsidR="00D36CB5">
        <w:rPr>
          <w:rFonts w:ascii="Museo Sans 300" w:eastAsia="Museo Sans 300" w:hAnsi="Museo Sans 300" w:cs="Museo Sans 300"/>
        </w:rPr>
        <w:t>This is under the implicit assumption that the IFR addressed the problem of high card fees in Europe. However, d</w:t>
      </w:r>
      <w:r w:rsidR="00AF4884" w:rsidRPr="006769EA">
        <w:rPr>
          <w:rFonts w:ascii="Museo Sans 300" w:eastAsia="Museo Sans 300" w:hAnsi="Museo Sans 300" w:cs="Museo Sans 300"/>
        </w:rPr>
        <w:t>espite interchange fee regulation</w:t>
      </w:r>
      <w:r w:rsidR="003E5FDA">
        <w:rPr>
          <w:rFonts w:ascii="Museo Sans 300" w:eastAsia="Museo Sans 300" w:hAnsi="Museo Sans 300" w:cs="Museo Sans 300"/>
        </w:rPr>
        <w:t>,</w:t>
      </w:r>
      <w:r w:rsidR="00AF4884" w:rsidRPr="006769EA">
        <w:rPr>
          <w:rFonts w:ascii="Museo Sans 300" w:eastAsia="Museo Sans 300" w:hAnsi="Museo Sans 300" w:cs="Museo Sans 300"/>
        </w:rPr>
        <w:t xml:space="preserve"> </w:t>
      </w:r>
      <w:r w:rsidR="003427AA">
        <w:rPr>
          <w:rFonts w:ascii="Museo Sans 300" w:eastAsia="Museo Sans 300" w:hAnsi="Museo Sans 300" w:cs="Museo Sans 300"/>
        </w:rPr>
        <w:t xml:space="preserve">our analysis suggests that </w:t>
      </w:r>
      <w:r w:rsidR="00AF4884" w:rsidRPr="006769EA">
        <w:rPr>
          <w:rFonts w:ascii="Museo Sans 300" w:eastAsia="Museo Sans 300" w:hAnsi="Museo Sans 300" w:cs="Museo Sans 300"/>
        </w:rPr>
        <w:t xml:space="preserve">the average merchant </w:t>
      </w:r>
      <w:r w:rsidR="08EAED8A" w:rsidRPr="006769EA">
        <w:rPr>
          <w:rFonts w:ascii="Museo Sans 300" w:eastAsia="Museo Sans 300" w:hAnsi="Museo Sans 300" w:cs="Museo Sans 300"/>
        </w:rPr>
        <w:t>service charge (MSC)</w:t>
      </w:r>
      <w:r w:rsidR="00AF4884" w:rsidRPr="006769EA">
        <w:rPr>
          <w:rFonts w:ascii="Museo Sans 300" w:eastAsia="Museo Sans 300" w:hAnsi="Museo Sans 300" w:cs="Museo Sans 300"/>
        </w:rPr>
        <w:t xml:space="preserve"> has increased in the period </w:t>
      </w:r>
      <w:r w:rsidR="003E5FDA">
        <w:rPr>
          <w:rFonts w:ascii="Museo Sans 300" w:eastAsia="Museo Sans 300" w:hAnsi="Museo Sans 300" w:cs="Museo Sans 300"/>
        </w:rPr>
        <w:t>following</w:t>
      </w:r>
      <w:r w:rsidR="00AF4884" w:rsidRPr="006769EA">
        <w:rPr>
          <w:rFonts w:ascii="Museo Sans 300" w:eastAsia="Museo Sans 300" w:hAnsi="Museo Sans 300" w:cs="Museo Sans 300"/>
        </w:rPr>
        <w:t xml:space="preserve"> </w:t>
      </w:r>
      <w:r w:rsidR="003045E1">
        <w:rPr>
          <w:rFonts w:ascii="Museo Sans 300" w:eastAsia="Museo Sans 300" w:hAnsi="Museo Sans 300" w:cs="Museo Sans 300"/>
        </w:rPr>
        <w:t>regulation</w:t>
      </w:r>
      <w:r w:rsidR="0075392A">
        <w:rPr>
          <w:rFonts w:ascii="Museo Sans 300" w:eastAsia="Museo Sans 300" w:hAnsi="Museo Sans 300" w:cs="Museo Sans 300"/>
        </w:rPr>
        <w:t xml:space="preserve">. Figure 3 shows </w:t>
      </w:r>
      <w:r w:rsidR="00EB327F">
        <w:rPr>
          <w:rFonts w:ascii="Museo Sans 300" w:eastAsia="Museo Sans 300" w:hAnsi="Museo Sans 300" w:cs="Museo Sans 300"/>
        </w:rPr>
        <w:t xml:space="preserve">how the average MSC, largely owing to increases to </w:t>
      </w:r>
      <w:r w:rsidR="00067CF8">
        <w:rPr>
          <w:rFonts w:ascii="Museo Sans 300" w:eastAsia="Museo Sans 300" w:hAnsi="Museo Sans 300" w:cs="Museo Sans 300"/>
        </w:rPr>
        <w:t xml:space="preserve">its </w:t>
      </w:r>
      <w:r w:rsidR="00EB327F">
        <w:rPr>
          <w:rFonts w:ascii="Museo Sans 300" w:eastAsia="Museo Sans 300" w:hAnsi="Museo Sans 300" w:cs="Museo Sans 300"/>
        </w:rPr>
        <w:t>unregulated components, is now estimated to be higher than it was pre-IFR.</w:t>
      </w:r>
    </w:p>
    <w:p w14:paraId="42ADFDE1" w14:textId="77777777" w:rsidR="00AF4884" w:rsidRPr="006769EA" w:rsidRDefault="00AF4884" w:rsidP="00442D8D">
      <w:pPr>
        <w:rPr>
          <w:rFonts w:ascii="Museo Sans 300" w:eastAsia="Museo Sans 300" w:hAnsi="Museo Sans 300" w:cs="Museo Sans 300"/>
        </w:rPr>
      </w:pPr>
    </w:p>
    <w:p w14:paraId="7499A136" w14:textId="12E622AD" w:rsidR="00AF4884" w:rsidRPr="006769EA" w:rsidRDefault="00741DB8" w:rsidP="00741DB8">
      <w:pPr>
        <w:jc w:val="center"/>
        <w:rPr>
          <w:rFonts w:ascii="Museo Sans 300" w:eastAsia="Museo Sans 300" w:hAnsi="Museo Sans 300" w:cs="Museo Sans 300"/>
        </w:rPr>
      </w:pPr>
      <w:r w:rsidRPr="006769EA">
        <w:rPr>
          <w:rFonts w:ascii="Museo Sans 300" w:eastAsia="Museo Sans 300" w:hAnsi="Museo Sans 300" w:cs="Museo Sans 300"/>
        </w:rPr>
        <w:lastRenderedPageBreak/>
        <w:drawing>
          <wp:inline distT="0" distB="0" distL="0" distR="0" wp14:anchorId="21CD0C9C" wp14:editId="1B5B4E63">
            <wp:extent cx="4200525" cy="1838325"/>
            <wp:effectExtent l="0" t="0" r="9525" b="9525"/>
            <wp:docPr id="2" name="Picture 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ar chart&#10;&#10;Description automatically generated"/>
                    <pic:cNvPicPr/>
                  </pic:nvPicPr>
                  <pic:blipFill>
                    <a:blip r:embed="rId13"/>
                    <a:stretch>
                      <a:fillRect/>
                    </a:stretch>
                  </pic:blipFill>
                  <pic:spPr>
                    <a:xfrm>
                      <a:off x="0" y="0"/>
                      <a:ext cx="4200525" cy="1838325"/>
                    </a:xfrm>
                    <a:prstGeom prst="rect">
                      <a:avLst/>
                    </a:prstGeom>
                  </pic:spPr>
                </pic:pic>
              </a:graphicData>
            </a:graphic>
          </wp:inline>
        </w:drawing>
      </w:r>
    </w:p>
    <w:p w14:paraId="210DF477" w14:textId="59128B43" w:rsidR="00741DB8" w:rsidRPr="00522FB0" w:rsidRDefault="002373B6" w:rsidP="00741DB8">
      <w:pPr>
        <w:jc w:val="center"/>
        <w:rPr>
          <w:rFonts w:ascii="Museo Sans 300" w:eastAsia="Museo Sans 300" w:hAnsi="Museo Sans 300" w:cs="Museo Sans 300"/>
          <w:i/>
          <w:iCs/>
        </w:rPr>
      </w:pPr>
      <w:r w:rsidRPr="00522FB0">
        <w:rPr>
          <w:rFonts w:ascii="Museo Sans 300" w:eastAsia="Museo Sans 300" w:hAnsi="Museo Sans 300" w:cs="Museo Sans 300"/>
          <w:i/>
          <w:iCs/>
        </w:rPr>
        <w:t xml:space="preserve">Figure 3. </w:t>
      </w:r>
      <w:r w:rsidR="00741DB8" w:rsidRPr="00522FB0">
        <w:rPr>
          <w:rFonts w:ascii="Museo Sans 300" w:eastAsia="Museo Sans 300" w:hAnsi="Museo Sans 300" w:cs="Museo Sans 300"/>
          <w:i/>
          <w:iCs/>
        </w:rPr>
        <w:t>E</w:t>
      </w:r>
      <w:r w:rsidR="00B773E0">
        <w:rPr>
          <w:rFonts w:ascii="Museo Sans 300" w:eastAsia="Museo Sans 300" w:hAnsi="Museo Sans 300" w:cs="Museo Sans 300"/>
          <w:i/>
          <w:iCs/>
        </w:rPr>
        <w:t>stimated e</w:t>
      </w:r>
      <w:r w:rsidR="00741DB8" w:rsidRPr="00522FB0">
        <w:rPr>
          <w:rFonts w:ascii="Museo Sans 300" w:eastAsia="Museo Sans 300" w:hAnsi="Museo Sans 300" w:cs="Museo Sans 300"/>
          <w:i/>
          <w:iCs/>
        </w:rPr>
        <w:t>volution of the Merchant Service Charge (EU28)</w:t>
      </w:r>
      <w:r w:rsidRPr="00522FB0">
        <w:rPr>
          <w:rFonts w:ascii="Museo Sans 300" w:eastAsia="Museo Sans 300" w:hAnsi="Museo Sans 300" w:cs="Museo Sans 300"/>
          <w:i/>
          <w:iCs/>
        </w:rPr>
        <w:t xml:space="preserve">. Source: CMSPI &amp; </w:t>
      </w:r>
      <w:proofErr w:type="spellStart"/>
      <w:r w:rsidRPr="00522FB0">
        <w:rPr>
          <w:rFonts w:ascii="Museo Sans 300" w:eastAsia="Museo Sans 300" w:hAnsi="Museo Sans 300" w:cs="Museo Sans 300"/>
          <w:i/>
          <w:iCs/>
        </w:rPr>
        <w:t>Zephyre</w:t>
      </w:r>
      <w:proofErr w:type="spellEnd"/>
      <w:r w:rsidRPr="00522FB0">
        <w:rPr>
          <w:rFonts w:ascii="Museo Sans 300" w:eastAsia="Museo Sans 300" w:hAnsi="Museo Sans 300" w:cs="Museo Sans 300"/>
          <w:i/>
          <w:iCs/>
        </w:rPr>
        <w:t xml:space="preserve"> Scheme Fee Study (202</w:t>
      </w:r>
      <w:r w:rsidR="00522FB0" w:rsidRPr="00522FB0">
        <w:rPr>
          <w:rFonts w:ascii="Museo Sans 300" w:eastAsia="Museo Sans 300" w:hAnsi="Museo Sans 300" w:cs="Museo Sans 300"/>
          <w:i/>
          <w:iCs/>
        </w:rPr>
        <w:t>1).</w:t>
      </w:r>
    </w:p>
    <w:p w14:paraId="297DCD75" w14:textId="77777777" w:rsidR="0029440D" w:rsidRPr="006769EA" w:rsidRDefault="0029440D" w:rsidP="00741DB8">
      <w:pPr>
        <w:jc w:val="center"/>
        <w:rPr>
          <w:rFonts w:ascii="Museo Sans 300" w:eastAsia="Museo Sans 300" w:hAnsi="Museo Sans 300" w:cs="Museo Sans 300"/>
        </w:rPr>
      </w:pPr>
    </w:p>
    <w:p w14:paraId="60851A0E" w14:textId="429FABDE" w:rsidR="008A0380" w:rsidRDefault="008A0380" w:rsidP="0029440D">
      <w:pPr>
        <w:rPr>
          <w:rFonts w:ascii="Museo Sans 300" w:eastAsia="Museo Sans 300" w:hAnsi="Museo Sans 300" w:cs="Museo Sans 300"/>
        </w:rPr>
      </w:pPr>
      <w:r>
        <w:rPr>
          <w:rFonts w:ascii="Museo Sans 300" w:eastAsia="Museo Sans 300" w:hAnsi="Museo Sans 300" w:cs="Museo Sans 300"/>
        </w:rPr>
        <w:t>Obse</w:t>
      </w:r>
      <w:r w:rsidRPr="006769EA">
        <w:rPr>
          <w:rFonts w:ascii="Museo Sans 300" w:eastAsia="Museo Sans 300" w:hAnsi="Museo Sans 300" w:cs="Museo Sans 300"/>
        </w:rPr>
        <w:t>rving</w:t>
      </w:r>
      <w:r>
        <w:rPr>
          <w:rFonts w:ascii="Museo Sans 300" w:eastAsia="Museo Sans 300" w:hAnsi="Museo Sans 300" w:cs="Museo Sans 300"/>
        </w:rPr>
        <w:t xml:space="preserve"> this</w:t>
      </w:r>
      <w:r w:rsidRPr="006769EA">
        <w:rPr>
          <w:rFonts w:ascii="Museo Sans 300" w:eastAsia="Museo Sans 300" w:hAnsi="Museo Sans 300" w:cs="Museo Sans 300"/>
        </w:rPr>
        <w:t xml:space="preserve"> trend in the rising cost of acceptance for the average card transaction, CMSPI notes the importance of expanding surcharging accessibility to payment methods currently regulated by the IFR. </w:t>
      </w:r>
      <w:r w:rsidR="00392BFF">
        <w:rPr>
          <w:rFonts w:ascii="Museo Sans 300" w:eastAsia="Museo Sans 300" w:hAnsi="Museo Sans 300" w:cs="Museo Sans 300"/>
        </w:rPr>
        <w:t xml:space="preserve">This is because </w:t>
      </w:r>
      <w:r w:rsidR="00052ACB">
        <w:rPr>
          <w:rFonts w:ascii="Museo Sans 300" w:eastAsia="Museo Sans 300" w:hAnsi="Museo Sans 300" w:cs="Museo Sans 300"/>
        </w:rPr>
        <w:t>preventing cost differentials from being reflected</w:t>
      </w:r>
      <w:r w:rsidR="00440D59">
        <w:rPr>
          <w:rFonts w:ascii="Museo Sans 300" w:eastAsia="Museo Sans 300" w:hAnsi="Museo Sans 300" w:cs="Museo Sans 300"/>
        </w:rPr>
        <w:t xml:space="preserve"> </w:t>
      </w:r>
      <w:r w:rsidR="0063316A">
        <w:rPr>
          <w:rFonts w:ascii="Museo Sans 300" w:eastAsia="Museo Sans 300" w:hAnsi="Museo Sans 300" w:cs="Museo Sans 300"/>
        </w:rPr>
        <w:t>between</w:t>
      </w:r>
      <w:r w:rsidR="00440D59">
        <w:rPr>
          <w:rFonts w:ascii="Museo Sans 300" w:eastAsia="Museo Sans 300" w:hAnsi="Museo Sans 300" w:cs="Museo Sans 300"/>
        </w:rPr>
        <w:t xml:space="preserve"> payment methods can represent a failure of the pricing mechanism</w:t>
      </w:r>
      <w:r w:rsidR="00052ACB">
        <w:rPr>
          <w:rFonts w:ascii="Museo Sans 300" w:eastAsia="Museo Sans 300" w:hAnsi="Museo Sans 300" w:cs="Museo Sans 300"/>
        </w:rPr>
        <w:t xml:space="preserve"> in the economic sense</w:t>
      </w:r>
      <w:r w:rsidR="00440D59">
        <w:rPr>
          <w:rFonts w:ascii="Museo Sans 300" w:eastAsia="Museo Sans 300" w:hAnsi="Museo Sans 300" w:cs="Museo Sans 300"/>
        </w:rPr>
        <w:t xml:space="preserve">; customers may be </w:t>
      </w:r>
      <w:r w:rsidR="00440D59" w:rsidRPr="0C0F9696">
        <w:rPr>
          <w:rFonts w:ascii="Museo Sans 300" w:eastAsia="Museo Sans 300" w:hAnsi="Museo Sans 300" w:cs="Museo Sans 300"/>
        </w:rPr>
        <w:t>unknowingly</w:t>
      </w:r>
      <w:r w:rsidR="00440D59">
        <w:rPr>
          <w:rFonts w:ascii="Museo Sans 300" w:eastAsia="Museo Sans 300" w:hAnsi="Museo Sans 300" w:cs="Museo Sans 300"/>
        </w:rPr>
        <w:t xml:space="preserve"> increasing the</w:t>
      </w:r>
      <w:r w:rsidR="00F100F1">
        <w:rPr>
          <w:rFonts w:ascii="Museo Sans 300" w:eastAsia="Museo Sans 300" w:hAnsi="Museo Sans 300" w:cs="Museo Sans 300"/>
        </w:rPr>
        <w:t xml:space="preserve"> overall</w:t>
      </w:r>
      <w:r w:rsidR="00440D59">
        <w:rPr>
          <w:rFonts w:ascii="Museo Sans 300" w:eastAsia="Museo Sans 300" w:hAnsi="Museo Sans 300" w:cs="Museo Sans 300"/>
        </w:rPr>
        <w:t xml:space="preserve"> price of goods</w:t>
      </w:r>
      <w:r w:rsidR="00F100F1">
        <w:rPr>
          <w:rFonts w:ascii="Museo Sans 300" w:eastAsia="Museo Sans 300" w:hAnsi="Museo Sans 300" w:cs="Museo Sans 300"/>
        </w:rPr>
        <w:t>, even when they are indifferent between choosing a cheaper or more expensive payment method.</w:t>
      </w:r>
    </w:p>
    <w:p w14:paraId="5E35F041" w14:textId="77777777" w:rsidR="000C560C" w:rsidRDefault="000C560C" w:rsidP="0029440D">
      <w:pPr>
        <w:rPr>
          <w:rFonts w:ascii="Museo Sans 300" w:eastAsia="Museo Sans 300" w:hAnsi="Museo Sans 300" w:cs="Museo Sans 300"/>
        </w:rPr>
      </w:pPr>
    </w:p>
    <w:p w14:paraId="24CFC617" w14:textId="24D84FB4" w:rsidR="00C12C46" w:rsidRPr="006769EA" w:rsidRDefault="000C560C" w:rsidP="0029440D">
      <w:pPr>
        <w:rPr>
          <w:rFonts w:ascii="Museo Sans 300" w:eastAsia="Museo Sans 300" w:hAnsi="Museo Sans 300" w:cs="Museo Sans 300"/>
        </w:rPr>
      </w:pPr>
      <w:r>
        <w:rPr>
          <w:rFonts w:ascii="Museo Sans 300" w:eastAsia="Museo Sans 300" w:hAnsi="Museo Sans 300" w:cs="Museo Sans 300"/>
        </w:rPr>
        <w:t xml:space="preserve">Discriminating between exempt-and non-exempt transactions </w:t>
      </w:r>
      <w:r w:rsidR="006C62D2">
        <w:rPr>
          <w:rFonts w:ascii="Museo Sans 300" w:eastAsia="Museo Sans 300" w:hAnsi="Museo Sans 300" w:cs="Museo Sans 300"/>
        </w:rPr>
        <w:t>may also</w:t>
      </w:r>
      <w:r>
        <w:rPr>
          <w:rFonts w:ascii="Museo Sans 300" w:eastAsia="Museo Sans 300" w:hAnsi="Museo Sans 300" w:cs="Museo Sans 300"/>
        </w:rPr>
        <w:t xml:space="preserve"> </w:t>
      </w:r>
      <w:r w:rsidR="0021165F">
        <w:rPr>
          <w:rFonts w:ascii="Museo Sans 300" w:eastAsia="Museo Sans 300" w:hAnsi="Museo Sans 300" w:cs="Museo Sans 300"/>
        </w:rPr>
        <w:t>limit the ability of merchants to steer towards options that allow them to keep costs (and therefore prices) lower. In some cases,</w:t>
      </w:r>
      <w:r w:rsidR="0079708E">
        <w:rPr>
          <w:rFonts w:ascii="Museo Sans 300" w:eastAsia="Museo Sans 300" w:hAnsi="Museo Sans 300" w:cs="Museo Sans 300"/>
        </w:rPr>
        <w:t xml:space="preserve"> </w:t>
      </w:r>
      <w:r w:rsidR="0079708E" w:rsidRPr="006769EA">
        <w:rPr>
          <w:rFonts w:ascii="Museo Sans 300" w:eastAsia="Museo Sans 300" w:hAnsi="Museo Sans 300" w:cs="Museo Sans 300"/>
        </w:rPr>
        <w:t xml:space="preserve">operational difficulties with respect to merchant terminal integrations </w:t>
      </w:r>
      <w:r w:rsidR="0021165F">
        <w:rPr>
          <w:rFonts w:ascii="Museo Sans 300" w:eastAsia="Museo Sans 300" w:hAnsi="Museo Sans 300" w:cs="Museo Sans 300"/>
        </w:rPr>
        <w:t xml:space="preserve">can </w:t>
      </w:r>
      <w:r w:rsidR="0079708E" w:rsidRPr="006769EA">
        <w:rPr>
          <w:rFonts w:ascii="Museo Sans 300" w:eastAsia="Museo Sans 300" w:hAnsi="Museo Sans 300" w:cs="Museo Sans 300"/>
        </w:rPr>
        <w:t>prevent merchants from being able to identify the card type as</w:t>
      </w:r>
      <w:r w:rsidR="00CB60EA">
        <w:rPr>
          <w:rFonts w:ascii="Museo Sans 300" w:eastAsia="Museo Sans 300" w:hAnsi="Museo Sans 300" w:cs="Museo Sans 300"/>
        </w:rPr>
        <w:t xml:space="preserve"> either</w:t>
      </w:r>
      <w:r w:rsidR="0079708E" w:rsidRPr="006769EA">
        <w:rPr>
          <w:rFonts w:ascii="Museo Sans 300" w:eastAsia="Museo Sans 300" w:hAnsi="Museo Sans 300" w:cs="Museo Sans 300"/>
        </w:rPr>
        <w:t xml:space="preserve"> consumer or commercial. With limited visibility into card types, merchants may not be able to </w:t>
      </w:r>
      <w:r w:rsidR="0010253F">
        <w:rPr>
          <w:rFonts w:ascii="Museo Sans 300" w:eastAsia="Museo Sans 300" w:hAnsi="Museo Sans 300" w:cs="Museo Sans 300"/>
        </w:rPr>
        <w:t>utilise</w:t>
      </w:r>
      <w:r w:rsidR="0079708E" w:rsidRPr="006769EA">
        <w:rPr>
          <w:rFonts w:ascii="Museo Sans 300" w:eastAsia="Museo Sans 300" w:hAnsi="Museo Sans 300" w:cs="Museo Sans 300"/>
        </w:rPr>
        <w:t xml:space="preserve"> a surcharging solution given the inability to </w:t>
      </w:r>
      <w:r w:rsidR="00052ACB">
        <w:rPr>
          <w:rFonts w:ascii="Museo Sans 300" w:eastAsia="Museo Sans 300" w:hAnsi="Museo Sans 300" w:cs="Museo Sans 300"/>
        </w:rPr>
        <w:t xml:space="preserve">identify </w:t>
      </w:r>
      <w:r w:rsidR="0079708E" w:rsidRPr="006769EA">
        <w:rPr>
          <w:rFonts w:ascii="Museo Sans 300" w:eastAsia="Museo Sans 300" w:hAnsi="Museo Sans 300" w:cs="Museo Sans 300"/>
        </w:rPr>
        <w:t xml:space="preserve">commercial </w:t>
      </w:r>
      <w:r w:rsidR="18BAF449" w:rsidRPr="0C0F9696">
        <w:rPr>
          <w:rFonts w:ascii="Museo Sans 300" w:eastAsia="Museo Sans 300" w:hAnsi="Museo Sans 300" w:cs="Museo Sans 300"/>
        </w:rPr>
        <w:t>cards</w:t>
      </w:r>
      <w:r w:rsidR="0079708E" w:rsidRPr="006769EA">
        <w:rPr>
          <w:rFonts w:ascii="Museo Sans 300" w:eastAsia="Museo Sans 300" w:hAnsi="Museo Sans 300" w:cs="Museo Sans 300"/>
        </w:rPr>
        <w:t>.</w:t>
      </w:r>
      <w:r w:rsidR="00C527EA">
        <w:rPr>
          <w:rFonts w:ascii="Museo Sans 300" w:eastAsia="Museo Sans 300" w:hAnsi="Museo Sans 300" w:cs="Museo Sans 300"/>
        </w:rPr>
        <w:t xml:space="preserve"> </w:t>
      </w:r>
    </w:p>
    <w:p w14:paraId="1709CF33" w14:textId="0BA67CDB" w:rsidR="0D67D35E" w:rsidRDefault="0D67D35E" w:rsidP="0D67D35E">
      <w:pPr>
        <w:spacing w:after="160" w:line="259" w:lineRule="auto"/>
      </w:pPr>
    </w:p>
    <w:p w14:paraId="16566F89" w14:textId="7A2D0BF9" w:rsidR="005A1571" w:rsidRDefault="008A09E0" w:rsidP="00AF0906">
      <w:pPr>
        <w:pStyle w:val="ListParagraph"/>
        <w:numPr>
          <w:ilvl w:val="0"/>
          <w:numId w:val="21"/>
        </w:numPr>
        <w:spacing w:after="160" w:line="259" w:lineRule="auto"/>
        <w:rPr>
          <w:rFonts w:ascii="Museo Sans 700" w:hAnsi="Museo Sans 700"/>
          <w:color w:val="07545C"/>
          <w:sz w:val="24"/>
          <w:szCs w:val="24"/>
        </w:rPr>
      </w:pPr>
      <w:r w:rsidRPr="68684C7C">
        <w:rPr>
          <w:rFonts w:ascii="Museo Sans 700" w:hAnsi="Museo Sans 700"/>
          <w:color w:val="004F5F" w:themeColor="accent3"/>
          <w:sz w:val="24"/>
          <w:szCs w:val="24"/>
        </w:rPr>
        <w:t xml:space="preserve">Open Banking and Competition Between Payment Instruments </w:t>
      </w:r>
    </w:p>
    <w:p w14:paraId="0B4479FF" w14:textId="1EF8C154" w:rsidR="00B26945" w:rsidRPr="00B26945" w:rsidRDefault="00110A5B" w:rsidP="0062309D">
      <w:pPr>
        <w:spacing w:after="160" w:line="259" w:lineRule="auto"/>
        <w:rPr>
          <w:rFonts w:ascii="Museo Sans 300" w:hAnsi="Museo Sans 300"/>
        </w:rPr>
      </w:pPr>
      <w:r>
        <w:rPr>
          <w:rFonts w:ascii="Museo Sans 300" w:hAnsi="Museo Sans 300"/>
        </w:rPr>
        <w:t>Evidence of rising card costs</w:t>
      </w:r>
      <w:r w:rsidR="00E74222">
        <w:rPr>
          <w:rFonts w:ascii="Museo Sans 300" w:hAnsi="Museo Sans 300"/>
        </w:rPr>
        <w:t xml:space="preserve"> (as well as pre-existing differentials between domestic and cross-border transaction scheme fees)</w:t>
      </w:r>
      <w:r>
        <w:rPr>
          <w:rFonts w:ascii="Museo Sans 300" w:hAnsi="Museo Sans 300"/>
        </w:rPr>
        <w:t xml:space="preserve"> makes it more important than ever that </w:t>
      </w:r>
      <w:r w:rsidR="00535EA6">
        <w:rPr>
          <w:rFonts w:ascii="Museo Sans 300" w:hAnsi="Museo Sans 300"/>
        </w:rPr>
        <w:t xml:space="preserve">the PSD2 is successful in its aim </w:t>
      </w:r>
      <w:r w:rsidR="0031343D">
        <w:rPr>
          <w:rFonts w:ascii="Museo Sans 300" w:hAnsi="Museo Sans 300"/>
        </w:rPr>
        <w:t xml:space="preserve">to </w:t>
      </w:r>
      <w:r w:rsidR="0062309D" w:rsidRPr="002C1316">
        <w:rPr>
          <w:rFonts w:ascii="Museo Sans 300" w:hAnsi="Museo Sans 300"/>
        </w:rPr>
        <w:t xml:space="preserve">‘open up </w:t>
      </w:r>
      <w:r w:rsidR="007C1E4F" w:rsidRPr="002C1316">
        <w:rPr>
          <w:rFonts w:ascii="Museo Sans 300" w:hAnsi="Museo Sans 300"/>
        </w:rPr>
        <w:t>[the European payments] market to more competition’.</w:t>
      </w:r>
      <w:r w:rsidR="001D5E89">
        <w:rPr>
          <w:rStyle w:val="FootnoteReference"/>
          <w:rFonts w:ascii="Museo Sans 300" w:hAnsi="Museo Sans 300"/>
        </w:rPr>
        <w:footnoteReference w:id="9"/>
      </w:r>
      <w:r w:rsidR="0031343D">
        <w:rPr>
          <w:rFonts w:ascii="Museo Sans 300" w:hAnsi="Museo Sans 300"/>
        </w:rPr>
        <w:t xml:space="preserve"> This is especially so as CMSPI analysis suggests</w:t>
      </w:r>
      <w:r w:rsidR="000277F2">
        <w:rPr>
          <w:rFonts w:ascii="Museo Sans 300" w:hAnsi="Museo Sans 300"/>
        </w:rPr>
        <w:t xml:space="preserve"> that</w:t>
      </w:r>
      <w:r w:rsidR="0031343D">
        <w:rPr>
          <w:rFonts w:ascii="Museo Sans 300" w:hAnsi="Museo Sans 300"/>
        </w:rPr>
        <w:t xml:space="preserve"> pre-existing competitive pressure </w:t>
      </w:r>
      <w:r w:rsidR="002D45FB">
        <w:rPr>
          <w:rFonts w:ascii="Museo Sans 300" w:hAnsi="Museo Sans 300"/>
        </w:rPr>
        <w:t xml:space="preserve">is declining in the absence of </w:t>
      </w:r>
      <w:r w:rsidR="009D6DDA">
        <w:rPr>
          <w:rFonts w:ascii="Museo Sans 300" w:hAnsi="Museo Sans 300"/>
        </w:rPr>
        <w:t>po</w:t>
      </w:r>
      <w:r w:rsidR="002D45FB">
        <w:rPr>
          <w:rFonts w:ascii="Museo Sans 300" w:hAnsi="Museo Sans 300"/>
        </w:rPr>
        <w:t>li</w:t>
      </w:r>
      <w:r w:rsidR="009D6DDA">
        <w:rPr>
          <w:rFonts w:ascii="Museo Sans 300" w:hAnsi="Museo Sans 300"/>
        </w:rPr>
        <w:t xml:space="preserve">cies </w:t>
      </w:r>
      <w:r w:rsidR="002D45FB">
        <w:rPr>
          <w:rFonts w:ascii="Museo Sans 300" w:hAnsi="Museo Sans 300"/>
        </w:rPr>
        <w:t xml:space="preserve">to protect local </w:t>
      </w:r>
      <w:r w:rsidR="079D82A1">
        <w:rPr>
          <w:rFonts w:ascii="Museo Sans 300" w:hAnsi="Museo Sans 300"/>
        </w:rPr>
        <w:t>card</w:t>
      </w:r>
      <w:r w:rsidR="002D45FB">
        <w:rPr>
          <w:rFonts w:ascii="Museo Sans 300" w:hAnsi="Museo Sans 300"/>
        </w:rPr>
        <w:t xml:space="preserve"> schemes, whose market shares </w:t>
      </w:r>
      <w:r w:rsidR="002D4F88">
        <w:rPr>
          <w:rFonts w:ascii="Museo Sans 300" w:hAnsi="Museo Sans 300"/>
        </w:rPr>
        <w:t>are estimated to have d</w:t>
      </w:r>
      <w:r w:rsidR="002373B6">
        <w:rPr>
          <w:rFonts w:ascii="Museo Sans 300" w:hAnsi="Museo Sans 300"/>
        </w:rPr>
        <w:t>iminished</w:t>
      </w:r>
      <w:r w:rsidR="002D4F88">
        <w:rPr>
          <w:rFonts w:ascii="Museo Sans 300" w:hAnsi="Museo Sans 300"/>
        </w:rPr>
        <w:t xml:space="preserve"> </w:t>
      </w:r>
      <w:r w:rsidR="002D4F88">
        <w:rPr>
          <w:rFonts w:ascii="Museo Sans 300" w:hAnsi="Museo Sans 300"/>
        </w:rPr>
        <w:lastRenderedPageBreak/>
        <w:t xml:space="preserve">significantly over time (Figure </w:t>
      </w:r>
      <w:r w:rsidR="00881B6B">
        <w:rPr>
          <w:rFonts w:ascii="Museo Sans 300" w:hAnsi="Museo Sans 300"/>
        </w:rPr>
        <w:t>4</w:t>
      </w:r>
      <w:r w:rsidR="002D4F88">
        <w:rPr>
          <w:rFonts w:ascii="Museo Sans 300" w:hAnsi="Museo Sans 300"/>
        </w:rPr>
        <w:t xml:space="preserve">). </w:t>
      </w:r>
      <w:r w:rsidR="00B26945">
        <w:rPr>
          <w:noProof/>
        </w:rPr>
        <w:drawing>
          <wp:inline distT="0" distB="0" distL="0" distR="0" wp14:anchorId="49971285" wp14:editId="451B35E6">
            <wp:extent cx="5731510" cy="3358515"/>
            <wp:effectExtent l="0" t="0" r="0" b="0"/>
            <wp:docPr id="8" name="Chart 8">
              <a:extLst xmlns:a="http://schemas.openxmlformats.org/drawingml/2006/main">
                <a:ext uri="{FF2B5EF4-FFF2-40B4-BE49-F238E27FC236}">
                  <a16:creationId xmlns:a16="http://schemas.microsoft.com/office/drawing/2014/main" id="{1D12A3B1-9C54-42D1-88CC-44E7BE4CE6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A446946" w14:textId="6FC4FD83" w:rsidR="00B26945" w:rsidRPr="00B26945" w:rsidRDefault="00B26945" w:rsidP="00B26945">
      <w:pPr>
        <w:spacing w:after="160" w:line="259" w:lineRule="auto"/>
        <w:jc w:val="center"/>
        <w:rPr>
          <w:rFonts w:ascii="Museo Sans 300" w:hAnsi="Museo Sans 300"/>
          <w:i/>
          <w:iCs/>
        </w:rPr>
      </w:pPr>
      <w:r w:rsidRPr="00B26945">
        <w:rPr>
          <w:rFonts w:ascii="Museo Sans 300" w:hAnsi="Museo Sans 300"/>
          <w:i/>
          <w:iCs/>
        </w:rPr>
        <w:t xml:space="preserve">Figure </w:t>
      </w:r>
      <w:r w:rsidR="00881B6B">
        <w:rPr>
          <w:rFonts w:ascii="Museo Sans 300" w:hAnsi="Museo Sans 300"/>
          <w:i/>
          <w:iCs/>
        </w:rPr>
        <w:t>4</w:t>
      </w:r>
      <w:r w:rsidRPr="00B26945">
        <w:rPr>
          <w:rFonts w:ascii="Museo Sans 300" w:hAnsi="Museo Sans 300"/>
          <w:i/>
          <w:iCs/>
        </w:rPr>
        <w:t xml:space="preserve">. </w:t>
      </w:r>
      <w:r w:rsidR="00881B6B">
        <w:rPr>
          <w:rFonts w:ascii="Museo Sans 300" w:hAnsi="Museo Sans 300"/>
          <w:i/>
          <w:iCs/>
        </w:rPr>
        <w:t xml:space="preserve">Estimated market share </w:t>
      </w:r>
      <w:r w:rsidR="00863A05">
        <w:rPr>
          <w:rFonts w:ascii="Museo Sans 300" w:hAnsi="Museo Sans 300"/>
          <w:i/>
          <w:iCs/>
        </w:rPr>
        <w:t xml:space="preserve">of </w:t>
      </w:r>
      <w:r w:rsidR="00CD7161">
        <w:rPr>
          <w:rFonts w:ascii="Museo Sans 300" w:hAnsi="Museo Sans 300"/>
          <w:i/>
          <w:iCs/>
        </w:rPr>
        <w:t>domestic vs global card schemes over time</w:t>
      </w:r>
      <w:r w:rsidR="00515936">
        <w:rPr>
          <w:rFonts w:ascii="Museo Sans 300" w:hAnsi="Museo Sans 300"/>
          <w:i/>
          <w:iCs/>
        </w:rPr>
        <w:t xml:space="preserve"> across Europe</w:t>
      </w:r>
      <w:r w:rsidR="00CD7161">
        <w:rPr>
          <w:rFonts w:ascii="Museo Sans 300" w:hAnsi="Museo Sans 300"/>
          <w:i/>
          <w:iCs/>
        </w:rPr>
        <w:t>.</w:t>
      </w:r>
      <w:r w:rsidR="00515936">
        <w:rPr>
          <w:rStyle w:val="FootnoteReference"/>
          <w:rFonts w:ascii="Museo Sans 300" w:hAnsi="Museo Sans 300"/>
          <w:i/>
          <w:iCs/>
        </w:rPr>
        <w:footnoteReference w:id="10"/>
      </w:r>
      <w:r w:rsidR="00CD7161">
        <w:rPr>
          <w:rFonts w:ascii="Museo Sans 300" w:hAnsi="Museo Sans 300"/>
          <w:i/>
          <w:iCs/>
        </w:rPr>
        <w:t xml:space="preserve"> </w:t>
      </w:r>
      <w:r w:rsidR="00055B29">
        <w:rPr>
          <w:rFonts w:ascii="Museo Sans 300" w:hAnsi="Museo Sans 300"/>
          <w:i/>
          <w:iCs/>
        </w:rPr>
        <w:t xml:space="preserve">Source: </w:t>
      </w:r>
      <w:r w:rsidRPr="00B26945">
        <w:rPr>
          <w:rFonts w:ascii="Museo Sans 300" w:hAnsi="Museo Sans 300"/>
          <w:i/>
          <w:iCs/>
        </w:rPr>
        <w:t xml:space="preserve">CMSPI </w:t>
      </w:r>
      <w:proofErr w:type="gramStart"/>
      <w:r w:rsidRPr="00B26945">
        <w:rPr>
          <w:rFonts w:ascii="Museo Sans 300" w:hAnsi="Museo Sans 300"/>
          <w:i/>
          <w:iCs/>
        </w:rPr>
        <w:t>estimates</w:t>
      </w:r>
      <w:proofErr w:type="gramEnd"/>
      <w:r w:rsidRPr="00B26945">
        <w:rPr>
          <w:rFonts w:ascii="Museo Sans 300" w:hAnsi="Museo Sans 300"/>
          <w:i/>
          <w:iCs/>
        </w:rPr>
        <w:t xml:space="preserve"> and analysis based on Euromonitor International data.</w:t>
      </w:r>
    </w:p>
    <w:p w14:paraId="1684CDE3" w14:textId="5E487B3C" w:rsidR="0062309D" w:rsidRPr="00B26945" w:rsidRDefault="002D4F88" w:rsidP="0062309D">
      <w:pPr>
        <w:spacing w:after="160" w:line="259" w:lineRule="auto"/>
        <w:rPr>
          <w:noProof/>
        </w:rPr>
      </w:pPr>
      <w:r>
        <w:rPr>
          <w:rFonts w:ascii="Museo Sans 300" w:hAnsi="Museo Sans 300"/>
        </w:rPr>
        <w:t xml:space="preserve">A key </w:t>
      </w:r>
      <w:r w:rsidR="002023DE">
        <w:rPr>
          <w:rFonts w:ascii="Museo Sans 300" w:hAnsi="Museo Sans 300"/>
        </w:rPr>
        <w:t xml:space="preserve">step taken to encourage competition </w:t>
      </w:r>
      <w:r>
        <w:rPr>
          <w:rFonts w:ascii="Museo Sans 300" w:hAnsi="Museo Sans 300"/>
        </w:rPr>
        <w:t xml:space="preserve">in </w:t>
      </w:r>
      <w:r w:rsidR="002023DE">
        <w:rPr>
          <w:rFonts w:ascii="Museo Sans 300" w:hAnsi="Museo Sans 300"/>
        </w:rPr>
        <w:t xml:space="preserve">the </w:t>
      </w:r>
      <w:r>
        <w:rPr>
          <w:rFonts w:ascii="Museo Sans 300" w:hAnsi="Museo Sans 300"/>
        </w:rPr>
        <w:t>PSD2</w:t>
      </w:r>
      <w:r w:rsidR="007C1E4F" w:rsidRPr="002C1316">
        <w:rPr>
          <w:rFonts w:ascii="Museo Sans 300" w:hAnsi="Museo Sans 300"/>
        </w:rPr>
        <w:t xml:space="preserve"> was laying down the rules for Open Banking throughout the EU, representing a </w:t>
      </w:r>
      <w:r w:rsidR="002C1316" w:rsidRPr="002C1316">
        <w:rPr>
          <w:rFonts w:ascii="Museo Sans 300" w:hAnsi="Museo Sans 300"/>
        </w:rPr>
        <w:t xml:space="preserve">significant step forward </w:t>
      </w:r>
      <w:r w:rsidR="002C1316">
        <w:rPr>
          <w:rFonts w:ascii="Museo Sans 300" w:hAnsi="Museo Sans 300"/>
        </w:rPr>
        <w:t xml:space="preserve">in the global landscape for </w:t>
      </w:r>
      <w:r w:rsidR="00420757">
        <w:rPr>
          <w:rFonts w:ascii="Museo Sans 300" w:hAnsi="Museo Sans 300"/>
        </w:rPr>
        <w:t xml:space="preserve">this form of payment. </w:t>
      </w:r>
    </w:p>
    <w:p w14:paraId="003F27F0" w14:textId="42FCAE2F" w:rsidR="00A911A1" w:rsidRDefault="00A911A1" w:rsidP="0062309D">
      <w:pPr>
        <w:spacing w:after="160" w:line="259" w:lineRule="auto"/>
        <w:rPr>
          <w:rFonts w:ascii="Museo Sans 300" w:hAnsi="Museo Sans 300"/>
        </w:rPr>
      </w:pPr>
      <w:r>
        <w:rPr>
          <w:rFonts w:ascii="Museo Sans 300" w:hAnsi="Museo Sans 300"/>
        </w:rPr>
        <w:t xml:space="preserve">However, there remains significant variation across Europe in </w:t>
      </w:r>
      <w:r w:rsidR="00EC27ED">
        <w:rPr>
          <w:rFonts w:ascii="Museo Sans 300" w:hAnsi="Museo Sans 300"/>
        </w:rPr>
        <w:t>the viability of Open Banking technology for merchants.</w:t>
      </w:r>
      <w:r w:rsidR="00262189">
        <w:rPr>
          <w:rFonts w:ascii="Museo Sans 300" w:hAnsi="Museo Sans 300"/>
        </w:rPr>
        <w:t xml:space="preserve"> According to data from Mastercard</w:t>
      </w:r>
      <w:r w:rsidR="002D3216">
        <w:rPr>
          <w:rFonts w:ascii="Museo Sans 300" w:hAnsi="Museo Sans 300"/>
        </w:rPr>
        <w:t xml:space="preserve">’s Open Banking Tracker, just 5% of </w:t>
      </w:r>
      <w:r w:rsidR="001E7628">
        <w:rPr>
          <w:rFonts w:ascii="Museo Sans 300" w:hAnsi="Museo Sans 300"/>
        </w:rPr>
        <w:t xml:space="preserve">the 529 </w:t>
      </w:r>
      <w:r w:rsidR="002D3216">
        <w:rPr>
          <w:rFonts w:ascii="Museo Sans 300" w:hAnsi="Museo Sans 300"/>
        </w:rPr>
        <w:t>third-party Open Banking registrations in Q4 2021 were from Payment Initiation Service Providers (PISPs)</w:t>
      </w:r>
      <w:r w:rsidR="00FF16D3">
        <w:rPr>
          <w:rFonts w:ascii="Museo Sans 300" w:hAnsi="Museo Sans 300"/>
        </w:rPr>
        <w:t>, falling from 6% the previous quarter</w:t>
      </w:r>
      <w:r w:rsidR="002D3216">
        <w:rPr>
          <w:rFonts w:ascii="Museo Sans 300" w:hAnsi="Museo Sans 300"/>
        </w:rPr>
        <w:t>. The UK remains the market with the greatest third-party</w:t>
      </w:r>
      <w:r w:rsidR="00A71134">
        <w:rPr>
          <w:rFonts w:ascii="Museo Sans 300" w:hAnsi="Museo Sans 300"/>
        </w:rPr>
        <w:t xml:space="preserve"> home</w:t>
      </w:r>
      <w:r w:rsidR="002D3216">
        <w:rPr>
          <w:rFonts w:ascii="Museo Sans 300" w:hAnsi="Museo Sans 300"/>
        </w:rPr>
        <w:t xml:space="preserve"> registrations </w:t>
      </w:r>
      <w:r w:rsidR="00A71134">
        <w:rPr>
          <w:rFonts w:ascii="Museo Sans 300" w:hAnsi="Museo Sans 300"/>
        </w:rPr>
        <w:t>with 216, followed by Germany with 37.</w:t>
      </w:r>
      <w:r w:rsidR="00AC5FA8">
        <w:rPr>
          <w:rStyle w:val="FootnoteReference"/>
          <w:rFonts w:ascii="Museo Sans 300" w:hAnsi="Museo Sans 300"/>
        </w:rPr>
        <w:footnoteReference w:id="11"/>
      </w:r>
      <w:r w:rsidR="00A71134">
        <w:rPr>
          <w:rFonts w:ascii="Museo Sans 300" w:hAnsi="Museo Sans 300"/>
        </w:rPr>
        <w:t xml:space="preserve"> </w:t>
      </w:r>
      <w:r w:rsidR="005E4FE3">
        <w:rPr>
          <w:rFonts w:ascii="Museo Sans 300" w:hAnsi="Museo Sans 300"/>
        </w:rPr>
        <w:t>Inconsistency across API standards</w:t>
      </w:r>
      <w:r w:rsidR="007D466E">
        <w:rPr>
          <w:rFonts w:ascii="Museo Sans 300" w:hAnsi="Museo Sans 300"/>
        </w:rPr>
        <w:t xml:space="preserve">, as well as variation in </w:t>
      </w:r>
      <w:r w:rsidR="00130AAC">
        <w:rPr>
          <w:rFonts w:ascii="Museo Sans 300" w:hAnsi="Museo Sans 300"/>
        </w:rPr>
        <w:t>requirements from different countries (</w:t>
      </w:r>
      <w:proofErr w:type="gramStart"/>
      <w:r w:rsidR="00130AAC">
        <w:rPr>
          <w:rFonts w:ascii="Museo Sans 300" w:hAnsi="Museo Sans 300"/>
        </w:rPr>
        <w:t>e.g.</w:t>
      </w:r>
      <w:proofErr w:type="gramEnd"/>
      <w:r w:rsidR="00130AAC">
        <w:rPr>
          <w:rFonts w:ascii="Museo Sans 300" w:hAnsi="Museo Sans 300"/>
        </w:rPr>
        <w:t xml:space="preserve"> in data fields</w:t>
      </w:r>
      <w:r w:rsidR="008B39A8">
        <w:rPr>
          <w:rFonts w:ascii="Museo Sans 300" w:hAnsi="Museo Sans 300"/>
        </w:rPr>
        <w:t xml:space="preserve">, </w:t>
      </w:r>
      <w:r w:rsidR="00130AAC">
        <w:rPr>
          <w:rFonts w:ascii="Museo Sans 300" w:hAnsi="Museo Sans 300"/>
        </w:rPr>
        <w:t>number of redirects</w:t>
      </w:r>
      <w:r w:rsidR="008B39A8">
        <w:rPr>
          <w:rFonts w:ascii="Museo Sans 300" w:hAnsi="Museo Sans 300"/>
        </w:rPr>
        <w:t>, user consent requirements</w:t>
      </w:r>
      <w:r w:rsidR="00130AAC">
        <w:rPr>
          <w:rFonts w:ascii="Museo Sans 300" w:hAnsi="Museo Sans 300"/>
        </w:rPr>
        <w:t>)</w:t>
      </w:r>
      <w:r w:rsidR="002D4AFF">
        <w:rPr>
          <w:rFonts w:ascii="Museo Sans 300" w:hAnsi="Museo Sans 300"/>
        </w:rPr>
        <w:t xml:space="preserve"> leads to difficulties</w:t>
      </w:r>
      <w:r w:rsidR="00C04D2A">
        <w:rPr>
          <w:rFonts w:ascii="Museo Sans 300" w:hAnsi="Museo Sans 300"/>
        </w:rPr>
        <w:t xml:space="preserve"> for both merchants and their PISPs in expanding across markets or offering cross-border </w:t>
      </w:r>
      <w:r w:rsidR="0049174F">
        <w:rPr>
          <w:rFonts w:ascii="Museo Sans 300" w:hAnsi="Museo Sans 300"/>
        </w:rPr>
        <w:t>payments</w:t>
      </w:r>
      <w:r w:rsidR="00C04D2A">
        <w:rPr>
          <w:rFonts w:ascii="Museo Sans 300" w:hAnsi="Museo Sans 300"/>
        </w:rPr>
        <w:t xml:space="preserve">. </w:t>
      </w:r>
      <w:r w:rsidR="0016523B">
        <w:rPr>
          <w:rFonts w:ascii="Museo Sans 300" w:hAnsi="Museo Sans 300"/>
        </w:rPr>
        <w:t xml:space="preserve">In CMSPI’s experience, merchants are therefore reluctant to be first-movers in </w:t>
      </w:r>
      <w:r w:rsidR="00BB79E7">
        <w:rPr>
          <w:rFonts w:ascii="Museo Sans 300" w:hAnsi="Museo Sans 300"/>
        </w:rPr>
        <w:t>accepting Open Banking</w:t>
      </w:r>
      <w:r w:rsidR="0016523B">
        <w:rPr>
          <w:rFonts w:ascii="Museo Sans 300" w:hAnsi="Museo Sans 300"/>
        </w:rPr>
        <w:t xml:space="preserve">, </w:t>
      </w:r>
      <w:r w:rsidR="000E6E00">
        <w:rPr>
          <w:rFonts w:ascii="Museo Sans 300" w:hAnsi="Museo Sans 300"/>
        </w:rPr>
        <w:t xml:space="preserve">especially </w:t>
      </w:r>
      <w:r w:rsidR="009A6D9B">
        <w:rPr>
          <w:rFonts w:ascii="Museo Sans 300" w:hAnsi="Museo Sans 300"/>
        </w:rPr>
        <w:t>as</w:t>
      </w:r>
      <w:r w:rsidR="00BB79E7">
        <w:rPr>
          <w:rFonts w:ascii="Museo Sans 300" w:hAnsi="Museo Sans 300"/>
        </w:rPr>
        <w:t xml:space="preserve"> it </w:t>
      </w:r>
      <w:r w:rsidR="009A6D9B">
        <w:rPr>
          <w:rFonts w:ascii="Museo Sans 300" w:hAnsi="Museo Sans 300"/>
        </w:rPr>
        <w:t xml:space="preserve">has yet to build the economies of scale </w:t>
      </w:r>
      <w:r w:rsidR="00D96117">
        <w:rPr>
          <w:rFonts w:ascii="Museo Sans 300" w:hAnsi="Museo Sans 300"/>
        </w:rPr>
        <w:t xml:space="preserve">seen in card payments. </w:t>
      </w:r>
    </w:p>
    <w:p w14:paraId="2581596D" w14:textId="5F6C0CE3" w:rsidR="00D96117" w:rsidRDefault="00D96117" w:rsidP="0062309D">
      <w:pPr>
        <w:spacing w:after="160" w:line="259" w:lineRule="auto"/>
        <w:rPr>
          <w:rFonts w:ascii="Museo Sans 300" w:hAnsi="Museo Sans 300"/>
        </w:rPr>
      </w:pPr>
      <w:r>
        <w:rPr>
          <w:rFonts w:ascii="Museo Sans 300" w:hAnsi="Museo Sans 300"/>
        </w:rPr>
        <w:lastRenderedPageBreak/>
        <w:t xml:space="preserve">If unaddressed, this limitation could worsen as CMSPI has </w:t>
      </w:r>
      <w:r w:rsidR="0050223C">
        <w:rPr>
          <w:rFonts w:ascii="Museo Sans 300" w:hAnsi="Museo Sans 300"/>
        </w:rPr>
        <w:t>heard concerns</w:t>
      </w:r>
      <w:r>
        <w:rPr>
          <w:rFonts w:ascii="Museo Sans 300" w:hAnsi="Museo Sans 300"/>
        </w:rPr>
        <w:t xml:space="preserve"> that </w:t>
      </w:r>
      <w:r w:rsidR="000A3990">
        <w:rPr>
          <w:rFonts w:ascii="Museo Sans 300" w:hAnsi="Museo Sans 300"/>
        </w:rPr>
        <w:t xml:space="preserve">new commercial structures </w:t>
      </w:r>
      <w:r w:rsidR="00257B1F">
        <w:rPr>
          <w:rFonts w:ascii="Museo Sans 300" w:hAnsi="Museo Sans 300"/>
        </w:rPr>
        <w:t xml:space="preserve">could </w:t>
      </w:r>
      <w:r w:rsidR="000A3990">
        <w:rPr>
          <w:rFonts w:ascii="Museo Sans 300" w:hAnsi="Museo Sans 300"/>
        </w:rPr>
        <w:t>be introduced for Open Banking to facilitate the market’s development</w:t>
      </w:r>
      <w:r>
        <w:rPr>
          <w:rFonts w:ascii="Museo Sans 300" w:hAnsi="Museo Sans 300"/>
        </w:rPr>
        <w:t xml:space="preserve">. In particular, this </w:t>
      </w:r>
      <w:r w:rsidR="00470B5C">
        <w:rPr>
          <w:rFonts w:ascii="Museo Sans 300" w:hAnsi="Museo Sans 300"/>
        </w:rPr>
        <w:t xml:space="preserve">could </w:t>
      </w:r>
      <w:r>
        <w:rPr>
          <w:rFonts w:ascii="Museo Sans 300" w:hAnsi="Museo Sans 300"/>
        </w:rPr>
        <w:t>include the introduction of</w:t>
      </w:r>
      <w:r w:rsidR="000E3BBC">
        <w:rPr>
          <w:rFonts w:ascii="Museo Sans 300" w:hAnsi="Museo Sans 300"/>
        </w:rPr>
        <w:t xml:space="preserve"> </w:t>
      </w:r>
      <w:proofErr w:type="gramStart"/>
      <w:r w:rsidR="000E3BBC">
        <w:rPr>
          <w:rFonts w:ascii="Museo Sans 300" w:hAnsi="Museo Sans 300"/>
        </w:rPr>
        <w:t>multilaterally-set</w:t>
      </w:r>
      <w:proofErr w:type="gramEnd"/>
      <w:r>
        <w:rPr>
          <w:rFonts w:ascii="Museo Sans 300" w:hAnsi="Museo Sans 300"/>
        </w:rPr>
        <w:t xml:space="preserve"> </w:t>
      </w:r>
      <w:r w:rsidR="00EC6310">
        <w:rPr>
          <w:rFonts w:ascii="Museo Sans 300" w:hAnsi="Museo Sans 300"/>
        </w:rPr>
        <w:t xml:space="preserve">fees </w:t>
      </w:r>
      <w:r w:rsidR="0050223C">
        <w:rPr>
          <w:rFonts w:ascii="Museo Sans 300" w:hAnsi="Museo Sans 300"/>
        </w:rPr>
        <w:t xml:space="preserve">charged to PISPs by issuing banks for </w:t>
      </w:r>
      <w:r w:rsidR="00C26643">
        <w:rPr>
          <w:rFonts w:ascii="Museo Sans 300" w:hAnsi="Museo Sans 300"/>
        </w:rPr>
        <w:t xml:space="preserve">the </w:t>
      </w:r>
      <w:r w:rsidR="0050223C">
        <w:rPr>
          <w:rFonts w:ascii="Museo Sans 300" w:hAnsi="Museo Sans 300"/>
        </w:rPr>
        <w:t xml:space="preserve">use of </w:t>
      </w:r>
      <w:r w:rsidR="00470B5C">
        <w:rPr>
          <w:rFonts w:ascii="Museo Sans 300" w:hAnsi="Museo Sans 300"/>
        </w:rPr>
        <w:t>Open Banking technology</w:t>
      </w:r>
      <w:r w:rsidR="0050223C">
        <w:rPr>
          <w:rFonts w:ascii="Museo Sans 300" w:hAnsi="Museo Sans 300"/>
        </w:rPr>
        <w:t xml:space="preserve">, which </w:t>
      </w:r>
      <w:r w:rsidR="00C26643">
        <w:rPr>
          <w:rFonts w:ascii="Museo Sans 300" w:hAnsi="Museo Sans 300"/>
        </w:rPr>
        <w:t>may</w:t>
      </w:r>
      <w:r w:rsidR="0050223C">
        <w:rPr>
          <w:rFonts w:ascii="Museo Sans 300" w:hAnsi="Museo Sans 300"/>
        </w:rPr>
        <w:t xml:space="preserve"> be passed on to merchants similar</w:t>
      </w:r>
      <w:r w:rsidR="003E6452">
        <w:rPr>
          <w:rFonts w:ascii="Museo Sans 300" w:hAnsi="Museo Sans 300"/>
        </w:rPr>
        <w:t>ly</w:t>
      </w:r>
      <w:r w:rsidR="0050223C">
        <w:rPr>
          <w:rFonts w:ascii="Museo Sans 300" w:hAnsi="Museo Sans 300"/>
        </w:rPr>
        <w:t xml:space="preserve"> to interchange but without equivalent regulatory </w:t>
      </w:r>
      <w:r w:rsidR="5BBFFB8C" w:rsidRPr="0C0F9696">
        <w:rPr>
          <w:rFonts w:ascii="Museo Sans 300" w:hAnsi="Museo Sans 300"/>
        </w:rPr>
        <w:t>protections.</w:t>
      </w:r>
      <w:r w:rsidR="0050223C">
        <w:rPr>
          <w:rFonts w:ascii="Museo Sans 300" w:hAnsi="Museo Sans 300"/>
        </w:rPr>
        <w:t xml:space="preserve"> </w:t>
      </w:r>
      <w:r w:rsidR="00C26643">
        <w:rPr>
          <w:rFonts w:ascii="Museo Sans 300" w:hAnsi="Museo Sans 300"/>
        </w:rPr>
        <w:t xml:space="preserve">Rather than </w:t>
      </w:r>
      <w:r w:rsidR="00AF64AF">
        <w:rPr>
          <w:rFonts w:ascii="Museo Sans 300" w:hAnsi="Museo Sans 300"/>
        </w:rPr>
        <w:t xml:space="preserve">removing fee income which could stifle market incentives (as the IFR </w:t>
      </w:r>
      <w:r w:rsidR="000E3BBC">
        <w:rPr>
          <w:rFonts w:ascii="Museo Sans 300" w:hAnsi="Museo Sans 300"/>
        </w:rPr>
        <w:t>intended), this could replicate the</w:t>
      </w:r>
      <w:r w:rsidR="00B676DD">
        <w:rPr>
          <w:rFonts w:ascii="Museo Sans 300" w:hAnsi="Museo Sans 300"/>
        </w:rPr>
        <w:t xml:space="preserve"> same</w:t>
      </w:r>
      <w:r w:rsidR="000E3BBC">
        <w:rPr>
          <w:rFonts w:ascii="Museo Sans 300" w:hAnsi="Museo Sans 300"/>
        </w:rPr>
        <w:t xml:space="preserve"> structure in a new sphere. </w:t>
      </w:r>
      <w:r w:rsidR="0050223C">
        <w:rPr>
          <w:rFonts w:ascii="Museo Sans 300" w:hAnsi="Museo Sans 300"/>
        </w:rPr>
        <w:t>This c</w:t>
      </w:r>
      <w:r w:rsidR="003E6452">
        <w:rPr>
          <w:rFonts w:ascii="Museo Sans 300" w:hAnsi="Museo Sans 300"/>
        </w:rPr>
        <w:t>ould</w:t>
      </w:r>
      <w:r w:rsidR="0050223C">
        <w:rPr>
          <w:rFonts w:ascii="Museo Sans 300" w:hAnsi="Museo Sans 300"/>
        </w:rPr>
        <w:t xml:space="preserve"> further stifle merchant adoption</w:t>
      </w:r>
      <w:r w:rsidR="008E6D1A">
        <w:rPr>
          <w:rFonts w:ascii="Museo Sans 300" w:hAnsi="Museo Sans 300"/>
        </w:rPr>
        <w:t>, intended benefits for consumers,</w:t>
      </w:r>
      <w:r w:rsidR="0050223C">
        <w:rPr>
          <w:rFonts w:ascii="Museo Sans 300" w:hAnsi="Museo Sans 300"/>
        </w:rPr>
        <w:t xml:space="preserve"> and the competition provided by Open Banking as an alternative payment instrument</w:t>
      </w:r>
      <w:r w:rsidR="00BA3DED">
        <w:rPr>
          <w:rFonts w:ascii="Museo Sans 300" w:hAnsi="Museo Sans 300"/>
        </w:rPr>
        <w:t xml:space="preserve">. </w:t>
      </w:r>
    </w:p>
    <w:p w14:paraId="29B865D5" w14:textId="512950F3" w:rsidR="00BA3DED" w:rsidRPr="00BA3DED" w:rsidRDefault="00BA3DED" w:rsidP="0062309D">
      <w:pPr>
        <w:spacing w:after="160" w:line="259" w:lineRule="auto"/>
        <w:rPr>
          <w:rFonts w:ascii="Museo Sans 700" w:hAnsi="Museo Sans 700"/>
          <w:color w:val="004F5F" w:themeColor="accent3"/>
          <w:sz w:val="24"/>
          <w:szCs w:val="24"/>
        </w:rPr>
      </w:pPr>
      <w:r w:rsidRPr="00BA3DED">
        <w:rPr>
          <w:rFonts w:ascii="Museo Sans 700" w:hAnsi="Museo Sans 700"/>
          <w:color w:val="004F5F" w:themeColor="accent3"/>
          <w:sz w:val="24"/>
          <w:szCs w:val="24"/>
        </w:rPr>
        <w:t>Summary</w:t>
      </w:r>
    </w:p>
    <w:p w14:paraId="3EE44646" w14:textId="245652B0" w:rsidR="00D50DEB" w:rsidRDefault="002642BA" w:rsidP="00050B50">
      <w:pPr>
        <w:rPr>
          <w:rFonts w:ascii="Museo Sans 300" w:hAnsi="Museo Sans 300"/>
        </w:rPr>
      </w:pPr>
      <w:r>
        <w:rPr>
          <w:rFonts w:ascii="Museo Sans 300" w:hAnsi="Museo Sans 300"/>
        </w:rPr>
        <w:t xml:space="preserve">The Second Payment Services Directive </w:t>
      </w:r>
      <w:r w:rsidR="007367DF">
        <w:rPr>
          <w:rFonts w:ascii="Museo Sans 300" w:hAnsi="Museo Sans 300"/>
        </w:rPr>
        <w:t xml:space="preserve">represented a significant shift </w:t>
      </w:r>
      <w:r w:rsidR="00E6724C">
        <w:rPr>
          <w:rFonts w:ascii="Museo Sans 300" w:hAnsi="Museo Sans 300"/>
        </w:rPr>
        <w:t>in</w:t>
      </w:r>
      <w:r w:rsidR="007367DF">
        <w:rPr>
          <w:rFonts w:ascii="Museo Sans 300" w:hAnsi="Museo Sans 300"/>
        </w:rPr>
        <w:t xml:space="preserve"> the European payments market. Its goals of creating a more secure, competitive, and innovative market are closely aligned with </w:t>
      </w:r>
      <w:r w:rsidR="0079029A">
        <w:rPr>
          <w:rFonts w:ascii="Museo Sans 300" w:hAnsi="Museo Sans 300"/>
        </w:rPr>
        <w:t xml:space="preserve">those of </w:t>
      </w:r>
      <w:r w:rsidR="007367DF">
        <w:rPr>
          <w:rFonts w:ascii="Museo Sans 300" w:hAnsi="Museo Sans 300"/>
        </w:rPr>
        <w:t xml:space="preserve">merchants across the continent, who continue to </w:t>
      </w:r>
      <w:r w:rsidR="005E6611">
        <w:rPr>
          <w:rFonts w:ascii="Museo Sans 300" w:hAnsi="Museo Sans 300"/>
        </w:rPr>
        <w:t xml:space="preserve">invest in fraud prevention and advocate for </w:t>
      </w:r>
      <w:r w:rsidR="008836FE">
        <w:rPr>
          <w:rFonts w:ascii="Museo Sans 300" w:hAnsi="Museo Sans 300"/>
        </w:rPr>
        <w:t xml:space="preserve">competition-based </w:t>
      </w:r>
      <w:r w:rsidR="569D154C" w:rsidRPr="51B5FDD5">
        <w:rPr>
          <w:rFonts w:ascii="Museo Sans 300" w:hAnsi="Museo Sans 300"/>
        </w:rPr>
        <w:t xml:space="preserve">policies and </w:t>
      </w:r>
      <w:r w:rsidR="008836FE">
        <w:rPr>
          <w:rFonts w:ascii="Museo Sans 300" w:hAnsi="Museo Sans 300"/>
        </w:rPr>
        <w:t xml:space="preserve">regulation. </w:t>
      </w:r>
    </w:p>
    <w:p w14:paraId="09C867D9" w14:textId="77777777" w:rsidR="00D50DEB" w:rsidRDefault="00D50DEB" w:rsidP="00050B50">
      <w:pPr>
        <w:rPr>
          <w:rFonts w:ascii="Museo Sans 300" w:hAnsi="Museo Sans 300"/>
        </w:rPr>
      </w:pPr>
    </w:p>
    <w:p w14:paraId="57A68986" w14:textId="29DA5D08" w:rsidR="00AF0906" w:rsidRPr="00050B50" w:rsidRDefault="008836FE" w:rsidP="00050B50">
      <w:pPr>
        <w:rPr>
          <w:rFonts w:ascii="Museo Sans 300" w:hAnsi="Museo Sans 300"/>
        </w:rPr>
      </w:pPr>
      <w:r>
        <w:rPr>
          <w:rFonts w:ascii="Museo Sans 300" w:hAnsi="Museo Sans 300"/>
        </w:rPr>
        <w:t xml:space="preserve">However, there are </w:t>
      </w:r>
      <w:proofErr w:type="gramStart"/>
      <w:r>
        <w:rPr>
          <w:rFonts w:ascii="Museo Sans 300" w:hAnsi="Museo Sans 300"/>
        </w:rPr>
        <w:t>a number of</w:t>
      </w:r>
      <w:proofErr w:type="gramEnd"/>
      <w:r>
        <w:rPr>
          <w:rFonts w:ascii="Museo Sans 300" w:hAnsi="Museo Sans 300"/>
        </w:rPr>
        <w:t xml:space="preserve"> areas </w:t>
      </w:r>
      <w:r w:rsidR="00D50DEB">
        <w:rPr>
          <w:rFonts w:ascii="Museo Sans 300" w:hAnsi="Museo Sans 300"/>
        </w:rPr>
        <w:t>in which</w:t>
      </w:r>
      <w:r>
        <w:rPr>
          <w:rFonts w:ascii="Museo Sans 300" w:hAnsi="Museo Sans 300"/>
        </w:rPr>
        <w:t xml:space="preserve"> the regulation </w:t>
      </w:r>
      <w:r w:rsidR="569D154C" w:rsidRPr="0C0F9696">
        <w:rPr>
          <w:rFonts w:ascii="Museo Sans 300" w:hAnsi="Museo Sans 300"/>
        </w:rPr>
        <w:t xml:space="preserve">could </w:t>
      </w:r>
      <w:r w:rsidR="00B75043">
        <w:rPr>
          <w:rFonts w:ascii="Museo Sans 300" w:hAnsi="Museo Sans 300"/>
        </w:rPr>
        <w:t>be</w:t>
      </w:r>
      <w:r w:rsidR="569D154C" w:rsidRPr="0C0F9696">
        <w:rPr>
          <w:rFonts w:ascii="Museo Sans 300" w:hAnsi="Museo Sans 300"/>
        </w:rPr>
        <w:t xml:space="preserve"> strengthen</w:t>
      </w:r>
      <w:r w:rsidR="00B75043">
        <w:rPr>
          <w:rFonts w:ascii="Museo Sans 300" w:hAnsi="Museo Sans 300"/>
        </w:rPr>
        <w:t>ed</w:t>
      </w:r>
      <w:r>
        <w:rPr>
          <w:rFonts w:ascii="Museo Sans 300" w:hAnsi="Museo Sans 300"/>
        </w:rPr>
        <w:t xml:space="preserve"> for merchants</w:t>
      </w:r>
      <w:r w:rsidR="00B75043">
        <w:rPr>
          <w:rFonts w:ascii="Museo Sans 300" w:hAnsi="Museo Sans 300"/>
        </w:rPr>
        <w:t xml:space="preserve"> and consumers</w:t>
      </w:r>
      <w:r>
        <w:rPr>
          <w:rFonts w:ascii="Museo Sans 300" w:hAnsi="Museo Sans 300"/>
        </w:rPr>
        <w:t xml:space="preserve"> to access its </w:t>
      </w:r>
      <w:r w:rsidR="006D15D9">
        <w:rPr>
          <w:rFonts w:ascii="Museo Sans 300" w:hAnsi="Museo Sans 300"/>
        </w:rPr>
        <w:t xml:space="preserve">full </w:t>
      </w:r>
      <w:r>
        <w:rPr>
          <w:rFonts w:ascii="Museo Sans 300" w:hAnsi="Museo Sans 300"/>
        </w:rPr>
        <w:t xml:space="preserve">benefits. </w:t>
      </w:r>
      <w:proofErr w:type="gramStart"/>
      <w:r>
        <w:rPr>
          <w:rFonts w:ascii="Museo Sans 300" w:hAnsi="Museo Sans 300"/>
        </w:rPr>
        <w:t xml:space="preserve">In particular, </w:t>
      </w:r>
      <w:r w:rsidR="00962BC5">
        <w:rPr>
          <w:rFonts w:ascii="Museo Sans 300" w:hAnsi="Museo Sans 300"/>
        </w:rPr>
        <w:t>there</w:t>
      </w:r>
      <w:proofErr w:type="gramEnd"/>
      <w:r w:rsidR="00962BC5">
        <w:rPr>
          <w:rFonts w:ascii="Museo Sans 300" w:hAnsi="Museo Sans 300"/>
        </w:rPr>
        <w:t xml:space="preserve"> is limited evidence that SCA requirements have reduced payments fraud</w:t>
      </w:r>
      <w:r w:rsidR="00285227">
        <w:rPr>
          <w:rFonts w:ascii="Museo Sans 300" w:hAnsi="Museo Sans 300"/>
        </w:rPr>
        <w:t xml:space="preserve"> in CMSPI’s experience, </w:t>
      </w:r>
      <w:r w:rsidR="00BC6319">
        <w:rPr>
          <w:rFonts w:ascii="Museo Sans 300" w:hAnsi="Museo Sans 300"/>
        </w:rPr>
        <w:t xml:space="preserve">and those </w:t>
      </w:r>
      <w:r w:rsidR="00602170">
        <w:rPr>
          <w:rFonts w:ascii="Museo Sans 300" w:hAnsi="Museo Sans 300"/>
        </w:rPr>
        <w:t>merchants attempting to</w:t>
      </w:r>
      <w:r w:rsidR="00420F92">
        <w:rPr>
          <w:rFonts w:ascii="Museo Sans 300" w:hAnsi="Museo Sans 300"/>
        </w:rPr>
        <w:t xml:space="preserve"> reduce</w:t>
      </w:r>
      <w:r w:rsidR="0056725C">
        <w:rPr>
          <w:rFonts w:ascii="Museo Sans 300" w:hAnsi="Museo Sans 300"/>
        </w:rPr>
        <w:t xml:space="preserve"> SCA</w:t>
      </w:r>
      <w:r w:rsidR="00420F92">
        <w:rPr>
          <w:rFonts w:ascii="Museo Sans 300" w:hAnsi="Museo Sans 300"/>
        </w:rPr>
        <w:t xml:space="preserve"> friction face a number of informational, cost, and technical difficulties when </w:t>
      </w:r>
      <w:r w:rsidR="00C16B69">
        <w:rPr>
          <w:rFonts w:ascii="Museo Sans 300" w:hAnsi="Museo Sans 300"/>
        </w:rPr>
        <w:t xml:space="preserve">accessing exemptions. Similarly, </w:t>
      </w:r>
      <w:r w:rsidR="00250C99">
        <w:rPr>
          <w:rFonts w:ascii="Museo Sans 300" w:hAnsi="Museo Sans 300"/>
        </w:rPr>
        <w:t xml:space="preserve">there is a concern that surcharging provisions </w:t>
      </w:r>
      <w:r w:rsidR="73EDEDBA" w:rsidRPr="0C0F9696">
        <w:rPr>
          <w:rFonts w:ascii="Museo Sans 300" w:hAnsi="Museo Sans 300"/>
        </w:rPr>
        <w:t xml:space="preserve">that limit merchants from </w:t>
      </w:r>
      <w:r w:rsidR="00764E11" w:rsidRPr="0C0F9696">
        <w:rPr>
          <w:rFonts w:ascii="Museo Sans 300" w:hAnsi="Museo Sans 300"/>
        </w:rPr>
        <w:t>signalling</w:t>
      </w:r>
      <w:r w:rsidR="73EDEDBA" w:rsidRPr="0C0F9696">
        <w:rPr>
          <w:rFonts w:ascii="Museo Sans 300" w:hAnsi="Museo Sans 300"/>
        </w:rPr>
        <w:t xml:space="preserve"> the true cost of acceptance for a payment card type could </w:t>
      </w:r>
      <w:r w:rsidR="00250C99">
        <w:rPr>
          <w:rFonts w:ascii="Museo Sans 300" w:hAnsi="Museo Sans 300"/>
        </w:rPr>
        <w:t>have had the effect of limiting competition between payment methods</w:t>
      </w:r>
      <w:r w:rsidR="00DA1279">
        <w:rPr>
          <w:rFonts w:ascii="Museo Sans 300" w:hAnsi="Museo Sans 300"/>
        </w:rPr>
        <w:t xml:space="preserve">, which could adversely affect consumers </w:t>
      </w:r>
      <w:r w:rsidR="00AD13E3">
        <w:rPr>
          <w:rFonts w:ascii="Museo Sans 300" w:hAnsi="Museo Sans 300"/>
        </w:rPr>
        <w:t xml:space="preserve">in the </w:t>
      </w:r>
      <w:proofErr w:type="gramStart"/>
      <w:r w:rsidR="00AD13E3">
        <w:rPr>
          <w:rFonts w:ascii="Museo Sans 300" w:hAnsi="Museo Sans 300"/>
        </w:rPr>
        <w:t>long-run</w:t>
      </w:r>
      <w:proofErr w:type="gramEnd"/>
      <w:r w:rsidR="00AD13E3">
        <w:rPr>
          <w:rFonts w:ascii="Museo Sans 300" w:hAnsi="Museo Sans 300"/>
        </w:rPr>
        <w:t xml:space="preserve"> </w:t>
      </w:r>
      <w:r w:rsidR="00112FD6">
        <w:rPr>
          <w:rFonts w:ascii="Museo Sans 300" w:hAnsi="Museo Sans 300"/>
        </w:rPr>
        <w:t>by limiting the</w:t>
      </w:r>
      <w:r w:rsidR="006831F6">
        <w:rPr>
          <w:rFonts w:ascii="Museo Sans 300" w:hAnsi="Museo Sans 300"/>
        </w:rPr>
        <w:t xml:space="preserve">ir ability to make informed choices. </w:t>
      </w:r>
      <w:r w:rsidR="00EA0123">
        <w:rPr>
          <w:rFonts w:ascii="Museo Sans 300" w:hAnsi="Museo Sans 300"/>
        </w:rPr>
        <w:t>This competition is equally important in promoting Open Banking technology, which</w:t>
      </w:r>
      <w:r w:rsidR="00217248">
        <w:rPr>
          <w:rFonts w:ascii="Museo Sans 300" w:hAnsi="Museo Sans 300"/>
        </w:rPr>
        <w:t xml:space="preserve"> would benefit from greater</w:t>
      </w:r>
      <w:r w:rsidR="00492006">
        <w:rPr>
          <w:rFonts w:ascii="Museo Sans 300" w:hAnsi="Museo Sans 300"/>
        </w:rPr>
        <w:t xml:space="preserve"> consistency across </w:t>
      </w:r>
      <w:r w:rsidR="009F2578">
        <w:rPr>
          <w:rFonts w:ascii="Museo Sans 300" w:hAnsi="Museo Sans 300"/>
        </w:rPr>
        <w:t xml:space="preserve">standards, as well as </w:t>
      </w:r>
      <w:r w:rsidR="00B12255">
        <w:rPr>
          <w:rFonts w:ascii="Museo Sans 300" w:hAnsi="Museo Sans 300"/>
        </w:rPr>
        <w:t>protection f</w:t>
      </w:r>
      <w:r w:rsidR="00CB50C6">
        <w:rPr>
          <w:rFonts w:ascii="Museo Sans 300" w:hAnsi="Museo Sans 300"/>
        </w:rPr>
        <w:t xml:space="preserve">rom the introduction of </w:t>
      </w:r>
      <w:r w:rsidR="000A331C">
        <w:rPr>
          <w:rFonts w:ascii="Museo Sans 300" w:hAnsi="Museo Sans 300"/>
        </w:rPr>
        <w:t xml:space="preserve">non-negotiable </w:t>
      </w:r>
      <w:r w:rsidR="00CB50C6">
        <w:rPr>
          <w:rFonts w:ascii="Museo Sans 300" w:hAnsi="Museo Sans 300"/>
        </w:rPr>
        <w:t xml:space="preserve">charging structures </w:t>
      </w:r>
      <w:r w:rsidR="0EF04CB7" w:rsidRPr="0C0F9696">
        <w:rPr>
          <w:rFonts w:ascii="Museo Sans 300" w:hAnsi="Museo Sans 300"/>
        </w:rPr>
        <w:t>reminiscent</w:t>
      </w:r>
      <w:r w:rsidR="00CB50C6">
        <w:rPr>
          <w:rFonts w:ascii="Museo Sans 300" w:hAnsi="Museo Sans 300"/>
        </w:rPr>
        <w:t xml:space="preserve"> of those it hopes to replace. </w:t>
      </w:r>
    </w:p>
    <w:p w14:paraId="103D953F" w14:textId="259357F2" w:rsidR="00050B50" w:rsidRPr="00050B50" w:rsidRDefault="00050B50" w:rsidP="00050B50">
      <w:pPr>
        <w:rPr>
          <w:rFonts w:ascii="Museo Sans 300" w:hAnsi="Museo Sans 300"/>
        </w:rPr>
      </w:pPr>
    </w:p>
    <w:p w14:paraId="20A1B263" w14:textId="764540C6" w:rsidR="00050B50" w:rsidRPr="00050B50" w:rsidRDefault="00050B50" w:rsidP="00050B50">
      <w:pPr>
        <w:rPr>
          <w:rFonts w:ascii="Museo Sans 300" w:hAnsi="Museo Sans 300"/>
        </w:rPr>
      </w:pPr>
    </w:p>
    <w:p w14:paraId="59D2F0B4" w14:textId="0C68FE23" w:rsidR="00050B50" w:rsidRPr="00050B50" w:rsidRDefault="00050B50" w:rsidP="00050B50">
      <w:pPr>
        <w:rPr>
          <w:rFonts w:ascii="Museo Sans 300" w:hAnsi="Museo Sans 300"/>
        </w:rPr>
      </w:pPr>
    </w:p>
    <w:p w14:paraId="32EA48E7" w14:textId="60FB84A2" w:rsidR="00050B50" w:rsidRPr="00050B50" w:rsidRDefault="00050B50" w:rsidP="00050B50">
      <w:pPr>
        <w:rPr>
          <w:rFonts w:ascii="Museo Sans 300" w:hAnsi="Museo Sans 300"/>
        </w:rPr>
      </w:pPr>
    </w:p>
    <w:p w14:paraId="2C1C15F7" w14:textId="4C8379C6" w:rsidR="00050B50" w:rsidRDefault="00050B50" w:rsidP="00050B50">
      <w:pPr>
        <w:rPr>
          <w:rFonts w:ascii="Museo Sans 300" w:hAnsi="Museo Sans 300"/>
        </w:rPr>
      </w:pPr>
    </w:p>
    <w:p w14:paraId="6AE380FC" w14:textId="66E2B78C" w:rsidR="00050B50" w:rsidRPr="00050B50" w:rsidRDefault="00050B50" w:rsidP="00050B50">
      <w:pPr>
        <w:tabs>
          <w:tab w:val="left" w:pos="1056"/>
        </w:tabs>
        <w:rPr>
          <w:rFonts w:ascii="Museo Sans 300" w:hAnsi="Museo Sans 300"/>
        </w:rPr>
      </w:pPr>
    </w:p>
    <w:sectPr w:rsidR="00050B50" w:rsidRPr="00050B50" w:rsidSect="00447E36">
      <w:headerReference w:type="default" r:id="rId15"/>
      <w:footerReference w:type="default" r:id="rId16"/>
      <w:pgSz w:w="11906" w:h="16838" w:code="9"/>
      <w:pgMar w:top="2592" w:right="1440" w:bottom="2837"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7C9A4" w14:textId="77777777" w:rsidR="00C05F40" w:rsidRDefault="00C05F40" w:rsidP="00911768">
      <w:r>
        <w:separator/>
      </w:r>
    </w:p>
  </w:endnote>
  <w:endnote w:type="continuationSeparator" w:id="0">
    <w:p w14:paraId="220E0FAB" w14:textId="77777777" w:rsidR="00C05F40" w:rsidRDefault="00C05F40" w:rsidP="00911768">
      <w:r>
        <w:continuationSeparator/>
      </w:r>
    </w:p>
  </w:endnote>
  <w:endnote w:type="continuationNotice" w:id="1">
    <w:p w14:paraId="78CC1E40" w14:textId="77777777" w:rsidR="00C05F40" w:rsidRDefault="00C05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300">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700">
    <w:panose1 w:val="02000000000000000000"/>
    <w:charset w:val="00"/>
    <w:family w:val="modern"/>
    <w:notTrueType/>
    <w:pitch w:val="variable"/>
    <w:sig w:usb0="A00000AF" w:usb1="40000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67E6" w14:textId="77777777" w:rsidR="00651D33" w:rsidRDefault="00651D33">
    <w:pPr>
      <w:pStyle w:val="Footer"/>
    </w:pPr>
    <w:r>
      <w:rPr>
        <w:noProof/>
        <w:lang w:eastAsia="en-GB"/>
      </w:rPr>
      <mc:AlternateContent>
        <mc:Choice Requires="wps">
          <w:drawing>
            <wp:anchor distT="0" distB="0" distL="114300" distR="114300" simplePos="0" relativeHeight="251658243" behindDoc="0" locked="0" layoutInCell="1" allowOverlap="1" wp14:anchorId="4BBEFB7F" wp14:editId="78C303DC">
              <wp:simplePos x="0" y="0"/>
              <wp:positionH relativeFrom="column">
                <wp:posOffset>1341120</wp:posOffset>
              </wp:positionH>
              <wp:positionV relativeFrom="paragraph">
                <wp:posOffset>-78740</wp:posOffset>
              </wp:positionV>
              <wp:extent cx="2891155" cy="614045"/>
              <wp:effectExtent l="0" t="0" r="0" b="0"/>
              <wp:wrapNone/>
              <wp:docPr id="7" name="Text Box 7"/>
              <wp:cNvGraphicFramePr/>
              <a:graphic xmlns:a="http://schemas.openxmlformats.org/drawingml/2006/main">
                <a:graphicData uri="http://schemas.microsoft.com/office/word/2010/wordprocessingShape">
                  <wps:wsp>
                    <wps:cNvSpPr txBox="1"/>
                    <wps:spPr>
                      <a:xfrm>
                        <a:off x="0" y="0"/>
                        <a:ext cx="2891155" cy="614045"/>
                      </a:xfrm>
                      <a:prstGeom prst="rect">
                        <a:avLst/>
                      </a:prstGeom>
                      <a:noFill/>
                      <a:ln w="6350">
                        <a:noFill/>
                      </a:ln>
                    </wps:spPr>
                    <wps:txbx>
                      <w:txbxContent>
                        <w:p w14:paraId="5A93B4C7"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 xml:space="preserve">+44 (0) 161 300 8767  </w:t>
                          </w:r>
                        </w:p>
                        <w:p w14:paraId="6F8B09C3"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 xml:space="preserve"> info@cmspi.com</w:t>
                          </w:r>
                          <w:r w:rsidRPr="001925AD">
                            <w:rPr>
                              <w:rFonts w:ascii="Corbel" w:hAnsi="Corbel"/>
                              <w:color w:val="FFFFFF"/>
                              <w:sz w:val="22"/>
                              <w:szCs w:val="22"/>
                            </w:rPr>
                            <w:br/>
                            <w:t>www.cmspi.com    |     @CMSpay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BEFB7F" id="_x0000_t202" coordsize="21600,21600" o:spt="202" path="m,l,21600r21600,l21600,xe">
              <v:stroke joinstyle="miter"/>
              <v:path gradientshapeok="t" o:connecttype="rect"/>
            </v:shapetype>
            <v:shape id="Text Box 7" o:spid="_x0000_s1026" type="#_x0000_t202" style="position:absolute;margin-left:105.6pt;margin-top:-6.2pt;width:227.65pt;height:48.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" filled="f" stroked="f" strokeweight=".5pt">
              <v:textbox>
                <w:txbxContent>
                  <w:p w14:paraId="5A93B4C7"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 xml:space="preserve">+44 (0) 161 300 8767  </w:t>
                    </w:r>
                  </w:p>
                  <w:p w14:paraId="6F8B09C3"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 xml:space="preserve"> info@cmspi.com</w:t>
                    </w:r>
                    <w:r w:rsidRPr="001925AD">
                      <w:rPr>
                        <w:rFonts w:ascii="Corbel" w:hAnsi="Corbel"/>
                        <w:color w:val="FFFFFF"/>
                        <w:sz w:val="22"/>
                        <w:szCs w:val="22"/>
                      </w:rPr>
                      <w:br/>
                      <w:t>www.cmspi.com    |     @CMSpay</w:t>
                    </w:r>
                  </w:p>
                </w:txbxContent>
              </v:textbox>
            </v:shape>
          </w:pict>
        </mc:Fallback>
      </mc:AlternateContent>
    </w:r>
    <w:r>
      <w:rPr>
        <w:noProof/>
        <w:lang w:eastAsia="en-GB"/>
      </w:rPr>
      <mc:AlternateContent>
        <mc:Choice Requires="wps">
          <w:drawing>
            <wp:anchor distT="0" distB="0" distL="114300" distR="114300" simplePos="0" relativeHeight="251658242" behindDoc="0" locked="0" layoutInCell="1" allowOverlap="1" wp14:anchorId="6C780F1F" wp14:editId="54E9105F">
              <wp:simplePos x="0" y="0"/>
              <wp:positionH relativeFrom="column">
                <wp:posOffset>-693972</wp:posOffset>
              </wp:positionH>
              <wp:positionV relativeFrom="paragraph">
                <wp:posOffset>-225260</wp:posOffset>
              </wp:positionV>
              <wp:extent cx="2036618" cy="860961"/>
              <wp:effectExtent l="0" t="0" r="0" b="0"/>
              <wp:wrapNone/>
              <wp:docPr id="6" name="Text Box 6"/>
              <wp:cNvGraphicFramePr/>
              <a:graphic xmlns:a="http://schemas.openxmlformats.org/drawingml/2006/main">
                <a:graphicData uri="http://schemas.microsoft.com/office/word/2010/wordprocessingShape">
                  <wps:wsp>
                    <wps:cNvSpPr txBox="1"/>
                    <wps:spPr>
                      <a:xfrm>
                        <a:off x="0" y="0"/>
                        <a:ext cx="2036618" cy="860961"/>
                      </a:xfrm>
                      <a:prstGeom prst="rect">
                        <a:avLst/>
                      </a:prstGeom>
                      <a:noFill/>
                      <a:ln w="6350">
                        <a:noFill/>
                      </a:ln>
                    </wps:spPr>
                    <wps:txbx>
                      <w:txbxContent>
                        <w:p w14:paraId="2AEA28F0" w14:textId="77777777" w:rsidR="00651D33" w:rsidRPr="001925AD" w:rsidRDefault="00651D33" w:rsidP="00586AD7">
                          <w:pPr>
                            <w:rPr>
                              <w:rFonts w:ascii="Corbel" w:hAnsi="Corbel"/>
                              <w:b/>
                              <w:color w:val="FFFFFF"/>
                              <w:sz w:val="22"/>
                              <w:szCs w:val="22"/>
                            </w:rPr>
                          </w:pPr>
                          <w:r w:rsidRPr="001925AD">
                            <w:rPr>
                              <w:rFonts w:ascii="Corbel" w:hAnsi="Corbel"/>
                              <w:b/>
                              <w:color w:val="FFFFFF"/>
                              <w:sz w:val="22"/>
                              <w:szCs w:val="22"/>
                            </w:rPr>
                            <w:t>CMSPI</w:t>
                          </w:r>
                        </w:p>
                        <w:p w14:paraId="74315AE6"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Oxford Place, 61 Oxford Street</w:t>
                          </w:r>
                          <w:r w:rsidRPr="001925AD">
                            <w:rPr>
                              <w:rFonts w:ascii="Corbel" w:hAnsi="Corbel"/>
                              <w:color w:val="FFFFFF"/>
                              <w:sz w:val="22"/>
                              <w:szCs w:val="22"/>
                            </w:rPr>
                            <w:br/>
                            <w:t>Manchester, M1 6EQ</w:t>
                          </w:r>
                          <w:r w:rsidRPr="001925AD">
                            <w:rPr>
                              <w:rFonts w:ascii="Corbel" w:hAnsi="Corbel"/>
                              <w:color w:val="FFFFFF"/>
                              <w:sz w:val="22"/>
                              <w:szCs w:val="22"/>
                            </w:rPr>
                            <w:br/>
                            <w:t>United Kingdom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80F1F" id="Text Box 6" o:spid="_x0000_s1027" type="#_x0000_t202" style="position:absolute;margin-left:-54.65pt;margin-top:-17.75pt;width:160.35pt;height:67.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" filled="f" stroked="f" strokeweight=".5pt">
              <v:textbox>
                <w:txbxContent>
                  <w:p w14:paraId="2AEA28F0" w14:textId="77777777" w:rsidR="00651D33" w:rsidRPr="001925AD" w:rsidRDefault="00651D33" w:rsidP="00586AD7">
                    <w:pPr>
                      <w:rPr>
                        <w:rFonts w:ascii="Corbel" w:hAnsi="Corbel"/>
                        <w:b/>
                        <w:color w:val="FFFFFF"/>
                        <w:sz w:val="22"/>
                        <w:szCs w:val="22"/>
                      </w:rPr>
                    </w:pPr>
                    <w:r w:rsidRPr="001925AD">
                      <w:rPr>
                        <w:rFonts w:ascii="Corbel" w:hAnsi="Corbel"/>
                        <w:b/>
                        <w:color w:val="FFFFFF"/>
                        <w:sz w:val="22"/>
                        <w:szCs w:val="22"/>
                      </w:rPr>
                      <w:t>CMSPI</w:t>
                    </w:r>
                  </w:p>
                  <w:p w14:paraId="74315AE6" w14:textId="77777777" w:rsidR="00651D33" w:rsidRPr="001925AD" w:rsidRDefault="00651D33" w:rsidP="00586AD7">
                    <w:pPr>
                      <w:rPr>
                        <w:rFonts w:ascii="Corbel" w:hAnsi="Corbel"/>
                        <w:color w:val="FFFFFF"/>
                        <w:sz w:val="22"/>
                        <w:szCs w:val="22"/>
                      </w:rPr>
                    </w:pPr>
                    <w:r w:rsidRPr="001925AD">
                      <w:rPr>
                        <w:rFonts w:ascii="Corbel" w:hAnsi="Corbel"/>
                        <w:color w:val="FFFFFF"/>
                        <w:sz w:val="22"/>
                        <w:szCs w:val="22"/>
                      </w:rPr>
                      <w:t>Oxford Place, 61 Oxford Street</w:t>
                    </w:r>
                    <w:r w:rsidRPr="001925AD">
                      <w:rPr>
                        <w:rFonts w:ascii="Corbel" w:hAnsi="Corbel"/>
                        <w:color w:val="FFFFFF"/>
                        <w:sz w:val="22"/>
                        <w:szCs w:val="22"/>
                      </w:rPr>
                      <w:br/>
                      <w:t>Manchester, M1 6EQ</w:t>
                    </w:r>
                    <w:r w:rsidRPr="001925AD">
                      <w:rPr>
                        <w:rFonts w:ascii="Corbel" w:hAnsi="Corbel"/>
                        <w:color w:val="FFFFFF"/>
                        <w:sz w:val="22"/>
                        <w:szCs w:val="22"/>
                      </w:rPr>
                      <w:br/>
                      <w:t>United Kingdom</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0C25ECF3" wp14:editId="25FFD0FD">
              <wp:simplePos x="0" y="0"/>
              <wp:positionH relativeFrom="column">
                <wp:posOffset>1751609</wp:posOffset>
              </wp:positionH>
              <wp:positionV relativeFrom="paragraph">
                <wp:posOffset>-1045226</wp:posOffset>
              </wp:positionV>
              <wp:extent cx="4886647" cy="1769423"/>
              <wp:effectExtent l="0" t="0" r="9525" b="2540"/>
              <wp:wrapNone/>
              <wp:docPr id="10" name="Isosceles Triangle 10"/>
              <wp:cNvGraphicFramePr/>
              <a:graphic xmlns:a="http://schemas.openxmlformats.org/drawingml/2006/main">
                <a:graphicData uri="http://schemas.microsoft.com/office/word/2010/wordprocessingShape">
                  <wps:wsp>
                    <wps:cNvSpPr/>
                    <wps:spPr>
                      <a:xfrm flipH="1">
                        <a:off x="0" y="0"/>
                        <a:ext cx="4886647" cy="1769423"/>
                      </a:xfrm>
                      <a:prstGeom prst="triangle">
                        <a:avLst>
                          <a:gd name="adj" fmla="val 0"/>
                        </a:avLst>
                      </a:prstGeom>
                      <a:solidFill>
                        <a:srgbClr val="FCD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F02B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6" type="#_x0000_t5" style="position:absolute;margin-left:137.9pt;margin-top:-82.3pt;width:384.8pt;height:139.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" adj="0" fillcolor="#fcd06d" stroked="f" strokeweight="1pt"/>
          </w:pict>
        </mc:Fallback>
      </mc:AlternateContent>
    </w:r>
    <w:r>
      <w:rPr>
        <w:noProof/>
        <w:lang w:eastAsia="en-GB"/>
      </w:rPr>
      <mc:AlternateContent>
        <mc:Choice Requires="wps">
          <w:drawing>
            <wp:anchor distT="0" distB="0" distL="114300" distR="114300" simplePos="0" relativeHeight="251658241" behindDoc="0" locked="0" layoutInCell="1" allowOverlap="1" wp14:anchorId="620141EA" wp14:editId="654A9D33">
              <wp:simplePos x="0" y="0"/>
              <wp:positionH relativeFrom="column">
                <wp:posOffset>-938151</wp:posOffset>
              </wp:positionH>
              <wp:positionV relativeFrom="paragraph">
                <wp:posOffset>-1009601</wp:posOffset>
              </wp:positionV>
              <wp:extent cx="7748650" cy="1769423"/>
              <wp:effectExtent l="0" t="0" r="5080" b="2540"/>
              <wp:wrapNone/>
              <wp:docPr id="9" name="Isosceles Triangle 9"/>
              <wp:cNvGraphicFramePr/>
              <a:graphic xmlns:a="http://schemas.openxmlformats.org/drawingml/2006/main">
                <a:graphicData uri="http://schemas.microsoft.com/office/word/2010/wordprocessingShape">
                  <wps:wsp>
                    <wps:cNvSpPr/>
                    <wps:spPr>
                      <a:xfrm>
                        <a:off x="0" y="0"/>
                        <a:ext cx="7748650" cy="1769423"/>
                      </a:xfrm>
                      <a:prstGeom prst="triangle">
                        <a:avLst>
                          <a:gd name="adj" fmla="val 0"/>
                        </a:avLst>
                      </a:prstGeom>
                      <a:solidFill>
                        <a:srgbClr val="1899A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DB4A0" id="Isosceles Triangle 9" o:spid="_x0000_s1026" type="#_x0000_t5" style="position:absolute;margin-left:-73.85pt;margin-top:-79.5pt;width:610.15pt;height:139.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" adj="0" fillcolor="#1899a7" stroked="f" strokeweight="1pt"/>
          </w:pict>
        </mc:Fallback>
      </mc:AlternateContent>
    </w:r>
  </w:p>
  <w:p w14:paraId="5CD89847" w14:textId="77777777" w:rsidR="00651D33" w:rsidRDefault="00651D33">
    <w:r>
      <w:rPr>
        <w:rFonts w:ascii="Corbel" w:hAnsi="Corbel"/>
        <w:noProof/>
        <w:lang w:eastAsia="en-GB"/>
      </w:rPr>
      <w:drawing>
        <wp:anchor distT="0" distB="0" distL="114300" distR="114300" simplePos="0" relativeHeight="251658244" behindDoc="0" locked="0" layoutInCell="1" allowOverlap="1" wp14:anchorId="7A7D9CA5" wp14:editId="3FEF4E18">
          <wp:simplePos x="0" y="0"/>
          <wp:positionH relativeFrom="margin">
            <wp:posOffset>4348595</wp:posOffset>
          </wp:positionH>
          <wp:positionV relativeFrom="paragraph">
            <wp:posOffset>293304</wp:posOffset>
          </wp:positionV>
          <wp:extent cx="133350" cy="133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witter - aqua.png"/>
                  <pic:cNvPicPr/>
                </pic:nvPicPr>
                <pic:blipFill>
                  <a:blip r:embed="rId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E4169" w14:textId="77777777" w:rsidR="00C05F40" w:rsidRDefault="00C05F40" w:rsidP="00911768">
      <w:r>
        <w:separator/>
      </w:r>
    </w:p>
  </w:footnote>
  <w:footnote w:type="continuationSeparator" w:id="0">
    <w:p w14:paraId="54025FDD" w14:textId="77777777" w:rsidR="00C05F40" w:rsidRDefault="00C05F40" w:rsidP="00911768">
      <w:r>
        <w:continuationSeparator/>
      </w:r>
    </w:p>
  </w:footnote>
  <w:footnote w:type="continuationNotice" w:id="1">
    <w:p w14:paraId="67998982" w14:textId="77777777" w:rsidR="00C05F40" w:rsidRDefault="00C05F40"/>
  </w:footnote>
  <w:footnote w:id="2">
    <w:p w14:paraId="5D5CD250" w14:textId="4B84AB9B" w:rsidR="00CF0AF2" w:rsidRPr="00CF0AF2" w:rsidRDefault="00CF0AF2">
      <w:pPr>
        <w:pStyle w:val="FootnoteText"/>
        <w:rPr>
          <w:lang w:val="en-US"/>
        </w:rPr>
      </w:pPr>
      <w:r>
        <w:rPr>
          <w:rStyle w:val="FootnoteReference"/>
        </w:rPr>
        <w:footnoteRef/>
      </w:r>
      <w:r>
        <w:t xml:space="preserve"> </w:t>
      </w:r>
      <w:r w:rsidRPr="00CF0AF2">
        <w:t>https://cmspi.com/eur/en/resources/content/strong-customer-authentication-sca-impact-assessment-september-2021/</w:t>
      </w:r>
    </w:p>
  </w:footnote>
  <w:footnote w:id="3">
    <w:p w14:paraId="18C68CB1" w14:textId="3B0DDF9B" w:rsidR="00100379" w:rsidRPr="00100379" w:rsidRDefault="00100379">
      <w:pPr>
        <w:pStyle w:val="FootnoteText"/>
        <w:rPr>
          <w:lang w:val="en-US"/>
        </w:rPr>
      </w:pPr>
      <w:r>
        <w:rPr>
          <w:rStyle w:val="FootnoteReference"/>
        </w:rPr>
        <w:footnoteRef/>
      </w:r>
      <w:r>
        <w:t xml:space="preserve"> </w:t>
      </w:r>
      <w:r w:rsidRPr="00100379">
        <w:t>https://cmspi.com/eur/en/resources/content/retailer-challenges-in-implementing-an-mit-strategy-cmspi-insights/</w:t>
      </w:r>
    </w:p>
  </w:footnote>
  <w:footnote w:id="4">
    <w:p w14:paraId="3A06A0C6" w14:textId="0AECF226" w:rsidR="00A84251" w:rsidRPr="00A84251" w:rsidRDefault="00A84251" w:rsidP="00A84251">
      <w:pPr>
        <w:pStyle w:val="FootnoteText"/>
        <w:rPr>
          <w:lang w:val="en-US"/>
        </w:rPr>
      </w:pPr>
      <w:r>
        <w:rPr>
          <w:rStyle w:val="FootnoteReference"/>
        </w:rPr>
        <w:footnoteRef/>
      </w:r>
      <w:r>
        <w:t xml:space="preserve"> </w:t>
      </w:r>
      <w:r w:rsidRPr="00A84251">
        <w:rPr>
          <w:lang w:val="en-US"/>
        </w:rPr>
        <w:t>EHI Online Payment Study 2020-2022</w:t>
      </w:r>
    </w:p>
    <w:p w14:paraId="01EA56B2" w14:textId="2B528C4B" w:rsidR="00A84251" w:rsidRPr="00A84251" w:rsidRDefault="00A84251">
      <w:pPr>
        <w:pStyle w:val="FootnoteText"/>
        <w:rPr>
          <w:lang w:val="en-US"/>
        </w:rPr>
      </w:pPr>
    </w:p>
  </w:footnote>
  <w:footnote w:id="5">
    <w:p w14:paraId="22D7C346" w14:textId="30DE2F8D" w:rsidR="00925694" w:rsidRPr="00925694" w:rsidRDefault="00925694">
      <w:pPr>
        <w:pStyle w:val="FootnoteText"/>
        <w:rPr>
          <w:lang w:val="en-US"/>
        </w:rPr>
      </w:pPr>
      <w:r>
        <w:rPr>
          <w:rStyle w:val="FootnoteReference"/>
        </w:rPr>
        <w:footnoteRef/>
      </w:r>
      <w:r>
        <w:t xml:space="preserve"> </w:t>
      </w:r>
      <w:r>
        <w:rPr>
          <w:lang w:val="en-US"/>
        </w:rPr>
        <w:t>Please reach out to CMSPI for additional detail regarding these fee structures.</w:t>
      </w:r>
    </w:p>
  </w:footnote>
  <w:footnote w:id="6">
    <w:p w14:paraId="1E2C7694" w14:textId="330F664E" w:rsidR="00F5130F" w:rsidRPr="00F5130F" w:rsidRDefault="00F5130F">
      <w:pPr>
        <w:pStyle w:val="FootnoteText"/>
        <w:rPr>
          <w:lang w:val="en-US"/>
        </w:rPr>
      </w:pPr>
      <w:r>
        <w:rPr>
          <w:rStyle w:val="FootnoteReference"/>
        </w:rPr>
        <w:footnoteRef/>
      </w:r>
      <w:r>
        <w:t xml:space="preserve"> </w:t>
      </w:r>
      <w:r w:rsidRPr="00F5130F">
        <w:t>https://www.cbc.ca/news/business/visa-walmart-1.3923039</w:t>
      </w:r>
    </w:p>
  </w:footnote>
  <w:footnote w:id="7">
    <w:p w14:paraId="70140C05" w14:textId="1B3D887C" w:rsidR="00960009" w:rsidRPr="00960009" w:rsidRDefault="00960009">
      <w:pPr>
        <w:pStyle w:val="FootnoteText"/>
        <w:rPr>
          <w:lang w:val="en-US"/>
        </w:rPr>
      </w:pPr>
      <w:r>
        <w:rPr>
          <w:rStyle w:val="FootnoteReference"/>
        </w:rPr>
        <w:footnoteRef/>
      </w:r>
      <w:r>
        <w:t xml:space="preserve"> </w:t>
      </w:r>
      <w:r w:rsidRPr="00960009">
        <w:t>https://www.channelnews.com.au/visa-removes-surcharge-from-amazon-australia-sales/</w:t>
      </w:r>
    </w:p>
  </w:footnote>
  <w:footnote w:id="8">
    <w:p w14:paraId="0F3C6C00" w14:textId="601DC142" w:rsidR="000B1197" w:rsidRPr="000B1197" w:rsidRDefault="000B1197">
      <w:pPr>
        <w:pStyle w:val="FootnoteText"/>
        <w:rPr>
          <w:lang w:val="en-US"/>
        </w:rPr>
      </w:pPr>
      <w:r>
        <w:rPr>
          <w:rStyle w:val="FootnoteReference"/>
        </w:rPr>
        <w:footnoteRef/>
      </w:r>
      <w:r>
        <w:t xml:space="preserve"> </w:t>
      </w:r>
      <w:r>
        <w:rPr>
          <w:lang w:val="en-US"/>
        </w:rPr>
        <w:t>Article 66</w:t>
      </w:r>
    </w:p>
  </w:footnote>
  <w:footnote w:id="9">
    <w:p w14:paraId="5EB8E4D6" w14:textId="77777777" w:rsidR="00921B46" w:rsidRPr="00921B46" w:rsidRDefault="001D5E89" w:rsidP="00921B46">
      <w:pPr>
        <w:pStyle w:val="FootnoteText"/>
        <w:rPr>
          <w:lang w:val="en-US"/>
        </w:rPr>
      </w:pPr>
      <w:r>
        <w:rPr>
          <w:rStyle w:val="FootnoteReference"/>
        </w:rPr>
        <w:footnoteRef/>
      </w:r>
      <w:r>
        <w:t xml:space="preserve"> </w:t>
      </w:r>
      <w:r>
        <w:rPr>
          <w:lang w:val="en-US"/>
        </w:rPr>
        <w:t xml:space="preserve">European Commission (2022). </w:t>
      </w:r>
      <w:r w:rsidR="00921B46" w:rsidRPr="00921B46">
        <w:rPr>
          <w:lang w:val="en-US"/>
        </w:rPr>
        <w:t>TARGETED CONSULTATION ON THE REVIEW</w:t>
      </w:r>
    </w:p>
    <w:p w14:paraId="36F1ECA9" w14:textId="093256C7" w:rsidR="001D5E89" w:rsidRPr="001D5E89" w:rsidRDefault="00921B46" w:rsidP="00921B46">
      <w:pPr>
        <w:pStyle w:val="FootnoteText"/>
        <w:rPr>
          <w:lang w:val="en-US"/>
        </w:rPr>
      </w:pPr>
      <w:r w:rsidRPr="00921B46">
        <w:rPr>
          <w:lang w:val="en-US"/>
        </w:rPr>
        <w:t>OF THE REVISED PAYMENT SERVICES DIRECTIVE (PSD2)</w:t>
      </w:r>
      <w:r>
        <w:rPr>
          <w:lang w:val="en-US"/>
        </w:rPr>
        <w:t xml:space="preserve">. </w:t>
      </w:r>
      <w:r w:rsidR="001D5E89" w:rsidRPr="001D5E89">
        <w:rPr>
          <w:lang w:val="en-US"/>
        </w:rPr>
        <w:t>https://ec.europa.eu/info/sites/default/files/business_economy_euro/banking_and_finance/documents/2022-psd2-review-consultation-document_en.pdf</w:t>
      </w:r>
    </w:p>
  </w:footnote>
  <w:footnote w:id="10">
    <w:p w14:paraId="20E3B865" w14:textId="56E85CD1" w:rsidR="00515936" w:rsidRPr="00515936" w:rsidRDefault="00515936">
      <w:pPr>
        <w:pStyle w:val="FootnoteText"/>
        <w:rPr>
          <w:lang w:val="en-US"/>
        </w:rPr>
      </w:pPr>
      <w:r>
        <w:rPr>
          <w:rStyle w:val="FootnoteReference"/>
        </w:rPr>
        <w:footnoteRef/>
      </w:r>
      <w:r>
        <w:t xml:space="preserve"> </w:t>
      </w:r>
      <w:r>
        <w:rPr>
          <w:lang w:val="en-US"/>
        </w:rPr>
        <w:t>Data includes Austria, Belgium, Denmark, France, Germany, Greece, Hun</w:t>
      </w:r>
      <w:r w:rsidR="00DD53ED">
        <w:rPr>
          <w:lang w:val="en-US"/>
        </w:rPr>
        <w:t>gary, Italy, Netherlands, Poland, Portugal, Romania, Spain, Sweden</w:t>
      </w:r>
    </w:p>
  </w:footnote>
  <w:footnote w:id="11">
    <w:p w14:paraId="1B58B55C" w14:textId="28A565B5" w:rsidR="00AC5FA8" w:rsidRPr="00AC5FA8" w:rsidRDefault="00AC5FA8">
      <w:pPr>
        <w:pStyle w:val="FootnoteText"/>
        <w:rPr>
          <w:lang w:val="en-US"/>
        </w:rPr>
      </w:pPr>
      <w:r>
        <w:rPr>
          <w:rStyle w:val="FootnoteReference"/>
        </w:rPr>
        <w:footnoteRef/>
      </w:r>
      <w:r>
        <w:t xml:space="preserve"> </w:t>
      </w:r>
      <w:r w:rsidRPr="00AC5FA8">
        <w:t>https://b2b.mastercard.com/news-and-insights/open-banking-tracker/q4-2021/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084AA" w14:textId="07A5C543" w:rsidR="00651D33" w:rsidRDefault="00126092" w:rsidP="00AB151B">
    <w:pPr>
      <w:pStyle w:val="Header"/>
      <w:tabs>
        <w:tab w:val="right" w:pos="6521"/>
        <w:tab w:val="center" w:pos="7797"/>
      </w:tabs>
      <w:ind w:left="-851"/>
      <w:jc w:val="right"/>
      <w:rPr>
        <w:rFonts w:ascii="Verdana" w:hAnsi="Verdana"/>
        <w:sz w:val="16"/>
        <w:szCs w:val="16"/>
      </w:rPr>
    </w:pPr>
    <w:r>
      <w:rPr>
        <w:noProof/>
      </w:rPr>
      <w:drawing>
        <wp:anchor distT="0" distB="0" distL="114300" distR="114300" simplePos="0" relativeHeight="251657216" behindDoc="0" locked="0" layoutInCell="1" allowOverlap="1" wp14:anchorId="401C6A0F" wp14:editId="58544123">
          <wp:simplePos x="0" y="0"/>
          <wp:positionH relativeFrom="margin">
            <wp:posOffset>-95250</wp:posOffset>
          </wp:positionH>
          <wp:positionV relativeFrom="paragraph">
            <wp:posOffset>66040</wp:posOffset>
          </wp:positionV>
          <wp:extent cx="1962150" cy="981075"/>
          <wp:effectExtent l="0" t="0" r="0" b="9525"/>
          <wp:wrapSquare wrapText="bothSides"/>
          <wp:docPr id="3" name="Picture 3" descr="Retailers to Miss Out on $700 Million in Holiday Sales Due to Digital  Payment Channels Inefficiencies | Business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ers to Miss Out on $700 Million in Holiday Sales Due to Digital  Payment Channels Inefficiencies | Business Wi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CE6F3C" w14:textId="77A4C851" w:rsidR="00651D33" w:rsidRDefault="00651D33" w:rsidP="00126092">
    <w:pPr>
      <w:pStyle w:val="Header"/>
      <w:tabs>
        <w:tab w:val="right" w:pos="6521"/>
        <w:tab w:val="center" w:pos="7797"/>
      </w:tabs>
      <w:ind w:left="-851"/>
      <w:rPr>
        <w:rFonts w:ascii="Verdana" w:hAnsi="Verdana"/>
        <w:sz w:val="16"/>
        <w:szCs w:val="16"/>
      </w:rPr>
    </w:pPr>
  </w:p>
  <w:p w14:paraId="12F0E4DB" w14:textId="3313FF21" w:rsidR="00651D33" w:rsidRPr="00C62058" w:rsidRDefault="00651D33" w:rsidP="004A1205">
    <w:pPr>
      <w:pStyle w:val="Header"/>
      <w:tabs>
        <w:tab w:val="right" w:pos="6521"/>
        <w:tab w:val="center" w:pos="7797"/>
      </w:tabs>
      <w:ind w:left="-851"/>
      <w:rPr>
        <w:rFonts w:ascii="Verdana" w:hAnsi="Verdana"/>
        <w:sz w:val="16"/>
        <w:szCs w:val="16"/>
      </w:rPr>
    </w:pPr>
  </w:p>
  <w:p w14:paraId="3E885BCF" w14:textId="77777777" w:rsidR="00651D33" w:rsidRPr="00911768" w:rsidRDefault="00651D33" w:rsidP="00AB15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46247"/>
    <w:multiLevelType w:val="hybridMultilevel"/>
    <w:tmpl w:val="31421E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B095E27"/>
    <w:multiLevelType w:val="hybridMultilevel"/>
    <w:tmpl w:val="59BE41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BE30EDF"/>
    <w:multiLevelType w:val="hybridMultilevel"/>
    <w:tmpl w:val="7B12E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62B98"/>
    <w:multiLevelType w:val="hybridMultilevel"/>
    <w:tmpl w:val="BE82F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4336D5"/>
    <w:multiLevelType w:val="hybridMultilevel"/>
    <w:tmpl w:val="AEBE5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6E1F99"/>
    <w:multiLevelType w:val="hybridMultilevel"/>
    <w:tmpl w:val="B9AA5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27394C"/>
    <w:multiLevelType w:val="hybridMultilevel"/>
    <w:tmpl w:val="A8E4C3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6919C1"/>
    <w:multiLevelType w:val="hybridMultilevel"/>
    <w:tmpl w:val="899A83E6"/>
    <w:lvl w:ilvl="0" w:tplc="2E44450E">
      <w:numFmt w:val="bullet"/>
      <w:lvlText w:val="-"/>
      <w:lvlJc w:val="left"/>
      <w:pPr>
        <w:ind w:left="720" w:hanging="360"/>
      </w:pPr>
      <w:rPr>
        <w:rFonts w:ascii="Museo Sans 300" w:eastAsia="Times New Roman" w:hAnsi="Museo Sans 300"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C329F9"/>
    <w:multiLevelType w:val="hybridMultilevel"/>
    <w:tmpl w:val="C592F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5A24B7"/>
    <w:multiLevelType w:val="hybridMultilevel"/>
    <w:tmpl w:val="671651B2"/>
    <w:lvl w:ilvl="0" w:tplc="650CFB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712207"/>
    <w:multiLevelType w:val="hybridMultilevel"/>
    <w:tmpl w:val="B2DAC184"/>
    <w:lvl w:ilvl="0" w:tplc="3EA0EE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1E707C"/>
    <w:multiLevelType w:val="hybridMultilevel"/>
    <w:tmpl w:val="6F768FBA"/>
    <w:lvl w:ilvl="0" w:tplc="6C149F0E">
      <w:numFmt w:val="bullet"/>
      <w:lvlText w:val=""/>
      <w:lvlJc w:val="left"/>
      <w:pPr>
        <w:ind w:left="720" w:hanging="360"/>
      </w:pPr>
      <w:rPr>
        <w:rFonts w:ascii="Symbol" w:eastAsia="Calibri" w:hAnsi="Symbol" w:cs="Times New Roman"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9A091D"/>
    <w:multiLevelType w:val="hybridMultilevel"/>
    <w:tmpl w:val="B2DAC1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F94887"/>
    <w:multiLevelType w:val="hybridMultilevel"/>
    <w:tmpl w:val="AC909148"/>
    <w:lvl w:ilvl="0" w:tplc="790402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B38354D"/>
    <w:multiLevelType w:val="hybridMultilevel"/>
    <w:tmpl w:val="223CD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DC064A4"/>
    <w:multiLevelType w:val="hybridMultilevel"/>
    <w:tmpl w:val="4DC85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825F8"/>
    <w:multiLevelType w:val="hybridMultilevel"/>
    <w:tmpl w:val="BA22219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61EB44E9"/>
    <w:multiLevelType w:val="hybridMultilevel"/>
    <w:tmpl w:val="C592F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E265CE"/>
    <w:multiLevelType w:val="hybridMultilevel"/>
    <w:tmpl w:val="C592F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B50F7D"/>
    <w:multiLevelType w:val="hybridMultilevel"/>
    <w:tmpl w:val="A748F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9727F9"/>
    <w:multiLevelType w:val="hybridMultilevel"/>
    <w:tmpl w:val="5B263CCC"/>
    <w:lvl w:ilvl="0" w:tplc="553A297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054B65"/>
    <w:multiLevelType w:val="hybridMultilevel"/>
    <w:tmpl w:val="01DA7E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0833743">
    <w:abstractNumId w:val="4"/>
  </w:num>
  <w:num w:numId="2" w16cid:durableId="687565719">
    <w:abstractNumId w:val="11"/>
  </w:num>
  <w:num w:numId="3" w16cid:durableId="90980264">
    <w:abstractNumId w:val="15"/>
  </w:num>
  <w:num w:numId="4" w16cid:durableId="1156262496">
    <w:abstractNumId w:val="5"/>
  </w:num>
  <w:num w:numId="5" w16cid:durableId="1743528988">
    <w:abstractNumId w:val="2"/>
  </w:num>
  <w:num w:numId="6" w16cid:durableId="805241720">
    <w:abstractNumId w:val="8"/>
  </w:num>
  <w:num w:numId="7" w16cid:durableId="2105033481">
    <w:abstractNumId w:val="21"/>
  </w:num>
  <w:num w:numId="8" w16cid:durableId="400369163">
    <w:abstractNumId w:val="20"/>
  </w:num>
  <w:num w:numId="9" w16cid:durableId="1858736739">
    <w:abstractNumId w:val="17"/>
  </w:num>
  <w:num w:numId="10" w16cid:durableId="935361980">
    <w:abstractNumId w:val="18"/>
  </w:num>
  <w:num w:numId="11" w16cid:durableId="1979142279">
    <w:abstractNumId w:val="1"/>
  </w:num>
  <w:num w:numId="12" w16cid:durableId="1727492276">
    <w:abstractNumId w:val="6"/>
  </w:num>
  <w:num w:numId="13" w16cid:durableId="1851139467">
    <w:abstractNumId w:val="13"/>
  </w:num>
  <w:num w:numId="14" w16cid:durableId="684751484">
    <w:abstractNumId w:val="3"/>
  </w:num>
  <w:num w:numId="15" w16cid:durableId="1998151376">
    <w:abstractNumId w:val="16"/>
  </w:num>
  <w:num w:numId="16" w16cid:durableId="1635328352">
    <w:abstractNumId w:val="19"/>
  </w:num>
  <w:num w:numId="17" w16cid:durableId="1220361195">
    <w:abstractNumId w:val="14"/>
  </w:num>
  <w:num w:numId="18" w16cid:durableId="1851676242">
    <w:abstractNumId w:val="0"/>
  </w:num>
  <w:num w:numId="19" w16cid:durableId="861624531">
    <w:abstractNumId w:val="7"/>
  </w:num>
  <w:num w:numId="20" w16cid:durableId="931401704">
    <w:abstractNumId w:val="9"/>
  </w:num>
  <w:num w:numId="21" w16cid:durableId="1428581006">
    <w:abstractNumId w:val="10"/>
  </w:num>
  <w:num w:numId="22" w16cid:durableId="14869732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768"/>
    <w:rsid w:val="00003F2E"/>
    <w:rsid w:val="00007471"/>
    <w:rsid w:val="00010BB2"/>
    <w:rsid w:val="00017663"/>
    <w:rsid w:val="000277F2"/>
    <w:rsid w:val="00030342"/>
    <w:rsid w:val="0003152D"/>
    <w:rsid w:val="00031E4F"/>
    <w:rsid w:val="000344E2"/>
    <w:rsid w:val="000359EF"/>
    <w:rsid w:val="00044D2D"/>
    <w:rsid w:val="000479FC"/>
    <w:rsid w:val="00050B50"/>
    <w:rsid w:val="00050C45"/>
    <w:rsid w:val="00052ACB"/>
    <w:rsid w:val="000536E9"/>
    <w:rsid w:val="00055B29"/>
    <w:rsid w:val="00067CF8"/>
    <w:rsid w:val="00071E95"/>
    <w:rsid w:val="00081F24"/>
    <w:rsid w:val="000906B5"/>
    <w:rsid w:val="0009753D"/>
    <w:rsid w:val="00097632"/>
    <w:rsid w:val="000A16E0"/>
    <w:rsid w:val="000A331C"/>
    <w:rsid w:val="000A3990"/>
    <w:rsid w:val="000A3DFF"/>
    <w:rsid w:val="000A400B"/>
    <w:rsid w:val="000B1197"/>
    <w:rsid w:val="000B3790"/>
    <w:rsid w:val="000B493F"/>
    <w:rsid w:val="000B523E"/>
    <w:rsid w:val="000B56A0"/>
    <w:rsid w:val="000C3DC5"/>
    <w:rsid w:val="000C560C"/>
    <w:rsid w:val="000D0BA9"/>
    <w:rsid w:val="000E1E96"/>
    <w:rsid w:val="000E3BBC"/>
    <w:rsid w:val="000E4A10"/>
    <w:rsid w:val="000E6442"/>
    <w:rsid w:val="000E6E00"/>
    <w:rsid w:val="000F6BBD"/>
    <w:rsid w:val="000F6D9F"/>
    <w:rsid w:val="00100379"/>
    <w:rsid w:val="00101F4D"/>
    <w:rsid w:val="0010253F"/>
    <w:rsid w:val="001049C6"/>
    <w:rsid w:val="00105176"/>
    <w:rsid w:val="00107041"/>
    <w:rsid w:val="00110A5B"/>
    <w:rsid w:val="00110EB5"/>
    <w:rsid w:val="00112FD6"/>
    <w:rsid w:val="001156B1"/>
    <w:rsid w:val="00121AE4"/>
    <w:rsid w:val="00123148"/>
    <w:rsid w:val="001240A3"/>
    <w:rsid w:val="00126092"/>
    <w:rsid w:val="00130AAC"/>
    <w:rsid w:val="00131017"/>
    <w:rsid w:val="00142212"/>
    <w:rsid w:val="00142D08"/>
    <w:rsid w:val="001443B0"/>
    <w:rsid w:val="0014794F"/>
    <w:rsid w:val="001517AE"/>
    <w:rsid w:val="0015276B"/>
    <w:rsid w:val="00153DE7"/>
    <w:rsid w:val="00160DA6"/>
    <w:rsid w:val="0016165E"/>
    <w:rsid w:val="0016523B"/>
    <w:rsid w:val="001702A2"/>
    <w:rsid w:val="00171FE9"/>
    <w:rsid w:val="0017208D"/>
    <w:rsid w:val="00174D20"/>
    <w:rsid w:val="0017504A"/>
    <w:rsid w:val="00184E4E"/>
    <w:rsid w:val="00185443"/>
    <w:rsid w:val="001910E1"/>
    <w:rsid w:val="001925AD"/>
    <w:rsid w:val="00196FFF"/>
    <w:rsid w:val="001A1A01"/>
    <w:rsid w:val="001A258D"/>
    <w:rsid w:val="001A2C1B"/>
    <w:rsid w:val="001A604C"/>
    <w:rsid w:val="001B1CCC"/>
    <w:rsid w:val="001B2E90"/>
    <w:rsid w:val="001B7DD9"/>
    <w:rsid w:val="001C36CD"/>
    <w:rsid w:val="001C52FE"/>
    <w:rsid w:val="001C5E8D"/>
    <w:rsid w:val="001D2C13"/>
    <w:rsid w:val="001D5E89"/>
    <w:rsid w:val="001D7B56"/>
    <w:rsid w:val="001E0C1D"/>
    <w:rsid w:val="001E0E7C"/>
    <w:rsid w:val="001E47DA"/>
    <w:rsid w:val="001E4D0A"/>
    <w:rsid w:val="001E5FD5"/>
    <w:rsid w:val="001E6BF2"/>
    <w:rsid w:val="001E7628"/>
    <w:rsid w:val="001E762B"/>
    <w:rsid w:val="0020015B"/>
    <w:rsid w:val="002023DE"/>
    <w:rsid w:val="00202DB8"/>
    <w:rsid w:val="00210EEA"/>
    <w:rsid w:val="0021165F"/>
    <w:rsid w:val="00213080"/>
    <w:rsid w:val="00217248"/>
    <w:rsid w:val="00223204"/>
    <w:rsid w:val="0022512C"/>
    <w:rsid w:val="0023538F"/>
    <w:rsid w:val="0023723A"/>
    <w:rsid w:val="002373B6"/>
    <w:rsid w:val="00237D1C"/>
    <w:rsid w:val="00245753"/>
    <w:rsid w:val="0024786D"/>
    <w:rsid w:val="00250C99"/>
    <w:rsid w:val="002517B0"/>
    <w:rsid w:val="00255064"/>
    <w:rsid w:val="00257842"/>
    <w:rsid w:val="00257B1F"/>
    <w:rsid w:val="00262189"/>
    <w:rsid w:val="002642BA"/>
    <w:rsid w:val="00265A18"/>
    <w:rsid w:val="00266F78"/>
    <w:rsid w:val="00267BE0"/>
    <w:rsid w:val="00273D44"/>
    <w:rsid w:val="00273E2E"/>
    <w:rsid w:val="00281747"/>
    <w:rsid w:val="00281C4D"/>
    <w:rsid w:val="00285227"/>
    <w:rsid w:val="002906B6"/>
    <w:rsid w:val="002937B5"/>
    <w:rsid w:val="0029440D"/>
    <w:rsid w:val="002A16FB"/>
    <w:rsid w:val="002A44F4"/>
    <w:rsid w:val="002B0150"/>
    <w:rsid w:val="002B3951"/>
    <w:rsid w:val="002B5B2E"/>
    <w:rsid w:val="002B7D8E"/>
    <w:rsid w:val="002C1316"/>
    <w:rsid w:val="002D1B35"/>
    <w:rsid w:val="002D2AE5"/>
    <w:rsid w:val="002D2D2B"/>
    <w:rsid w:val="002D3216"/>
    <w:rsid w:val="002D355F"/>
    <w:rsid w:val="002D4438"/>
    <w:rsid w:val="002D45FB"/>
    <w:rsid w:val="002D4AFF"/>
    <w:rsid w:val="002D4F88"/>
    <w:rsid w:val="002D5816"/>
    <w:rsid w:val="002D6B4E"/>
    <w:rsid w:val="002E072B"/>
    <w:rsid w:val="002E3F31"/>
    <w:rsid w:val="002E5470"/>
    <w:rsid w:val="002E680E"/>
    <w:rsid w:val="002F2A4C"/>
    <w:rsid w:val="002F43B2"/>
    <w:rsid w:val="002F4DAA"/>
    <w:rsid w:val="002F569F"/>
    <w:rsid w:val="00302489"/>
    <w:rsid w:val="003042AA"/>
    <w:rsid w:val="00304576"/>
    <w:rsid w:val="003045E1"/>
    <w:rsid w:val="00304C1B"/>
    <w:rsid w:val="00305EB4"/>
    <w:rsid w:val="0031343D"/>
    <w:rsid w:val="00313FD7"/>
    <w:rsid w:val="0031645C"/>
    <w:rsid w:val="003222BB"/>
    <w:rsid w:val="003229E8"/>
    <w:rsid w:val="0032373C"/>
    <w:rsid w:val="003341E8"/>
    <w:rsid w:val="00336337"/>
    <w:rsid w:val="00341080"/>
    <w:rsid w:val="003427AA"/>
    <w:rsid w:val="00343B9D"/>
    <w:rsid w:val="00360856"/>
    <w:rsid w:val="00361E6D"/>
    <w:rsid w:val="0036225D"/>
    <w:rsid w:val="00363AE9"/>
    <w:rsid w:val="00363E48"/>
    <w:rsid w:val="00366CD8"/>
    <w:rsid w:val="003670F2"/>
    <w:rsid w:val="00367ED8"/>
    <w:rsid w:val="0037377F"/>
    <w:rsid w:val="00375EB3"/>
    <w:rsid w:val="00376C5D"/>
    <w:rsid w:val="00377FB6"/>
    <w:rsid w:val="0038172C"/>
    <w:rsid w:val="00382613"/>
    <w:rsid w:val="00392BFF"/>
    <w:rsid w:val="00394ADD"/>
    <w:rsid w:val="003B0C11"/>
    <w:rsid w:val="003B6344"/>
    <w:rsid w:val="003C106D"/>
    <w:rsid w:val="003C3B0F"/>
    <w:rsid w:val="003C3FA6"/>
    <w:rsid w:val="003C4878"/>
    <w:rsid w:val="003C6267"/>
    <w:rsid w:val="003D0635"/>
    <w:rsid w:val="003D0BDA"/>
    <w:rsid w:val="003D1BAA"/>
    <w:rsid w:val="003D5815"/>
    <w:rsid w:val="003E016A"/>
    <w:rsid w:val="003E1719"/>
    <w:rsid w:val="003E5FDA"/>
    <w:rsid w:val="003E6452"/>
    <w:rsid w:val="003E78E3"/>
    <w:rsid w:val="003F0282"/>
    <w:rsid w:val="003F092C"/>
    <w:rsid w:val="003F48FA"/>
    <w:rsid w:val="003F70C7"/>
    <w:rsid w:val="004007AA"/>
    <w:rsid w:val="00400F5B"/>
    <w:rsid w:val="00405271"/>
    <w:rsid w:val="00406164"/>
    <w:rsid w:val="00406E66"/>
    <w:rsid w:val="0040764B"/>
    <w:rsid w:val="004130B1"/>
    <w:rsid w:val="0041343F"/>
    <w:rsid w:val="00413B35"/>
    <w:rsid w:val="004159D6"/>
    <w:rsid w:val="00420757"/>
    <w:rsid w:val="00420F92"/>
    <w:rsid w:val="00423346"/>
    <w:rsid w:val="00423D63"/>
    <w:rsid w:val="00424560"/>
    <w:rsid w:val="00424E6F"/>
    <w:rsid w:val="00425E0C"/>
    <w:rsid w:val="00426576"/>
    <w:rsid w:val="00432968"/>
    <w:rsid w:val="00433A13"/>
    <w:rsid w:val="00437113"/>
    <w:rsid w:val="00440D59"/>
    <w:rsid w:val="00442D8D"/>
    <w:rsid w:val="00442EAE"/>
    <w:rsid w:val="004437EC"/>
    <w:rsid w:val="00447E36"/>
    <w:rsid w:val="004507B2"/>
    <w:rsid w:val="00451FA1"/>
    <w:rsid w:val="004522AC"/>
    <w:rsid w:val="00466D0F"/>
    <w:rsid w:val="0046747A"/>
    <w:rsid w:val="00470227"/>
    <w:rsid w:val="00470B5C"/>
    <w:rsid w:val="0047767E"/>
    <w:rsid w:val="00484DBD"/>
    <w:rsid w:val="00486077"/>
    <w:rsid w:val="0049006C"/>
    <w:rsid w:val="0049168D"/>
    <w:rsid w:val="0049174F"/>
    <w:rsid w:val="00492006"/>
    <w:rsid w:val="0049332E"/>
    <w:rsid w:val="004957E2"/>
    <w:rsid w:val="00497B48"/>
    <w:rsid w:val="00497E25"/>
    <w:rsid w:val="004A1205"/>
    <w:rsid w:val="004A1638"/>
    <w:rsid w:val="004A1A94"/>
    <w:rsid w:val="004A41CF"/>
    <w:rsid w:val="004A4268"/>
    <w:rsid w:val="004A42A8"/>
    <w:rsid w:val="004A458C"/>
    <w:rsid w:val="004A4B5B"/>
    <w:rsid w:val="004A5C34"/>
    <w:rsid w:val="004A770E"/>
    <w:rsid w:val="004B28EA"/>
    <w:rsid w:val="004B3FFB"/>
    <w:rsid w:val="004B4A21"/>
    <w:rsid w:val="004B76E6"/>
    <w:rsid w:val="004C1B09"/>
    <w:rsid w:val="004D30D1"/>
    <w:rsid w:val="004D4420"/>
    <w:rsid w:val="004D4959"/>
    <w:rsid w:val="004E035F"/>
    <w:rsid w:val="004E05DC"/>
    <w:rsid w:val="004E167B"/>
    <w:rsid w:val="004E4531"/>
    <w:rsid w:val="004F7E9E"/>
    <w:rsid w:val="0050223C"/>
    <w:rsid w:val="00502CAA"/>
    <w:rsid w:val="00503176"/>
    <w:rsid w:val="005067D5"/>
    <w:rsid w:val="005136AB"/>
    <w:rsid w:val="00514F88"/>
    <w:rsid w:val="00515936"/>
    <w:rsid w:val="005161C4"/>
    <w:rsid w:val="005175DC"/>
    <w:rsid w:val="00522FB0"/>
    <w:rsid w:val="00532DBE"/>
    <w:rsid w:val="005349C3"/>
    <w:rsid w:val="00535EA6"/>
    <w:rsid w:val="00536EC7"/>
    <w:rsid w:val="00545387"/>
    <w:rsid w:val="005462F3"/>
    <w:rsid w:val="0054765C"/>
    <w:rsid w:val="00551464"/>
    <w:rsid w:val="00554A3E"/>
    <w:rsid w:val="00554A97"/>
    <w:rsid w:val="00555F3F"/>
    <w:rsid w:val="005568D9"/>
    <w:rsid w:val="00557A94"/>
    <w:rsid w:val="00561FA5"/>
    <w:rsid w:val="0056725C"/>
    <w:rsid w:val="005752A2"/>
    <w:rsid w:val="00586AD7"/>
    <w:rsid w:val="005A09CB"/>
    <w:rsid w:val="005A1571"/>
    <w:rsid w:val="005A3B59"/>
    <w:rsid w:val="005A5E67"/>
    <w:rsid w:val="005A6A16"/>
    <w:rsid w:val="005B2AA1"/>
    <w:rsid w:val="005C7D96"/>
    <w:rsid w:val="005D4189"/>
    <w:rsid w:val="005D54E9"/>
    <w:rsid w:val="005D6956"/>
    <w:rsid w:val="005E4FE3"/>
    <w:rsid w:val="005E6611"/>
    <w:rsid w:val="00602170"/>
    <w:rsid w:val="00603800"/>
    <w:rsid w:val="00603F68"/>
    <w:rsid w:val="00613787"/>
    <w:rsid w:val="006165A9"/>
    <w:rsid w:val="0062007B"/>
    <w:rsid w:val="00622ACF"/>
    <w:rsid w:val="0062309D"/>
    <w:rsid w:val="00623A08"/>
    <w:rsid w:val="0063316A"/>
    <w:rsid w:val="0063423F"/>
    <w:rsid w:val="006443C5"/>
    <w:rsid w:val="00651D33"/>
    <w:rsid w:val="006548FD"/>
    <w:rsid w:val="00655E12"/>
    <w:rsid w:val="006571A5"/>
    <w:rsid w:val="00660E56"/>
    <w:rsid w:val="006639BB"/>
    <w:rsid w:val="00663FBA"/>
    <w:rsid w:val="0066541F"/>
    <w:rsid w:val="0066574F"/>
    <w:rsid w:val="00671FAB"/>
    <w:rsid w:val="00675745"/>
    <w:rsid w:val="006769EA"/>
    <w:rsid w:val="006813B0"/>
    <w:rsid w:val="006831F6"/>
    <w:rsid w:val="0068723B"/>
    <w:rsid w:val="00690707"/>
    <w:rsid w:val="00691B8C"/>
    <w:rsid w:val="00693917"/>
    <w:rsid w:val="00694742"/>
    <w:rsid w:val="00694DF7"/>
    <w:rsid w:val="006A226E"/>
    <w:rsid w:val="006A3A1F"/>
    <w:rsid w:val="006B0141"/>
    <w:rsid w:val="006C2096"/>
    <w:rsid w:val="006C62D2"/>
    <w:rsid w:val="006D0334"/>
    <w:rsid w:val="006D15D9"/>
    <w:rsid w:val="006D3489"/>
    <w:rsid w:val="006D5057"/>
    <w:rsid w:val="006D59D7"/>
    <w:rsid w:val="006E106B"/>
    <w:rsid w:val="006E21E1"/>
    <w:rsid w:val="006E360F"/>
    <w:rsid w:val="006F0C36"/>
    <w:rsid w:val="006F1FF5"/>
    <w:rsid w:val="006F22F2"/>
    <w:rsid w:val="006F3D0C"/>
    <w:rsid w:val="006F6CDE"/>
    <w:rsid w:val="006F7692"/>
    <w:rsid w:val="00701080"/>
    <w:rsid w:val="00705129"/>
    <w:rsid w:val="007163A9"/>
    <w:rsid w:val="00721379"/>
    <w:rsid w:val="00723F98"/>
    <w:rsid w:val="0072521D"/>
    <w:rsid w:val="00725A9B"/>
    <w:rsid w:val="0073097C"/>
    <w:rsid w:val="00730A7D"/>
    <w:rsid w:val="007367DF"/>
    <w:rsid w:val="007372AD"/>
    <w:rsid w:val="00741DB8"/>
    <w:rsid w:val="0074354C"/>
    <w:rsid w:val="00743D2A"/>
    <w:rsid w:val="00743DFE"/>
    <w:rsid w:val="00747E25"/>
    <w:rsid w:val="0075392A"/>
    <w:rsid w:val="00753F29"/>
    <w:rsid w:val="0075634A"/>
    <w:rsid w:val="00757AD6"/>
    <w:rsid w:val="00762E2F"/>
    <w:rsid w:val="007636BA"/>
    <w:rsid w:val="00764E11"/>
    <w:rsid w:val="00764EE6"/>
    <w:rsid w:val="00771350"/>
    <w:rsid w:val="00774691"/>
    <w:rsid w:val="00774B40"/>
    <w:rsid w:val="00775339"/>
    <w:rsid w:val="00776CEA"/>
    <w:rsid w:val="0078492D"/>
    <w:rsid w:val="00787E57"/>
    <w:rsid w:val="0079029A"/>
    <w:rsid w:val="00790FB8"/>
    <w:rsid w:val="00794553"/>
    <w:rsid w:val="0079708E"/>
    <w:rsid w:val="00797B73"/>
    <w:rsid w:val="007A0B55"/>
    <w:rsid w:val="007A4121"/>
    <w:rsid w:val="007A47E8"/>
    <w:rsid w:val="007A50E6"/>
    <w:rsid w:val="007A65AB"/>
    <w:rsid w:val="007B222F"/>
    <w:rsid w:val="007C095E"/>
    <w:rsid w:val="007C1E4F"/>
    <w:rsid w:val="007D08AA"/>
    <w:rsid w:val="007D466E"/>
    <w:rsid w:val="007D69BD"/>
    <w:rsid w:val="007E57B2"/>
    <w:rsid w:val="007F6109"/>
    <w:rsid w:val="007F62E2"/>
    <w:rsid w:val="007F67FB"/>
    <w:rsid w:val="00800B69"/>
    <w:rsid w:val="00803450"/>
    <w:rsid w:val="008102D9"/>
    <w:rsid w:val="008103AB"/>
    <w:rsid w:val="008148C4"/>
    <w:rsid w:val="00816B8E"/>
    <w:rsid w:val="00823A0A"/>
    <w:rsid w:val="00840249"/>
    <w:rsid w:val="00840EC9"/>
    <w:rsid w:val="00841146"/>
    <w:rsid w:val="00842CF3"/>
    <w:rsid w:val="008432AC"/>
    <w:rsid w:val="00852E58"/>
    <w:rsid w:val="00863A05"/>
    <w:rsid w:val="008649DD"/>
    <w:rsid w:val="0086680C"/>
    <w:rsid w:val="00871F35"/>
    <w:rsid w:val="00873BED"/>
    <w:rsid w:val="0087405E"/>
    <w:rsid w:val="00874BC1"/>
    <w:rsid w:val="0087649E"/>
    <w:rsid w:val="00881B6B"/>
    <w:rsid w:val="008827D0"/>
    <w:rsid w:val="008827FE"/>
    <w:rsid w:val="008836FE"/>
    <w:rsid w:val="00892F05"/>
    <w:rsid w:val="00893F53"/>
    <w:rsid w:val="00894091"/>
    <w:rsid w:val="00895D25"/>
    <w:rsid w:val="00896844"/>
    <w:rsid w:val="008A0380"/>
    <w:rsid w:val="008A09E0"/>
    <w:rsid w:val="008A2AF3"/>
    <w:rsid w:val="008B24DC"/>
    <w:rsid w:val="008B39A8"/>
    <w:rsid w:val="008B7BCC"/>
    <w:rsid w:val="008C47E4"/>
    <w:rsid w:val="008C569B"/>
    <w:rsid w:val="008D494A"/>
    <w:rsid w:val="008E1585"/>
    <w:rsid w:val="008E3B9F"/>
    <w:rsid w:val="008E42D9"/>
    <w:rsid w:val="008E6D1A"/>
    <w:rsid w:val="008F24AF"/>
    <w:rsid w:val="00900529"/>
    <w:rsid w:val="00904CA2"/>
    <w:rsid w:val="00906FCA"/>
    <w:rsid w:val="00911768"/>
    <w:rsid w:val="00920634"/>
    <w:rsid w:val="00921B46"/>
    <w:rsid w:val="00923D4A"/>
    <w:rsid w:val="00925694"/>
    <w:rsid w:val="00926508"/>
    <w:rsid w:val="00927000"/>
    <w:rsid w:val="00937A26"/>
    <w:rsid w:val="00942336"/>
    <w:rsid w:val="009424E7"/>
    <w:rsid w:val="009439CB"/>
    <w:rsid w:val="00943C1A"/>
    <w:rsid w:val="00944B6D"/>
    <w:rsid w:val="009506B9"/>
    <w:rsid w:val="00950A7F"/>
    <w:rsid w:val="00952494"/>
    <w:rsid w:val="009552F8"/>
    <w:rsid w:val="00960009"/>
    <w:rsid w:val="00962BC5"/>
    <w:rsid w:val="00963960"/>
    <w:rsid w:val="00964378"/>
    <w:rsid w:val="00964740"/>
    <w:rsid w:val="00964D57"/>
    <w:rsid w:val="00965218"/>
    <w:rsid w:val="0097616A"/>
    <w:rsid w:val="009763B8"/>
    <w:rsid w:val="00977296"/>
    <w:rsid w:val="00991386"/>
    <w:rsid w:val="009928BA"/>
    <w:rsid w:val="009A0164"/>
    <w:rsid w:val="009A332C"/>
    <w:rsid w:val="009A68A9"/>
    <w:rsid w:val="009A6D9B"/>
    <w:rsid w:val="009B16FF"/>
    <w:rsid w:val="009B7F39"/>
    <w:rsid w:val="009C0991"/>
    <w:rsid w:val="009C5A55"/>
    <w:rsid w:val="009C72DF"/>
    <w:rsid w:val="009C7A93"/>
    <w:rsid w:val="009D296E"/>
    <w:rsid w:val="009D5037"/>
    <w:rsid w:val="009D6DDA"/>
    <w:rsid w:val="009E0F66"/>
    <w:rsid w:val="009E10D9"/>
    <w:rsid w:val="009E1E35"/>
    <w:rsid w:val="009F2578"/>
    <w:rsid w:val="009F6F36"/>
    <w:rsid w:val="00A04FD9"/>
    <w:rsid w:val="00A05452"/>
    <w:rsid w:val="00A05CA5"/>
    <w:rsid w:val="00A0778B"/>
    <w:rsid w:val="00A17704"/>
    <w:rsid w:val="00A2389D"/>
    <w:rsid w:val="00A2413D"/>
    <w:rsid w:val="00A24EEF"/>
    <w:rsid w:val="00A3038B"/>
    <w:rsid w:val="00A3051D"/>
    <w:rsid w:val="00A3754A"/>
    <w:rsid w:val="00A41C57"/>
    <w:rsid w:val="00A43ABC"/>
    <w:rsid w:val="00A44AB6"/>
    <w:rsid w:val="00A50037"/>
    <w:rsid w:val="00A539D9"/>
    <w:rsid w:val="00A66359"/>
    <w:rsid w:val="00A66FAA"/>
    <w:rsid w:val="00A7108D"/>
    <w:rsid w:val="00A71134"/>
    <w:rsid w:val="00A76639"/>
    <w:rsid w:val="00A773A0"/>
    <w:rsid w:val="00A8093E"/>
    <w:rsid w:val="00A821A9"/>
    <w:rsid w:val="00A84251"/>
    <w:rsid w:val="00A911A1"/>
    <w:rsid w:val="00A940CB"/>
    <w:rsid w:val="00AA375F"/>
    <w:rsid w:val="00AA7080"/>
    <w:rsid w:val="00AB151B"/>
    <w:rsid w:val="00AB254F"/>
    <w:rsid w:val="00AB4697"/>
    <w:rsid w:val="00AB7E6E"/>
    <w:rsid w:val="00AC0446"/>
    <w:rsid w:val="00AC3C9D"/>
    <w:rsid w:val="00AC5FA8"/>
    <w:rsid w:val="00AC6CE0"/>
    <w:rsid w:val="00AD13E3"/>
    <w:rsid w:val="00AD3338"/>
    <w:rsid w:val="00AD4B44"/>
    <w:rsid w:val="00AD512C"/>
    <w:rsid w:val="00AE0B8A"/>
    <w:rsid w:val="00AE3237"/>
    <w:rsid w:val="00AE3389"/>
    <w:rsid w:val="00AF0906"/>
    <w:rsid w:val="00AF1E61"/>
    <w:rsid w:val="00AF4884"/>
    <w:rsid w:val="00AF4AC9"/>
    <w:rsid w:val="00AF58DF"/>
    <w:rsid w:val="00AF64AF"/>
    <w:rsid w:val="00AF75F5"/>
    <w:rsid w:val="00B06855"/>
    <w:rsid w:val="00B076C5"/>
    <w:rsid w:val="00B12255"/>
    <w:rsid w:val="00B128CB"/>
    <w:rsid w:val="00B128D2"/>
    <w:rsid w:val="00B136D8"/>
    <w:rsid w:val="00B15E7A"/>
    <w:rsid w:val="00B16B39"/>
    <w:rsid w:val="00B20186"/>
    <w:rsid w:val="00B22640"/>
    <w:rsid w:val="00B22BD3"/>
    <w:rsid w:val="00B2522C"/>
    <w:rsid w:val="00B26945"/>
    <w:rsid w:val="00B2746A"/>
    <w:rsid w:val="00B359A3"/>
    <w:rsid w:val="00B40C9A"/>
    <w:rsid w:val="00B43A77"/>
    <w:rsid w:val="00B4473D"/>
    <w:rsid w:val="00B50323"/>
    <w:rsid w:val="00B51C40"/>
    <w:rsid w:val="00B54866"/>
    <w:rsid w:val="00B5489B"/>
    <w:rsid w:val="00B60C7C"/>
    <w:rsid w:val="00B61D0E"/>
    <w:rsid w:val="00B65F98"/>
    <w:rsid w:val="00B6716B"/>
    <w:rsid w:val="00B676DD"/>
    <w:rsid w:val="00B67B6D"/>
    <w:rsid w:val="00B70D33"/>
    <w:rsid w:val="00B75043"/>
    <w:rsid w:val="00B773E0"/>
    <w:rsid w:val="00B80FFF"/>
    <w:rsid w:val="00B82D4A"/>
    <w:rsid w:val="00B85E6E"/>
    <w:rsid w:val="00B8789F"/>
    <w:rsid w:val="00B87938"/>
    <w:rsid w:val="00B91612"/>
    <w:rsid w:val="00B936EF"/>
    <w:rsid w:val="00BA082B"/>
    <w:rsid w:val="00BA3DED"/>
    <w:rsid w:val="00BB06D8"/>
    <w:rsid w:val="00BB6564"/>
    <w:rsid w:val="00BB79E7"/>
    <w:rsid w:val="00BC249C"/>
    <w:rsid w:val="00BC3A42"/>
    <w:rsid w:val="00BC3F76"/>
    <w:rsid w:val="00BC6319"/>
    <w:rsid w:val="00BC6A49"/>
    <w:rsid w:val="00BD1B5C"/>
    <w:rsid w:val="00BD6B8F"/>
    <w:rsid w:val="00BD7F74"/>
    <w:rsid w:val="00BE3288"/>
    <w:rsid w:val="00BE33B1"/>
    <w:rsid w:val="00BE6ECD"/>
    <w:rsid w:val="00BF2908"/>
    <w:rsid w:val="00BF5D16"/>
    <w:rsid w:val="00BF734A"/>
    <w:rsid w:val="00BF77D9"/>
    <w:rsid w:val="00C04D2A"/>
    <w:rsid w:val="00C05F40"/>
    <w:rsid w:val="00C10252"/>
    <w:rsid w:val="00C103F9"/>
    <w:rsid w:val="00C11FA4"/>
    <w:rsid w:val="00C12C46"/>
    <w:rsid w:val="00C16B69"/>
    <w:rsid w:val="00C17B6F"/>
    <w:rsid w:val="00C216B6"/>
    <w:rsid w:val="00C23465"/>
    <w:rsid w:val="00C24B4B"/>
    <w:rsid w:val="00C253BE"/>
    <w:rsid w:val="00C2570A"/>
    <w:rsid w:val="00C26643"/>
    <w:rsid w:val="00C26E7F"/>
    <w:rsid w:val="00C34E7F"/>
    <w:rsid w:val="00C362B5"/>
    <w:rsid w:val="00C44CF2"/>
    <w:rsid w:val="00C45C54"/>
    <w:rsid w:val="00C46A3B"/>
    <w:rsid w:val="00C47B3B"/>
    <w:rsid w:val="00C50B0D"/>
    <w:rsid w:val="00C527EA"/>
    <w:rsid w:val="00C53A5A"/>
    <w:rsid w:val="00C548EE"/>
    <w:rsid w:val="00C559B9"/>
    <w:rsid w:val="00C55E41"/>
    <w:rsid w:val="00C67B89"/>
    <w:rsid w:val="00C7039E"/>
    <w:rsid w:val="00C75D45"/>
    <w:rsid w:val="00C819D3"/>
    <w:rsid w:val="00C8391C"/>
    <w:rsid w:val="00C84ADA"/>
    <w:rsid w:val="00C90CCD"/>
    <w:rsid w:val="00C90E43"/>
    <w:rsid w:val="00C948F3"/>
    <w:rsid w:val="00C9594D"/>
    <w:rsid w:val="00C97DAE"/>
    <w:rsid w:val="00CA035F"/>
    <w:rsid w:val="00CA0F92"/>
    <w:rsid w:val="00CA246B"/>
    <w:rsid w:val="00CA62D4"/>
    <w:rsid w:val="00CA7E2E"/>
    <w:rsid w:val="00CA7F4D"/>
    <w:rsid w:val="00CB335B"/>
    <w:rsid w:val="00CB50C6"/>
    <w:rsid w:val="00CB60EA"/>
    <w:rsid w:val="00CB6888"/>
    <w:rsid w:val="00CC37FD"/>
    <w:rsid w:val="00CC450E"/>
    <w:rsid w:val="00CC5099"/>
    <w:rsid w:val="00CC67CE"/>
    <w:rsid w:val="00CD131D"/>
    <w:rsid w:val="00CD7161"/>
    <w:rsid w:val="00CE1662"/>
    <w:rsid w:val="00CE2D48"/>
    <w:rsid w:val="00CF0142"/>
    <w:rsid w:val="00CF0AF2"/>
    <w:rsid w:val="00CF0C39"/>
    <w:rsid w:val="00CF1250"/>
    <w:rsid w:val="00CF5F11"/>
    <w:rsid w:val="00CF6343"/>
    <w:rsid w:val="00CF7789"/>
    <w:rsid w:val="00CF784A"/>
    <w:rsid w:val="00D006FA"/>
    <w:rsid w:val="00D03472"/>
    <w:rsid w:val="00D039C1"/>
    <w:rsid w:val="00D04388"/>
    <w:rsid w:val="00D05CDA"/>
    <w:rsid w:val="00D06DF0"/>
    <w:rsid w:val="00D07F48"/>
    <w:rsid w:val="00D13A5F"/>
    <w:rsid w:val="00D175F5"/>
    <w:rsid w:val="00D17A8A"/>
    <w:rsid w:val="00D202BF"/>
    <w:rsid w:val="00D23F81"/>
    <w:rsid w:val="00D33588"/>
    <w:rsid w:val="00D345FB"/>
    <w:rsid w:val="00D34EE2"/>
    <w:rsid w:val="00D3509B"/>
    <w:rsid w:val="00D359F6"/>
    <w:rsid w:val="00D36CB5"/>
    <w:rsid w:val="00D377C9"/>
    <w:rsid w:val="00D43EF2"/>
    <w:rsid w:val="00D44E4F"/>
    <w:rsid w:val="00D478C1"/>
    <w:rsid w:val="00D50D0F"/>
    <w:rsid w:val="00D50DEB"/>
    <w:rsid w:val="00D52B4D"/>
    <w:rsid w:val="00D53A34"/>
    <w:rsid w:val="00D57530"/>
    <w:rsid w:val="00D57663"/>
    <w:rsid w:val="00D6610D"/>
    <w:rsid w:val="00D662AF"/>
    <w:rsid w:val="00D67DFA"/>
    <w:rsid w:val="00D708A1"/>
    <w:rsid w:val="00D730DA"/>
    <w:rsid w:val="00D7417F"/>
    <w:rsid w:val="00D76A88"/>
    <w:rsid w:val="00D77DDB"/>
    <w:rsid w:val="00D8016F"/>
    <w:rsid w:val="00D81D50"/>
    <w:rsid w:val="00D82931"/>
    <w:rsid w:val="00D92324"/>
    <w:rsid w:val="00D92D50"/>
    <w:rsid w:val="00D95373"/>
    <w:rsid w:val="00D96117"/>
    <w:rsid w:val="00D9770F"/>
    <w:rsid w:val="00DA1279"/>
    <w:rsid w:val="00DA19E2"/>
    <w:rsid w:val="00DA468A"/>
    <w:rsid w:val="00DA5117"/>
    <w:rsid w:val="00DA586B"/>
    <w:rsid w:val="00DB434F"/>
    <w:rsid w:val="00DC2628"/>
    <w:rsid w:val="00DC28A9"/>
    <w:rsid w:val="00DD1DC5"/>
    <w:rsid w:val="00DD53ED"/>
    <w:rsid w:val="00DD5785"/>
    <w:rsid w:val="00DD6300"/>
    <w:rsid w:val="00DD7A27"/>
    <w:rsid w:val="00DD7B6A"/>
    <w:rsid w:val="00DE0C43"/>
    <w:rsid w:val="00DE2135"/>
    <w:rsid w:val="00DE3180"/>
    <w:rsid w:val="00DE6505"/>
    <w:rsid w:val="00DF4C44"/>
    <w:rsid w:val="00DF535B"/>
    <w:rsid w:val="00DF624E"/>
    <w:rsid w:val="00DF6B65"/>
    <w:rsid w:val="00E02926"/>
    <w:rsid w:val="00E0430B"/>
    <w:rsid w:val="00E0689C"/>
    <w:rsid w:val="00E06C07"/>
    <w:rsid w:val="00E1467D"/>
    <w:rsid w:val="00E16B16"/>
    <w:rsid w:val="00E22581"/>
    <w:rsid w:val="00E22587"/>
    <w:rsid w:val="00E23856"/>
    <w:rsid w:val="00E23E5D"/>
    <w:rsid w:val="00E2621E"/>
    <w:rsid w:val="00E3015D"/>
    <w:rsid w:val="00E349C5"/>
    <w:rsid w:val="00E36C0D"/>
    <w:rsid w:val="00E42A87"/>
    <w:rsid w:val="00E44AD1"/>
    <w:rsid w:val="00E47F01"/>
    <w:rsid w:val="00E50494"/>
    <w:rsid w:val="00E5650B"/>
    <w:rsid w:val="00E604F5"/>
    <w:rsid w:val="00E60CBF"/>
    <w:rsid w:val="00E63909"/>
    <w:rsid w:val="00E6724C"/>
    <w:rsid w:val="00E67B30"/>
    <w:rsid w:val="00E74222"/>
    <w:rsid w:val="00E77BA4"/>
    <w:rsid w:val="00E838AC"/>
    <w:rsid w:val="00E927A1"/>
    <w:rsid w:val="00E927B7"/>
    <w:rsid w:val="00E94050"/>
    <w:rsid w:val="00EA0123"/>
    <w:rsid w:val="00EA05BB"/>
    <w:rsid w:val="00EB16FC"/>
    <w:rsid w:val="00EB327F"/>
    <w:rsid w:val="00EC0048"/>
    <w:rsid w:val="00EC1A66"/>
    <w:rsid w:val="00EC27ED"/>
    <w:rsid w:val="00EC6310"/>
    <w:rsid w:val="00EC6F0F"/>
    <w:rsid w:val="00ED1389"/>
    <w:rsid w:val="00ED2917"/>
    <w:rsid w:val="00ED2E1A"/>
    <w:rsid w:val="00ED6799"/>
    <w:rsid w:val="00EE24E8"/>
    <w:rsid w:val="00EE2F18"/>
    <w:rsid w:val="00EF0485"/>
    <w:rsid w:val="00EF1E3C"/>
    <w:rsid w:val="00EF60D8"/>
    <w:rsid w:val="00EF657C"/>
    <w:rsid w:val="00F05A4A"/>
    <w:rsid w:val="00F0671E"/>
    <w:rsid w:val="00F079C7"/>
    <w:rsid w:val="00F100F1"/>
    <w:rsid w:val="00F138FD"/>
    <w:rsid w:val="00F14ED3"/>
    <w:rsid w:val="00F15873"/>
    <w:rsid w:val="00F171B3"/>
    <w:rsid w:val="00F215A4"/>
    <w:rsid w:val="00F24833"/>
    <w:rsid w:val="00F2648B"/>
    <w:rsid w:val="00F276A1"/>
    <w:rsid w:val="00F4474E"/>
    <w:rsid w:val="00F47E70"/>
    <w:rsid w:val="00F50B29"/>
    <w:rsid w:val="00F50D82"/>
    <w:rsid w:val="00F5130F"/>
    <w:rsid w:val="00F53CE6"/>
    <w:rsid w:val="00F57EFD"/>
    <w:rsid w:val="00F659F6"/>
    <w:rsid w:val="00F663AC"/>
    <w:rsid w:val="00F7103C"/>
    <w:rsid w:val="00F73BB3"/>
    <w:rsid w:val="00F772AF"/>
    <w:rsid w:val="00F77F82"/>
    <w:rsid w:val="00F8792F"/>
    <w:rsid w:val="00F9009C"/>
    <w:rsid w:val="00F92ABA"/>
    <w:rsid w:val="00F969A2"/>
    <w:rsid w:val="00F978E9"/>
    <w:rsid w:val="00FA4ACD"/>
    <w:rsid w:val="00FB159F"/>
    <w:rsid w:val="00FB3FAF"/>
    <w:rsid w:val="00FB412F"/>
    <w:rsid w:val="00FB7B2D"/>
    <w:rsid w:val="00FC0A5A"/>
    <w:rsid w:val="00FC3434"/>
    <w:rsid w:val="00FD5ACB"/>
    <w:rsid w:val="00FD6AD3"/>
    <w:rsid w:val="00FE08FF"/>
    <w:rsid w:val="00FE1A5A"/>
    <w:rsid w:val="00FE26BC"/>
    <w:rsid w:val="00FE644A"/>
    <w:rsid w:val="00FF0391"/>
    <w:rsid w:val="00FF16D3"/>
    <w:rsid w:val="00FF3489"/>
    <w:rsid w:val="01244CD9"/>
    <w:rsid w:val="015ED833"/>
    <w:rsid w:val="02482465"/>
    <w:rsid w:val="024C7A83"/>
    <w:rsid w:val="028D5B38"/>
    <w:rsid w:val="03B4BC95"/>
    <w:rsid w:val="040484B1"/>
    <w:rsid w:val="04280305"/>
    <w:rsid w:val="05A8301D"/>
    <w:rsid w:val="065107D4"/>
    <w:rsid w:val="069FAD4A"/>
    <w:rsid w:val="079D82A1"/>
    <w:rsid w:val="07CA452E"/>
    <w:rsid w:val="08A35353"/>
    <w:rsid w:val="08D7F5D4"/>
    <w:rsid w:val="08EAED8A"/>
    <w:rsid w:val="0A75C103"/>
    <w:rsid w:val="0AFFD8B1"/>
    <w:rsid w:val="0B9E61C8"/>
    <w:rsid w:val="0C0F9696"/>
    <w:rsid w:val="0C1264C4"/>
    <w:rsid w:val="0C25E376"/>
    <w:rsid w:val="0D67D35E"/>
    <w:rsid w:val="0D883CBE"/>
    <w:rsid w:val="0D92F668"/>
    <w:rsid w:val="0E354B64"/>
    <w:rsid w:val="0EAAB346"/>
    <w:rsid w:val="0EE1E2C9"/>
    <w:rsid w:val="0EF04CB7"/>
    <w:rsid w:val="0F2E94F3"/>
    <w:rsid w:val="0F63E366"/>
    <w:rsid w:val="1070575B"/>
    <w:rsid w:val="11AD144C"/>
    <w:rsid w:val="127499E5"/>
    <w:rsid w:val="12C9FF0F"/>
    <w:rsid w:val="140BEFF7"/>
    <w:rsid w:val="149D8CF7"/>
    <w:rsid w:val="14DA8D0B"/>
    <w:rsid w:val="15981B1A"/>
    <w:rsid w:val="15C112FA"/>
    <w:rsid w:val="15E4423C"/>
    <w:rsid w:val="166B2037"/>
    <w:rsid w:val="1869624B"/>
    <w:rsid w:val="18BAF449"/>
    <w:rsid w:val="18D65497"/>
    <w:rsid w:val="18EB3664"/>
    <w:rsid w:val="19E564BD"/>
    <w:rsid w:val="1A02A1D7"/>
    <w:rsid w:val="1A57889C"/>
    <w:rsid w:val="1BC866F2"/>
    <w:rsid w:val="1D083001"/>
    <w:rsid w:val="1D45D8D2"/>
    <w:rsid w:val="1DCC1014"/>
    <w:rsid w:val="1E77155B"/>
    <w:rsid w:val="1EF63C52"/>
    <w:rsid w:val="202247B0"/>
    <w:rsid w:val="21439B19"/>
    <w:rsid w:val="21D10BC0"/>
    <w:rsid w:val="22854A02"/>
    <w:rsid w:val="22D8A523"/>
    <w:rsid w:val="26561103"/>
    <w:rsid w:val="26753630"/>
    <w:rsid w:val="26CB2130"/>
    <w:rsid w:val="272216E7"/>
    <w:rsid w:val="27D7F55B"/>
    <w:rsid w:val="2840FB9A"/>
    <w:rsid w:val="291CD8E5"/>
    <w:rsid w:val="29BAB43D"/>
    <w:rsid w:val="29BBADC5"/>
    <w:rsid w:val="2AC7F09E"/>
    <w:rsid w:val="2AFBBCBA"/>
    <w:rsid w:val="2B45180C"/>
    <w:rsid w:val="2B52CD7D"/>
    <w:rsid w:val="2B577E26"/>
    <w:rsid w:val="2B6205FA"/>
    <w:rsid w:val="2BEE0026"/>
    <w:rsid w:val="2CC2ADD2"/>
    <w:rsid w:val="2D366148"/>
    <w:rsid w:val="2D9911A4"/>
    <w:rsid w:val="2E750246"/>
    <w:rsid w:val="2EC0EDB4"/>
    <w:rsid w:val="2EC64904"/>
    <w:rsid w:val="2FDB4948"/>
    <w:rsid w:val="2FFA8B42"/>
    <w:rsid w:val="306C6CDE"/>
    <w:rsid w:val="30FEE054"/>
    <w:rsid w:val="3140AC04"/>
    <w:rsid w:val="31544039"/>
    <w:rsid w:val="318C1DE8"/>
    <w:rsid w:val="31E561EF"/>
    <w:rsid w:val="34C8B618"/>
    <w:rsid w:val="34F30888"/>
    <w:rsid w:val="3526027E"/>
    <w:rsid w:val="364ABE04"/>
    <w:rsid w:val="36F178BB"/>
    <w:rsid w:val="37F21B11"/>
    <w:rsid w:val="38F84521"/>
    <w:rsid w:val="390EB601"/>
    <w:rsid w:val="397BD6B7"/>
    <w:rsid w:val="39D9BF15"/>
    <w:rsid w:val="39FFFB0B"/>
    <w:rsid w:val="3A6DB4C5"/>
    <w:rsid w:val="3AE76851"/>
    <w:rsid w:val="3B28AB01"/>
    <w:rsid w:val="3C3CB015"/>
    <w:rsid w:val="3CCC2ECC"/>
    <w:rsid w:val="3D1C506F"/>
    <w:rsid w:val="3DBBA709"/>
    <w:rsid w:val="424A7CD8"/>
    <w:rsid w:val="42A44D82"/>
    <w:rsid w:val="42D2ED5D"/>
    <w:rsid w:val="433D1511"/>
    <w:rsid w:val="441C1621"/>
    <w:rsid w:val="44C81E54"/>
    <w:rsid w:val="453AEA94"/>
    <w:rsid w:val="463ABD6E"/>
    <w:rsid w:val="46760627"/>
    <w:rsid w:val="4833C6E4"/>
    <w:rsid w:val="483639DC"/>
    <w:rsid w:val="4A1D2506"/>
    <w:rsid w:val="4C406463"/>
    <w:rsid w:val="4CE0B5A1"/>
    <w:rsid w:val="4DA27C39"/>
    <w:rsid w:val="4DC4E1FD"/>
    <w:rsid w:val="4DD0AA41"/>
    <w:rsid w:val="4DD45C02"/>
    <w:rsid w:val="4E5ABC92"/>
    <w:rsid w:val="4F2E88FF"/>
    <w:rsid w:val="4F39A0F4"/>
    <w:rsid w:val="4FBD47B0"/>
    <w:rsid w:val="4FE44B49"/>
    <w:rsid w:val="515CE932"/>
    <w:rsid w:val="51B5FDD5"/>
    <w:rsid w:val="51D5B519"/>
    <w:rsid w:val="5222B87B"/>
    <w:rsid w:val="523FDA5B"/>
    <w:rsid w:val="528340EA"/>
    <w:rsid w:val="52B9B7EC"/>
    <w:rsid w:val="53764C0E"/>
    <w:rsid w:val="53A9E7A3"/>
    <w:rsid w:val="547406E7"/>
    <w:rsid w:val="548D364C"/>
    <w:rsid w:val="552265BB"/>
    <w:rsid w:val="5567BCFC"/>
    <w:rsid w:val="557349D2"/>
    <w:rsid w:val="557CF6F9"/>
    <w:rsid w:val="569D154C"/>
    <w:rsid w:val="5740265D"/>
    <w:rsid w:val="5777AF5E"/>
    <w:rsid w:val="582351F0"/>
    <w:rsid w:val="5A01BCFF"/>
    <w:rsid w:val="5AAE9766"/>
    <w:rsid w:val="5B0B6D37"/>
    <w:rsid w:val="5BA314AF"/>
    <w:rsid w:val="5BBFFB8C"/>
    <w:rsid w:val="5C6187F3"/>
    <w:rsid w:val="5D57D3BC"/>
    <w:rsid w:val="5D8AA442"/>
    <w:rsid w:val="5E2EA7D7"/>
    <w:rsid w:val="6136BA66"/>
    <w:rsid w:val="6170317F"/>
    <w:rsid w:val="617AFA82"/>
    <w:rsid w:val="61AFCB0B"/>
    <w:rsid w:val="6277216E"/>
    <w:rsid w:val="6312F9C2"/>
    <w:rsid w:val="6316CAE3"/>
    <w:rsid w:val="643C55E3"/>
    <w:rsid w:val="65DE5CF7"/>
    <w:rsid w:val="6614B35D"/>
    <w:rsid w:val="6622DE40"/>
    <w:rsid w:val="677A2D58"/>
    <w:rsid w:val="67DE0E03"/>
    <w:rsid w:val="68190E4C"/>
    <w:rsid w:val="68684C7C"/>
    <w:rsid w:val="6AE06540"/>
    <w:rsid w:val="6AE82480"/>
    <w:rsid w:val="6C247D0A"/>
    <w:rsid w:val="6C2F6F55"/>
    <w:rsid w:val="6DED3D96"/>
    <w:rsid w:val="6E19A8E1"/>
    <w:rsid w:val="6E2FD9FA"/>
    <w:rsid w:val="6E6A2B81"/>
    <w:rsid w:val="6F06C4FD"/>
    <w:rsid w:val="6F7F1680"/>
    <w:rsid w:val="705A9097"/>
    <w:rsid w:val="72526C99"/>
    <w:rsid w:val="72527E0A"/>
    <w:rsid w:val="72FB55C1"/>
    <w:rsid w:val="72FDAD26"/>
    <w:rsid w:val="7386A97D"/>
    <w:rsid w:val="73EDEDBA"/>
    <w:rsid w:val="7405CA6A"/>
    <w:rsid w:val="744F83E6"/>
    <w:rsid w:val="74C5E391"/>
    <w:rsid w:val="74DC3C11"/>
    <w:rsid w:val="74F2C8CD"/>
    <w:rsid w:val="750FC73C"/>
    <w:rsid w:val="756F8D49"/>
    <w:rsid w:val="76A990F6"/>
    <w:rsid w:val="77D19B45"/>
    <w:rsid w:val="78DC7507"/>
    <w:rsid w:val="79863F42"/>
    <w:rsid w:val="79A12B5E"/>
    <w:rsid w:val="7A72F9A6"/>
    <w:rsid w:val="7BB747BD"/>
    <w:rsid w:val="7BD8E2E0"/>
    <w:rsid w:val="7C4F7450"/>
    <w:rsid w:val="7DA8BA67"/>
    <w:rsid w:val="7DEA3763"/>
    <w:rsid w:val="7E998F80"/>
    <w:rsid w:val="7F4AF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3C9F6"/>
  <w15:chartTrackingRefBased/>
  <w15:docId w15:val="{776A2344-9FC0-4DED-BD28-96E4BB92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51B"/>
    <w:pPr>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unhideWhenUsed/>
    <w:qFormat/>
    <w:rsid w:val="007A50E6"/>
    <w:pPr>
      <w:keepNext/>
      <w:keepLines/>
      <w:spacing w:before="40"/>
      <w:outlineLvl w:val="1"/>
    </w:pPr>
    <w:rPr>
      <w:rFonts w:asciiTheme="majorHAnsi" w:eastAsiaTheme="majorEastAsia" w:hAnsiTheme="majorHAnsi" w:cstheme="majorBidi"/>
      <w:color w:val="007F8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11768"/>
    <w:pPr>
      <w:tabs>
        <w:tab w:val="center" w:pos="4680"/>
        <w:tab w:val="right" w:pos="9360"/>
      </w:tabs>
    </w:pPr>
  </w:style>
  <w:style w:type="character" w:customStyle="1" w:styleId="HeaderChar">
    <w:name w:val="Header Char"/>
    <w:basedOn w:val="DefaultParagraphFont"/>
    <w:link w:val="Header"/>
    <w:rsid w:val="00911768"/>
  </w:style>
  <w:style w:type="paragraph" w:styleId="Footer">
    <w:name w:val="footer"/>
    <w:basedOn w:val="Normal"/>
    <w:link w:val="FooterChar"/>
    <w:uiPriority w:val="99"/>
    <w:unhideWhenUsed/>
    <w:rsid w:val="00911768"/>
    <w:pPr>
      <w:tabs>
        <w:tab w:val="center" w:pos="4680"/>
        <w:tab w:val="right" w:pos="9360"/>
      </w:tabs>
    </w:pPr>
  </w:style>
  <w:style w:type="character" w:customStyle="1" w:styleId="FooterChar">
    <w:name w:val="Footer Char"/>
    <w:basedOn w:val="DefaultParagraphFont"/>
    <w:link w:val="Footer"/>
    <w:uiPriority w:val="99"/>
    <w:rsid w:val="00911768"/>
  </w:style>
  <w:style w:type="character" w:styleId="Hyperlink">
    <w:name w:val="Hyperlink"/>
    <w:basedOn w:val="DefaultParagraphFont"/>
    <w:uiPriority w:val="99"/>
    <w:unhideWhenUsed/>
    <w:rsid w:val="00586AD7"/>
    <w:rPr>
      <w:color w:val="00ABB9" w:themeColor="hyperlink"/>
      <w:u w:val="single"/>
    </w:rPr>
  </w:style>
  <w:style w:type="paragraph" w:customStyle="1" w:styleId="Default">
    <w:name w:val="Default"/>
    <w:rsid w:val="00AB151B"/>
    <w:pPr>
      <w:autoSpaceDE w:val="0"/>
      <w:autoSpaceDN w:val="0"/>
      <w:adjustRightInd w:val="0"/>
      <w:spacing w:after="0" w:line="240" w:lineRule="auto"/>
    </w:pPr>
    <w:rPr>
      <w:rFonts w:ascii="Calibri" w:eastAsia="Times New Roman" w:hAnsi="Calibri" w:cs="Calibri"/>
      <w:color w:val="000000"/>
      <w:sz w:val="24"/>
      <w:szCs w:val="24"/>
      <w:lang w:val="en-GB" w:eastAsia="en-GB"/>
    </w:rPr>
  </w:style>
  <w:style w:type="paragraph" w:styleId="ListParagraph">
    <w:name w:val="List Paragraph"/>
    <w:basedOn w:val="Normal"/>
    <w:uiPriority w:val="34"/>
    <w:qFormat/>
    <w:rsid w:val="006D0334"/>
    <w:pPr>
      <w:ind w:left="720"/>
      <w:contextualSpacing/>
    </w:pPr>
  </w:style>
  <w:style w:type="character" w:styleId="CommentReference">
    <w:name w:val="annotation reference"/>
    <w:basedOn w:val="DefaultParagraphFont"/>
    <w:uiPriority w:val="99"/>
    <w:semiHidden/>
    <w:unhideWhenUsed/>
    <w:rsid w:val="009C7A93"/>
    <w:rPr>
      <w:sz w:val="16"/>
      <w:szCs w:val="16"/>
    </w:rPr>
  </w:style>
  <w:style w:type="paragraph" w:styleId="CommentText">
    <w:name w:val="annotation text"/>
    <w:basedOn w:val="Normal"/>
    <w:link w:val="CommentTextChar"/>
    <w:uiPriority w:val="99"/>
    <w:unhideWhenUsed/>
    <w:rsid w:val="009C7A93"/>
  </w:style>
  <w:style w:type="character" w:customStyle="1" w:styleId="CommentTextChar">
    <w:name w:val="Comment Text Char"/>
    <w:basedOn w:val="DefaultParagraphFont"/>
    <w:link w:val="CommentText"/>
    <w:uiPriority w:val="99"/>
    <w:rsid w:val="009C7A93"/>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C7A93"/>
    <w:rPr>
      <w:b/>
      <w:bCs/>
    </w:rPr>
  </w:style>
  <w:style w:type="character" w:customStyle="1" w:styleId="CommentSubjectChar">
    <w:name w:val="Comment Subject Char"/>
    <w:basedOn w:val="CommentTextChar"/>
    <w:link w:val="CommentSubject"/>
    <w:uiPriority w:val="99"/>
    <w:semiHidden/>
    <w:rsid w:val="009C7A93"/>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9C7A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A93"/>
    <w:rPr>
      <w:rFonts w:ascii="Segoe UI" w:eastAsia="Times New Roman" w:hAnsi="Segoe UI" w:cs="Segoe UI"/>
      <w:sz w:val="18"/>
      <w:szCs w:val="18"/>
      <w:lang w:val="en-GB"/>
    </w:rPr>
  </w:style>
  <w:style w:type="character" w:styleId="Mention">
    <w:name w:val="Mention"/>
    <w:basedOn w:val="DefaultParagraphFont"/>
    <w:uiPriority w:val="99"/>
    <w:unhideWhenUsed/>
    <w:rsid w:val="00AC0446"/>
    <w:rPr>
      <w:color w:val="2B579A"/>
      <w:shd w:val="clear" w:color="auto" w:fill="E6E6E6"/>
    </w:rPr>
  </w:style>
  <w:style w:type="paragraph" w:styleId="NoSpacing">
    <w:name w:val="No Spacing"/>
    <w:uiPriority w:val="1"/>
    <w:qFormat/>
    <w:rsid w:val="001A1A01"/>
    <w:pPr>
      <w:spacing w:after="0" w:line="240" w:lineRule="auto"/>
    </w:pPr>
    <w:rPr>
      <w:rFonts w:ascii="Times New Roman" w:eastAsia="Times New Roman" w:hAnsi="Times New Roman" w:cs="Times New Roman"/>
      <w:sz w:val="20"/>
      <w:szCs w:val="20"/>
      <w:lang w:val="en-GB"/>
    </w:rPr>
  </w:style>
  <w:style w:type="paragraph" w:styleId="Revision">
    <w:name w:val="Revision"/>
    <w:hidden/>
    <w:uiPriority w:val="99"/>
    <w:semiHidden/>
    <w:rsid w:val="00776CEA"/>
    <w:pPr>
      <w:spacing w:after="0" w:line="240" w:lineRule="auto"/>
    </w:pPr>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semiHidden/>
    <w:unhideWhenUsed/>
    <w:rsid w:val="001925AD"/>
    <w:rPr>
      <w:rFonts w:ascii="Calibri" w:eastAsia="Calibri" w:hAnsi="Calibri"/>
    </w:rPr>
  </w:style>
  <w:style w:type="character" w:customStyle="1" w:styleId="FootnoteTextChar">
    <w:name w:val="Footnote Text Char"/>
    <w:basedOn w:val="DefaultParagraphFont"/>
    <w:link w:val="FootnoteText"/>
    <w:uiPriority w:val="99"/>
    <w:semiHidden/>
    <w:rsid w:val="001925AD"/>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1925AD"/>
    <w:rPr>
      <w:vertAlign w:val="superscript"/>
    </w:rPr>
  </w:style>
  <w:style w:type="character" w:styleId="UnresolvedMention">
    <w:name w:val="Unresolved Mention"/>
    <w:basedOn w:val="DefaultParagraphFont"/>
    <w:uiPriority w:val="99"/>
    <w:semiHidden/>
    <w:unhideWhenUsed/>
    <w:rsid w:val="00003F2E"/>
    <w:rPr>
      <w:color w:val="605E5C"/>
      <w:shd w:val="clear" w:color="auto" w:fill="E1DFDD"/>
    </w:rPr>
  </w:style>
  <w:style w:type="character" w:customStyle="1" w:styleId="Heading2Char">
    <w:name w:val="Heading 2 Char"/>
    <w:basedOn w:val="DefaultParagraphFont"/>
    <w:link w:val="Heading2"/>
    <w:uiPriority w:val="9"/>
    <w:rsid w:val="007A50E6"/>
    <w:rPr>
      <w:rFonts w:asciiTheme="majorHAnsi" w:eastAsiaTheme="majorEastAsia" w:hAnsiTheme="majorHAnsi" w:cstheme="majorBidi"/>
      <w:color w:val="007F8A" w:themeColor="accent1" w:themeShade="BF"/>
      <w:sz w:val="26"/>
      <w:szCs w:val="26"/>
      <w:lang w:val="en-GB"/>
    </w:rPr>
  </w:style>
  <w:style w:type="paragraph" w:styleId="NormalWeb">
    <w:name w:val="Normal (Web)"/>
    <w:basedOn w:val="Normal"/>
    <w:uiPriority w:val="99"/>
    <w:semiHidden/>
    <w:unhideWhenUsed/>
    <w:rsid w:val="00A84251"/>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3472">
      <w:bodyDiv w:val="1"/>
      <w:marLeft w:val="0"/>
      <w:marRight w:val="0"/>
      <w:marTop w:val="0"/>
      <w:marBottom w:val="0"/>
      <w:divBdr>
        <w:top w:val="none" w:sz="0" w:space="0" w:color="auto"/>
        <w:left w:val="none" w:sz="0" w:space="0" w:color="auto"/>
        <w:bottom w:val="none" w:sz="0" w:space="0" w:color="auto"/>
        <w:right w:val="none" w:sz="0" w:space="0" w:color="auto"/>
      </w:divBdr>
    </w:div>
    <w:div w:id="100034451">
      <w:bodyDiv w:val="1"/>
      <w:marLeft w:val="0"/>
      <w:marRight w:val="0"/>
      <w:marTop w:val="0"/>
      <w:marBottom w:val="0"/>
      <w:divBdr>
        <w:top w:val="none" w:sz="0" w:space="0" w:color="auto"/>
        <w:left w:val="none" w:sz="0" w:space="0" w:color="auto"/>
        <w:bottom w:val="none" w:sz="0" w:space="0" w:color="auto"/>
        <w:right w:val="none" w:sz="0" w:space="0" w:color="auto"/>
      </w:divBdr>
    </w:div>
    <w:div w:id="780345684">
      <w:bodyDiv w:val="1"/>
      <w:marLeft w:val="0"/>
      <w:marRight w:val="0"/>
      <w:marTop w:val="0"/>
      <w:marBottom w:val="0"/>
      <w:divBdr>
        <w:top w:val="none" w:sz="0" w:space="0" w:color="auto"/>
        <w:left w:val="none" w:sz="0" w:space="0" w:color="auto"/>
        <w:bottom w:val="none" w:sz="0" w:space="0" w:color="auto"/>
        <w:right w:val="none" w:sz="0" w:space="0" w:color="auto"/>
      </w:divBdr>
    </w:div>
    <w:div w:id="960069460">
      <w:bodyDiv w:val="1"/>
      <w:marLeft w:val="0"/>
      <w:marRight w:val="0"/>
      <w:marTop w:val="0"/>
      <w:marBottom w:val="0"/>
      <w:divBdr>
        <w:top w:val="none" w:sz="0" w:space="0" w:color="auto"/>
        <w:left w:val="none" w:sz="0" w:space="0" w:color="auto"/>
        <w:bottom w:val="none" w:sz="0" w:space="0" w:color="auto"/>
        <w:right w:val="none" w:sz="0" w:space="0" w:color="auto"/>
      </w:divBdr>
    </w:div>
    <w:div w:id="1300458049">
      <w:bodyDiv w:val="1"/>
      <w:marLeft w:val="0"/>
      <w:marRight w:val="0"/>
      <w:marTop w:val="0"/>
      <w:marBottom w:val="0"/>
      <w:divBdr>
        <w:top w:val="none" w:sz="0" w:space="0" w:color="auto"/>
        <w:left w:val="none" w:sz="0" w:space="0" w:color="auto"/>
        <w:bottom w:val="none" w:sz="0" w:space="0" w:color="auto"/>
        <w:right w:val="none" w:sz="0" w:space="0" w:color="auto"/>
      </w:divBdr>
    </w:div>
    <w:div w:id="1314024200">
      <w:bodyDiv w:val="1"/>
      <w:marLeft w:val="0"/>
      <w:marRight w:val="0"/>
      <w:marTop w:val="0"/>
      <w:marBottom w:val="0"/>
      <w:divBdr>
        <w:top w:val="none" w:sz="0" w:space="0" w:color="auto"/>
        <w:left w:val="none" w:sz="0" w:space="0" w:color="auto"/>
        <w:bottom w:val="none" w:sz="0" w:space="0" w:color="auto"/>
        <w:right w:val="none" w:sz="0" w:space="0" w:color="auto"/>
      </w:divBdr>
    </w:div>
    <w:div w:id="1512334485">
      <w:bodyDiv w:val="1"/>
      <w:marLeft w:val="0"/>
      <w:marRight w:val="0"/>
      <w:marTop w:val="0"/>
      <w:marBottom w:val="0"/>
      <w:divBdr>
        <w:top w:val="none" w:sz="0" w:space="0" w:color="auto"/>
        <w:left w:val="none" w:sz="0" w:space="0" w:color="auto"/>
        <w:bottom w:val="none" w:sz="0" w:space="0" w:color="auto"/>
        <w:right w:val="none" w:sz="0" w:space="0" w:color="auto"/>
      </w:divBdr>
    </w:div>
    <w:div w:id="1811822596">
      <w:bodyDiv w:val="1"/>
      <w:marLeft w:val="0"/>
      <w:marRight w:val="0"/>
      <w:marTop w:val="0"/>
      <w:marBottom w:val="0"/>
      <w:divBdr>
        <w:top w:val="none" w:sz="0" w:space="0" w:color="auto"/>
        <w:left w:val="none" w:sz="0" w:space="0" w:color="auto"/>
        <w:bottom w:val="none" w:sz="0" w:space="0" w:color="auto"/>
        <w:right w:val="none" w:sz="0" w:space="0" w:color="auto"/>
      </w:divBdr>
    </w:div>
    <w:div w:id="2076539875">
      <w:bodyDiv w:val="1"/>
      <w:marLeft w:val="0"/>
      <w:marRight w:val="0"/>
      <w:marTop w:val="0"/>
      <w:marBottom w:val="0"/>
      <w:divBdr>
        <w:top w:val="none" w:sz="0" w:space="0" w:color="auto"/>
        <w:left w:val="none" w:sz="0" w:space="0" w:color="auto"/>
        <w:bottom w:val="none" w:sz="0" w:space="0" w:color="auto"/>
        <w:right w:val="none" w:sz="0" w:space="0" w:color="auto"/>
      </w:divBdr>
    </w:div>
    <w:div w:id="21389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oleObject" Target="https://cmspaymentsintelligence.sharepoint.com/sites/Economics/Shared%20Documents/Lessonly/Excels/Txn%20Productivity%20Townhall%20Visual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cmspaymentsintelligence-my.sharepoint.com/personal/mpatel_cmspi_com/Documents/Documents/Reorganisation/Client%20Work/Amazon/SCA%20Impact%20Assessment/Final/October%202021%20Update/SCA%20Analysis%20Branded%20Graphs%20(For%20Design)%20-%20October%20202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Southall\OneDrive%20-%20CMS%20Payments%20Intelligence\Documents\Trade%20Associations\Eurocommerce\December%202021\EuroCommerce%20December%202021.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v>Merchant Fraud Losses</c:v>
          </c:tx>
          <c:spPr>
            <a:solidFill>
              <a:schemeClr val="accent1"/>
            </a:solidFill>
            <a:ln>
              <a:noFill/>
            </a:ln>
            <a:effectLst/>
          </c:spPr>
          <c:cat>
            <c:numRef>
              <c:f>'EUR Fraud'!$B$14:$G$14</c:f>
              <c:numCache>
                <c:formatCode>General</c:formatCode>
                <c:ptCount val="6"/>
                <c:pt idx="0">
                  <c:v>2016</c:v>
                </c:pt>
                <c:pt idx="1">
                  <c:v>2017</c:v>
                </c:pt>
                <c:pt idx="2">
                  <c:v>2018</c:v>
                </c:pt>
                <c:pt idx="3">
                  <c:v>2019</c:v>
                </c:pt>
                <c:pt idx="4">
                  <c:v>2020</c:v>
                </c:pt>
                <c:pt idx="5">
                  <c:v>2021</c:v>
                </c:pt>
              </c:numCache>
            </c:numRef>
          </c:cat>
          <c:val>
            <c:numRef>
              <c:f>'EUR Fraud'!$B$29:$G$29</c:f>
              <c:numCache>
                <c:formatCode>_([$€-2]\ * #,##0_);_([$€-2]\ * \(#,##0\);_([$€-2]\ * "-"??_);_(@_)</c:formatCode>
                <c:ptCount val="6"/>
                <c:pt idx="0">
                  <c:v>1184568741.6971748</c:v>
                </c:pt>
                <c:pt idx="1">
                  <c:v>1356878297.7229986</c:v>
                </c:pt>
                <c:pt idx="2">
                  <c:v>1500499220.2729044</c:v>
                </c:pt>
                <c:pt idx="3">
                  <c:v>1675000000</c:v>
                </c:pt>
                <c:pt idx="4">
                  <c:v>2032964569.8701553</c:v>
                </c:pt>
                <c:pt idx="5">
                  <c:v>2218179808.974021</c:v>
                </c:pt>
              </c:numCache>
            </c:numRef>
          </c:val>
          <c:extLst>
            <c:ext xmlns:c16="http://schemas.microsoft.com/office/drawing/2014/chart" uri="{C3380CC4-5D6E-409C-BE32-E72D297353CC}">
              <c16:uniqueId val="{00000000-D61F-40D8-BC0C-080939FA7AAD}"/>
            </c:ext>
          </c:extLst>
        </c:ser>
        <c:ser>
          <c:idx val="1"/>
          <c:order val="1"/>
          <c:tx>
            <c:v>Merchant Expenditure on Fraud Prevention</c:v>
          </c:tx>
          <c:spPr>
            <a:solidFill>
              <a:schemeClr val="accent2"/>
            </a:solidFill>
            <a:ln>
              <a:noFill/>
            </a:ln>
            <a:effectLst/>
          </c:spPr>
          <c:cat>
            <c:numRef>
              <c:f>'EUR Fraud'!$B$14:$G$14</c:f>
              <c:numCache>
                <c:formatCode>General</c:formatCode>
                <c:ptCount val="6"/>
                <c:pt idx="0">
                  <c:v>2016</c:v>
                </c:pt>
                <c:pt idx="1">
                  <c:v>2017</c:v>
                </c:pt>
                <c:pt idx="2">
                  <c:v>2018</c:v>
                </c:pt>
                <c:pt idx="3">
                  <c:v>2019</c:v>
                </c:pt>
                <c:pt idx="4">
                  <c:v>2020</c:v>
                </c:pt>
                <c:pt idx="5">
                  <c:v>2021</c:v>
                </c:pt>
              </c:numCache>
            </c:numRef>
          </c:cat>
          <c:val>
            <c:numRef>
              <c:f>'EUR Fraud'!$B$31:$G$31</c:f>
              <c:numCache>
                <c:formatCode>_([$€-2]\ * #,##0_);_([$€-2]\ * \(#,##0\);_([$€-2]\ * "-"??_);_(@_)</c:formatCode>
                <c:ptCount val="6"/>
                <c:pt idx="0">
                  <c:v>3707700161.512157</c:v>
                </c:pt>
                <c:pt idx="1">
                  <c:v>4247029071.8729854</c:v>
                </c:pt>
                <c:pt idx="2">
                  <c:v>4696562559.4541903</c:v>
                </c:pt>
                <c:pt idx="3">
                  <c:v>5242750000</c:v>
                </c:pt>
                <c:pt idx="4">
                  <c:v>6363179103.6935863</c:v>
                </c:pt>
                <c:pt idx="5">
                  <c:v>6942902802.088685</c:v>
                </c:pt>
              </c:numCache>
            </c:numRef>
          </c:val>
          <c:extLst>
            <c:ext xmlns:c16="http://schemas.microsoft.com/office/drawing/2014/chart" uri="{C3380CC4-5D6E-409C-BE32-E72D297353CC}">
              <c16:uniqueId val="{00000001-D61F-40D8-BC0C-080939FA7AAD}"/>
            </c:ext>
          </c:extLst>
        </c:ser>
        <c:dLbls>
          <c:showLegendKey val="0"/>
          <c:showVal val="0"/>
          <c:showCatName val="0"/>
          <c:showSerName val="0"/>
          <c:showPercent val="0"/>
          <c:showBubbleSize val="0"/>
        </c:dLbls>
        <c:axId val="609818544"/>
        <c:axId val="609819792"/>
      </c:areaChart>
      <c:catAx>
        <c:axId val="609818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9819792"/>
        <c:crosses val="autoZero"/>
        <c:auto val="1"/>
        <c:lblAlgn val="ctr"/>
        <c:lblOffset val="100"/>
        <c:noMultiLvlLbl val="0"/>
      </c:catAx>
      <c:valAx>
        <c:axId val="609819792"/>
        <c:scaling>
          <c:orientation val="minMax"/>
        </c:scaling>
        <c:delete val="0"/>
        <c:axPos val="l"/>
        <c:majorGridlines>
          <c:spPr>
            <a:ln w="9525" cap="flat" cmpd="sng" algn="ctr">
              <a:solidFill>
                <a:schemeClr val="tx1">
                  <a:lumMod val="15000"/>
                  <a:lumOff val="85000"/>
                </a:schemeClr>
              </a:solidFill>
              <a:round/>
            </a:ln>
            <a:effectLst/>
          </c:spPr>
        </c:majorGridlines>
        <c:numFmt formatCode="_([$€-2]\ * #,##0_);_([$€-2]\ * \(#,##0\);_([$€-2]\ *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981854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'[SCA Analysis Branded Graphs (For Design) - October 2021.xlsx]Calculations'!$AD$45</c:f>
              <c:strCache>
                <c:ptCount val="1"/>
                <c:pt idx="0">
                  <c:v>European Weighted Average (Challenged Transactions)</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Zeitung Micro Pro" panose="020B0503040000080004" pitchFamily="34" charset="0"/>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'[SCA Analysis Branded Graphs (For Design) - October 2021.xlsx]Calculations'!$AH$44:$AP$44</c:f>
              <c:numCache>
                <c:formatCode>mmm\-yy</c:formatCode>
                <c:ptCount val="9"/>
                <c:pt idx="0">
                  <c:v>44197</c:v>
                </c:pt>
                <c:pt idx="1">
                  <c:v>44228</c:v>
                </c:pt>
                <c:pt idx="2">
                  <c:v>44256</c:v>
                </c:pt>
                <c:pt idx="3">
                  <c:v>44287</c:v>
                </c:pt>
                <c:pt idx="4">
                  <c:v>44317</c:v>
                </c:pt>
                <c:pt idx="5">
                  <c:v>44348</c:v>
                </c:pt>
                <c:pt idx="6">
                  <c:v>44378</c:v>
                </c:pt>
                <c:pt idx="7">
                  <c:v>44409</c:v>
                </c:pt>
                <c:pt idx="8">
                  <c:v>44440</c:v>
                </c:pt>
              </c:numCache>
            </c:numRef>
          </c:cat>
          <c:val>
            <c:numRef>
              <c:f>'[SCA Analysis Branded Graphs (For Design) - October 2021.xlsx]Calculations'!$AH$45:$AP$45</c:f>
              <c:numCache>
                <c:formatCode>0%</c:formatCode>
                <c:ptCount val="9"/>
                <c:pt idx="0">
                  <c:v>0.33114872203936296</c:v>
                </c:pt>
                <c:pt idx="1">
                  <c:v>0.31408558478316662</c:v>
                </c:pt>
                <c:pt idx="2">
                  <c:v>0.30328631076489421</c:v>
                </c:pt>
                <c:pt idx="3">
                  <c:v>0.29699999999999999</c:v>
                </c:pt>
                <c:pt idx="4">
                  <c:v>0.25803198679556272</c:v>
                </c:pt>
                <c:pt idx="5">
                  <c:v>0.24511599143420917</c:v>
                </c:pt>
                <c:pt idx="6">
                  <c:v>0.23794482783909382</c:v>
                </c:pt>
                <c:pt idx="7">
                  <c:v>0.25773159870894857</c:v>
                </c:pt>
                <c:pt idx="8">
                  <c:v>0.28958941117397752</c:v>
                </c:pt>
              </c:numCache>
            </c:numRef>
          </c:val>
          <c:smooth val="0"/>
          <c:extLst>
            <c:ext xmlns:c16="http://schemas.microsoft.com/office/drawing/2014/chart" uri="{C3380CC4-5D6E-409C-BE32-E72D297353CC}">
              <c16:uniqueId val="{00000000-178A-42B4-A96C-73465C1FD29D}"/>
            </c:ext>
          </c:extLst>
        </c:ser>
        <c:ser>
          <c:idx val="1"/>
          <c:order val="1"/>
          <c:tx>
            <c:strRef>
              <c:f>'[SCA Analysis Branded Graphs (For Design) - October 2021.xlsx]Calculations'!$AD$46</c:f>
              <c:strCache>
                <c:ptCount val="1"/>
                <c:pt idx="0">
                  <c:v>European Weighted Average (All 3DS Transactions)</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Zeitung Micro Pro" panose="020B0503040000080004" pitchFamily="34" charset="0"/>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'[SCA Analysis Branded Graphs (For Design) - October 2021.xlsx]Calculations'!$AH$44:$AP$44</c:f>
              <c:numCache>
                <c:formatCode>mmm\-yy</c:formatCode>
                <c:ptCount val="9"/>
                <c:pt idx="0">
                  <c:v>44197</c:v>
                </c:pt>
                <c:pt idx="1">
                  <c:v>44228</c:v>
                </c:pt>
                <c:pt idx="2">
                  <c:v>44256</c:v>
                </c:pt>
                <c:pt idx="3">
                  <c:v>44287</c:v>
                </c:pt>
                <c:pt idx="4">
                  <c:v>44317</c:v>
                </c:pt>
                <c:pt idx="5">
                  <c:v>44348</c:v>
                </c:pt>
                <c:pt idx="6">
                  <c:v>44378</c:v>
                </c:pt>
                <c:pt idx="7">
                  <c:v>44409</c:v>
                </c:pt>
                <c:pt idx="8">
                  <c:v>44440</c:v>
                </c:pt>
              </c:numCache>
            </c:numRef>
          </c:cat>
          <c:val>
            <c:numRef>
              <c:f>'[SCA Analysis Branded Graphs (For Design) - October 2021.xlsx]Calculations'!$AH$46:$AP$46</c:f>
              <c:numCache>
                <c:formatCode>0%</c:formatCode>
                <c:ptCount val="9"/>
                <c:pt idx="0">
                  <c:v>0.26483473804430491</c:v>
                </c:pt>
                <c:pt idx="1">
                  <c:v>0.25509785353120951</c:v>
                </c:pt>
                <c:pt idx="2">
                  <c:v>0.23876605690036179</c:v>
                </c:pt>
                <c:pt idx="3">
                  <c:v>0.23351534817813799</c:v>
                </c:pt>
                <c:pt idx="4">
                  <c:v>0.1943487522568951</c:v>
                </c:pt>
                <c:pt idx="5">
                  <c:v>0.19203616897343889</c:v>
                </c:pt>
                <c:pt idx="6">
                  <c:v>0.18256504767134346</c:v>
                </c:pt>
                <c:pt idx="7">
                  <c:v>0.20340445588370687</c:v>
                </c:pt>
                <c:pt idx="8">
                  <c:v>0.23755281240579085</c:v>
                </c:pt>
              </c:numCache>
            </c:numRef>
          </c:val>
          <c:smooth val="0"/>
          <c:extLst>
            <c:ext xmlns:c16="http://schemas.microsoft.com/office/drawing/2014/chart" uri="{C3380CC4-5D6E-409C-BE32-E72D297353CC}">
              <c16:uniqueId val="{00000001-178A-42B4-A96C-73465C1FD29D}"/>
            </c:ext>
          </c:extLst>
        </c:ser>
        <c:dLbls>
          <c:dLblPos val="t"/>
          <c:showLegendKey val="0"/>
          <c:showVal val="1"/>
          <c:showCatName val="0"/>
          <c:showSerName val="0"/>
          <c:showPercent val="0"/>
          <c:showBubbleSize val="0"/>
        </c:dLbls>
        <c:smooth val="0"/>
        <c:axId val="1166509999"/>
        <c:axId val="1166511663"/>
      </c:lineChart>
      <c:dateAx>
        <c:axId val="1166509999"/>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Zeitung Micro Pro" panose="020B0503040000080004" pitchFamily="34" charset="0"/>
                <a:ea typeface="+mn-ea"/>
                <a:cs typeface="+mn-cs"/>
              </a:defRPr>
            </a:pPr>
            <a:endParaRPr lang="en-US"/>
          </a:p>
        </c:txPr>
        <c:crossAx val="1166511663"/>
        <c:crosses val="autoZero"/>
        <c:auto val="1"/>
        <c:lblOffset val="100"/>
        <c:baseTimeUnit val="months"/>
      </c:dateAx>
      <c:valAx>
        <c:axId val="116651166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chemeClr val="tx1">
                        <a:lumMod val="65000"/>
                        <a:lumOff val="35000"/>
                      </a:schemeClr>
                    </a:solidFill>
                    <a:latin typeface="Zeitung Micro Pro" panose="020B0503040000080004" pitchFamily="34" charset="0"/>
                    <a:ea typeface="+mn-ea"/>
                    <a:cs typeface="+mn-cs"/>
                  </a:defRPr>
                </a:pPr>
                <a:r>
                  <a:rPr lang="en-US" sz="1050">
                    <a:latin typeface="Zeitung Micro Pro" panose="020B0503040000080004" pitchFamily="34" charset="0"/>
                  </a:rPr>
                  <a:t>Estimated</a:t>
                </a:r>
                <a:r>
                  <a:rPr lang="en-US" sz="1050" baseline="0">
                    <a:latin typeface="Zeitung Micro Pro" panose="020B0503040000080004" pitchFamily="34" charset="0"/>
                  </a:rPr>
                  <a:t> Failure Rates</a:t>
                </a:r>
                <a:endParaRPr lang="en-US" sz="1050">
                  <a:latin typeface="Zeitung Micro Pro" panose="020B0503040000080004" pitchFamily="34" charset="0"/>
                </a:endParaRPr>
              </a:p>
            </c:rich>
          </c:tx>
          <c:overlay val="0"/>
          <c:spPr>
            <a:noFill/>
            <a:ln>
              <a:noFill/>
            </a:ln>
            <a:effectLst/>
          </c:spPr>
          <c:txPr>
            <a:bodyPr rot="-5400000" spcFirstLastPara="1" vertOverflow="ellipsis" vert="horz" wrap="square" anchor="ctr" anchorCtr="1"/>
            <a:lstStyle/>
            <a:p>
              <a:pPr>
                <a:defRPr sz="1050" b="0" i="0" u="none" strike="noStrike" kern="1200" baseline="0">
                  <a:solidFill>
                    <a:schemeClr val="tx1">
                      <a:lumMod val="65000"/>
                      <a:lumOff val="35000"/>
                    </a:schemeClr>
                  </a:solidFill>
                  <a:latin typeface="Zeitung Micro Pro" panose="020B0503040000080004" pitchFamily="34" charset="0"/>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Zeitung Micro Pro" panose="020B0503040000080004" pitchFamily="34" charset="0"/>
                <a:ea typeface="+mn-ea"/>
                <a:cs typeface="+mn-cs"/>
              </a:defRPr>
            </a:pPr>
            <a:endParaRPr lang="en-US"/>
          </a:p>
        </c:txPr>
        <c:crossAx val="116650999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Zeitung Micro Pro" panose="020B0503040000080004" pitchFamily="34" charset="0"/>
              <a:ea typeface="+mn-ea"/>
              <a:cs typeface="+mn-cs"/>
            </a:defRPr>
          </a:pPr>
          <a:endParaRPr lang="en-US"/>
        </a:p>
      </c:txPr>
    </c:legend>
    <c:plotVisOnly val="1"/>
    <c:dispBlanksAs val="gap"/>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Domestic Card Schemes</c:v>
          </c:tx>
          <c:spPr>
            <a:ln w="28575" cap="rnd">
              <a:solidFill>
                <a:schemeClr val="accent1"/>
              </a:solidFill>
              <a:round/>
            </a:ln>
            <a:effectLst/>
          </c:spPr>
          <c:marker>
            <c:symbol val="none"/>
          </c:marker>
          <c:cat>
            <c:numRef>
              <c:f>'Euromonitor time series'!$B$1:$K$1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'Euromonitor time series'!$B$307:$K$307</c:f>
              <c:numCache>
                <c:formatCode>#,##0.0</c:formatCode>
                <c:ptCount val="10"/>
                <c:pt idx="0">
                  <c:v>53.06615527351186</c:v>
                </c:pt>
                <c:pt idx="1">
                  <c:v>53.248812593455895</c:v>
                </c:pt>
                <c:pt idx="2">
                  <c:v>53.417192451567765</c:v>
                </c:pt>
                <c:pt idx="3">
                  <c:v>53.449605634526279</c:v>
                </c:pt>
                <c:pt idx="4">
                  <c:v>52.04992703093918</c:v>
                </c:pt>
                <c:pt idx="5">
                  <c:v>52.254761267483381</c:v>
                </c:pt>
                <c:pt idx="6">
                  <c:v>50.945086943724725</c:v>
                </c:pt>
                <c:pt idx="7">
                  <c:v>50.1099604873137</c:v>
                </c:pt>
                <c:pt idx="8">
                  <c:v>49.475112064330226</c:v>
                </c:pt>
                <c:pt idx="9">
                  <c:v>49.061177827883348</c:v>
                </c:pt>
              </c:numCache>
            </c:numRef>
          </c:val>
          <c:smooth val="0"/>
          <c:extLst>
            <c:ext xmlns:c16="http://schemas.microsoft.com/office/drawing/2014/chart" uri="{C3380CC4-5D6E-409C-BE32-E72D297353CC}">
              <c16:uniqueId val="{00000000-6D0E-41D3-B279-D2B048F9F33E}"/>
            </c:ext>
          </c:extLst>
        </c:ser>
        <c:ser>
          <c:idx val="1"/>
          <c:order val="1"/>
          <c:tx>
            <c:v>Global Card Schemes</c:v>
          </c:tx>
          <c:spPr>
            <a:ln w="28575" cap="rnd">
              <a:solidFill>
                <a:schemeClr val="accent2"/>
              </a:solidFill>
              <a:round/>
            </a:ln>
            <a:effectLst/>
          </c:spPr>
          <c:marker>
            <c:symbol val="none"/>
          </c:marker>
          <c:cat>
            <c:numRef>
              <c:f>'Euromonitor time series'!$B$1:$K$1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'Euromonitor time series'!$B$358:$K$358</c:f>
              <c:numCache>
                <c:formatCode>0</c:formatCode>
                <c:ptCount val="10"/>
                <c:pt idx="0">
                  <c:v>43.875539401230114</c:v>
                </c:pt>
                <c:pt idx="1">
                  <c:v>43.864956849284972</c:v>
                </c:pt>
                <c:pt idx="2">
                  <c:v>43.706193862527712</c:v>
                </c:pt>
                <c:pt idx="3">
                  <c:v>43.68835694487867</c:v>
                </c:pt>
                <c:pt idx="4">
                  <c:v>44.804412299320774</c:v>
                </c:pt>
                <c:pt idx="5">
                  <c:v>44.645896492565704</c:v>
                </c:pt>
                <c:pt idx="6">
                  <c:v>46.156929785429924</c:v>
                </c:pt>
                <c:pt idx="7">
                  <c:v>46.946428705451133</c:v>
                </c:pt>
                <c:pt idx="8">
                  <c:v>47.67321095626388</c:v>
                </c:pt>
                <c:pt idx="9">
                  <c:v>48.123884824896209</c:v>
                </c:pt>
              </c:numCache>
            </c:numRef>
          </c:val>
          <c:smooth val="0"/>
          <c:extLst>
            <c:ext xmlns:c16="http://schemas.microsoft.com/office/drawing/2014/chart" uri="{C3380CC4-5D6E-409C-BE32-E72D297353CC}">
              <c16:uniqueId val="{00000001-6D0E-41D3-B279-D2B048F9F33E}"/>
            </c:ext>
          </c:extLst>
        </c:ser>
        <c:dLbls>
          <c:showLegendKey val="0"/>
          <c:showVal val="0"/>
          <c:showCatName val="0"/>
          <c:showSerName val="0"/>
          <c:showPercent val="0"/>
          <c:showBubbleSize val="0"/>
        </c:dLbls>
        <c:smooth val="0"/>
        <c:axId val="1031098016"/>
        <c:axId val="1031098848"/>
      </c:lineChart>
      <c:catAx>
        <c:axId val="1031098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1098848"/>
        <c:crosses val="autoZero"/>
        <c:auto val="1"/>
        <c:lblAlgn val="ctr"/>
        <c:lblOffset val="100"/>
        <c:noMultiLvlLbl val="0"/>
      </c:catAx>
      <c:valAx>
        <c:axId val="1031098848"/>
        <c:scaling>
          <c:orientation val="minMax"/>
          <c:min val="3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a:t>
                </a:r>
                <a:r>
                  <a:rPr lang="en-US" baseline="0"/>
                  <a:t> M</a:t>
                </a:r>
                <a:r>
                  <a:rPr lang="en-US"/>
                  <a:t>arket Share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31098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CMSPI Branding Colors">
  <a:themeElements>
    <a:clrScheme name="CMSPI Branding - May 2021">
      <a:dk1>
        <a:srgbClr val="3F3F3F"/>
      </a:dk1>
      <a:lt1>
        <a:srgbClr val="3F3F3F"/>
      </a:lt1>
      <a:dk2>
        <a:srgbClr val="FFFFFF"/>
      </a:dk2>
      <a:lt2>
        <a:srgbClr val="FFFFFF"/>
      </a:lt2>
      <a:accent1>
        <a:srgbClr val="00ABB9"/>
      </a:accent1>
      <a:accent2>
        <a:srgbClr val="FFDF00"/>
      </a:accent2>
      <a:accent3>
        <a:srgbClr val="004F5F"/>
      </a:accent3>
      <a:accent4>
        <a:srgbClr val="B8B9B9"/>
      </a:accent4>
      <a:accent5>
        <a:srgbClr val="EB402F"/>
      </a:accent5>
      <a:accent6>
        <a:srgbClr val="70AD47"/>
      </a:accent6>
      <a:hlink>
        <a:srgbClr val="00ABB9"/>
      </a:hlink>
      <a:folHlink>
        <a:srgbClr val="004F5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MSPI Branding Colors" id="{FD3EBB80-677C-45C9-8B99-CF5CC2A85E6E}" vid="{6B1E854A-EE74-48DD-9854-2DA85353E38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D240A7998BDA428A6065F2B2427849" ma:contentTypeVersion="14" ma:contentTypeDescription="Create a new document." ma:contentTypeScope="" ma:versionID="cb3d174c4261046c64d6111406dfbe6e">
  <xsd:schema xmlns:xsd="http://www.w3.org/2001/XMLSchema" xmlns:xs="http://www.w3.org/2001/XMLSchema" xmlns:p="http://schemas.microsoft.com/office/2006/metadata/properties" xmlns:ns3="d38a931b-aba4-4d2f-a1d4-addc1e991b76" xmlns:ns4="b910aafb-3acf-488e-8ced-bb040d614c1d" targetNamespace="http://schemas.microsoft.com/office/2006/metadata/properties" ma:root="true" ma:fieldsID="8cb6766599174bb710e7b00702a06e48" ns3:_="" ns4:_="">
    <xsd:import namespace="d38a931b-aba4-4d2f-a1d4-addc1e991b76"/>
    <xsd:import namespace="b910aafb-3acf-488e-8ced-bb040d614c1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8a931b-aba4-4d2f-a1d4-addc1e991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10aafb-3acf-488e-8ced-bb040d614c1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220845-D585-4E5B-B884-009C7735252F}">
  <ds:schemaRefs>
    <ds:schemaRef ds:uri="http://schemas.openxmlformats.org/officeDocument/2006/bibliography"/>
  </ds:schemaRefs>
</ds:datastoreItem>
</file>

<file path=customXml/itemProps2.xml><?xml version="1.0" encoding="utf-8"?>
<ds:datastoreItem xmlns:ds="http://schemas.openxmlformats.org/officeDocument/2006/customXml" ds:itemID="{1107CAAF-A46C-4876-BF73-C02E4FD7EC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A5693A-4B59-411C-BD1C-DD529BD73972}">
  <ds:schemaRefs>
    <ds:schemaRef ds:uri="http://schemas.microsoft.com/sharepoint/v3/contenttype/forms"/>
  </ds:schemaRefs>
</ds:datastoreItem>
</file>

<file path=customXml/itemProps4.xml><?xml version="1.0" encoding="utf-8"?>
<ds:datastoreItem xmlns:ds="http://schemas.openxmlformats.org/officeDocument/2006/customXml" ds:itemID="{CE8FD164-D0A3-4437-9B43-872FB158E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8a931b-aba4-4d2f-a1d4-addc1e991b76"/>
    <ds:schemaRef ds:uri="b910aafb-3acf-488e-8ced-bb040d614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2092</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13990</CharactersWithSpaces>
  <SharedDoc>false</SharedDoc>
  <HLinks>
    <vt:vector size="12" baseType="variant">
      <vt:variant>
        <vt:i4>60</vt:i4>
      </vt:variant>
      <vt:variant>
        <vt:i4>3</vt:i4>
      </vt:variant>
      <vt:variant>
        <vt:i4>0</vt:i4>
      </vt:variant>
      <vt:variant>
        <vt:i4>5</vt:i4>
      </vt:variant>
      <vt:variant>
        <vt:lpwstr>mailto:cgodwin@cmspi.com</vt:lpwstr>
      </vt:variant>
      <vt:variant>
        <vt:lpwstr/>
      </vt:variant>
      <vt:variant>
        <vt:i4>60</vt:i4>
      </vt:variant>
      <vt:variant>
        <vt:i4>0</vt:i4>
      </vt:variant>
      <vt:variant>
        <vt:i4>0</vt:i4>
      </vt:variant>
      <vt:variant>
        <vt:i4>5</vt:i4>
      </vt:variant>
      <vt:variant>
        <vt:lpwstr>mailto:cgodwin@cmspi.com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Midgley</dc:creator>
  <cp:keywords/>
  <dc:description/>
  <cp:lastModifiedBy>Martha Southall</cp:lastModifiedBy>
  <cp:revision>2</cp:revision>
  <cp:lastPrinted>2022-07-05T18:51:00Z</cp:lastPrinted>
  <dcterms:created xsi:type="dcterms:W3CDTF">2022-07-05T18:52:00Z</dcterms:created>
  <dcterms:modified xsi:type="dcterms:W3CDTF">2022-07-05T18:52:00Z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0x01010035D240A7998BDA428A6065F2B2427849</vt:lpwstr>
  </property>
  <property fmtid="{D5CDD505-2E9C-101B-9397-08002B2CF9AE}" pid="3" name="_NewReviewCycle">
    <vt:lpwstr/>
  </property>
</Properties>
</file>