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C6C63" w14:textId="24519BBB" w:rsidR="00BA2CF9" w:rsidRPr="004219B8" w:rsidRDefault="001442AB">
      <w:pPr>
        <w:rPr>
          <w:b/>
          <w:bCs/>
        </w:rPr>
      </w:pPr>
      <w:r w:rsidRPr="004219B8">
        <w:rPr>
          <w:b/>
          <w:bCs/>
        </w:rPr>
        <w:t>More Carrot w</w:t>
      </w:r>
      <w:r w:rsidR="0004323E" w:rsidRPr="004219B8">
        <w:rPr>
          <w:b/>
          <w:bCs/>
        </w:rPr>
        <w:t>ritten r</w:t>
      </w:r>
      <w:r w:rsidR="006962E8" w:rsidRPr="004219B8">
        <w:rPr>
          <w:b/>
          <w:bCs/>
        </w:rPr>
        <w:t>esponse</w:t>
      </w:r>
      <w:r w:rsidR="0004323E" w:rsidRPr="004219B8">
        <w:rPr>
          <w:b/>
          <w:bCs/>
        </w:rPr>
        <w:t>s</w:t>
      </w:r>
      <w:r w:rsidR="006962E8" w:rsidRPr="004219B8">
        <w:rPr>
          <w:b/>
          <w:bCs/>
        </w:rPr>
        <w:t xml:space="preserve"> to Questions 1.</w:t>
      </w:r>
      <w:r w:rsidRPr="004219B8">
        <w:rPr>
          <w:b/>
          <w:bCs/>
        </w:rPr>
        <w:t>1 – 1.9</w:t>
      </w:r>
    </w:p>
    <w:p w14:paraId="7EE6CD23" w14:textId="77777777" w:rsidR="006962E8" w:rsidRDefault="006962E8"/>
    <w:p w14:paraId="163A7DA9" w14:textId="635DB092" w:rsidR="00BC15E1" w:rsidRDefault="000A133E">
      <w:r>
        <w:t>First, we would like</w:t>
      </w:r>
      <w:r w:rsidR="00BC15E1">
        <w:t xml:space="preserve"> to sincerely thank ESMA for the opportunity to provide </w:t>
      </w:r>
      <w:r w:rsidR="00D01842">
        <w:t xml:space="preserve">these </w:t>
      </w:r>
      <w:r w:rsidR="00BC15E1">
        <w:t>comments.</w:t>
      </w:r>
    </w:p>
    <w:p w14:paraId="051FACC5" w14:textId="77777777" w:rsidR="00BC15E1" w:rsidRDefault="00BC15E1"/>
    <w:p w14:paraId="7758AC73" w14:textId="2F7C45D4" w:rsidR="004222C3" w:rsidRDefault="00552073">
      <w:r>
        <w:t>We offer these comments</w:t>
      </w:r>
      <w:r w:rsidR="000A133E">
        <w:t xml:space="preserve"> as </w:t>
      </w:r>
      <w:r>
        <w:t xml:space="preserve">a </w:t>
      </w:r>
      <w:r w:rsidR="000A133E">
        <w:t>communications firm</w:t>
      </w:r>
      <w:r w:rsidR="00ED56BF">
        <w:t xml:space="preserve"> that </w:t>
      </w:r>
      <w:r>
        <w:t xml:space="preserve">has created a unique niche in the EU and UK fund industries. </w:t>
      </w:r>
      <w:r w:rsidR="00715A38">
        <w:t>Using a proprietary methodology,</w:t>
      </w:r>
      <w:r w:rsidR="00ED56BF">
        <w:t xml:space="preserve"> </w:t>
      </w:r>
      <w:r w:rsidR="00715A38">
        <w:t>we</w:t>
      </w:r>
      <w:r w:rsidR="002F100C">
        <w:t xml:space="preserve"> </w:t>
      </w:r>
      <w:r w:rsidR="00715A38">
        <w:t>create</w:t>
      </w:r>
      <w:r w:rsidR="00C70640">
        <w:t xml:space="preserve"> </w:t>
      </w:r>
      <w:r w:rsidR="00ED56BF">
        <w:t xml:space="preserve">disclosure documents that are </w:t>
      </w:r>
      <w:r w:rsidR="00715A38">
        <w:t>written</w:t>
      </w:r>
      <w:r w:rsidR="00ED56BF">
        <w:t xml:space="preserve"> for retail investors </w:t>
      </w:r>
      <w:r w:rsidR="00715A38">
        <w:t>yet</w:t>
      </w:r>
      <w:r w:rsidR="00ED56BF">
        <w:t xml:space="preserve"> also </w:t>
      </w:r>
      <w:r w:rsidR="00715A38">
        <w:t>meet</w:t>
      </w:r>
      <w:r w:rsidR="004222C3">
        <w:t xml:space="preserve"> all legal and regulatory </w:t>
      </w:r>
      <w:r w:rsidR="00715A38">
        <w:t>requirements</w:t>
      </w:r>
      <w:r w:rsidR="004222C3">
        <w:t xml:space="preserve">. </w:t>
      </w:r>
      <w:r w:rsidR="00AA0732">
        <w:t xml:space="preserve">Our work with asset managers </w:t>
      </w:r>
      <w:r w:rsidR="00B35970">
        <w:t>is entering its 12</w:t>
      </w:r>
      <w:r w:rsidR="00B35970" w:rsidRPr="00B35970">
        <w:rPr>
          <w:vertAlign w:val="superscript"/>
        </w:rPr>
        <w:t>th</w:t>
      </w:r>
      <w:r w:rsidR="00B35970">
        <w:t xml:space="preserve"> year</w:t>
      </w:r>
      <w:r w:rsidR="00AF2B94">
        <w:t xml:space="preserve">, with </w:t>
      </w:r>
      <w:r w:rsidR="000A133E">
        <w:t>clients ranging from t</w:t>
      </w:r>
      <w:r w:rsidR="00AF2B94">
        <w:t xml:space="preserve">op cross-border asset managers </w:t>
      </w:r>
      <w:r w:rsidR="000A133E">
        <w:t>to boutique</w:t>
      </w:r>
      <w:r w:rsidR="00F3592D">
        <w:t xml:space="preserve"> players</w:t>
      </w:r>
      <w:r w:rsidR="00BC15E1">
        <w:t>.</w:t>
      </w:r>
      <w:r w:rsidR="00AF2B94">
        <w:t xml:space="preserve"> </w:t>
      </w:r>
    </w:p>
    <w:p w14:paraId="1FDCB7FB" w14:textId="77777777" w:rsidR="004222C3" w:rsidRDefault="004222C3"/>
    <w:p w14:paraId="75DF0167" w14:textId="651A9E24" w:rsidR="009A1CF3" w:rsidRDefault="00715A38" w:rsidP="009A1CF3">
      <w:r>
        <w:t>When it comes to consumer usability, d</w:t>
      </w:r>
      <w:r w:rsidR="00571C60">
        <w:t>isclosure</w:t>
      </w:r>
      <w:r w:rsidR="009A1CF3">
        <w:t xml:space="preserve"> documents </w:t>
      </w:r>
      <w:r>
        <w:t>pose significant challenges. The regulations are complex and cannot be relaxed in the name of usability. Yet there is just as little f</w:t>
      </w:r>
      <w:r w:rsidR="00614AF5">
        <w:t>lexibility on the consumer side: most individuals have a very limited “attention budget” for informational documents</w:t>
      </w:r>
      <w:r w:rsidR="00C801C0">
        <w:t xml:space="preserve"> as a group</w:t>
      </w:r>
      <w:r w:rsidR="00614AF5">
        <w:t xml:space="preserve">. This affects readability, but much more important is how it affects engagement. </w:t>
      </w:r>
      <w:r w:rsidR="00312327">
        <w:t>Unless readers engage</w:t>
      </w:r>
      <w:r w:rsidR="009A1CF3">
        <w:t xml:space="preserve">, </w:t>
      </w:r>
      <w:r w:rsidR="00E253D8">
        <w:t>all efforts in creating readability are wasted</w:t>
      </w:r>
      <w:r w:rsidR="009A1CF3">
        <w:t>.</w:t>
      </w:r>
      <w:r w:rsidR="00761292">
        <w:t xml:space="preserve"> </w:t>
      </w:r>
    </w:p>
    <w:p w14:paraId="0745B4DF" w14:textId="77777777" w:rsidR="009A1CF3" w:rsidRDefault="009A1CF3"/>
    <w:p w14:paraId="718AE9ED" w14:textId="163AE6F5" w:rsidR="006962E8" w:rsidRDefault="00752E4D">
      <w:r>
        <w:t xml:space="preserve">We </w:t>
      </w:r>
      <w:r w:rsidR="00E253D8">
        <w:t xml:space="preserve">agree with those who </w:t>
      </w:r>
      <w:r>
        <w:t>believe</w:t>
      </w:r>
      <w:r w:rsidR="004222C3">
        <w:t xml:space="preserve"> the current SFDR annex template </w:t>
      </w:r>
      <w:r w:rsidR="00453541">
        <w:t>falls short of retail-level usability</w:t>
      </w:r>
      <w:r w:rsidR="00E253D8">
        <w:t xml:space="preserve"> and engagement</w:t>
      </w:r>
      <w:r>
        <w:t xml:space="preserve">. </w:t>
      </w:r>
      <w:r w:rsidR="00C801C0">
        <w:t>At the sam</w:t>
      </w:r>
      <w:r>
        <w:t>e</w:t>
      </w:r>
      <w:r w:rsidR="00C801C0">
        <w:t xml:space="preserve"> time we</w:t>
      </w:r>
      <w:r>
        <w:t xml:space="preserve"> have some sympathy here</w:t>
      </w:r>
      <w:r w:rsidR="00F61123">
        <w:t>, since t</w:t>
      </w:r>
      <w:r w:rsidR="00453541">
        <w:t>he</w:t>
      </w:r>
      <w:r w:rsidR="000438F3">
        <w:t xml:space="preserve"> first iteration of any </w:t>
      </w:r>
      <w:r w:rsidR="005555C5">
        <w:t xml:space="preserve">new </w:t>
      </w:r>
      <w:r w:rsidR="000438F3">
        <w:t xml:space="preserve">disclosure </w:t>
      </w:r>
      <w:r w:rsidR="00E253D8">
        <w:t xml:space="preserve">regime </w:t>
      </w:r>
      <w:r w:rsidR="00F3592D">
        <w:t xml:space="preserve">must </w:t>
      </w:r>
      <w:r w:rsidR="002412A2">
        <w:t xml:space="preserve">necessarily </w:t>
      </w:r>
      <w:r w:rsidR="00F3592D">
        <w:t xml:space="preserve">focus </w:t>
      </w:r>
      <w:r w:rsidR="000438F3">
        <w:t>on substance</w:t>
      </w:r>
      <w:r w:rsidR="005555C5">
        <w:t xml:space="preserve"> and on </w:t>
      </w:r>
      <w:r w:rsidR="00C801C0">
        <w:t>adjudicating the many needs and views of major stakeholders</w:t>
      </w:r>
      <w:r w:rsidR="000438F3">
        <w:t xml:space="preserve">. </w:t>
      </w:r>
      <w:r w:rsidR="002412A2">
        <w:t xml:space="preserve">In addition, good retail communication is not, nor should it be, </w:t>
      </w:r>
      <w:r w:rsidR="009C0103">
        <w:t>a primary</w:t>
      </w:r>
      <w:r w:rsidR="002412A2">
        <w:t xml:space="preserve"> duty of legal, compliance or regulatory professionals. </w:t>
      </w:r>
      <w:r w:rsidR="009C0103">
        <w:t>With a regime as complex as SFDR, the settling of questions of substance will take time</w:t>
      </w:r>
      <w:r w:rsidR="00EF7FFA">
        <w:t>. Our comments therefore focus mainly on the changes that would be comparatively easy to implement and would also yield noticeable communications benefits</w:t>
      </w:r>
      <w:r w:rsidR="00A345F2">
        <w:t>.</w:t>
      </w:r>
    </w:p>
    <w:p w14:paraId="2D318A6D" w14:textId="77777777" w:rsidR="00A03CE1" w:rsidRDefault="00A03CE1"/>
    <w:p w14:paraId="2C97EB1E" w14:textId="5DB7D541" w:rsidR="00CA7E36" w:rsidRDefault="00A354D9">
      <w:r>
        <w:t xml:space="preserve">These comments mainly address questions </w:t>
      </w:r>
      <w:r w:rsidR="001B78EE">
        <w:t>1.1 – 1.9, as they are the most relevant for communications issues</w:t>
      </w:r>
      <w:r w:rsidR="00CA7E36">
        <w:t>:</w:t>
      </w:r>
    </w:p>
    <w:p w14:paraId="1428BE5A" w14:textId="77777777" w:rsidR="00CA7E36" w:rsidRDefault="00CA7E36"/>
    <w:p w14:paraId="242FAF77" w14:textId="17C09842" w:rsidR="00D35056" w:rsidRDefault="00D95F29" w:rsidP="00D95F29">
      <w:pPr>
        <w:pStyle w:val="ListParagraph"/>
        <w:numPr>
          <w:ilvl w:val="0"/>
          <w:numId w:val="5"/>
        </w:numPr>
      </w:pPr>
      <w:r>
        <w:t xml:space="preserve"> </w:t>
      </w:r>
      <w:r w:rsidR="00D35056">
        <w:t xml:space="preserve">Our main comment is that we believe all stakeholders would be helped by </w:t>
      </w:r>
      <w:r w:rsidR="00D35056" w:rsidRPr="00D95F29">
        <w:rPr>
          <w:u w:val="single"/>
        </w:rPr>
        <w:t xml:space="preserve">allowing a degree of graphic flexibility with the </w:t>
      </w:r>
      <w:r w:rsidR="004E451A" w:rsidRPr="00D95F29">
        <w:rPr>
          <w:u w:val="single"/>
        </w:rPr>
        <w:t xml:space="preserve">annex </w:t>
      </w:r>
      <w:r w:rsidR="00D35056" w:rsidRPr="00D95F29">
        <w:rPr>
          <w:u w:val="single"/>
        </w:rPr>
        <w:t>template</w:t>
      </w:r>
      <w:r w:rsidR="00D35056">
        <w:t xml:space="preserve">. The template would continue to provide a minimum standard, but firms that wished to </w:t>
      </w:r>
      <w:r w:rsidR="004E451A">
        <w:t>invest in making their annexes more engaging and space-efficient would have the opportunity to do that, subject to regulatory approval.</w:t>
      </w:r>
      <w:r w:rsidR="00D35056">
        <w:br/>
        <w:t xml:space="preserve"> </w:t>
      </w:r>
    </w:p>
    <w:p w14:paraId="474E2B51" w14:textId="41133F23" w:rsidR="004E451A" w:rsidRDefault="00D95F29" w:rsidP="00D95F29">
      <w:pPr>
        <w:pStyle w:val="ListParagraph"/>
        <w:numPr>
          <w:ilvl w:val="0"/>
          <w:numId w:val="5"/>
        </w:numPr>
      </w:pPr>
      <w:r>
        <w:t xml:space="preserve"> </w:t>
      </w:r>
      <w:r w:rsidR="004E451A">
        <w:t xml:space="preserve">Whether as areas to provide the graphic flexibility or as </w:t>
      </w:r>
      <w:r w:rsidR="00C801C0">
        <w:t>modifications</w:t>
      </w:r>
      <w:r w:rsidR="004E451A">
        <w:t xml:space="preserve"> to the template itself, we </w:t>
      </w:r>
      <w:r w:rsidR="00D35056">
        <w:t>would suggest</w:t>
      </w:r>
      <w:r w:rsidR="004E451A">
        <w:t xml:space="preserve"> the following changes in the interest of better engagement and readability:</w:t>
      </w:r>
      <w:r w:rsidR="00D35056">
        <w:t xml:space="preserve"> </w:t>
      </w:r>
    </w:p>
    <w:p w14:paraId="5C5FFA64" w14:textId="75D90CDC" w:rsidR="00BB03D1" w:rsidRPr="00BB03D1" w:rsidRDefault="00BB03D1" w:rsidP="00D95F29">
      <w:pPr>
        <w:pStyle w:val="ListParagraph"/>
        <w:numPr>
          <w:ilvl w:val="0"/>
          <w:numId w:val="7"/>
        </w:numPr>
      </w:pPr>
      <w:r>
        <w:t xml:space="preserve">Rather than a series of tick boxes at the beginning, a </w:t>
      </w:r>
      <w:r w:rsidRPr="00D95F29">
        <w:rPr>
          <w:u w:val="single"/>
        </w:rPr>
        <w:t>simple bullet list of the statements that apply</w:t>
      </w:r>
      <w:r>
        <w:t xml:space="preserve"> to the fund in question would be easier to read and likely to increase engagement.</w:t>
      </w:r>
    </w:p>
    <w:p w14:paraId="2237DCA1" w14:textId="77777777" w:rsidR="00BB03D1" w:rsidRDefault="00BB03D1" w:rsidP="00D95F29">
      <w:pPr>
        <w:pStyle w:val="ListParagraph"/>
        <w:numPr>
          <w:ilvl w:val="0"/>
          <w:numId w:val="7"/>
        </w:numPr>
      </w:pPr>
      <w:r>
        <w:t xml:space="preserve">In such a bullet list scenario, </w:t>
      </w:r>
      <w:r w:rsidRPr="00D95F29">
        <w:rPr>
          <w:u w:val="single"/>
        </w:rPr>
        <w:t>giving the sustainable objective information a different graphic treatment from the portfolio commitments</w:t>
      </w:r>
      <w:r>
        <w:t>. For many consumers, the policy commitments are a more direct way of understanding and comparing funds.</w:t>
      </w:r>
    </w:p>
    <w:p w14:paraId="5CBDCE39" w14:textId="2436C2DE" w:rsidR="004E451A" w:rsidRDefault="00BB03D1" w:rsidP="00D95F29">
      <w:pPr>
        <w:pStyle w:val="ListParagraph"/>
        <w:numPr>
          <w:ilvl w:val="0"/>
          <w:numId w:val="7"/>
        </w:numPr>
      </w:pPr>
      <w:r w:rsidRPr="00D95F29">
        <w:rPr>
          <w:u w:val="single"/>
        </w:rPr>
        <w:lastRenderedPageBreak/>
        <w:t>Dropping</w:t>
      </w:r>
      <w:r w:rsidR="00D35056" w:rsidRPr="00D95F29">
        <w:rPr>
          <w:u w:val="single"/>
        </w:rPr>
        <w:t xml:space="preserve"> the icons</w:t>
      </w:r>
      <w:r w:rsidR="00D35056">
        <w:t xml:space="preserve">. </w:t>
      </w:r>
      <w:r w:rsidR="004E451A">
        <w:t xml:space="preserve">Icons </w:t>
      </w:r>
      <w:r w:rsidR="00D35056">
        <w:t xml:space="preserve">are less effective for navigation than </w:t>
      </w:r>
      <w:r w:rsidR="004E451A">
        <w:t>was</w:t>
      </w:r>
      <w:r w:rsidR="00D35056">
        <w:t xml:space="preserve"> thought</w:t>
      </w:r>
      <w:r w:rsidR="004E451A">
        <w:t xml:space="preserve"> when they became popular in the 1990s. This is</w:t>
      </w:r>
      <w:r w:rsidR="00D35056">
        <w:t xml:space="preserve"> </w:t>
      </w:r>
      <w:r w:rsidR="00C801C0">
        <w:t>in part because some common icons (such as factory, money, people and charts) have become used so widely, with so many different meanings, that they no longer hold any specific meaning</w:t>
      </w:r>
      <w:r w:rsidR="00D35056">
        <w:t>.</w:t>
      </w:r>
      <w:r>
        <w:t xml:space="preserve"> </w:t>
      </w:r>
      <w:r w:rsidR="00C801C0">
        <w:t xml:space="preserve">Appropriate graphic and </w:t>
      </w:r>
      <w:r>
        <w:t xml:space="preserve"> information design can compensate for any loss of visual appeal.</w:t>
      </w:r>
    </w:p>
    <w:p w14:paraId="55082E27" w14:textId="5BC4E85B" w:rsidR="000A2F13" w:rsidRDefault="004E451A" w:rsidP="00D95F29">
      <w:pPr>
        <w:pStyle w:val="ListParagraph"/>
        <w:numPr>
          <w:ilvl w:val="0"/>
          <w:numId w:val="7"/>
        </w:numPr>
      </w:pPr>
      <w:r w:rsidRPr="00D95F29">
        <w:rPr>
          <w:u w:val="single"/>
        </w:rPr>
        <w:t xml:space="preserve">Changing </w:t>
      </w:r>
      <w:r w:rsidR="00BB03D1" w:rsidRPr="00D95F29">
        <w:rPr>
          <w:u w:val="single"/>
        </w:rPr>
        <w:t>from</w:t>
      </w:r>
      <w:r w:rsidRPr="00D95F29">
        <w:rPr>
          <w:u w:val="single"/>
        </w:rPr>
        <w:t xml:space="preserve"> q</w:t>
      </w:r>
      <w:r w:rsidR="00D35056" w:rsidRPr="00D95F29">
        <w:rPr>
          <w:u w:val="single"/>
        </w:rPr>
        <w:t>uestion-format headings</w:t>
      </w:r>
      <w:r w:rsidR="00BB03D1" w:rsidRPr="00D95F29">
        <w:rPr>
          <w:u w:val="single"/>
        </w:rPr>
        <w:t xml:space="preserve"> to short descriptive labels</w:t>
      </w:r>
      <w:r w:rsidR="00D35056">
        <w:t xml:space="preserve">. In documents intended for one-time or non-comparative use, </w:t>
      </w:r>
      <w:r w:rsidR="00BB03D1">
        <w:t>question-format headings</w:t>
      </w:r>
      <w:r w:rsidR="00D35056">
        <w:t xml:space="preserve"> can make sense</w:t>
      </w:r>
      <w:r w:rsidR="00BB03D1">
        <w:t xml:space="preserve"> (in an FAQ, for instance)</w:t>
      </w:r>
      <w:r w:rsidR="00D35056">
        <w:t xml:space="preserve">. </w:t>
      </w:r>
      <w:r w:rsidR="00BB03D1">
        <w:t>I</w:t>
      </w:r>
      <w:r w:rsidR="00D35056">
        <w:t>n documents used for comparing products, the repeated questions</w:t>
      </w:r>
      <w:r w:rsidR="00C801C0">
        <w:t xml:space="preserve">, especially if long, </w:t>
      </w:r>
      <w:r w:rsidR="00D35056">
        <w:t>become tiresome</w:t>
      </w:r>
      <w:r w:rsidR="00BB03D1">
        <w:t xml:space="preserve"> to readers.</w:t>
      </w:r>
    </w:p>
    <w:p w14:paraId="6FCF5482" w14:textId="4BF8F9C1" w:rsidR="009D590C" w:rsidRDefault="009D590C" w:rsidP="00D95F29">
      <w:pPr>
        <w:pStyle w:val="ListParagraph"/>
        <w:numPr>
          <w:ilvl w:val="0"/>
          <w:numId w:val="7"/>
        </w:numPr>
      </w:pPr>
      <w:r w:rsidRPr="00D95F29">
        <w:rPr>
          <w:u w:val="single"/>
        </w:rPr>
        <w:t>Replacing the a</w:t>
      </w:r>
      <w:r w:rsidR="00F90B4A" w:rsidRPr="00D95F29">
        <w:rPr>
          <w:u w:val="single"/>
        </w:rPr>
        <w:t xml:space="preserve">sset allocation chart by a table </w:t>
      </w:r>
      <w:r w:rsidR="00C801C0">
        <w:rPr>
          <w:u w:val="single"/>
        </w:rPr>
        <w:t>showing</w:t>
      </w:r>
      <w:r w:rsidR="00F90B4A" w:rsidRPr="00D95F29">
        <w:rPr>
          <w:u w:val="single"/>
        </w:rPr>
        <w:t xml:space="preserve"> </w:t>
      </w:r>
      <w:r w:rsidR="00C801C0">
        <w:rPr>
          <w:u w:val="single"/>
        </w:rPr>
        <w:t>the minimum or range of commitment to various types of assets</w:t>
      </w:r>
      <w:r w:rsidR="004219B8" w:rsidRPr="00C801C0">
        <w:t>.</w:t>
      </w:r>
      <w:r w:rsidR="00C801C0" w:rsidRPr="00C801C0">
        <w:t xml:space="preserve"> </w:t>
      </w:r>
      <w:r w:rsidR="00C801C0">
        <w:t xml:space="preserve">Green investing (to use the broadest term) is still a comparatively new topic to </w:t>
      </w:r>
      <w:r w:rsidR="00C801C0" w:rsidRPr="00C801C0">
        <w:t>consumers</w:t>
      </w:r>
      <w:r w:rsidR="00C801C0">
        <w:t>, and its complexity remains</w:t>
      </w:r>
      <w:r w:rsidR="00C801C0" w:rsidRPr="00C801C0">
        <w:t xml:space="preserve"> </w:t>
      </w:r>
      <w:r w:rsidR="00C801C0">
        <w:t>confusing and alienating. If the graphic is to be retained, we would suggest it be turned 90 degrees clockwise so that it reads as an “umbrella chart” rather than a “flow chart”, as the nature of the information here is of sets and subsets rather than a process.</w:t>
      </w:r>
    </w:p>
    <w:p w14:paraId="5CC62726" w14:textId="15F27232" w:rsidR="004262DF" w:rsidRPr="00D95F29" w:rsidRDefault="000A2F13" w:rsidP="00D95F29">
      <w:pPr>
        <w:pStyle w:val="ListParagraph"/>
        <w:numPr>
          <w:ilvl w:val="0"/>
          <w:numId w:val="7"/>
        </w:numPr>
        <w:rPr>
          <w:rFonts w:cstheme="minorHAnsi"/>
        </w:rPr>
      </w:pPr>
      <w:r w:rsidRPr="00D95F29">
        <w:rPr>
          <w:u w:val="single"/>
        </w:rPr>
        <w:t>Shortening glossary definitions and moving them to a box at the end of the annex.</w:t>
      </w:r>
      <w:r>
        <w:t xml:space="preserve"> While positioning glossary definitions next to the first appearance of the defined term is very user-friendly in principle, i</w:t>
      </w:r>
      <w:r w:rsidR="00AF1657">
        <w:t>t does not always yield good results in practice</w:t>
      </w:r>
      <w:r>
        <w:t xml:space="preserve">. Where multiple defined terms appear close to each other in the text, some definitions </w:t>
      </w:r>
      <w:r w:rsidR="0096741F">
        <w:t>are</w:t>
      </w:r>
      <w:r>
        <w:t xml:space="preserve"> displaced from </w:t>
      </w:r>
      <w:r w:rsidR="0096741F">
        <w:t xml:space="preserve">their position, sometimes </w:t>
      </w:r>
      <w:r w:rsidR="00AF1657">
        <w:t>to</w:t>
      </w:r>
      <w:r>
        <w:t xml:space="preserve"> a different page. </w:t>
      </w:r>
      <w:r w:rsidR="0091593B">
        <w:t xml:space="preserve">In other areas the definitions column is empty, reducing </w:t>
      </w:r>
      <w:r w:rsidR="00C801C0">
        <w:t>space use</w:t>
      </w:r>
      <w:r w:rsidR="0091593B">
        <w:t xml:space="preserve"> efficien</w:t>
      </w:r>
      <w:r w:rsidR="00C801C0">
        <w:t>cy.</w:t>
      </w:r>
      <w:r w:rsidR="004219B8">
        <w:br/>
      </w:r>
    </w:p>
    <w:p w14:paraId="1089E7E8" w14:textId="3068B71D" w:rsidR="003E18C4" w:rsidRPr="003E18C4" w:rsidRDefault="00820882" w:rsidP="003E18C4">
      <w:pPr>
        <w:pStyle w:val="Default"/>
        <w:numPr>
          <w:ilvl w:val="0"/>
          <w:numId w:val="5"/>
        </w:numPr>
        <w:rPr>
          <w:sz w:val="23"/>
          <w:szCs w:val="23"/>
        </w:rPr>
      </w:pPr>
      <w:r w:rsidRPr="0091593B">
        <w:rPr>
          <w:u w:val="single"/>
        </w:rPr>
        <w:t>Condense the sections and subsections to reduce overlap in the responses</w:t>
      </w:r>
      <w:r>
        <w:t xml:space="preserve">. The current section </w:t>
      </w:r>
      <w:r w:rsidR="00C801C0">
        <w:t>design</w:t>
      </w:r>
      <w:r>
        <w:t xml:space="preserve"> </w:t>
      </w:r>
      <w:r w:rsidR="00EB6E8C">
        <w:t>do</w:t>
      </w:r>
      <w:r w:rsidR="00C801C0">
        <w:t>es</w:t>
      </w:r>
      <w:r w:rsidR="00EB6E8C">
        <w:t xml:space="preserve"> an excellent job of making sure all relevant </w:t>
      </w:r>
      <w:r w:rsidR="00C801C0">
        <w:t>information is brought out.</w:t>
      </w:r>
      <w:r w:rsidR="00EB6E8C">
        <w:t xml:space="preserve"> However, </w:t>
      </w:r>
      <w:r w:rsidR="00C801C0">
        <w:t>it</w:t>
      </w:r>
      <w:r w:rsidR="00EB6E8C">
        <w:t xml:space="preserve"> do</w:t>
      </w:r>
      <w:r w:rsidR="00C801C0">
        <w:t>es</w:t>
      </w:r>
      <w:r w:rsidR="00EB6E8C">
        <w:t xml:space="preserve"> so at the expense of </w:t>
      </w:r>
      <w:r w:rsidR="00683A15">
        <w:t>crea</w:t>
      </w:r>
      <w:r w:rsidR="00683A15" w:rsidRPr="00EB6E8C">
        <w:t>ting content</w:t>
      </w:r>
      <w:r w:rsidR="0091593B">
        <w:t xml:space="preserve"> that is both fragmented and duplicative</w:t>
      </w:r>
      <w:r w:rsidR="00C801C0">
        <w:t>. For readers, this creates</w:t>
      </w:r>
      <w:r w:rsidR="00683A15" w:rsidRPr="00EB6E8C">
        <w:t xml:space="preserve"> dissatisfaction</w:t>
      </w:r>
      <w:r w:rsidR="00C801C0">
        <w:t>, as no one in search of information wants to read repetitions of what they have just read a moment earlier. For asset managers, it significantly increases the volume of content that must be developed and coordinated</w:t>
      </w:r>
      <w:r w:rsidR="00662E9F">
        <w:t xml:space="preserve"> </w:t>
      </w:r>
      <w:r w:rsidR="00EB6E8C">
        <w:t xml:space="preserve">and </w:t>
      </w:r>
      <w:r w:rsidR="00C801C0">
        <w:t>increases the chance for in</w:t>
      </w:r>
      <w:r w:rsidR="00EB6E8C">
        <w:t xml:space="preserve">consistencies </w:t>
      </w:r>
      <w:r w:rsidR="00C801C0">
        <w:t>to creep in</w:t>
      </w:r>
      <w:r w:rsidR="00683A15" w:rsidRPr="0091593B">
        <w:rPr>
          <w:rFonts w:asciiTheme="minorHAnsi" w:hAnsiTheme="minorHAnsi" w:cstheme="minorHAnsi"/>
        </w:rPr>
        <w:t xml:space="preserve">. </w:t>
      </w:r>
      <w:r w:rsidR="0091593B" w:rsidRPr="0091593B">
        <w:rPr>
          <w:rFonts w:asciiTheme="minorHAnsi" w:hAnsiTheme="minorHAnsi" w:cstheme="minorHAnsi"/>
        </w:rPr>
        <w:t xml:space="preserve">Here is an </w:t>
      </w:r>
      <w:proofErr w:type="spellStart"/>
      <w:r w:rsidR="006E2F6C">
        <w:rPr>
          <w:rFonts w:asciiTheme="minorHAnsi" w:hAnsiTheme="minorHAnsi" w:cstheme="minorHAnsi"/>
        </w:rPr>
        <w:t>anonymised</w:t>
      </w:r>
      <w:proofErr w:type="spellEnd"/>
      <w:r w:rsidR="006E2F6C">
        <w:rPr>
          <w:rFonts w:asciiTheme="minorHAnsi" w:hAnsiTheme="minorHAnsi" w:cstheme="minorHAnsi"/>
        </w:rPr>
        <w:t xml:space="preserve"> and lightly edited </w:t>
      </w:r>
      <w:r w:rsidR="0091593B" w:rsidRPr="0091593B">
        <w:rPr>
          <w:rFonts w:asciiTheme="minorHAnsi" w:hAnsiTheme="minorHAnsi" w:cstheme="minorHAnsi"/>
        </w:rPr>
        <w:t>example</w:t>
      </w:r>
      <w:r w:rsidR="003E18C4">
        <w:rPr>
          <w:rFonts w:asciiTheme="minorHAnsi" w:hAnsiTheme="minorHAnsi" w:cstheme="minorHAnsi"/>
        </w:rPr>
        <w:t xml:space="preserve"> from an actual annex — fairly representative, in our experience — where a reader wanting information on E/S investments would need to find, read, and mentally </w:t>
      </w:r>
      <w:proofErr w:type="spellStart"/>
      <w:r w:rsidR="003E18C4">
        <w:rPr>
          <w:rFonts w:asciiTheme="minorHAnsi" w:hAnsiTheme="minorHAnsi" w:cstheme="minorHAnsi"/>
        </w:rPr>
        <w:t>organi</w:t>
      </w:r>
      <w:r w:rsidR="00F233E2">
        <w:rPr>
          <w:rFonts w:asciiTheme="minorHAnsi" w:hAnsiTheme="minorHAnsi" w:cstheme="minorHAnsi"/>
        </w:rPr>
        <w:t>s</w:t>
      </w:r>
      <w:r w:rsidR="003E18C4">
        <w:rPr>
          <w:rFonts w:asciiTheme="minorHAnsi" w:hAnsiTheme="minorHAnsi" w:cstheme="minorHAnsi"/>
        </w:rPr>
        <w:t>e</w:t>
      </w:r>
      <w:proofErr w:type="spellEnd"/>
      <w:r w:rsidR="003E18C4">
        <w:rPr>
          <w:rFonts w:asciiTheme="minorHAnsi" w:hAnsiTheme="minorHAnsi" w:cstheme="minorHAnsi"/>
        </w:rPr>
        <w:t xml:space="preserve"> and </w:t>
      </w:r>
      <w:r w:rsidR="006E2F6C">
        <w:rPr>
          <w:rFonts w:asciiTheme="minorHAnsi" w:hAnsiTheme="minorHAnsi" w:cstheme="minorHAnsi"/>
        </w:rPr>
        <w:t>condense</w:t>
      </w:r>
      <w:r w:rsidR="003E18C4">
        <w:rPr>
          <w:rFonts w:asciiTheme="minorHAnsi" w:hAnsiTheme="minorHAnsi" w:cstheme="minorHAnsi"/>
        </w:rPr>
        <w:t xml:space="preserve"> 13 sections (some with headlines, some with subheads, some unmarked)</w:t>
      </w:r>
      <w:r w:rsidR="00E96971">
        <w:rPr>
          <w:rFonts w:cstheme="minorHAnsi"/>
        </w:rPr>
        <w:t>:</w:t>
      </w:r>
      <w:r w:rsidR="00E96971">
        <w:rPr>
          <w:rFonts w:cstheme="minorHAnsi"/>
        </w:rPr>
        <w:br/>
      </w:r>
    </w:p>
    <w:p w14:paraId="5597DCEA" w14:textId="5D1AA6B3" w:rsidR="0026090D" w:rsidRDefault="0091593B" w:rsidP="003E18C4">
      <w:pPr>
        <w:pStyle w:val="Default"/>
        <w:ind w:left="1080"/>
        <w:rPr>
          <w:sz w:val="23"/>
          <w:szCs w:val="23"/>
        </w:rPr>
      </w:pPr>
      <w:r w:rsidRPr="003E18C4">
        <w:rPr>
          <w:rFonts w:cstheme="minorHAnsi"/>
          <w:color w:val="0D0D0D" w:themeColor="text1" w:themeTint="F2"/>
        </w:rPr>
        <w:t>It promotes</w:t>
      </w:r>
      <w:r w:rsidR="004262DF" w:rsidRPr="003E18C4">
        <w:rPr>
          <w:rFonts w:cstheme="minorHAnsi"/>
          <w:color w:val="0D0D0D" w:themeColor="text1" w:themeTint="F2"/>
        </w:rPr>
        <w:t xml:space="preserve"> </w:t>
      </w:r>
      <w:r w:rsidRPr="003E18C4">
        <w:rPr>
          <w:rFonts w:cstheme="minorHAnsi"/>
          <w:color w:val="0D0D0D" w:themeColor="text1" w:themeTint="F2"/>
        </w:rPr>
        <w:t xml:space="preserve">Environmental/Social </w:t>
      </w:r>
      <w:r w:rsidR="004262DF" w:rsidRPr="003E18C4">
        <w:rPr>
          <w:rFonts w:cstheme="minorHAnsi"/>
          <w:color w:val="0D0D0D" w:themeColor="text1" w:themeTint="F2"/>
        </w:rPr>
        <w:t>(</w:t>
      </w:r>
      <w:r w:rsidRPr="003E18C4">
        <w:rPr>
          <w:rFonts w:cstheme="minorHAnsi"/>
          <w:color w:val="0D0D0D" w:themeColor="text1" w:themeTint="F2"/>
        </w:rPr>
        <w:t>E/S) characteristics and while it does not have as its objective a sustainable investment, it will have a minimum proportion of 10</w:t>
      </w:r>
      <w:r w:rsidR="0026090D" w:rsidRPr="003E18C4">
        <w:rPr>
          <w:rFonts w:cstheme="minorHAnsi"/>
          <w:color w:val="0D0D0D" w:themeColor="text1" w:themeTint="F2"/>
        </w:rPr>
        <w:t xml:space="preserve"> </w:t>
      </w:r>
      <w:r w:rsidRPr="003E18C4">
        <w:rPr>
          <w:rFonts w:cstheme="minorHAnsi"/>
          <w:color w:val="0D0D0D" w:themeColor="text1" w:themeTint="F2"/>
        </w:rPr>
        <w:t xml:space="preserve"> of sustainable investments </w:t>
      </w:r>
      <w:r w:rsidR="0026090D" w:rsidRPr="003E18C4">
        <w:rPr>
          <w:rFonts w:cstheme="minorHAnsi"/>
          <w:color w:val="0D0D0D" w:themeColor="text1" w:themeTint="F2"/>
        </w:rPr>
        <w:t>. . .</w:t>
      </w:r>
      <w:r w:rsidRPr="003E18C4">
        <w:rPr>
          <w:rFonts w:cstheme="minorHAnsi"/>
          <w:color w:val="0D0D0D" w:themeColor="text1" w:themeTint="F2"/>
        </w:rPr>
        <w:t xml:space="preserve"> </w:t>
      </w:r>
      <w:r w:rsidR="00E96971" w:rsidRPr="003E18C4">
        <w:rPr>
          <w:rFonts w:cstheme="minorHAnsi"/>
          <w:color w:val="0D0D0D" w:themeColor="text1" w:themeTint="F2"/>
        </w:rPr>
        <w:br/>
      </w:r>
      <w:r w:rsidR="00E96971" w:rsidRPr="006E2F6C">
        <w:rPr>
          <w:rFonts w:cstheme="minorHAnsi"/>
          <w:b/>
          <w:bCs/>
          <w:color w:val="0D0D0D" w:themeColor="text1" w:themeTint="F2"/>
        </w:rPr>
        <w:t>X</w:t>
      </w:r>
      <w:r w:rsidRPr="003E18C4">
        <w:rPr>
          <w:rFonts w:cstheme="minorHAnsi"/>
          <w:color w:val="0D0D0D" w:themeColor="text1" w:themeTint="F2"/>
        </w:rPr>
        <w:t xml:space="preserve"> </w:t>
      </w:r>
      <w:r w:rsidR="006E2F6C">
        <w:rPr>
          <w:rFonts w:cstheme="minorHAnsi"/>
          <w:color w:val="0D0D0D" w:themeColor="text1" w:themeTint="F2"/>
        </w:rPr>
        <w:t xml:space="preserve"> </w:t>
      </w:r>
      <w:r w:rsidRPr="003E18C4">
        <w:rPr>
          <w:rFonts w:cstheme="minorHAnsi"/>
          <w:color w:val="0D0D0D" w:themeColor="text1" w:themeTint="F2"/>
        </w:rPr>
        <w:t xml:space="preserve">with an environmental objective in economic activities that do not qualify as environmentally sustainable under the EU Taxonomy </w:t>
      </w:r>
      <w:r w:rsidR="00E96971" w:rsidRPr="003E18C4">
        <w:rPr>
          <w:rFonts w:cstheme="minorHAnsi"/>
          <w:color w:val="0D0D0D" w:themeColor="text1" w:themeTint="F2"/>
        </w:rPr>
        <w:br/>
      </w:r>
      <w:r w:rsidRPr="006E2F6C">
        <w:rPr>
          <w:rFonts w:cstheme="minorHAnsi"/>
          <w:b/>
          <w:bCs/>
          <w:color w:val="0D0D0D" w:themeColor="text1" w:themeTint="F2"/>
        </w:rPr>
        <w:t>X</w:t>
      </w:r>
      <w:r w:rsidRPr="003E18C4">
        <w:rPr>
          <w:rFonts w:cstheme="minorHAnsi"/>
          <w:color w:val="0D0D0D" w:themeColor="text1" w:themeTint="F2"/>
        </w:rPr>
        <w:t xml:space="preserve"> </w:t>
      </w:r>
      <w:r w:rsidR="006E2F6C">
        <w:rPr>
          <w:rFonts w:cstheme="minorHAnsi"/>
          <w:color w:val="0D0D0D" w:themeColor="text1" w:themeTint="F2"/>
        </w:rPr>
        <w:t xml:space="preserve"> </w:t>
      </w:r>
      <w:r w:rsidRPr="003E18C4">
        <w:rPr>
          <w:rFonts w:cstheme="minorHAnsi"/>
          <w:color w:val="0D0D0D" w:themeColor="text1" w:themeTint="F2"/>
        </w:rPr>
        <w:t xml:space="preserve">with a social objective </w:t>
      </w:r>
      <w:r w:rsidR="0026090D" w:rsidRPr="003E18C4">
        <w:rPr>
          <w:rFonts w:cstheme="minorHAnsi"/>
          <w:color w:val="7A7067"/>
        </w:rPr>
        <w:br/>
      </w:r>
      <w:r w:rsidR="0026090D">
        <w:rPr>
          <w:rFonts w:cstheme="minorHAnsi"/>
          <w:i/>
          <w:iCs/>
          <w:color w:val="7A7067"/>
        </w:rPr>
        <w:br/>
      </w:r>
      <w:r w:rsidR="0026090D">
        <w:rPr>
          <w:b/>
          <w:bCs/>
          <w:sz w:val="23"/>
          <w:szCs w:val="23"/>
        </w:rPr>
        <w:t xml:space="preserve">What environmental and/or social characteristics are promoted by this financial product? </w:t>
      </w:r>
    </w:p>
    <w:p w14:paraId="3E02EC47" w14:textId="3DE58535" w:rsidR="0026090D" w:rsidRDefault="0026090D" w:rsidP="003E18C4">
      <w:pPr>
        <w:pStyle w:val="Default"/>
        <w:ind w:left="1080"/>
        <w:rPr>
          <w:sz w:val="20"/>
          <w:szCs w:val="20"/>
        </w:rPr>
      </w:pPr>
      <w:r>
        <w:rPr>
          <w:sz w:val="20"/>
          <w:szCs w:val="20"/>
        </w:rPr>
        <w:lastRenderedPageBreak/>
        <w:t>The Fund promotes the environmental characteristic of climate change mitigation by excluding investments in</w:t>
      </w:r>
      <w:r w:rsidR="00F675FE">
        <w:rPr>
          <w:sz w:val="20"/>
          <w:szCs w:val="20"/>
        </w:rPr>
        <w:t xml:space="preserve"> </w:t>
      </w:r>
      <w:r>
        <w:rPr>
          <w:sz w:val="20"/>
          <w:szCs w:val="20"/>
        </w:rPr>
        <w:t>companies with tie</w:t>
      </w:r>
      <w:r w:rsidR="00F675FE">
        <w:rPr>
          <w:sz w:val="20"/>
          <w:szCs w:val="20"/>
        </w:rPr>
        <w:t>s</w:t>
      </w:r>
      <w:r>
        <w:rPr>
          <w:sz w:val="20"/>
          <w:szCs w:val="20"/>
        </w:rPr>
        <w:t xml:space="preserve"> to fossil fuels</w:t>
      </w:r>
      <w:r w:rsidR="00F675FE">
        <w:rPr>
          <w:sz w:val="20"/>
          <w:szCs w:val="20"/>
        </w:rPr>
        <w:t xml:space="preserve"> or to</w:t>
      </w:r>
      <w:r>
        <w:rPr>
          <w:sz w:val="20"/>
          <w:szCs w:val="20"/>
        </w:rPr>
        <w:t xml:space="preserve"> certain other energy</w:t>
      </w:r>
      <w:r w:rsidR="00F675FE">
        <w:rPr>
          <w:sz w:val="20"/>
          <w:szCs w:val="20"/>
        </w:rPr>
        <w:t>-</w:t>
      </w:r>
      <w:r>
        <w:rPr>
          <w:sz w:val="20"/>
          <w:szCs w:val="20"/>
        </w:rPr>
        <w:t xml:space="preserve">intensive sectors. For the avoidance of doubt, the Fund does not seek to make investments that contribute to climate change mitigation within the meaning of the EU Taxonomy. </w:t>
      </w:r>
    </w:p>
    <w:p w14:paraId="1C7BB65F" w14:textId="5F781EC8" w:rsidR="0026090D" w:rsidRPr="00FC14AA" w:rsidRDefault="0026090D" w:rsidP="003E18C4">
      <w:pPr>
        <w:pStyle w:val="Default"/>
        <w:ind w:left="1080"/>
        <w:rPr>
          <w:color w:val="auto"/>
        </w:rPr>
      </w:pPr>
      <w:r>
        <w:rPr>
          <w:sz w:val="20"/>
          <w:szCs w:val="20"/>
        </w:rPr>
        <w:t>In addition, the Fund considers social characteristics by applying exclusions on</w:t>
      </w:r>
      <w:r w:rsidR="00F675FE">
        <w:rPr>
          <w:sz w:val="20"/>
          <w:szCs w:val="20"/>
        </w:rPr>
        <w:t xml:space="preserve"> </w:t>
      </w:r>
      <w:r>
        <w:rPr>
          <w:sz w:val="20"/>
          <w:szCs w:val="20"/>
        </w:rPr>
        <w:t>companies whose core business activity involves weapons or civilian firearms</w:t>
      </w:r>
      <w:r w:rsidR="00F675FE">
        <w:rPr>
          <w:sz w:val="20"/>
          <w:szCs w:val="20"/>
        </w:rPr>
        <w:t xml:space="preserve"> or</w:t>
      </w:r>
      <w:r>
        <w:rPr>
          <w:sz w:val="20"/>
          <w:szCs w:val="20"/>
        </w:rPr>
        <w:t xml:space="preserve"> that have any tie to controversial weapons. </w:t>
      </w:r>
      <w:r>
        <w:rPr>
          <w:rFonts w:cstheme="minorHAnsi"/>
          <w:i/>
          <w:iCs/>
          <w:color w:val="7A7067"/>
        </w:rPr>
        <w:br/>
      </w:r>
      <w:r w:rsidR="00264805" w:rsidRPr="00E96971">
        <w:rPr>
          <w:rFonts w:cstheme="minorHAnsi"/>
        </w:rPr>
        <w:br/>
      </w:r>
      <w:r w:rsidRPr="0026090D">
        <w:rPr>
          <w:b/>
          <w:bCs/>
        </w:rPr>
        <w:t xml:space="preserve">What sustainability indicators are used to measure the attainment of each of the environmental or social characteristics promoted by this financial product? </w:t>
      </w:r>
    </w:p>
    <w:p w14:paraId="1A8F9873" w14:textId="0D19ED48" w:rsidR="0026090D" w:rsidRDefault="0026090D" w:rsidP="003E18C4">
      <w:pPr>
        <w:pStyle w:val="Default"/>
        <w:ind w:left="1080"/>
        <w:rPr>
          <w:sz w:val="20"/>
          <w:szCs w:val="20"/>
        </w:rPr>
      </w:pPr>
      <w:r>
        <w:rPr>
          <w:b/>
          <w:bCs/>
          <w:sz w:val="20"/>
          <w:szCs w:val="20"/>
        </w:rPr>
        <w:t xml:space="preserve">1. Environmental characteristics </w:t>
      </w:r>
      <w:r>
        <w:rPr>
          <w:sz w:val="20"/>
          <w:szCs w:val="20"/>
        </w:rPr>
        <w:t xml:space="preserve">  Compliance with the environmental exclusionary screens is measured </w:t>
      </w:r>
      <w:r w:rsidR="00F675FE">
        <w:rPr>
          <w:sz w:val="20"/>
          <w:szCs w:val="20"/>
        </w:rPr>
        <w:t>using</w:t>
      </w:r>
      <w:r>
        <w:rPr>
          <w:sz w:val="20"/>
          <w:szCs w:val="20"/>
        </w:rPr>
        <w:t xml:space="preserve"> the exclusionary criteria and the percentage of the Fund’s investments </w:t>
      </w:r>
      <w:r w:rsidR="00F675FE">
        <w:rPr>
          <w:sz w:val="20"/>
          <w:szCs w:val="20"/>
        </w:rPr>
        <w:t>that</w:t>
      </w:r>
      <w:r>
        <w:rPr>
          <w:sz w:val="20"/>
          <w:szCs w:val="20"/>
        </w:rPr>
        <w:t xml:space="preserve"> breach the exclusionary screens. </w:t>
      </w:r>
    </w:p>
    <w:p w14:paraId="2A195A93" w14:textId="4B420F32" w:rsidR="00FC14AA" w:rsidRPr="00FC14AA" w:rsidRDefault="0026090D" w:rsidP="003E18C4">
      <w:pPr>
        <w:pStyle w:val="Default"/>
        <w:ind w:left="1080"/>
        <w:rPr>
          <w:color w:val="auto"/>
        </w:rPr>
      </w:pPr>
      <w:r>
        <w:rPr>
          <w:b/>
          <w:bCs/>
          <w:sz w:val="20"/>
          <w:szCs w:val="20"/>
        </w:rPr>
        <w:t xml:space="preserve">2. Social characteristics   </w:t>
      </w:r>
      <w:r w:rsidRPr="0026090D">
        <w:rPr>
          <w:sz w:val="20"/>
          <w:szCs w:val="20"/>
        </w:rPr>
        <w:t xml:space="preserve">Compliance with the social exclusionary screens is based on the exclusionary </w:t>
      </w:r>
      <w:r w:rsidR="00F675FE">
        <w:rPr>
          <w:sz w:val="20"/>
          <w:szCs w:val="20"/>
        </w:rPr>
        <w:t>screens</w:t>
      </w:r>
      <w:r w:rsidRPr="0026090D">
        <w:rPr>
          <w:sz w:val="20"/>
          <w:szCs w:val="20"/>
        </w:rPr>
        <w:t xml:space="preserve"> and the percentage of the Fund’s investments </w:t>
      </w:r>
      <w:r w:rsidR="00F675FE">
        <w:rPr>
          <w:sz w:val="20"/>
          <w:szCs w:val="20"/>
        </w:rPr>
        <w:t>that</w:t>
      </w:r>
      <w:r w:rsidRPr="0026090D">
        <w:rPr>
          <w:sz w:val="20"/>
          <w:szCs w:val="20"/>
        </w:rPr>
        <w:t xml:space="preserve"> breach the exclusionary screens. </w:t>
      </w:r>
      <w:r w:rsidR="00FC14AA">
        <w:rPr>
          <w:sz w:val="20"/>
          <w:szCs w:val="20"/>
        </w:rPr>
        <w:br/>
        <w:t>. . .</w:t>
      </w:r>
      <w:r w:rsidR="00FC14AA">
        <w:rPr>
          <w:sz w:val="20"/>
          <w:szCs w:val="20"/>
        </w:rPr>
        <w:br/>
        <w:t xml:space="preserve">3. </w:t>
      </w:r>
      <w:proofErr w:type="spellStart"/>
      <w:r w:rsidR="00FC14AA">
        <w:rPr>
          <w:sz w:val="20"/>
          <w:szCs w:val="20"/>
        </w:rPr>
        <w:t>Iii</w:t>
      </w:r>
      <w:proofErr w:type="spellEnd"/>
      <w:r w:rsidR="00FC14AA">
        <w:rPr>
          <w:sz w:val="20"/>
          <w:szCs w:val="20"/>
        </w:rPr>
        <w:t xml:space="preserve">.   </w:t>
      </w:r>
      <w:r w:rsidR="00FC14AA">
        <w:rPr>
          <w:b/>
          <w:bCs/>
          <w:sz w:val="20"/>
          <w:szCs w:val="20"/>
        </w:rPr>
        <w:t xml:space="preserve">positive contribution to environmental or social objective: </w:t>
      </w:r>
      <w:r w:rsidR="00FC14AA">
        <w:rPr>
          <w:sz w:val="20"/>
          <w:szCs w:val="20"/>
        </w:rPr>
        <w:t xml:space="preserve">this test seeks to ensure that Companies classified as sustainable investments are classified based on their net positive alignment with the UN SDGs (which shall primarily be determined using alignment scores obtained from third party data providers). </w:t>
      </w:r>
    </w:p>
    <w:p w14:paraId="3343A48A" w14:textId="450C0FE9" w:rsidR="001F789F" w:rsidRDefault="00EE098F" w:rsidP="003E18C4">
      <w:pPr>
        <w:pStyle w:val="Default"/>
        <w:ind w:left="1080"/>
        <w:rPr>
          <w:sz w:val="23"/>
          <w:szCs w:val="23"/>
        </w:rPr>
      </w:pPr>
      <w:r w:rsidRPr="00AE44DA">
        <w:br/>
      </w:r>
      <w:r w:rsidR="001F789F">
        <w:rPr>
          <w:b/>
          <w:bCs/>
          <w:sz w:val="23"/>
          <w:szCs w:val="23"/>
        </w:rPr>
        <w:t xml:space="preserve">Does this financial product consider principal adverse impacts on sustainability factors? </w:t>
      </w:r>
    </w:p>
    <w:p w14:paraId="23D7DD15" w14:textId="4778397D" w:rsidR="001F789F" w:rsidRDefault="001F789F" w:rsidP="00F675FE">
      <w:pPr>
        <w:pStyle w:val="Default"/>
        <w:ind w:left="1080"/>
        <w:rPr>
          <w:sz w:val="20"/>
          <w:szCs w:val="20"/>
        </w:rPr>
      </w:pPr>
      <w:r>
        <w:rPr>
          <w:sz w:val="20"/>
          <w:szCs w:val="20"/>
        </w:rPr>
        <w:t xml:space="preserve">. . . </w:t>
      </w:r>
      <w:r>
        <w:rPr>
          <w:sz w:val="20"/>
          <w:szCs w:val="20"/>
        </w:rPr>
        <w:br/>
        <w:t xml:space="preserve">PAIs are also considered with respect to the other investments of the Fund </w:t>
      </w:r>
      <w:r w:rsidR="00F675FE">
        <w:rPr>
          <w:sz w:val="20"/>
          <w:szCs w:val="20"/>
        </w:rPr>
        <w:t xml:space="preserve">consistent with the </w:t>
      </w:r>
      <w:r>
        <w:rPr>
          <w:sz w:val="20"/>
          <w:szCs w:val="20"/>
        </w:rPr>
        <w:t>environmental and social characteristics promoted by the Fund</w:t>
      </w:r>
      <w:r w:rsidR="00F675FE">
        <w:rPr>
          <w:sz w:val="20"/>
          <w:szCs w:val="20"/>
        </w:rPr>
        <w:t>, and</w:t>
      </w:r>
      <w:r>
        <w:rPr>
          <w:sz w:val="20"/>
          <w:szCs w:val="20"/>
        </w:rPr>
        <w:t xml:space="preserve"> incorporate consideration of the following PAIs through exclusions: </w:t>
      </w:r>
    </w:p>
    <w:p w14:paraId="2B492913" w14:textId="0E6910EE" w:rsidR="001F789F" w:rsidRDefault="001F789F" w:rsidP="003E18C4">
      <w:pPr>
        <w:pStyle w:val="Default"/>
        <w:ind w:left="1080"/>
        <w:rPr>
          <w:sz w:val="20"/>
          <w:szCs w:val="20"/>
        </w:rPr>
      </w:pPr>
      <w:r>
        <w:rPr>
          <w:sz w:val="20"/>
          <w:szCs w:val="20"/>
        </w:rPr>
        <w:t>PAI indicator 4: exposure to companies active in the fossil fuel sector</w:t>
      </w:r>
    </w:p>
    <w:p w14:paraId="1E2FD640" w14:textId="7D25A79A" w:rsidR="009121E8" w:rsidRDefault="001F789F" w:rsidP="003E18C4">
      <w:pPr>
        <w:pStyle w:val="Default"/>
        <w:ind w:left="1080"/>
        <w:rPr>
          <w:sz w:val="20"/>
          <w:szCs w:val="20"/>
        </w:rPr>
      </w:pPr>
      <w:r>
        <w:rPr>
          <w:sz w:val="20"/>
          <w:szCs w:val="20"/>
        </w:rPr>
        <w:t>PAI indicator 14: exposure to controversial weapons (using third-party data with a methodology that complies with the Sustainable Finance Disclosure Regulation (“SFDR”) definition)</w:t>
      </w:r>
    </w:p>
    <w:p w14:paraId="672A0C09" w14:textId="77777777" w:rsidR="007E4383" w:rsidRDefault="007E4383" w:rsidP="003E18C4">
      <w:pPr>
        <w:pStyle w:val="Default"/>
        <w:ind w:left="720"/>
        <w:rPr>
          <w:sz w:val="20"/>
          <w:szCs w:val="20"/>
        </w:rPr>
      </w:pPr>
    </w:p>
    <w:p w14:paraId="7F23EBB1" w14:textId="77777777" w:rsidR="007E4383" w:rsidRDefault="007E4383" w:rsidP="003E18C4">
      <w:pPr>
        <w:pStyle w:val="Default"/>
        <w:ind w:left="1080"/>
        <w:rPr>
          <w:sz w:val="23"/>
          <w:szCs w:val="23"/>
        </w:rPr>
      </w:pPr>
      <w:r>
        <w:rPr>
          <w:b/>
          <w:bCs/>
          <w:sz w:val="23"/>
          <w:szCs w:val="23"/>
        </w:rPr>
        <w:t xml:space="preserve">What investment strategy does this financial product follow? </w:t>
      </w:r>
    </w:p>
    <w:p w14:paraId="3460D50D" w14:textId="01DA3655" w:rsidR="007E4383" w:rsidRDefault="007E4383" w:rsidP="003E18C4">
      <w:pPr>
        <w:pStyle w:val="Default"/>
        <w:ind w:left="1080"/>
        <w:rPr>
          <w:sz w:val="20"/>
          <w:szCs w:val="20"/>
        </w:rPr>
      </w:pPr>
      <w:r>
        <w:rPr>
          <w:sz w:val="20"/>
          <w:szCs w:val="20"/>
        </w:rPr>
        <w:t>. . .</w:t>
      </w:r>
      <w:r>
        <w:rPr>
          <w:sz w:val="20"/>
          <w:szCs w:val="20"/>
        </w:rPr>
        <w:br/>
        <w:t xml:space="preserve">The environmental and social characteristics promoted by the Fund are incorporated within the investment guidelines and subject to ongoing monitoring by the Investment Adviser </w:t>
      </w:r>
    </w:p>
    <w:p w14:paraId="5137E4C0" w14:textId="77777777" w:rsidR="00E5597A" w:rsidRDefault="00E5597A" w:rsidP="00F675FE">
      <w:pPr>
        <w:pStyle w:val="Default"/>
        <w:rPr>
          <w:color w:val="auto"/>
        </w:rPr>
      </w:pPr>
    </w:p>
    <w:p w14:paraId="684F7DC7" w14:textId="77777777" w:rsidR="00E5597A" w:rsidRPr="00E5597A" w:rsidRDefault="00E5597A" w:rsidP="003E18C4">
      <w:pPr>
        <w:pStyle w:val="Default"/>
        <w:ind w:left="1080"/>
        <w:rPr>
          <w:b/>
          <w:bCs/>
        </w:rPr>
      </w:pPr>
      <w:r w:rsidRPr="00E5597A">
        <w:rPr>
          <w:b/>
          <w:bCs/>
        </w:rPr>
        <w:t xml:space="preserve">What are the binding elements of the investment strategy used to select the investments to attain each of the environmental or social characteristics promoted by this financial product? </w:t>
      </w:r>
    </w:p>
    <w:p w14:paraId="25C26713" w14:textId="289BC631" w:rsidR="00E5597A" w:rsidRDefault="00E5597A" w:rsidP="003E18C4">
      <w:pPr>
        <w:pStyle w:val="Default"/>
        <w:ind w:left="1080"/>
        <w:rPr>
          <w:sz w:val="20"/>
          <w:szCs w:val="20"/>
        </w:rPr>
      </w:pPr>
      <w:r>
        <w:rPr>
          <w:b/>
          <w:bCs/>
          <w:sz w:val="20"/>
          <w:szCs w:val="20"/>
        </w:rPr>
        <w:t xml:space="preserve">1. Environmental characteristics </w:t>
      </w:r>
      <w:r>
        <w:rPr>
          <w:sz w:val="20"/>
          <w:szCs w:val="20"/>
        </w:rPr>
        <w:t xml:space="preserve">  The Fund promotes the environmental characteristic of climate change mitigation by excluding investments in any company that the Investment Adviser determines to have any tie to fossil fuels (such as oil, gas and coal) or any company in the following sectors or industries: energy, utilities (excluding renewable electricity and water utilities), or metals and mining. </w:t>
      </w:r>
    </w:p>
    <w:p w14:paraId="27BBC1E7" w14:textId="20CF9130" w:rsidR="00E5597A" w:rsidRDefault="00E5597A" w:rsidP="003E18C4">
      <w:pPr>
        <w:pStyle w:val="Default"/>
        <w:ind w:left="1080"/>
        <w:rPr>
          <w:sz w:val="20"/>
          <w:szCs w:val="20"/>
        </w:rPr>
      </w:pPr>
      <w:r>
        <w:rPr>
          <w:b/>
          <w:bCs/>
          <w:sz w:val="20"/>
          <w:szCs w:val="20"/>
        </w:rPr>
        <w:t xml:space="preserve">2. Social characteristics </w:t>
      </w:r>
      <w:r>
        <w:rPr>
          <w:sz w:val="20"/>
          <w:szCs w:val="20"/>
        </w:rPr>
        <w:t xml:space="preserve">  The Fund considers social characteristics by applying the following binding screens: the Fund’s investments will not knowingly include any company whose core business activity involves civilian firearms or weapons, or has any tie to controversial weapons. </w:t>
      </w:r>
    </w:p>
    <w:p w14:paraId="7EBEAE87" w14:textId="77777777" w:rsidR="00ED6702" w:rsidRDefault="00ED6702" w:rsidP="003E18C4">
      <w:pPr>
        <w:pStyle w:val="Default"/>
        <w:ind w:left="720"/>
        <w:rPr>
          <w:sz w:val="20"/>
          <w:szCs w:val="20"/>
        </w:rPr>
      </w:pPr>
    </w:p>
    <w:p w14:paraId="7F682307" w14:textId="58395FE4" w:rsidR="00ED6702" w:rsidRDefault="00ED6702" w:rsidP="003E18C4">
      <w:pPr>
        <w:pStyle w:val="Default"/>
        <w:ind w:left="1080"/>
        <w:rPr>
          <w:sz w:val="20"/>
          <w:szCs w:val="20"/>
        </w:rPr>
      </w:pPr>
      <w:r>
        <w:rPr>
          <w:sz w:val="20"/>
          <w:szCs w:val="20"/>
        </w:rPr>
        <w:t>[flow chart notes]</w:t>
      </w:r>
    </w:p>
    <w:p w14:paraId="35E5F86F" w14:textId="5B9A2385" w:rsidR="00ED6702" w:rsidRDefault="00ED6702" w:rsidP="003E18C4">
      <w:pPr>
        <w:pStyle w:val="Default"/>
        <w:ind w:left="1080"/>
        <w:rPr>
          <w:sz w:val="20"/>
          <w:szCs w:val="20"/>
        </w:rPr>
      </w:pPr>
      <w:r>
        <w:rPr>
          <w:b/>
          <w:bCs/>
          <w:sz w:val="20"/>
          <w:szCs w:val="20"/>
        </w:rPr>
        <w:t xml:space="preserve">#1 Aligned with E/S characteristics </w:t>
      </w:r>
      <w:r>
        <w:rPr>
          <w:sz w:val="20"/>
          <w:szCs w:val="20"/>
        </w:rPr>
        <w:t xml:space="preserve">includes the investments of the </w:t>
      </w:r>
      <w:r w:rsidR="00F675FE">
        <w:rPr>
          <w:sz w:val="20"/>
          <w:szCs w:val="20"/>
        </w:rPr>
        <w:t>Fund</w:t>
      </w:r>
      <w:r>
        <w:rPr>
          <w:sz w:val="20"/>
          <w:szCs w:val="20"/>
        </w:rPr>
        <w:t xml:space="preserve"> used to attain the environmental or social characteristics </w:t>
      </w:r>
      <w:r w:rsidR="00F675FE">
        <w:rPr>
          <w:sz w:val="20"/>
          <w:szCs w:val="20"/>
        </w:rPr>
        <w:t xml:space="preserve">it </w:t>
      </w:r>
      <w:r>
        <w:rPr>
          <w:sz w:val="20"/>
          <w:szCs w:val="20"/>
        </w:rPr>
        <w:t>promote</w:t>
      </w:r>
      <w:r w:rsidR="00F675FE">
        <w:rPr>
          <w:sz w:val="20"/>
          <w:szCs w:val="20"/>
        </w:rPr>
        <w:t>s</w:t>
      </w:r>
      <w:r>
        <w:rPr>
          <w:sz w:val="20"/>
          <w:szCs w:val="20"/>
        </w:rPr>
        <w:t xml:space="preserve">. </w:t>
      </w:r>
    </w:p>
    <w:p w14:paraId="76B94259" w14:textId="6593C90F" w:rsidR="00ED6702" w:rsidRDefault="00ED6702" w:rsidP="003E18C4">
      <w:pPr>
        <w:pStyle w:val="Default"/>
        <w:ind w:left="1080"/>
        <w:rPr>
          <w:sz w:val="20"/>
          <w:szCs w:val="20"/>
        </w:rPr>
      </w:pPr>
      <w:r>
        <w:rPr>
          <w:b/>
          <w:bCs/>
          <w:sz w:val="20"/>
          <w:szCs w:val="20"/>
        </w:rPr>
        <w:lastRenderedPageBreak/>
        <w:t xml:space="preserve">#2 Other </w:t>
      </w:r>
      <w:r>
        <w:rPr>
          <w:sz w:val="20"/>
          <w:szCs w:val="20"/>
        </w:rPr>
        <w:t xml:space="preserve">includes the </w:t>
      </w:r>
      <w:r w:rsidR="00F675FE">
        <w:rPr>
          <w:sz w:val="20"/>
          <w:szCs w:val="20"/>
        </w:rPr>
        <w:t xml:space="preserve">Fund’s </w:t>
      </w:r>
      <w:r>
        <w:rPr>
          <w:sz w:val="20"/>
          <w:szCs w:val="20"/>
        </w:rPr>
        <w:t>remaining investments</w:t>
      </w:r>
      <w:r w:rsidR="00F675FE">
        <w:rPr>
          <w:sz w:val="20"/>
          <w:szCs w:val="20"/>
        </w:rPr>
        <w:t>,</w:t>
      </w:r>
      <w:r>
        <w:rPr>
          <w:sz w:val="20"/>
          <w:szCs w:val="20"/>
        </w:rPr>
        <w:t xml:space="preserve"> which are neither aligned with the environmental or social characteristics nor qualified as sustainable investments. </w:t>
      </w:r>
    </w:p>
    <w:p w14:paraId="3C33570E" w14:textId="77777777" w:rsidR="00ED6702" w:rsidRDefault="00ED6702" w:rsidP="003E18C4">
      <w:pPr>
        <w:pStyle w:val="Default"/>
        <w:ind w:left="1080"/>
        <w:rPr>
          <w:sz w:val="20"/>
          <w:szCs w:val="20"/>
        </w:rPr>
      </w:pPr>
      <w:r>
        <w:rPr>
          <w:sz w:val="20"/>
          <w:szCs w:val="20"/>
        </w:rPr>
        <w:t xml:space="preserve">The category </w:t>
      </w:r>
      <w:r>
        <w:rPr>
          <w:b/>
          <w:bCs/>
          <w:sz w:val="20"/>
          <w:szCs w:val="20"/>
        </w:rPr>
        <w:t xml:space="preserve">#1 Aligned with E/S characteristics </w:t>
      </w:r>
      <w:r>
        <w:rPr>
          <w:sz w:val="20"/>
          <w:szCs w:val="20"/>
        </w:rPr>
        <w:t xml:space="preserve">covers: </w:t>
      </w:r>
    </w:p>
    <w:p w14:paraId="39B8E9EE" w14:textId="483DB03E" w:rsidR="00ED6702" w:rsidRDefault="00ED6702" w:rsidP="003E18C4">
      <w:pPr>
        <w:pStyle w:val="Default"/>
        <w:ind w:left="1080"/>
        <w:rPr>
          <w:sz w:val="20"/>
          <w:szCs w:val="20"/>
        </w:rPr>
      </w:pPr>
      <w:r>
        <w:rPr>
          <w:sz w:val="20"/>
          <w:szCs w:val="20"/>
        </w:rPr>
        <w:t xml:space="preserve">The sub-category </w:t>
      </w:r>
      <w:r>
        <w:rPr>
          <w:b/>
          <w:bCs/>
          <w:sz w:val="20"/>
          <w:szCs w:val="20"/>
        </w:rPr>
        <w:t xml:space="preserve">#1A Sustainable </w:t>
      </w:r>
      <w:r>
        <w:rPr>
          <w:sz w:val="20"/>
          <w:szCs w:val="20"/>
        </w:rPr>
        <w:t xml:space="preserve">covers sustainable investments with environmental or social objectives. </w:t>
      </w:r>
    </w:p>
    <w:p w14:paraId="78EFE68C" w14:textId="48F2440C" w:rsidR="00ED6702" w:rsidRDefault="00ED6702" w:rsidP="003E18C4">
      <w:pPr>
        <w:pStyle w:val="Default"/>
        <w:ind w:left="1080"/>
        <w:rPr>
          <w:sz w:val="20"/>
          <w:szCs w:val="20"/>
        </w:rPr>
      </w:pPr>
      <w:r>
        <w:rPr>
          <w:sz w:val="20"/>
          <w:szCs w:val="20"/>
        </w:rPr>
        <w:t xml:space="preserve">The sub-category </w:t>
      </w:r>
      <w:r>
        <w:rPr>
          <w:b/>
          <w:bCs/>
          <w:sz w:val="20"/>
          <w:szCs w:val="20"/>
        </w:rPr>
        <w:t xml:space="preserve">#1B Other E/S characteristics </w:t>
      </w:r>
      <w:r>
        <w:rPr>
          <w:sz w:val="20"/>
          <w:szCs w:val="20"/>
        </w:rPr>
        <w:t>covers investments aligned with the environmental or social characteristics that do not qualify as sustainable investments.</w:t>
      </w:r>
    </w:p>
    <w:p w14:paraId="4909C441" w14:textId="77777777" w:rsidR="002A1954" w:rsidRDefault="002A1954" w:rsidP="003E18C4">
      <w:pPr>
        <w:pStyle w:val="Default"/>
        <w:ind w:left="720"/>
        <w:rPr>
          <w:sz w:val="20"/>
          <w:szCs w:val="20"/>
        </w:rPr>
      </w:pPr>
    </w:p>
    <w:p w14:paraId="19BC948E" w14:textId="60544A5F" w:rsidR="002A1954" w:rsidRDefault="002A1954" w:rsidP="003E18C4">
      <w:pPr>
        <w:pStyle w:val="Default"/>
        <w:ind w:left="1080"/>
        <w:rPr>
          <w:sz w:val="20"/>
          <w:szCs w:val="20"/>
        </w:rPr>
      </w:pPr>
      <w:r>
        <w:rPr>
          <w:sz w:val="20"/>
          <w:szCs w:val="20"/>
        </w:rPr>
        <w:t xml:space="preserve">The environmental and social exclusions are expected to apply to at least 90% of the portfolio. The Investment Adviser anticipates that the remainder of the Fund will be made up of investments held for ancillary liquidity, including cash and money market instruments, with this proportion not expected to comprise more than 10% of the Fund’s assets. No minimum environmental or social safeguards are applied to such investments. </w:t>
      </w:r>
    </w:p>
    <w:p w14:paraId="2B6ED9CF" w14:textId="77777777" w:rsidR="002A1954" w:rsidRDefault="002A1954" w:rsidP="003E18C4">
      <w:pPr>
        <w:pStyle w:val="Default"/>
        <w:ind w:left="720"/>
        <w:rPr>
          <w:color w:val="auto"/>
        </w:rPr>
      </w:pPr>
    </w:p>
    <w:p w14:paraId="4F848CC9" w14:textId="3F9F5FA0" w:rsidR="002A1954" w:rsidRPr="002A1954" w:rsidRDefault="002A1954" w:rsidP="003E18C4">
      <w:pPr>
        <w:pStyle w:val="Default"/>
        <w:ind w:left="1080"/>
        <w:rPr>
          <w:b/>
          <w:bCs/>
        </w:rPr>
      </w:pPr>
      <w:r w:rsidRPr="002A1954">
        <w:rPr>
          <w:b/>
          <w:bCs/>
        </w:rPr>
        <w:t xml:space="preserve">How does the use of derivatives attain the environmental or social characteristics promoted by the financial product? </w:t>
      </w:r>
    </w:p>
    <w:p w14:paraId="0AE237A4" w14:textId="73FCADAB" w:rsidR="002A1954" w:rsidRDefault="002A1954" w:rsidP="003E18C4">
      <w:pPr>
        <w:pStyle w:val="Default"/>
        <w:ind w:left="1080"/>
        <w:rPr>
          <w:sz w:val="20"/>
          <w:szCs w:val="20"/>
        </w:rPr>
      </w:pPr>
      <w:r>
        <w:rPr>
          <w:sz w:val="20"/>
          <w:szCs w:val="20"/>
        </w:rPr>
        <w:t xml:space="preserve">Not applicable – the Fund does not use derivatives to attain its environmental or social characteristics. </w:t>
      </w:r>
    </w:p>
    <w:p w14:paraId="6A32358B" w14:textId="77777777" w:rsidR="002A1954" w:rsidRDefault="002A1954" w:rsidP="003E18C4">
      <w:pPr>
        <w:pStyle w:val="Default"/>
        <w:ind w:left="720"/>
        <w:rPr>
          <w:sz w:val="20"/>
          <w:szCs w:val="20"/>
        </w:rPr>
      </w:pPr>
    </w:p>
    <w:p w14:paraId="4D078865" w14:textId="77777777" w:rsidR="002A1954" w:rsidRDefault="002A1954" w:rsidP="003E18C4">
      <w:pPr>
        <w:pStyle w:val="Default"/>
        <w:ind w:left="1080"/>
        <w:rPr>
          <w:sz w:val="23"/>
          <w:szCs w:val="23"/>
        </w:rPr>
      </w:pPr>
      <w:r>
        <w:rPr>
          <w:b/>
          <w:bCs/>
          <w:sz w:val="23"/>
          <w:szCs w:val="23"/>
        </w:rPr>
        <w:t xml:space="preserve">To what minimum extent are sustainable investments with an environmental objective aligned with the EU Taxonomy? </w:t>
      </w:r>
    </w:p>
    <w:p w14:paraId="0D55EBF0" w14:textId="41DFE873" w:rsidR="002A1954" w:rsidRDefault="002A1954" w:rsidP="003E18C4">
      <w:pPr>
        <w:pStyle w:val="Default"/>
        <w:ind w:left="1080"/>
        <w:rPr>
          <w:sz w:val="20"/>
          <w:szCs w:val="20"/>
        </w:rPr>
      </w:pPr>
      <w:r>
        <w:rPr>
          <w:sz w:val="20"/>
          <w:szCs w:val="20"/>
        </w:rPr>
        <w:t>Not</w:t>
      </w:r>
      <w:r w:rsidR="005D7775">
        <w:rPr>
          <w:sz w:val="20"/>
          <w:szCs w:val="20"/>
        </w:rPr>
        <w:t xml:space="preserve"> </w:t>
      </w:r>
      <w:r>
        <w:rPr>
          <w:sz w:val="20"/>
          <w:szCs w:val="20"/>
        </w:rPr>
        <w:t>applicable</w:t>
      </w:r>
      <w:r w:rsidR="005D7775">
        <w:rPr>
          <w:sz w:val="20"/>
          <w:szCs w:val="20"/>
        </w:rPr>
        <w:t xml:space="preserve"> </w:t>
      </w:r>
      <w:r>
        <w:rPr>
          <w:sz w:val="20"/>
          <w:szCs w:val="20"/>
        </w:rPr>
        <w:t>– the</w:t>
      </w:r>
      <w:r w:rsidR="005D7775">
        <w:rPr>
          <w:sz w:val="20"/>
          <w:szCs w:val="20"/>
        </w:rPr>
        <w:t xml:space="preserve"> </w:t>
      </w:r>
      <w:r>
        <w:rPr>
          <w:sz w:val="20"/>
          <w:szCs w:val="20"/>
        </w:rPr>
        <w:t>Investment</w:t>
      </w:r>
      <w:r w:rsidR="005D7775">
        <w:rPr>
          <w:sz w:val="20"/>
          <w:szCs w:val="20"/>
        </w:rPr>
        <w:t xml:space="preserve"> </w:t>
      </w:r>
      <w:r>
        <w:rPr>
          <w:sz w:val="20"/>
          <w:szCs w:val="20"/>
        </w:rPr>
        <w:t>Adviser</w:t>
      </w:r>
      <w:r w:rsidR="005D7775">
        <w:rPr>
          <w:sz w:val="20"/>
          <w:szCs w:val="20"/>
        </w:rPr>
        <w:t xml:space="preserve"> </w:t>
      </w:r>
      <w:r>
        <w:rPr>
          <w:sz w:val="20"/>
          <w:szCs w:val="20"/>
        </w:rPr>
        <w:t>does</w:t>
      </w:r>
      <w:r w:rsidR="005D7775">
        <w:rPr>
          <w:sz w:val="20"/>
          <w:szCs w:val="20"/>
        </w:rPr>
        <w:t xml:space="preserve"> </w:t>
      </w:r>
      <w:r>
        <w:rPr>
          <w:sz w:val="20"/>
          <w:szCs w:val="20"/>
        </w:rPr>
        <w:t>not</w:t>
      </w:r>
      <w:r w:rsidR="005D7775">
        <w:rPr>
          <w:sz w:val="20"/>
          <w:szCs w:val="20"/>
        </w:rPr>
        <w:t xml:space="preserve"> </w:t>
      </w:r>
      <w:r>
        <w:rPr>
          <w:sz w:val="20"/>
          <w:szCs w:val="20"/>
        </w:rPr>
        <w:t>take</w:t>
      </w:r>
      <w:r w:rsidR="005D7775">
        <w:rPr>
          <w:sz w:val="20"/>
          <w:szCs w:val="20"/>
        </w:rPr>
        <w:t xml:space="preserve"> </w:t>
      </w:r>
      <w:r>
        <w:rPr>
          <w:sz w:val="20"/>
          <w:szCs w:val="20"/>
        </w:rPr>
        <w:t>account</w:t>
      </w:r>
      <w:r w:rsidR="005D7775">
        <w:rPr>
          <w:sz w:val="20"/>
          <w:szCs w:val="20"/>
        </w:rPr>
        <w:t xml:space="preserve"> </w:t>
      </w:r>
      <w:r>
        <w:rPr>
          <w:sz w:val="20"/>
          <w:szCs w:val="20"/>
        </w:rPr>
        <w:t>of</w:t>
      </w:r>
      <w:r w:rsidR="005D7775">
        <w:rPr>
          <w:sz w:val="20"/>
          <w:szCs w:val="20"/>
        </w:rPr>
        <w:t xml:space="preserve"> </w:t>
      </w:r>
      <w:r>
        <w:rPr>
          <w:sz w:val="20"/>
          <w:szCs w:val="20"/>
        </w:rPr>
        <w:t>the</w:t>
      </w:r>
      <w:r w:rsidR="005D7775">
        <w:rPr>
          <w:sz w:val="20"/>
          <w:szCs w:val="20"/>
        </w:rPr>
        <w:t xml:space="preserve"> </w:t>
      </w:r>
      <w:r>
        <w:rPr>
          <w:sz w:val="20"/>
          <w:szCs w:val="20"/>
        </w:rPr>
        <w:t>EU</w:t>
      </w:r>
      <w:r w:rsidR="005D7775">
        <w:rPr>
          <w:sz w:val="20"/>
          <w:szCs w:val="20"/>
        </w:rPr>
        <w:t xml:space="preserve"> </w:t>
      </w:r>
      <w:r>
        <w:rPr>
          <w:sz w:val="20"/>
          <w:szCs w:val="20"/>
        </w:rPr>
        <w:t>Taxonomy</w:t>
      </w:r>
      <w:r w:rsidR="005D7775">
        <w:rPr>
          <w:sz w:val="20"/>
          <w:szCs w:val="20"/>
        </w:rPr>
        <w:t xml:space="preserve"> </w:t>
      </w:r>
      <w:r>
        <w:rPr>
          <w:sz w:val="20"/>
          <w:szCs w:val="20"/>
        </w:rPr>
        <w:t>in</w:t>
      </w:r>
      <w:r w:rsidR="005D7775">
        <w:rPr>
          <w:sz w:val="20"/>
          <w:szCs w:val="20"/>
        </w:rPr>
        <w:t xml:space="preserve"> </w:t>
      </w:r>
      <w:r>
        <w:rPr>
          <w:sz w:val="20"/>
          <w:szCs w:val="20"/>
        </w:rPr>
        <w:t>its</w:t>
      </w:r>
      <w:r w:rsidR="005D7775">
        <w:rPr>
          <w:sz w:val="20"/>
          <w:szCs w:val="20"/>
        </w:rPr>
        <w:t xml:space="preserve"> </w:t>
      </w:r>
      <w:r>
        <w:rPr>
          <w:sz w:val="20"/>
          <w:szCs w:val="20"/>
        </w:rPr>
        <w:t>management</w:t>
      </w:r>
      <w:r w:rsidR="005D7775">
        <w:rPr>
          <w:sz w:val="20"/>
          <w:szCs w:val="20"/>
        </w:rPr>
        <w:t xml:space="preserve"> </w:t>
      </w:r>
      <w:r>
        <w:rPr>
          <w:sz w:val="20"/>
          <w:szCs w:val="20"/>
        </w:rPr>
        <w:t>of</w:t>
      </w:r>
      <w:r w:rsidR="005D7775">
        <w:rPr>
          <w:sz w:val="20"/>
          <w:szCs w:val="20"/>
        </w:rPr>
        <w:t xml:space="preserve"> </w:t>
      </w:r>
      <w:r>
        <w:rPr>
          <w:sz w:val="20"/>
          <w:szCs w:val="20"/>
        </w:rPr>
        <w:t>the</w:t>
      </w:r>
      <w:r w:rsidR="005D7775">
        <w:rPr>
          <w:sz w:val="20"/>
          <w:szCs w:val="20"/>
        </w:rPr>
        <w:t xml:space="preserve"> </w:t>
      </w:r>
      <w:r>
        <w:rPr>
          <w:sz w:val="20"/>
          <w:szCs w:val="20"/>
        </w:rPr>
        <w:t>Fund</w:t>
      </w:r>
      <w:r w:rsidR="005D7775">
        <w:rPr>
          <w:sz w:val="20"/>
          <w:szCs w:val="20"/>
        </w:rPr>
        <w:t xml:space="preserve"> </w:t>
      </w:r>
      <w:r>
        <w:rPr>
          <w:sz w:val="20"/>
          <w:szCs w:val="20"/>
        </w:rPr>
        <w:t>and</w:t>
      </w:r>
      <w:r w:rsidR="005D7775">
        <w:rPr>
          <w:sz w:val="20"/>
          <w:szCs w:val="20"/>
        </w:rPr>
        <w:t xml:space="preserve"> </w:t>
      </w:r>
      <w:r>
        <w:rPr>
          <w:sz w:val="20"/>
          <w:szCs w:val="20"/>
        </w:rPr>
        <w:t>as</w:t>
      </w:r>
      <w:r w:rsidR="005D7775">
        <w:rPr>
          <w:sz w:val="20"/>
          <w:szCs w:val="20"/>
        </w:rPr>
        <w:t xml:space="preserve"> </w:t>
      </w:r>
      <w:r>
        <w:rPr>
          <w:sz w:val="20"/>
          <w:szCs w:val="20"/>
        </w:rPr>
        <w:t>such</w:t>
      </w:r>
      <w:r w:rsidR="005D7775">
        <w:rPr>
          <w:sz w:val="20"/>
          <w:szCs w:val="20"/>
        </w:rPr>
        <w:t xml:space="preserve"> </w:t>
      </w:r>
      <w:r>
        <w:rPr>
          <w:sz w:val="20"/>
          <w:szCs w:val="20"/>
        </w:rPr>
        <w:t>the</w:t>
      </w:r>
      <w:r w:rsidR="005D7775">
        <w:rPr>
          <w:sz w:val="20"/>
          <w:szCs w:val="20"/>
        </w:rPr>
        <w:t xml:space="preserve"> </w:t>
      </w:r>
      <w:r>
        <w:rPr>
          <w:sz w:val="20"/>
          <w:szCs w:val="20"/>
        </w:rPr>
        <w:t>Fund’s</w:t>
      </w:r>
      <w:r w:rsidR="005D7775">
        <w:rPr>
          <w:sz w:val="20"/>
          <w:szCs w:val="20"/>
        </w:rPr>
        <w:t xml:space="preserve"> </w:t>
      </w:r>
      <w:r>
        <w:rPr>
          <w:sz w:val="20"/>
          <w:szCs w:val="20"/>
        </w:rPr>
        <w:t>sustainable</w:t>
      </w:r>
      <w:r w:rsidR="005D7775">
        <w:rPr>
          <w:sz w:val="20"/>
          <w:szCs w:val="20"/>
        </w:rPr>
        <w:t xml:space="preserve"> </w:t>
      </w:r>
      <w:r>
        <w:rPr>
          <w:sz w:val="20"/>
          <w:szCs w:val="20"/>
        </w:rPr>
        <w:t>investments</w:t>
      </w:r>
      <w:r w:rsidR="005D7775">
        <w:rPr>
          <w:sz w:val="20"/>
          <w:szCs w:val="20"/>
        </w:rPr>
        <w:t xml:space="preserve"> </w:t>
      </w:r>
      <w:r>
        <w:rPr>
          <w:sz w:val="20"/>
          <w:szCs w:val="20"/>
        </w:rPr>
        <w:t>do</w:t>
      </w:r>
      <w:r w:rsidR="005D7775">
        <w:rPr>
          <w:sz w:val="20"/>
          <w:szCs w:val="20"/>
        </w:rPr>
        <w:t xml:space="preserve"> </w:t>
      </w:r>
      <w:r>
        <w:rPr>
          <w:sz w:val="20"/>
          <w:szCs w:val="20"/>
        </w:rPr>
        <w:t>not</w:t>
      </w:r>
      <w:r w:rsidR="005D7775">
        <w:rPr>
          <w:sz w:val="20"/>
          <w:szCs w:val="20"/>
        </w:rPr>
        <w:t xml:space="preserve"> </w:t>
      </w:r>
      <w:r>
        <w:rPr>
          <w:sz w:val="20"/>
          <w:szCs w:val="20"/>
        </w:rPr>
        <w:t>take</w:t>
      </w:r>
      <w:r w:rsidR="005D7775">
        <w:rPr>
          <w:sz w:val="20"/>
          <w:szCs w:val="20"/>
        </w:rPr>
        <w:t xml:space="preserve"> </w:t>
      </w:r>
      <w:r>
        <w:rPr>
          <w:sz w:val="20"/>
          <w:szCs w:val="20"/>
        </w:rPr>
        <w:t>into</w:t>
      </w:r>
      <w:r w:rsidR="005D7775">
        <w:rPr>
          <w:sz w:val="20"/>
          <w:szCs w:val="20"/>
        </w:rPr>
        <w:t xml:space="preserve"> </w:t>
      </w:r>
      <w:r>
        <w:rPr>
          <w:sz w:val="20"/>
          <w:szCs w:val="20"/>
        </w:rPr>
        <w:t>account</w:t>
      </w:r>
      <w:r w:rsidR="005D7775">
        <w:rPr>
          <w:sz w:val="20"/>
          <w:szCs w:val="20"/>
        </w:rPr>
        <w:t xml:space="preserve"> </w:t>
      </w:r>
      <w:r>
        <w:rPr>
          <w:sz w:val="20"/>
          <w:szCs w:val="20"/>
        </w:rPr>
        <w:t>the</w:t>
      </w:r>
      <w:r w:rsidR="005D7775">
        <w:rPr>
          <w:sz w:val="20"/>
          <w:szCs w:val="20"/>
        </w:rPr>
        <w:t xml:space="preserve"> </w:t>
      </w:r>
      <w:r>
        <w:rPr>
          <w:sz w:val="20"/>
          <w:szCs w:val="20"/>
        </w:rPr>
        <w:t>criteria</w:t>
      </w:r>
      <w:r w:rsidR="005D7775">
        <w:rPr>
          <w:sz w:val="20"/>
          <w:szCs w:val="20"/>
        </w:rPr>
        <w:t xml:space="preserve"> </w:t>
      </w:r>
      <w:r>
        <w:rPr>
          <w:sz w:val="20"/>
          <w:szCs w:val="20"/>
        </w:rPr>
        <w:t>for</w:t>
      </w:r>
      <w:r w:rsidR="005D7775">
        <w:rPr>
          <w:sz w:val="20"/>
          <w:szCs w:val="20"/>
        </w:rPr>
        <w:t xml:space="preserve"> </w:t>
      </w:r>
      <w:r>
        <w:rPr>
          <w:sz w:val="20"/>
          <w:szCs w:val="20"/>
        </w:rPr>
        <w:t>environmentally</w:t>
      </w:r>
      <w:r w:rsidR="005D7775">
        <w:rPr>
          <w:sz w:val="20"/>
          <w:szCs w:val="20"/>
        </w:rPr>
        <w:t xml:space="preserve"> </w:t>
      </w:r>
      <w:r>
        <w:rPr>
          <w:sz w:val="20"/>
          <w:szCs w:val="20"/>
        </w:rPr>
        <w:t>sustainable</w:t>
      </w:r>
      <w:r w:rsidR="005D7775">
        <w:rPr>
          <w:sz w:val="20"/>
          <w:szCs w:val="20"/>
        </w:rPr>
        <w:t xml:space="preserve"> </w:t>
      </w:r>
      <w:r>
        <w:rPr>
          <w:sz w:val="20"/>
          <w:szCs w:val="20"/>
        </w:rPr>
        <w:t>economic</w:t>
      </w:r>
      <w:r w:rsidR="005D7775">
        <w:rPr>
          <w:sz w:val="20"/>
          <w:szCs w:val="20"/>
        </w:rPr>
        <w:t xml:space="preserve"> </w:t>
      </w:r>
      <w:r>
        <w:rPr>
          <w:sz w:val="20"/>
          <w:szCs w:val="20"/>
        </w:rPr>
        <w:t>activities</w:t>
      </w:r>
      <w:r w:rsidR="005D7775">
        <w:rPr>
          <w:sz w:val="20"/>
          <w:szCs w:val="20"/>
        </w:rPr>
        <w:t xml:space="preserve"> </w:t>
      </w:r>
      <w:r>
        <w:rPr>
          <w:sz w:val="20"/>
          <w:szCs w:val="20"/>
        </w:rPr>
        <w:t>under</w:t>
      </w:r>
      <w:r w:rsidR="005D7775">
        <w:rPr>
          <w:sz w:val="20"/>
          <w:szCs w:val="20"/>
        </w:rPr>
        <w:t xml:space="preserve"> </w:t>
      </w:r>
      <w:r>
        <w:rPr>
          <w:sz w:val="20"/>
          <w:szCs w:val="20"/>
        </w:rPr>
        <w:t>the</w:t>
      </w:r>
      <w:r w:rsidR="005D7775">
        <w:rPr>
          <w:sz w:val="20"/>
          <w:szCs w:val="20"/>
        </w:rPr>
        <w:t xml:space="preserve"> </w:t>
      </w:r>
      <w:r>
        <w:rPr>
          <w:sz w:val="20"/>
          <w:szCs w:val="20"/>
        </w:rPr>
        <w:t>EU</w:t>
      </w:r>
      <w:r w:rsidR="005D7775">
        <w:rPr>
          <w:sz w:val="20"/>
          <w:szCs w:val="20"/>
        </w:rPr>
        <w:t xml:space="preserve"> </w:t>
      </w:r>
      <w:r>
        <w:rPr>
          <w:sz w:val="20"/>
          <w:szCs w:val="20"/>
        </w:rPr>
        <w:t>Taxonomy.</w:t>
      </w:r>
      <w:r w:rsidR="005D7775">
        <w:rPr>
          <w:sz w:val="20"/>
          <w:szCs w:val="20"/>
        </w:rPr>
        <w:t xml:space="preserve"> </w:t>
      </w:r>
    </w:p>
    <w:p w14:paraId="75B630E4" w14:textId="77777777" w:rsidR="002A1954" w:rsidRDefault="002A1954" w:rsidP="003E18C4">
      <w:pPr>
        <w:pStyle w:val="Default"/>
        <w:ind w:left="720"/>
        <w:rPr>
          <w:sz w:val="20"/>
          <w:szCs w:val="20"/>
        </w:rPr>
      </w:pPr>
    </w:p>
    <w:p w14:paraId="3A0AA463" w14:textId="77777777" w:rsidR="002A1954" w:rsidRDefault="002A1954" w:rsidP="003E18C4">
      <w:pPr>
        <w:pStyle w:val="Default"/>
        <w:ind w:left="1080"/>
        <w:rPr>
          <w:sz w:val="23"/>
          <w:szCs w:val="23"/>
        </w:rPr>
      </w:pPr>
      <w:r>
        <w:rPr>
          <w:b/>
          <w:bCs/>
          <w:sz w:val="23"/>
          <w:szCs w:val="23"/>
        </w:rPr>
        <w:t xml:space="preserve">What is the minimum share of sustainable investments with an environmental objective that are not aligned with the EU Taxonomy? </w:t>
      </w:r>
    </w:p>
    <w:p w14:paraId="729B6943" w14:textId="056EB5D7" w:rsidR="002A1954" w:rsidRDefault="002A1954" w:rsidP="003E18C4">
      <w:pPr>
        <w:pStyle w:val="Default"/>
        <w:ind w:left="1080"/>
        <w:rPr>
          <w:sz w:val="20"/>
          <w:szCs w:val="20"/>
        </w:rPr>
      </w:pPr>
      <w:r>
        <w:rPr>
          <w:sz w:val="20"/>
          <w:szCs w:val="20"/>
        </w:rPr>
        <w:t>A</w:t>
      </w:r>
      <w:r w:rsidR="005D7775">
        <w:rPr>
          <w:sz w:val="20"/>
          <w:szCs w:val="20"/>
        </w:rPr>
        <w:t xml:space="preserve"> </w:t>
      </w:r>
      <w:r>
        <w:rPr>
          <w:sz w:val="20"/>
          <w:szCs w:val="20"/>
        </w:rPr>
        <w:t>minimum</w:t>
      </w:r>
      <w:r w:rsidR="005D7775">
        <w:rPr>
          <w:sz w:val="20"/>
          <w:szCs w:val="20"/>
        </w:rPr>
        <w:t xml:space="preserve"> </w:t>
      </w:r>
      <w:r>
        <w:rPr>
          <w:sz w:val="20"/>
          <w:szCs w:val="20"/>
        </w:rPr>
        <w:t>of</w:t>
      </w:r>
      <w:r w:rsidR="005D7775">
        <w:rPr>
          <w:sz w:val="20"/>
          <w:szCs w:val="20"/>
        </w:rPr>
        <w:t xml:space="preserve"> </w:t>
      </w:r>
      <w:r>
        <w:rPr>
          <w:sz w:val="20"/>
          <w:szCs w:val="20"/>
        </w:rPr>
        <w:t>10%</w:t>
      </w:r>
      <w:r w:rsidR="005D7775">
        <w:rPr>
          <w:sz w:val="20"/>
          <w:szCs w:val="20"/>
        </w:rPr>
        <w:t xml:space="preserve"> </w:t>
      </w:r>
      <w:r>
        <w:rPr>
          <w:sz w:val="20"/>
          <w:szCs w:val="20"/>
        </w:rPr>
        <w:t>of</w:t>
      </w:r>
      <w:r w:rsidR="005D7775">
        <w:rPr>
          <w:sz w:val="20"/>
          <w:szCs w:val="20"/>
        </w:rPr>
        <w:t xml:space="preserve"> </w:t>
      </w:r>
      <w:r>
        <w:rPr>
          <w:sz w:val="20"/>
          <w:szCs w:val="20"/>
        </w:rPr>
        <w:t>the</w:t>
      </w:r>
      <w:r w:rsidR="005D7775">
        <w:rPr>
          <w:sz w:val="20"/>
          <w:szCs w:val="20"/>
        </w:rPr>
        <w:t xml:space="preserve"> </w:t>
      </w:r>
      <w:r>
        <w:rPr>
          <w:sz w:val="20"/>
          <w:szCs w:val="20"/>
        </w:rPr>
        <w:t>Fund’s</w:t>
      </w:r>
      <w:r w:rsidR="005D7775">
        <w:rPr>
          <w:sz w:val="20"/>
          <w:szCs w:val="20"/>
        </w:rPr>
        <w:t xml:space="preserve"> </w:t>
      </w:r>
      <w:r>
        <w:rPr>
          <w:sz w:val="20"/>
          <w:szCs w:val="20"/>
        </w:rPr>
        <w:t>assets</w:t>
      </w:r>
      <w:r w:rsidR="005D7775">
        <w:rPr>
          <w:sz w:val="20"/>
          <w:szCs w:val="20"/>
        </w:rPr>
        <w:t xml:space="preserve"> </w:t>
      </w:r>
      <w:r>
        <w:rPr>
          <w:sz w:val="20"/>
          <w:szCs w:val="20"/>
        </w:rPr>
        <w:t>are</w:t>
      </w:r>
      <w:r w:rsidR="005D7775">
        <w:rPr>
          <w:sz w:val="20"/>
          <w:szCs w:val="20"/>
        </w:rPr>
        <w:t xml:space="preserve"> </w:t>
      </w:r>
      <w:r>
        <w:rPr>
          <w:sz w:val="20"/>
          <w:szCs w:val="20"/>
        </w:rPr>
        <w:t>expected</w:t>
      </w:r>
      <w:r w:rsidR="005D7775">
        <w:rPr>
          <w:sz w:val="20"/>
          <w:szCs w:val="20"/>
        </w:rPr>
        <w:t xml:space="preserve"> </w:t>
      </w:r>
      <w:r>
        <w:rPr>
          <w:sz w:val="20"/>
          <w:szCs w:val="20"/>
        </w:rPr>
        <w:t>to</w:t>
      </w:r>
      <w:r w:rsidR="005D7775">
        <w:rPr>
          <w:sz w:val="20"/>
          <w:szCs w:val="20"/>
        </w:rPr>
        <w:t xml:space="preserve"> </w:t>
      </w:r>
      <w:r>
        <w:rPr>
          <w:sz w:val="20"/>
          <w:szCs w:val="20"/>
        </w:rPr>
        <w:t>be</w:t>
      </w:r>
      <w:r w:rsidR="005D7775">
        <w:rPr>
          <w:sz w:val="20"/>
          <w:szCs w:val="20"/>
        </w:rPr>
        <w:t xml:space="preserve"> </w:t>
      </w:r>
      <w:r>
        <w:rPr>
          <w:sz w:val="20"/>
          <w:szCs w:val="20"/>
        </w:rPr>
        <w:t>classified</w:t>
      </w:r>
      <w:r w:rsidR="005D7775">
        <w:rPr>
          <w:sz w:val="20"/>
          <w:szCs w:val="20"/>
        </w:rPr>
        <w:t xml:space="preserve"> </w:t>
      </w:r>
      <w:r>
        <w:rPr>
          <w:sz w:val="20"/>
          <w:szCs w:val="20"/>
        </w:rPr>
        <w:t>as</w:t>
      </w:r>
      <w:r w:rsidR="005D7775">
        <w:rPr>
          <w:sz w:val="20"/>
          <w:szCs w:val="20"/>
        </w:rPr>
        <w:t xml:space="preserve"> </w:t>
      </w:r>
      <w:r>
        <w:rPr>
          <w:sz w:val="20"/>
          <w:szCs w:val="20"/>
        </w:rPr>
        <w:t>sustainable</w:t>
      </w:r>
      <w:r w:rsidR="005D7775">
        <w:rPr>
          <w:sz w:val="20"/>
          <w:szCs w:val="20"/>
        </w:rPr>
        <w:t xml:space="preserve"> </w:t>
      </w:r>
      <w:r>
        <w:rPr>
          <w:sz w:val="20"/>
          <w:szCs w:val="20"/>
        </w:rPr>
        <w:t>investments,</w:t>
      </w:r>
      <w:r w:rsidR="005D7775">
        <w:rPr>
          <w:sz w:val="20"/>
          <w:szCs w:val="20"/>
        </w:rPr>
        <w:t xml:space="preserve"> </w:t>
      </w:r>
      <w:r>
        <w:rPr>
          <w:sz w:val="20"/>
          <w:szCs w:val="20"/>
        </w:rPr>
        <w:t>as</w:t>
      </w:r>
      <w:r w:rsidR="005D7775">
        <w:rPr>
          <w:sz w:val="20"/>
          <w:szCs w:val="20"/>
        </w:rPr>
        <w:t xml:space="preserve"> </w:t>
      </w:r>
      <w:r>
        <w:rPr>
          <w:sz w:val="20"/>
          <w:szCs w:val="20"/>
        </w:rPr>
        <w:t>defined</w:t>
      </w:r>
      <w:r w:rsidR="005D7775">
        <w:rPr>
          <w:sz w:val="20"/>
          <w:szCs w:val="20"/>
        </w:rPr>
        <w:t xml:space="preserve"> </w:t>
      </w:r>
      <w:r>
        <w:rPr>
          <w:sz w:val="20"/>
          <w:szCs w:val="20"/>
        </w:rPr>
        <w:t>under</w:t>
      </w:r>
      <w:r w:rsidR="005D7775">
        <w:rPr>
          <w:sz w:val="20"/>
          <w:szCs w:val="20"/>
        </w:rPr>
        <w:t xml:space="preserve"> </w:t>
      </w:r>
      <w:r>
        <w:rPr>
          <w:sz w:val="20"/>
          <w:szCs w:val="20"/>
        </w:rPr>
        <w:t>the</w:t>
      </w:r>
      <w:r w:rsidR="005D7775">
        <w:rPr>
          <w:sz w:val="20"/>
          <w:szCs w:val="20"/>
        </w:rPr>
        <w:t xml:space="preserve"> </w:t>
      </w:r>
      <w:r>
        <w:rPr>
          <w:sz w:val="20"/>
          <w:szCs w:val="20"/>
        </w:rPr>
        <w:t>SFDR.</w:t>
      </w:r>
      <w:r w:rsidR="005D7775">
        <w:rPr>
          <w:sz w:val="20"/>
          <w:szCs w:val="20"/>
        </w:rPr>
        <w:t xml:space="preserve"> </w:t>
      </w:r>
      <w:r>
        <w:rPr>
          <w:sz w:val="20"/>
          <w:szCs w:val="20"/>
        </w:rPr>
        <w:t>Among</w:t>
      </w:r>
      <w:r w:rsidR="005D7775">
        <w:rPr>
          <w:sz w:val="20"/>
          <w:szCs w:val="20"/>
        </w:rPr>
        <w:t xml:space="preserve"> </w:t>
      </w:r>
      <w:r>
        <w:rPr>
          <w:sz w:val="20"/>
          <w:szCs w:val="20"/>
        </w:rPr>
        <w:t>these,</w:t>
      </w:r>
      <w:r w:rsidR="005D7775">
        <w:rPr>
          <w:sz w:val="20"/>
          <w:szCs w:val="20"/>
        </w:rPr>
        <w:t xml:space="preserve"> </w:t>
      </w:r>
      <w:r>
        <w:rPr>
          <w:sz w:val="20"/>
          <w:szCs w:val="20"/>
        </w:rPr>
        <w:t>the</w:t>
      </w:r>
      <w:r w:rsidR="005D7775">
        <w:rPr>
          <w:sz w:val="20"/>
          <w:szCs w:val="20"/>
        </w:rPr>
        <w:t xml:space="preserve"> </w:t>
      </w:r>
      <w:r>
        <w:rPr>
          <w:sz w:val="20"/>
          <w:szCs w:val="20"/>
        </w:rPr>
        <w:t>Fund</w:t>
      </w:r>
      <w:r w:rsidR="005D7775">
        <w:rPr>
          <w:sz w:val="20"/>
          <w:szCs w:val="20"/>
        </w:rPr>
        <w:t xml:space="preserve"> </w:t>
      </w:r>
      <w:r>
        <w:rPr>
          <w:sz w:val="20"/>
          <w:szCs w:val="20"/>
        </w:rPr>
        <w:t>expects</w:t>
      </w:r>
      <w:r w:rsidR="005D7775">
        <w:rPr>
          <w:sz w:val="20"/>
          <w:szCs w:val="20"/>
        </w:rPr>
        <w:t xml:space="preserve"> </w:t>
      </w:r>
      <w:r>
        <w:rPr>
          <w:sz w:val="20"/>
          <w:szCs w:val="20"/>
        </w:rPr>
        <w:t>a</w:t>
      </w:r>
      <w:r w:rsidR="005D7775">
        <w:rPr>
          <w:sz w:val="20"/>
          <w:szCs w:val="20"/>
        </w:rPr>
        <w:t xml:space="preserve"> </w:t>
      </w:r>
      <w:r>
        <w:rPr>
          <w:sz w:val="20"/>
          <w:szCs w:val="20"/>
        </w:rPr>
        <w:t>minimum</w:t>
      </w:r>
      <w:r w:rsidR="005D7775">
        <w:rPr>
          <w:sz w:val="20"/>
          <w:szCs w:val="20"/>
        </w:rPr>
        <w:t xml:space="preserve"> </w:t>
      </w:r>
      <w:r>
        <w:rPr>
          <w:sz w:val="20"/>
          <w:szCs w:val="20"/>
        </w:rPr>
        <w:t>of</w:t>
      </w:r>
      <w:r w:rsidR="005D7775">
        <w:rPr>
          <w:sz w:val="20"/>
          <w:szCs w:val="20"/>
        </w:rPr>
        <w:t xml:space="preserve"> </w:t>
      </w:r>
      <w:r>
        <w:rPr>
          <w:sz w:val="20"/>
          <w:szCs w:val="20"/>
        </w:rPr>
        <w:t>1%</w:t>
      </w:r>
      <w:r w:rsidR="005D7775">
        <w:rPr>
          <w:sz w:val="20"/>
          <w:szCs w:val="20"/>
        </w:rPr>
        <w:t xml:space="preserve"> </w:t>
      </w:r>
      <w:r>
        <w:rPr>
          <w:sz w:val="20"/>
          <w:szCs w:val="20"/>
        </w:rPr>
        <w:t>of</w:t>
      </w:r>
      <w:r w:rsidR="005D7775">
        <w:rPr>
          <w:sz w:val="20"/>
          <w:szCs w:val="20"/>
        </w:rPr>
        <w:t xml:space="preserve"> </w:t>
      </w:r>
      <w:r>
        <w:rPr>
          <w:sz w:val="20"/>
          <w:szCs w:val="20"/>
        </w:rPr>
        <w:t>its</w:t>
      </w:r>
      <w:r w:rsidR="005D7775">
        <w:rPr>
          <w:sz w:val="20"/>
          <w:szCs w:val="20"/>
        </w:rPr>
        <w:t xml:space="preserve"> </w:t>
      </w:r>
      <w:r>
        <w:rPr>
          <w:sz w:val="20"/>
          <w:szCs w:val="20"/>
        </w:rPr>
        <w:t>assets</w:t>
      </w:r>
      <w:r w:rsidR="005D7775">
        <w:rPr>
          <w:sz w:val="20"/>
          <w:szCs w:val="20"/>
        </w:rPr>
        <w:t xml:space="preserve"> </w:t>
      </w:r>
      <w:r>
        <w:rPr>
          <w:sz w:val="20"/>
          <w:szCs w:val="20"/>
        </w:rPr>
        <w:t>to</w:t>
      </w:r>
      <w:r w:rsidR="005D7775">
        <w:rPr>
          <w:sz w:val="20"/>
          <w:szCs w:val="20"/>
        </w:rPr>
        <w:t xml:space="preserve"> </w:t>
      </w:r>
      <w:r>
        <w:rPr>
          <w:sz w:val="20"/>
          <w:szCs w:val="20"/>
        </w:rPr>
        <w:t>be</w:t>
      </w:r>
      <w:r w:rsidR="005D7775">
        <w:rPr>
          <w:sz w:val="20"/>
          <w:szCs w:val="20"/>
        </w:rPr>
        <w:t xml:space="preserve"> </w:t>
      </w:r>
      <w:r>
        <w:rPr>
          <w:sz w:val="20"/>
          <w:szCs w:val="20"/>
        </w:rPr>
        <w:t>classified</w:t>
      </w:r>
      <w:r w:rsidR="005D7775">
        <w:rPr>
          <w:sz w:val="20"/>
          <w:szCs w:val="20"/>
        </w:rPr>
        <w:t xml:space="preserve"> </w:t>
      </w:r>
      <w:r>
        <w:rPr>
          <w:sz w:val="20"/>
          <w:szCs w:val="20"/>
        </w:rPr>
        <w:t>as</w:t>
      </w:r>
      <w:r w:rsidR="005D7775">
        <w:rPr>
          <w:sz w:val="20"/>
          <w:szCs w:val="20"/>
        </w:rPr>
        <w:t xml:space="preserve"> </w:t>
      </w:r>
      <w:r>
        <w:rPr>
          <w:sz w:val="20"/>
          <w:szCs w:val="20"/>
        </w:rPr>
        <w:t>sustainable</w:t>
      </w:r>
      <w:r w:rsidR="005D7775">
        <w:rPr>
          <w:sz w:val="20"/>
          <w:szCs w:val="20"/>
        </w:rPr>
        <w:t xml:space="preserve"> </w:t>
      </w:r>
      <w:r>
        <w:rPr>
          <w:sz w:val="20"/>
          <w:szCs w:val="20"/>
        </w:rPr>
        <w:t>investments</w:t>
      </w:r>
      <w:r w:rsidR="005D7775">
        <w:rPr>
          <w:sz w:val="20"/>
          <w:szCs w:val="20"/>
        </w:rPr>
        <w:t xml:space="preserve"> </w:t>
      </w:r>
      <w:r>
        <w:rPr>
          <w:sz w:val="20"/>
          <w:szCs w:val="20"/>
        </w:rPr>
        <w:t>with</w:t>
      </w:r>
      <w:r w:rsidR="005D7775">
        <w:rPr>
          <w:sz w:val="20"/>
          <w:szCs w:val="20"/>
        </w:rPr>
        <w:t xml:space="preserve"> </w:t>
      </w:r>
      <w:r>
        <w:rPr>
          <w:sz w:val="20"/>
          <w:szCs w:val="20"/>
        </w:rPr>
        <w:t>an</w:t>
      </w:r>
      <w:r w:rsidR="005D7775">
        <w:rPr>
          <w:sz w:val="20"/>
          <w:szCs w:val="20"/>
        </w:rPr>
        <w:t xml:space="preserve"> </w:t>
      </w:r>
      <w:r>
        <w:rPr>
          <w:sz w:val="20"/>
          <w:szCs w:val="20"/>
        </w:rPr>
        <w:t>environmental</w:t>
      </w:r>
      <w:r w:rsidR="005D7775">
        <w:rPr>
          <w:sz w:val="20"/>
          <w:szCs w:val="20"/>
        </w:rPr>
        <w:t xml:space="preserve"> </w:t>
      </w:r>
      <w:r>
        <w:rPr>
          <w:sz w:val="20"/>
          <w:szCs w:val="20"/>
        </w:rPr>
        <w:t>objective</w:t>
      </w:r>
      <w:r w:rsidR="005D7775">
        <w:rPr>
          <w:sz w:val="20"/>
          <w:szCs w:val="20"/>
        </w:rPr>
        <w:t xml:space="preserve"> </w:t>
      </w:r>
      <w:r>
        <w:rPr>
          <w:sz w:val="20"/>
          <w:szCs w:val="20"/>
        </w:rPr>
        <w:t>and</w:t>
      </w:r>
      <w:r w:rsidR="005D7775">
        <w:rPr>
          <w:sz w:val="20"/>
          <w:szCs w:val="20"/>
        </w:rPr>
        <w:t xml:space="preserve"> </w:t>
      </w:r>
      <w:r>
        <w:rPr>
          <w:sz w:val="20"/>
          <w:szCs w:val="20"/>
        </w:rPr>
        <w:t>1%</w:t>
      </w:r>
      <w:r w:rsidR="005D7775">
        <w:rPr>
          <w:sz w:val="20"/>
          <w:szCs w:val="20"/>
        </w:rPr>
        <w:t xml:space="preserve"> </w:t>
      </w:r>
      <w:r>
        <w:rPr>
          <w:sz w:val="20"/>
          <w:szCs w:val="20"/>
        </w:rPr>
        <w:t>as</w:t>
      </w:r>
      <w:r w:rsidR="005D7775">
        <w:rPr>
          <w:sz w:val="20"/>
          <w:szCs w:val="20"/>
        </w:rPr>
        <w:t xml:space="preserve"> </w:t>
      </w:r>
      <w:r>
        <w:rPr>
          <w:sz w:val="20"/>
          <w:szCs w:val="20"/>
        </w:rPr>
        <w:t>sustainable</w:t>
      </w:r>
      <w:r w:rsidR="005D7775">
        <w:rPr>
          <w:sz w:val="20"/>
          <w:szCs w:val="20"/>
        </w:rPr>
        <w:t xml:space="preserve"> </w:t>
      </w:r>
      <w:r>
        <w:rPr>
          <w:sz w:val="20"/>
          <w:szCs w:val="20"/>
        </w:rPr>
        <w:t>investments</w:t>
      </w:r>
      <w:r w:rsidR="005D7775">
        <w:rPr>
          <w:sz w:val="20"/>
          <w:szCs w:val="20"/>
        </w:rPr>
        <w:t xml:space="preserve"> </w:t>
      </w:r>
      <w:r>
        <w:rPr>
          <w:sz w:val="20"/>
          <w:szCs w:val="20"/>
        </w:rPr>
        <w:t>with</w:t>
      </w:r>
      <w:r w:rsidR="005D7775">
        <w:rPr>
          <w:sz w:val="20"/>
          <w:szCs w:val="20"/>
        </w:rPr>
        <w:t xml:space="preserve"> </w:t>
      </w:r>
      <w:r>
        <w:rPr>
          <w:sz w:val="20"/>
          <w:szCs w:val="20"/>
        </w:rPr>
        <w:t>a</w:t>
      </w:r>
      <w:r w:rsidR="005D7775">
        <w:rPr>
          <w:sz w:val="20"/>
          <w:szCs w:val="20"/>
        </w:rPr>
        <w:t xml:space="preserve"> </w:t>
      </w:r>
      <w:r>
        <w:rPr>
          <w:sz w:val="20"/>
          <w:szCs w:val="20"/>
        </w:rPr>
        <w:t>social</w:t>
      </w:r>
      <w:r w:rsidR="005D7775">
        <w:rPr>
          <w:sz w:val="20"/>
          <w:szCs w:val="20"/>
        </w:rPr>
        <w:t xml:space="preserve"> </w:t>
      </w:r>
      <w:r>
        <w:rPr>
          <w:sz w:val="20"/>
          <w:szCs w:val="20"/>
        </w:rPr>
        <w:t>objective</w:t>
      </w:r>
      <w:r w:rsidR="005D7775">
        <w:rPr>
          <w:sz w:val="20"/>
          <w:szCs w:val="20"/>
        </w:rPr>
        <w:t xml:space="preserve"> </w:t>
      </w:r>
      <w:r>
        <w:rPr>
          <w:sz w:val="20"/>
          <w:szCs w:val="20"/>
        </w:rPr>
        <w:t>which</w:t>
      </w:r>
      <w:r w:rsidR="005D7775">
        <w:rPr>
          <w:sz w:val="20"/>
          <w:szCs w:val="20"/>
        </w:rPr>
        <w:t xml:space="preserve"> </w:t>
      </w:r>
      <w:r>
        <w:rPr>
          <w:sz w:val="20"/>
          <w:szCs w:val="20"/>
        </w:rPr>
        <w:t>can</w:t>
      </w:r>
      <w:r w:rsidR="005D7775">
        <w:rPr>
          <w:sz w:val="20"/>
          <w:szCs w:val="20"/>
        </w:rPr>
        <w:t xml:space="preserve"> </w:t>
      </w:r>
      <w:r>
        <w:rPr>
          <w:sz w:val="20"/>
          <w:szCs w:val="20"/>
        </w:rPr>
        <w:t>both</w:t>
      </w:r>
      <w:r w:rsidR="005D7775">
        <w:rPr>
          <w:sz w:val="20"/>
          <w:szCs w:val="20"/>
        </w:rPr>
        <w:t xml:space="preserve"> </w:t>
      </w:r>
      <w:r>
        <w:rPr>
          <w:sz w:val="20"/>
          <w:szCs w:val="20"/>
        </w:rPr>
        <w:t>vary</w:t>
      </w:r>
      <w:r w:rsidR="005D7775">
        <w:rPr>
          <w:sz w:val="20"/>
          <w:szCs w:val="20"/>
        </w:rPr>
        <w:t xml:space="preserve"> </w:t>
      </w:r>
      <w:r>
        <w:rPr>
          <w:sz w:val="20"/>
          <w:szCs w:val="20"/>
        </w:rPr>
        <w:t>independently</w:t>
      </w:r>
      <w:r w:rsidR="005D7775">
        <w:rPr>
          <w:sz w:val="20"/>
          <w:szCs w:val="20"/>
        </w:rPr>
        <w:t xml:space="preserve"> </w:t>
      </w:r>
      <w:r>
        <w:rPr>
          <w:sz w:val="20"/>
          <w:szCs w:val="20"/>
        </w:rPr>
        <w:t>at</w:t>
      </w:r>
      <w:r w:rsidR="005D7775">
        <w:rPr>
          <w:sz w:val="20"/>
          <w:szCs w:val="20"/>
        </w:rPr>
        <w:t xml:space="preserve"> </w:t>
      </w:r>
      <w:r>
        <w:rPr>
          <w:sz w:val="20"/>
          <w:szCs w:val="20"/>
        </w:rPr>
        <w:t>any</w:t>
      </w:r>
      <w:r w:rsidR="005D7775">
        <w:rPr>
          <w:sz w:val="20"/>
          <w:szCs w:val="20"/>
        </w:rPr>
        <w:t xml:space="preserve"> </w:t>
      </w:r>
      <w:r>
        <w:rPr>
          <w:sz w:val="20"/>
          <w:szCs w:val="20"/>
        </w:rPr>
        <w:t>time.</w:t>
      </w:r>
      <w:r w:rsidR="005D7775">
        <w:rPr>
          <w:sz w:val="20"/>
          <w:szCs w:val="20"/>
        </w:rPr>
        <w:t xml:space="preserve"> </w:t>
      </w:r>
    </w:p>
    <w:p w14:paraId="49876113" w14:textId="77777777" w:rsidR="002A1954" w:rsidRDefault="002A1954" w:rsidP="003E18C4">
      <w:pPr>
        <w:pStyle w:val="Default"/>
        <w:ind w:left="720"/>
        <w:rPr>
          <w:sz w:val="20"/>
          <w:szCs w:val="20"/>
        </w:rPr>
      </w:pPr>
    </w:p>
    <w:p w14:paraId="0E7DF121" w14:textId="77777777" w:rsidR="002A1954" w:rsidRDefault="002A1954" w:rsidP="003E18C4">
      <w:pPr>
        <w:pStyle w:val="Default"/>
        <w:ind w:left="1080"/>
        <w:rPr>
          <w:sz w:val="23"/>
          <w:szCs w:val="23"/>
        </w:rPr>
      </w:pPr>
      <w:r>
        <w:rPr>
          <w:b/>
          <w:bCs/>
          <w:sz w:val="23"/>
          <w:szCs w:val="23"/>
        </w:rPr>
        <w:t xml:space="preserve">What is the minimum share of socially sustainable investments? </w:t>
      </w:r>
    </w:p>
    <w:p w14:paraId="50DDC172" w14:textId="683447E8" w:rsidR="002A1954" w:rsidRDefault="002A1954" w:rsidP="003E18C4">
      <w:pPr>
        <w:pStyle w:val="Default"/>
        <w:ind w:left="1080"/>
        <w:rPr>
          <w:sz w:val="20"/>
          <w:szCs w:val="20"/>
        </w:rPr>
      </w:pPr>
      <w:r>
        <w:rPr>
          <w:sz w:val="20"/>
          <w:szCs w:val="20"/>
        </w:rPr>
        <w:t>As noted above, a minimum of 10% of Fund assets are expected to be classified as sustainable investments. Among these, the Fund expects a</w:t>
      </w:r>
      <w:r w:rsidR="00F675FE">
        <w:rPr>
          <w:sz w:val="20"/>
          <w:szCs w:val="20"/>
        </w:rPr>
        <w:t xml:space="preserve">t least </w:t>
      </w:r>
      <w:r>
        <w:rPr>
          <w:sz w:val="20"/>
          <w:szCs w:val="20"/>
        </w:rPr>
        <w:t>1% of its assets to be classified as sustainable investments with an environmental objective and 1% as sustainable investments with a social objective</w:t>
      </w:r>
      <w:r w:rsidR="00F675FE">
        <w:rPr>
          <w:sz w:val="20"/>
          <w:szCs w:val="20"/>
        </w:rPr>
        <w:t>, both of</w:t>
      </w:r>
      <w:r>
        <w:rPr>
          <w:sz w:val="20"/>
          <w:szCs w:val="20"/>
        </w:rPr>
        <w:t xml:space="preserve"> which can vary independently at any time. </w:t>
      </w:r>
    </w:p>
    <w:p w14:paraId="4E156524" w14:textId="77777777" w:rsidR="002A1954" w:rsidRDefault="002A1954" w:rsidP="003E18C4">
      <w:pPr>
        <w:pStyle w:val="Default"/>
        <w:ind w:left="1080"/>
        <w:rPr>
          <w:sz w:val="23"/>
          <w:szCs w:val="23"/>
        </w:rPr>
      </w:pPr>
      <w:r>
        <w:rPr>
          <w:b/>
          <w:bCs/>
          <w:sz w:val="23"/>
          <w:szCs w:val="23"/>
        </w:rPr>
        <w:t xml:space="preserve">What investments are included under “#2 Other”, what is their purpose and are there any minimum environmental or social safeguards? </w:t>
      </w:r>
    </w:p>
    <w:p w14:paraId="25D5FCCF" w14:textId="164761EA" w:rsidR="002A1954" w:rsidRDefault="002A1954" w:rsidP="003E18C4">
      <w:pPr>
        <w:pStyle w:val="Default"/>
        <w:ind w:left="1080"/>
        <w:rPr>
          <w:sz w:val="20"/>
          <w:szCs w:val="20"/>
        </w:rPr>
      </w:pPr>
      <w:r>
        <w:rPr>
          <w:sz w:val="20"/>
          <w:szCs w:val="20"/>
        </w:rPr>
        <w:t>This Fund holds cash and money market instruments for ancillary liquidity. These are included in the “#2 Other” category. No minimum environmental or social safeguards appl</w:t>
      </w:r>
      <w:r w:rsidR="00F675FE">
        <w:rPr>
          <w:sz w:val="20"/>
          <w:szCs w:val="20"/>
        </w:rPr>
        <w:t>y</w:t>
      </w:r>
      <w:r>
        <w:rPr>
          <w:sz w:val="20"/>
          <w:szCs w:val="20"/>
        </w:rPr>
        <w:t xml:space="preserve"> to such investments. </w:t>
      </w:r>
    </w:p>
    <w:p w14:paraId="1D5045CD" w14:textId="77777777" w:rsidR="002A1954" w:rsidRDefault="002A1954" w:rsidP="003E18C4">
      <w:pPr>
        <w:pStyle w:val="Default"/>
        <w:ind w:left="1080"/>
        <w:rPr>
          <w:sz w:val="23"/>
          <w:szCs w:val="23"/>
        </w:rPr>
      </w:pPr>
      <w:r>
        <w:rPr>
          <w:b/>
          <w:bCs/>
          <w:sz w:val="23"/>
          <w:szCs w:val="23"/>
        </w:rPr>
        <w:t xml:space="preserve">Is a specific index designated as a reference benchmark to determine whether this financial product is aligned with the environmental and/or social characteristics that it promotes? </w:t>
      </w:r>
    </w:p>
    <w:p w14:paraId="36254002" w14:textId="2B929095" w:rsidR="002A1954" w:rsidRDefault="002A1954" w:rsidP="003E18C4">
      <w:pPr>
        <w:pStyle w:val="Default"/>
        <w:ind w:left="1080"/>
        <w:rPr>
          <w:sz w:val="20"/>
          <w:szCs w:val="20"/>
        </w:rPr>
      </w:pPr>
      <w:r>
        <w:rPr>
          <w:sz w:val="20"/>
          <w:szCs w:val="20"/>
        </w:rPr>
        <w:t>Not applicable</w:t>
      </w:r>
    </w:p>
    <w:p w14:paraId="397320C9" w14:textId="77777777" w:rsidR="00A15DB1" w:rsidRDefault="00A15DB1" w:rsidP="00BD5AB6">
      <w:pPr>
        <w:pStyle w:val="Default"/>
        <w:ind w:left="720"/>
      </w:pPr>
    </w:p>
    <w:p w14:paraId="69053423" w14:textId="2EC20779" w:rsidR="006E2F6C" w:rsidRPr="00A15DB1" w:rsidRDefault="006E2F6C" w:rsidP="00A15DB1">
      <w:pPr>
        <w:pStyle w:val="Default"/>
        <w:ind w:left="720"/>
        <w:rPr>
          <w:rFonts w:cstheme="minorHAnsi"/>
        </w:rPr>
      </w:pPr>
      <w:r w:rsidRPr="006E2F6C">
        <w:t>We hav</w:t>
      </w:r>
      <w:r w:rsidRPr="006E2F6C">
        <w:rPr>
          <w:rFonts w:cstheme="minorHAnsi"/>
        </w:rPr>
        <w:t xml:space="preserve">e have created SFDR annexes where the complete </w:t>
      </w:r>
      <w:r w:rsidRPr="006E2F6C">
        <w:t>discussion of a given issue appears only once (in one section or another</w:t>
      </w:r>
      <w:r w:rsidR="004219B8">
        <w:t>, as may prove optimal</w:t>
      </w:r>
      <w:r w:rsidRPr="006E2F6C">
        <w:t xml:space="preserve">), with pointers to that discussion where relevant. If condensing </w:t>
      </w:r>
      <w:r w:rsidR="00C801C0">
        <w:t xml:space="preserve">sections </w:t>
      </w:r>
      <w:r w:rsidRPr="006E2F6C">
        <w:t xml:space="preserve">is not practical at this point, we </w:t>
      </w:r>
      <w:r w:rsidRPr="006E2F6C">
        <w:lastRenderedPageBreak/>
        <w:t>believe it would be helpful to companies and users alike to affirmatively state that the pointer approach is an option.</w:t>
      </w:r>
    </w:p>
    <w:p w14:paraId="4BAE80C3" w14:textId="77777777" w:rsidR="002A1954" w:rsidRPr="0026090D" w:rsidRDefault="002A1954" w:rsidP="003E18C4">
      <w:pPr>
        <w:pStyle w:val="Default"/>
        <w:rPr>
          <w:sz w:val="20"/>
          <w:szCs w:val="20"/>
        </w:rPr>
      </w:pPr>
    </w:p>
    <w:p w14:paraId="6D49828D" w14:textId="556CEC53" w:rsidR="00264805" w:rsidRDefault="00AF1657" w:rsidP="006E2F6C">
      <w:pPr>
        <w:pStyle w:val="ListParagraph"/>
        <w:numPr>
          <w:ilvl w:val="0"/>
          <w:numId w:val="5"/>
        </w:numPr>
      </w:pPr>
      <w:r>
        <w:rPr>
          <w:u w:val="single"/>
        </w:rPr>
        <w:t xml:space="preserve">Add </w:t>
      </w:r>
      <w:r w:rsidRPr="00A45E71">
        <w:rPr>
          <w:u w:val="single"/>
        </w:rPr>
        <w:t xml:space="preserve">a clear diagram </w:t>
      </w:r>
      <w:r>
        <w:rPr>
          <w:u w:val="single"/>
        </w:rPr>
        <w:t xml:space="preserve">or sidebar </w:t>
      </w:r>
      <w:r w:rsidRPr="00A45E71">
        <w:rPr>
          <w:u w:val="single"/>
        </w:rPr>
        <w:t>showing</w:t>
      </w:r>
      <w:r>
        <w:rPr>
          <w:u w:val="single"/>
        </w:rPr>
        <w:t>,</w:t>
      </w:r>
      <w:r w:rsidRPr="00A45E71">
        <w:rPr>
          <w:u w:val="single"/>
        </w:rPr>
        <w:t xml:space="preserve"> at a very high level</w:t>
      </w:r>
      <w:r>
        <w:rPr>
          <w:u w:val="single"/>
        </w:rPr>
        <w:t>,</w:t>
      </w:r>
      <w:r w:rsidRPr="00A45E71">
        <w:rPr>
          <w:u w:val="single"/>
        </w:rPr>
        <w:t xml:space="preserve"> the relationships among the</w:t>
      </w:r>
      <w:r>
        <w:rPr>
          <w:u w:val="single"/>
        </w:rPr>
        <w:t xml:space="preserve"> various</w:t>
      </w:r>
      <w:r w:rsidRPr="00A45E71">
        <w:rPr>
          <w:u w:val="single"/>
        </w:rPr>
        <w:t xml:space="preserve"> </w:t>
      </w:r>
      <w:r>
        <w:rPr>
          <w:u w:val="single"/>
        </w:rPr>
        <w:t xml:space="preserve">rules, standards and entities </w:t>
      </w:r>
      <w:r w:rsidR="00115884">
        <w:rPr>
          <w:u w:val="single"/>
        </w:rPr>
        <w:t>associated with green investing</w:t>
      </w:r>
      <w:r w:rsidRPr="00115884">
        <w:t>.</w:t>
      </w:r>
      <w:r w:rsidR="00115884" w:rsidRPr="00115884">
        <w:t xml:space="preserve"> </w:t>
      </w:r>
      <w:r w:rsidR="00FB7BC1">
        <w:t xml:space="preserve">One of </w:t>
      </w:r>
      <w:r w:rsidR="003D3735">
        <w:t>biggest communication</w:t>
      </w:r>
      <w:r w:rsidR="00DC4319">
        <w:t xml:space="preserve"> challenges </w:t>
      </w:r>
      <w:r w:rsidR="003D3735">
        <w:t>with</w:t>
      </w:r>
      <w:r w:rsidR="00DC4319">
        <w:t xml:space="preserve"> SFDR is </w:t>
      </w:r>
      <w:r>
        <w:t>the</w:t>
      </w:r>
      <w:r w:rsidR="00157BB4">
        <w:t xml:space="preserve"> fragmented terminology</w:t>
      </w:r>
      <w:r>
        <w:t xml:space="preserve"> of the world of green investing</w:t>
      </w:r>
      <w:r w:rsidR="00157BB4">
        <w:t xml:space="preserve">. There are </w:t>
      </w:r>
      <w:r w:rsidR="00CA6AD2">
        <w:t xml:space="preserve">the </w:t>
      </w:r>
      <w:r w:rsidR="00157BB4">
        <w:t>EU</w:t>
      </w:r>
      <w:r w:rsidR="00CA6AD2">
        <w:t>’s SFDR and Taxonomy</w:t>
      </w:r>
      <w:r w:rsidR="00157BB4">
        <w:t xml:space="preserve">, </w:t>
      </w:r>
      <w:r w:rsidR="00CA6AD2">
        <w:t xml:space="preserve">the </w:t>
      </w:r>
      <w:r w:rsidR="00157BB4">
        <w:t>UN</w:t>
      </w:r>
      <w:r w:rsidR="00CA6AD2">
        <w:t xml:space="preserve">’s </w:t>
      </w:r>
      <w:r w:rsidR="00DB22A4">
        <w:t>Guiding Principles</w:t>
      </w:r>
      <w:r w:rsidR="001C76D6">
        <w:t xml:space="preserve"> and PAIs</w:t>
      </w:r>
      <w:r w:rsidR="00157BB4">
        <w:t xml:space="preserve">, </w:t>
      </w:r>
      <w:r w:rsidR="00DB22A4">
        <w:t xml:space="preserve">the </w:t>
      </w:r>
      <w:r w:rsidR="00CA6AD2">
        <w:t>OECD</w:t>
      </w:r>
      <w:r w:rsidR="00DB22A4">
        <w:t>’s Guidelines</w:t>
      </w:r>
      <w:r w:rsidR="00264805">
        <w:t>,</w:t>
      </w:r>
      <w:r w:rsidR="00DB22A4">
        <w:t xml:space="preserve"> as well as</w:t>
      </w:r>
      <w:r w:rsidR="00CA6AD2">
        <w:t xml:space="preserve"> </w:t>
      </w:r>
      <w:r w:rsidR="00264805">
        <w:t>index providers and</w:t>
      </w:r>
      <w:r w:rsidR="00EE098F">
        <w:t xml:space="preserve"> private providers</w:t>
      </w:r>
      <w:r w:rsidR="00DB22A4">
        <w:t xml:space="preserve"> of ESG data, analysis and ratings. </w:t>
      </w:r>
      <w:r>
        <w:t xml:space="preserve">Coming soon will be the FCA’s SDR. </w:t>
      </w:r>
      <w:r w:rsidR="00DB22A4">
        <w:t xml:space="preserve">To these are added other terms: ES, ESG, sustainability, </w:t>
      </w:r>
      <w:r w:rsidR="00C35C63">
        <w:t xml:space="preserve">sustainable investment, sustainable investment objective, </w:t>
      </w:r>
      <w:r w:rsidR="00DB22A4">
        <w:t>do no significant harm</w:t>
      </w:r>
      <w:r w:rsidR="00C35C63">
        <w:t>,</w:t>
      </w:r>
      <w:r w:rsidR="00EE098F">
        <w:t xml:space="preserve"> </w:t>
      </w:r>
      <w:r w:rsidR="0053682C">
        <w:t xml:space="preserve">exclusion, </w:t>
      </w:r>
      <w:r>
        <w:t>stewardship and</w:t>
      </w:r>
      <w:r w:rsidR="001A2A2C">
        <w:t xml:space="preserve"> </w:t>
      </w:r>
      <w:r w:rsidR="00184DD6">
        <w:t xml:space="preserve">the </w:t>
      </w:r>
      <w:r w:rsidR="00157BB4">
        <w:t xml:space="preserve">Paris </w:t>
      </w:r>
      <w:r w:rsidR="00C35C63">
        <w:t>a</w:t>
      </w:r>
      <w:r w:rsidR="00EE098F">
        <w:t>greement (organi</w:t>
      </w:r>
      <w:r w:rsidR="00F233E2">
        <w:t>s</w:t>
      </w:r>
      <w:r w:rsidR="00EE098F">
        <w:t>ed by th</w:t>
      </w:r>
      <w:r>
        <w:t xml:space="preserve">e UN but generally spoken of as </w:t>
      </w:r>
      <w:r w:rsidR="00EE098F">
        <w:t>separate)</w:t>
      </w:r>
      <w:r>
        <w:t>, among</w:t>
      </w:r>
      <w:r w:rsidR="001A2A2C">
        <w:t xml:space="preserve"> others. </w:t>
      </w:r>
      <w:r w:rsidR="00264805">
        <w:br/>
        <w:t xml:space="preserve">     </w:t>
      </w:r>
      <w:r w:rsidR="003F0B62">
        <w:t xml:space="preserve">This </w:t>
      </w:r>
      <w:r w:rsidR="00937D44">
        <w:t xml:space="preserve">tangle of terms </w:t>
      </w:r>
      <w:r w:rsidR="00FB7AC6">
        <w:t>had</w:t>
      </w:r>
      <w:r w:rsidR="003F0B62">
        <w:t xml:space="preserve"> no single</w:t>
      </w:r>
      <w:r w:rsidR="00FB7AC6">
        <w:t xml:space="preserve"> creator; even less is it under any form of </w:t>
      </w:r>
      <w:r w:rsidR="004219B8">
        <w:t xml:space="preserve">overall </w:t>
      </w:r>
      <w:r w:rsidR="00FB7AC6">
        <w:t xml:space="preserve">coordination or management. </w:t>
      </w:r>
      <w:r w:rsidR="00C801C0">
        <w:t>One result is that how</w:t>
      </w:r>
      <w:r w:rsidR="004219B8">
        <w:t xml:space="preserve"> these terms connect or overlap is a mystery to virtually all retail investors.</w:t>
      </w:r>
      <w:r w:rsidR="00C801C0">
        <w:t xml:space="preserve"> </w:t>
      </w:r>
      <w:r w:rsidR="004219B8">
        <w:t>U</w:t>
      </w:r>
      <w:r w:rsidR="00FB7AC6">
        <w:t>ntil some</w:t>
      </w:r>
      <w:r w:rsidR="00FB7AC6" w:rsidRPr="00FB7AC6">
        <w:t xml:space="preserve">one steps forward to offer a simple, clear understanding </w:t>
      </w:r>
      <w:r w:rsidR="004219B8">
        <w:t xml:space="preserve">not just of what these terms mean but </w:t>
      </w:r>
      <w:r w:rsidR="00FB7AC6" w:rsidRPr="00FB7AC6">
        <w:t>of how the</w:t>
      </w:r>
      <w:r w:rsidR="004219B8">
        <w:t>y</w:t>
      </w:r>
      <w:r w:rsidR="00FB7AC6" w:rsidRPr="00FB7AC6">
        <w:t xml:space="preserve"> relate to each other,</w:t>
      </w:r>
      <w:r w:rsidR="001A2A2C" w:rsidRPr="00FB7AC6">
        <w:t xml:space="preserve"> retail investor</w:t>
      </w:r>
      <w:r w:rsidR="00FB7AC6" w:rsidRPr="00FB7AC6">
        <w:t>s</w:t>
      </w:r>
      <w:r w:rsidR="001A2A2C" w:rsidRPr="00FB7AC6">
        <w:t xml:space="preserve"> will remain in hopeless confusion</w:t>
      </w:r>
      <w:r w:rsidR="00A45E71" w:rsidRPr="00FB7AC6">
        <w:t xml:space="preserve">, </w:t>
      </w:r>
      <w:r w:rsidR="00C801C0">
        <w:t>to the detriment of efforts to encourage sustainable investing</w:t>
      </w:r>
      <w:r w:rsidR="00A45E71" w:rsidRPr="00FB7AC6">
        <w:t xml:space="preserve">. </w:t>
      </w:r>
      <w:r w:rsidR="00BB7371">
        <w:t>No amount of improved clarity in other areas can make up for the communications damage caused by this issue.</w:t>
      </w:r>
      <w:r w:rsidR="00264805" w:rsidRPr="00FB7AC6">
        <w:br/>
      </w:r>
    </w:p>
    <w:p w14:paraId="370DD873" w14:textId="0266452A" w:rsidR="001A2A2C" w:rsidRDefault="006F4948" w:rsidP="006E2F6C">
      <w:pPr>
        <w:pStyle w:val="ListParagraph"/>
        <w:numPr>
          <w:ilvl w:val="0"/>
          <w:numId w:val="5"/>
        </w:numPr>
      </w:pPr>
      <w:r>
        <w:rPr>
          <w:u w:val="single"/>
        </w:rPr>
        <w:t xml:space="preserve">Reduce the </w:t>
      </w:r>
      <w:r w:rsidRPr="006F4948">
        <w:rPr>
          <w:u w:val="single"/>
        </w:rPr>
        <w:t>discussion of a fund’s structural characteristics.</w:t>
      </w:r>
      <w:r>
        <w:t xml:space="preserve"> </w:t>
      </w:r>
      <w:r w:rsidR="00646261">
        <w:t>R</w:t>
      </w:r>
      <w:r w:rsidR="00FB7BC1">
        <w:t xml:space="preserve">etail investors </w:t>
      </w:r>
      <w:r w:rsidR="00646261">
        <w:t xml:space="preserve">generally </w:t>
      </w:r>
      <w:r w:rsidR="00505DDE">
        <w:t xml:space="preserve">want to know the “bottom line” — how green is this fund and what sort of risks and rewards they might expect. </w:t>
      </w:r>
      <w:r w:rsidR="007840B3">
        <w:t xml:space="preserve">How the fund </w:t>
      </w:r>
      <w:r w:rsidR="001F62EB">
        <w:t xml:space="preserve">gains these attributes is </w:t>
      </w:r>
      <w:r w:rsidR="00C801C0">
        <w:t>beyond the attention budgets of most consumers</w:t>
      </w:r>
      <w:r w:rsidR="001F62EB">
        <w:t xml:space="preserve">. </w:t>
      </w:r>
      <w:r w:rsidR="004219B8">
        <w:t>We believe incorporating the suggestion of bullets into the proposed dashboard would be helpful here.</w:t>
      </w:r>
      <w:r w:rsidR="00034630">
        <w:br/>
      </w:r>
    </w:p>
    <w:p w14:paraId="0FBDD22B" w14:textId="7AF57007" w:rsidR="00AE0BD3" w:rsidRDefault="001A2A2C" w:rsidP="001A2A2C">
      <w:r>
        <w:t xml:space="preserve">We understand that it may not be feasible, or in some cases even permitted, for </w:t>
      </w:r>
      <w:r w:rsidR="00C801C0">
        <w:t xml:space="preserve">ESMA or </w:t>
      </w:r>
      <w:r>
        <w:t xml:space="preserve">any </w:t>
      </w:r>
      <w:r w:rsidR="00C801C0">
        <w:t xml:space="preserve">other </w:t>
      </w:r>
      <w:r>
        <w:t xml:space="preserve">regulatory body to </w:t>
      </w:r>
      <w:r w:rsidR="00C801C0">
        <w:t xml:space="preserve">easily </w:t>
      </w:r>
      <w:r>
        <w:t xml:space="preserve">implement </w:t>
      </w:r>
      <w:r w:rsidR="00C801C0">
        <w:t xml:space="preserve">some of </w:t>
      </w:r>
      <w:r>
        <w:t>the above changes</w:t>
      </w:r>
      <w:r w:rsidR="004219B8">
        <w:t>. But we hope</w:t>
      </w:r>
      <w:r w:rsidR="00235A6A">
        <w:t xml:space="preserve"> ESMA </w:t>
      </w:r>
      <w:r w:rsidR="004219B8">
        <w:t>will</w:t>
      </w:r>
      <w:r w:rsidR="00235A6A">
        <w:t xml:space="preserve"> bear in mind </w:t>
      </w:r>
      <w:r w:rsidR="004219B8">
        <w:t>the need to realistically assess usability and especially engagement</w:t>
      </w:r>
      <w:r>
        <w:t>.</w:t>
      </w:r>
      <w:r w:rsidR="004219B8">
        <w:t xml:space="preserve"> It is worth noting that both readability scores and traditional forms of readability testing provide no information about engagement. Both already assume an engaged reader: scores because they include no metric for engagement, testing because in engaging people </w:t>
      </w:r>
      <w:r w:rsidR="00C801C0">
        <w:t>to</w:t>
      </w:r>
      <w:r w:rsidR="004219B8">
        <w:t xml:space="preserve"> participat</w:t>
      </w:r>
      <w:r w:rsidR="00C801C0">
        <w:t>e</w:t>
      </w:r>
      <w:r w:rsidR="004219B8">
        <w:t xml:space="preserve"> in a test </w:t>
      </w:r>
      <w:r w:rsidR="00C801C0">
        <w:t xml:space="preserve">one </w:t>
      </w:r>
      <w:r w:rsidR="004219B8">
        <w:t>eliminate</w:t>
      </w:r>
      <w:r w:rsidR="00C801C0">
        <w:t>s</w:t>
      </w:r>
      <w:r w:rsidR="004219B8">
        <w:t xml:space="preserve"> the possibility of knowing if they would have engaged with the document on their own.</w:t>
      </w:r>
    </w:p>
    <w:p w14:paraId="7B5A5DAA" w14:textId="77777777" w:rsidR="004219B8" w:rsidRDefault="004219B8" w:rsidP="001A2A2C"/>
    <w:p w14:paraId="6A42EA5B" w14:textId="77777777" w:rsidR="004219B8" w:rsidRDefault="004219B8" w:rsidP="004219B8">
      <w:r>
        <w:t xml:space="preserve">We would be happy to elaborate on any of these comments and to address any communications questions ESMA may have. </w:t>
      </w:r>
    </w:p>
    <w:p w14:paraId="5216DA76" w14:textId="77777777" w:rsidR="004219B8" w:rsidRDefault="004219B8" w:rsidP="001A2A2C"/>
    <w:p w14:paraId="298075B2" w14:textId="6F6E3900" w:rsidR="00EF5713" w:rsidRDefault="004219B8">
      <w:r>
        <w:t xml:space="preserve">In closing we would only add that as considerable as our comments and criticisms are, we </w:t>
      </w:r>
      <w:r w:rsidR="00C801C0">
        <w:t>strongly believe</w:t>
      </w:r>
      <w:r>
        <w:t xml:space="preserve"> that merely by instituting a </w:t>
      </w:r>
      <w:proofErr w:type="spellStart"/>
      <w:r>
        <w:t>standardised</w:t>
      </w:r>
      <w:proofErr w:type="spellEnd"/>
      <w:r>
        <w:t xml:space="preserve"> and mandatory presentation of this difficult yet vital subject the EU has shown significant leadership and has already traveled the most difficult part of the road to consumer-friendly disclosure.</w:t>
      </w:r>
    </w:p>
    <w:sectPr w:rsidR="00EF5713" w:rsidSect="00E46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90DC5"/>
    <w:multiLevelType w:val="hybridMultilevel"/>
    <w:tmpl w:val="E12CED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4C31C5"/>
    <w:multiLevelType w:val="hybridMultilevel"/>
    <w:tmpl w:val="A6F22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81727"/>
    <w:multiLevelType w:val="hybridMultilevel"/>
    <w:tmpl w:val="848A1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DDEF768">
      <w:start w:val="2"/>
      <w:numFmt w:val="bullet"/>
      <w:lvlText w:val="•"/>
      <w:lvlJc w:val="left"/>
      <w:pPr>
        <w:ind w:left="2880" w:hanging="360"/>
      </w:pPr>
      <w:rPr>
        <w:rFonts w:ascii="Calibri" w:eastAsiaTheme="minorHAnsi" w:hAnsi="Calibri" w:cs="Calibri" w:hint="default"/>
      </w:rPr>
    </w:lvl>
    <w:lvl w:ilvl="4" w:tplc="E44CD1C8">
      <w:start w:val="2"/>
      <w:numFmt w:val="bullet"/>
      <w:lvlText w:val=""/>
      <w:lvlJc w:val="left"/>
      <w:pPr>
        <w:ind w:left="3600" w:hanging="360"/>
      </w:pPr>
      <w:rPr>
        <w:rFonts w:ascii="Symbol" w:eastAsiaTheme="minorHAnsi" w:hAnsi="Symbol" w:cs="Calibri" w:hint="default"/>
      </w:rPr>
    </w:lvl>
    <w:lvl w:ilvl="5" w:tplc="8E860FC0">
      <w:start w:val="2"/>
      <w:numFmt w:val="bullet"/>
      <w:lvlText w:val="-"/>
      <w:lvlJc w:val="left"/>
      <w:pPr>
        <w:ind w:left="4500" w:hanging="360"/>
      </w:pPr>
      <w:rPr>
        <w:rFonts w:ascii="Calibri" w:eastAsiaTheme="minorHAnsi" w:hAnsi="Calibri" w:cs="Calibr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52CCD"/>
    <w:multiLevelType w:val="hybridMultilevel"/>
    <w:tmpl w:val="F64E95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4D90C56"/>
    <w:multiLevelType w:val="hybridMultilevel"/>
    <w:tmpl w:val="C03E98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DB2684"/>
    <w:multiLevelType w:val="hybridMultilevel"/>
    <w:tmpl w:val="C022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F116D2"/>
    <w:multiLevelType w:val="hybridMultilevel"/>
    <w:tmpl w:val="6472E3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40132118">
    <w:abstractNumId w:val="2"/>
  </w:num>
  <w:num w:numId="2" w16cid:durableId="1805463378">
    <w:abstractNumId w:val="0"/>
  </w:num>
  <w:num w:numId="3" w16cid:durableId="55862194">
    <w:abstractNumId w:val="6"/>
  </w:num>
  <w:num w:numId="4" w16cid:durableId="421878124">
    <w:abstractNumId w:val="4"/>
  </w:num>
  <w:num w:numId="5" w16cid:durableId="895239641">
    <w:abstractNumId w:val="1"/>
  </w:num>
  <w:num w:numId="6" w16cid:durableId="450825698">
    <w:abstractNumId w:val="5"/>
  </w:num>
  <w:num w:numId="7" w16cid:durableId="12557452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E8"/>
    <w:rsid w:val="00034630"/>
    <w:rsid w:val="000349B7"/>
    <w:rsid w:val="0004323E"/>
    <w:rsid w:val="000438F3"/>
    <w:rsid w:val="00071898"/>
    <w:rsid w:val="000A133E"/>
    <w:rsid w:val="000A2F13"/>
    <w:rsid w:val="00115884"/>
    <w:rsid w:val="001421A4"/>
    <w:rsid w:val="001442AB"/>
    <w:rsid w:val="00157BB4"/>
    <w:rsid w:val="00184DD6"/>
    <w:rsid w:val="00190D2F"/>
    <w:rsid w:val="001A2A2C"/>
    <w:rsid w:val="001A63FF"/>
    <w:rsid w:val="001B78EE"/>
    <w:rsid w:val="001C2795"/>
    <w:rsid w:val="001C76D6"/>
    <w:rsid w:val="001F4D51"/>
    <w:rsid w:val="001F62EB"/>
    <w:rsid w:val="001F789F"/>
    <w:rsid w:val="00210B1A"/>
    <w:rsid w:val="00235A6A"/>
    <w:rsid w:val="002412A2"/>
    <w:rsid w:val="0026090D"/>
    <w:rsid w:val="00264805"/>
    <w:rsid w:val="00265551"/>
    <w:rsid w:val="002A1954"/>
    <w:rsid w:val="002B2677"/>
    <w:rsid w:val="002F100C"/>
    <w:rsid w:val="002F3B81"/>
    <w:rsid w:val="0030300A"/>
    <w:rsid w:val="00312327"/>
    <w:rsid w:val="0031724C"/>
    <w:rsid w:val="003A6D1E"/>
    <w:rsid w:val="003D3735"/>
    <w:rsid w:val="003E18C4"/>
    <w:rsid w:val="003E6087"/>
    <w:rsid w:val="003F0B62"/>
    <w:rsid w:val="004219B8"/>
    <w:rsid w:val="004222C3"/>
    <w:rsid w:val="004262DF"/>
    <w:rsid w:val="00442ECE"/>
    <w:rsid w:val="00453541"/>
    <w:rsid w:val="00481FD3"/>
    <w:rsid w:val="0048668D"/>
    <w:rsid w:val="004D1EC2"/>
    <w:rsid w:val="004E451A"/>
    <w:rsid w:val="00505DDE"/>
    <w:rsid w:val="0053682C"/>
    <w:rsid w:val="00552073"/>
    <w:rsid w:val="005555C5"/>
    <w:rsid w:val="00571C60"/>
    <w:rsid w:val="005B10DB"/>
    <w:rsid w:val="005C6D39"/>
    <w:rsid w:val="005D7775"/>
    <w:rsid w:val="005E5D0A"/>
    <w:rsid w:val="00614AF5"/>
    <w:rsid w:val="006156ED"/>
    <w:rsid w:val="0061758C"/>
    <w:rsid w:val="00646261"/>
    <w:rsid w:val="00662E9F"/>
    <w:rsid w:val="006662A4"/>
    <w:rsid w:val="00674D50"/>
    <w:rsid w:val="00683A15"/>
    <w:rsid w:val="00690B1C"/>
    <w:rsid w:val="006962E8"/>
    <w:rsid w:val="006A5455"/>
    <w:rsid w:val="006E2F6C"/>
    <w:rsid w:val="006F4948"/>
    <w:rsid w:val="00715A38"/>
    <w:rsid w:val="00752E4D"/>
    <w:rsid w:val="00761292"/>
    <w:rsid w:val="00767E28"/>
    <w:rsid w:val="007724F4"/>
    <w:rsid w:val="007840B3"/>
    <w:rsid w:val="00785054"/>
    <w:rsid w:val="007D006A"/>
    <w:rsid w:val="007E4383"/>
    <w:rsid w:val="00820882"/>
    <w:rsid w:val="00884FF9"/>
    <w:rsid w:val="008C0908"/>
    <w:rsid w:val="008D79DF"/>
    <w:rsid w:val="009121E8"/>
    <w:rsid w:val="0091593B"/>
    <w:rsid w:val="00935796"/>
    <w:rsid w:val="00937D44"/>
    <w:rsid w:val="0096741F"/>
    <w:rsid w:val="009A1052"/>
    <w:rsid w:val="009A1CF3"/>
    <w:rsid w:val="009A470E"/>
    <w:rsid w:val="009B20CB"/>
    <w:rsid w:val="009C0103"/>
    <w:rsid w:val="009C3BEE"/>
    <w:rsid w:val="009D2A0B"/>
    <w:rsid w:val="009D590C"/>
    <w:rsid w:val="009E608D"/>
    <w:rsid w:val="00A03CE1"/>
    <w:rsid w:val="00A04262"/>
    <w:rsid w:val="00A15DB1"/>
    <w:rsid w:val="00A345F2"/>
    <w:rsid w:val="00A354D9"/>
    <w:rsid w:val="00A45E71"/>
    <w:rsid w:val="00A566B7"/>
    <w:rsid w:val="00A82D0C"/>
    <w:rsid w:val="00A87F17"/>
    <w:rsid w:val="00AA0732"/>
    <w:rsid w:val="00AD24AF"/>
    <w:rsid w:val="00AE0BD3"/>
    <w:rsid w:val="00AE44DA"/>
    <w:rsid w:val="00AE572C"/>
    <w:rsid w:val="00AF1657"/>
    <w:rsid w:val="00AF2B94"/>
    <w:rsid w:val="00B35970"/>
    <w:rsid w:val="00BA2CF9"/>
    <w:rsid w:val="00BA5173"/>
    <w:rsid w:val="00BB03D1"/>
    <w:rsid w:val="00BB7371"/>
    <w:rsid w:val="00BC15E1"/>
    <w:rsid w:val="00BD5AB6"/>
    <w:rsid w:val="00C110C6"/>
    <w:rsid w:val="00C31998"/>
    <w:rsid w:val="00C35C63"/>
    <w:rsid w:val="00C70640"/>
    <w:rsid w:val="00C801C0"/>
    <w:rsid w:val="00C8652C"/>
    <w:rsid w:val="00CA6AD2"/>
    <w:rsid w:val="00CA7E36"/>
    <w:rsid w:val="00CB2E51"/>
    <w:rsid w:val="00CB4606"/>
    <w:rsid w:val="00CC517B"/>
    <w:rsid w:val="00D01842"/>
    <w:rsid w:val="00D17586"/>
    <w:rsid w:val="00D2144B"/>
    <w:rsid w:val="00D35056"/>
    <w:rsid w:val="00D52D55"/>
    <w:rsid w:val="00D53C3C"/>
    <w:rsid w:val="00D6010F"/>
    <w:rsid w:val="00D842FA"/>
    <w:rsid w:val="00D95F29"/>
    <w:rsid w:val="00DA4497"/>
    <w:rsid w:val="00DB22A4"/>
    <w:rsid w:val="00DB7D34"/>
    <w:rsid w:val="00DC4319"/>
    <w:rsid w:val="00E253D8"/>
    <w:rsid w:val="00E4641B"/>
    <w:rsid w:val="00E5597A"/>
    <w:rsid w:val="00E96971"/>
    <w:rsid w:val="00EB6E8C"/>
    <w:rsid w:val="00ED56BF"/>
    <w:rsid w:val="00ED6702"/>
    <w:rsid w:val="00EE098F"/>
    <w:rsid w:val="00EF3499"/>
    <w:rsid w:val="00EF5676"/>
    <w:rsid w:val="00EF5713"/>
    <w:rsid w:val="00EF7FFA"/>
    <w:rsid w:val="00F02FFF"/>
    <w:rsid w:val="00F233E2"/>
    <w:rsid w:val="00F3592D"/>
    <w:rsid w:val="00F61123"/>
    <w:rsid w:val="00F675FE"/>
    <w:rsid w:val="00F72346"/>
    <w:rsid w:val="00F73075"/>
    <w:rsid w:val="00F90B4A"/>
    <w:rsid w:val="00FA3661"/>
    <w:rsid w:val="00FB7AC6"/>
    <w:rsid w:val="00FB7BC1"/>
    <w:rsid w:val="00FC1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9927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98F"/>
    <w:pPr>
      <w:ind w:left="720"/>
      <w:contextualSpacing/>
    </w:pPr>
  </w:style>
  <w:style w:type="paragraph" w:styleId="Revision">
    <w:name w:val="Revision"/>
    <w:hidden/>
    <w:uiPriority w:val="99"/>
    <w:semiHidden/>
    <w:rsid w:val="009D590C"/>
  </w:style>
  <w:style w:type="character" w:styleId="CommentReference">
    <w:name w:val="annotation reference"/>
    <w:basedOn w:val="DefaultParagraphFont"/>
    <w:uiPriority w:val="99"/>
    <w:semiHidden/>
    <w:unhideWhenUsed/>
    <w:rsid w:val="0031724C"/>
    <w:rPr>
      <w:sz w:val="16"/>
      <w:szCs w:val="16"/>
    </w:rPr>
  </w:style>
  <w:style w:type="paragraph" w:styleId="CommentText">
    <w:name w:val="annotation text"/>
    <w:basedOn w:val="Normal"/>
    <w:link w:val="CommentTextChar"/>
    <w:uiPriority w:val="99"/>
    <w:semiHidden/>
    <w:unhideWhenUsed/>
    <w:rsid w:val="0031724C"/>
    <w:rPr>
      <w:sz w:val="20"/>
      <w:szCs w:val="20"/>
    </w:rPr>
  </w:style>
  <w:style w:type="character" w:customStyle="1" w:styleId="CommentTextChar">
    <w:name w:val="Comment Text Char"/>
    <w:basedOn w:val="DefaultParagraphFont"/>
    <w:link w:val="CommentText"/>
    <w:uiPriority w:val="99"/>
    <w:semiHidden/>
    <w:rsid w:val="0031724C"/>
    <w:rPr>
      <w:sz w:val="20"/>
      <w:szCs w:val="20"/>
    </w:rPr>
  </w:style>
  <w:style w:type="paragraph" w:styleId="CommentSubject">
    <w:name w:val="annotation subject"/>
    <w:basedOn w:val="CommentText"/>
    <w:next w:val="CommentText"/>
    <w:link w:val="CommentSubjectChar"/>
    <w:uiPriority w:val="99"/>
    <w:semiHidden/>
    <w:unhideWhenUsed/>
    <w:rsid w:val="0031724C"/>
    <w:rPr>
      <w:b/>
      <w:bCs/>
    </w:rPr>
  </w:style>
  <w:style w:type="character" w:customStyle="1" w:styleId="CommentSubjectChar">
    <w:name w:val="Comment Subject Char"/>
    <w:basedOn w:val="CommentTextChar"/>
    <w:link w:val="CommentSubject"/>
    <w:uiPriority w:val="99"/>
    <w:semiHidden/>
    <w:rsid w:val="0031724C"/>
    <w:rPr>
      <w:b/>
      <w:bCs/>
      <w:sz w:val="20"/>
      <w:szCs w:val="20"/>
    </w:rPr>
  </w:style>
  <w:style w:type="paragraph" w:customStyle="1" w:styleId="Default">
    <w:name w:val="Default"/>
    <w:rsid w:val="0026090D"/>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52a98e-2476-4cd2-a796-65665cdfabe1">
      <Terms xmlns="http://schemas.microsoft.com/office/infopath/2007/PartnerControls"/>
    </lcf76f155ced4ddcb4097134ff3c332f>
    <TaxCatchAll xmlns="ae3572ec-237c-4ee4-ad47-36316c3d59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125045C1F62D478C99BEEEBD762142" ma:contentTypeVersion="17" ma:contentTypeDescription="Crée un document." ma:contentTypeScope="" ma:versionID="b59ff00d37a3913a77a9ba191d0e3393">
  <xsd:schema xmlns:xsd="http://www.w3.org/2001/XMLSchema" xmlns:xs="http://www.w3.org/2001/XMLSchema" xmlns:p="http://schemas.microsoft.com/office/2006/metadata/properties" xmlns:ns2="0852a98e-2476-4cd2-a796-65665cdfabe1" xmlns:ns3="ae3572ec-237c-4ee4-ad47-36316c3d59f1" targetNamespace="http://schemas.microsoft.com/office/2006/metadata/properties" ma:root="true" ma:fieldsID="86e58492fad28a424fd841daf9107fe6" ns2:_="" ns3:_="">
    <xsd:import namespace="0852a98e-2476-4cd2-a796-65665cdfabe1"/>
    <xsd:import namespace="ae3572ec-237c-4ee4-ad47-36316c3d59f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52a98e-2476-4cd2-a796-65665cdfa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7213e4c-208d-436e-9b4f-9d8d1e1f0a7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3572ec-237c-4ee4-ad47-36316c3d59f1"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29467926-12cc-47e5-8277-7a651754bbcc}" ma:internalName="TaxCatchAll" ma:showField="CatchAllData" ma:web="ae3572ec-237c-4ee4-ad47-36316c3d59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47AF42-527C-4D5A-9865-30B936928E53}">
  <ds:schemaRefs>
    <ds:schemaRef ds:uri="http://schemas.microsoft.com/office/2006/metadata/properties"/>
    <ds:schemaRef ds:uri="http://schemas.microsoft.com/office/infopath/2007/PartnerControls"/>
    <ds:schemaRef ds:uri="0852a98e-2476-4cd2-a796-65665cdfabe1"/>
    <ds:schemaRef ds:uri="ae3572ec-237c-4ee4-ad47-36316c3d59f1"/>
  </ds:schemaRefs>
</ds:datastoreItem>
</file>

<file path=customXml/itemProps2.xml><?xml version="1.0" encoding="utf-8"?>
<ds:datastoreItem xmlns:ds="http://schemas.openxmlformats.org/officeDocument/2006/customXml" ds:itemID="{C41A45B9-D1F6-4C8A-8180-843F367B7B31}">
  <ds:schemaRefs>
    <ds:schemaRef ds:uri="http://schemas.microsoft.com/sharepoint/v3/contenttype/forms"/>
  </ds:schemaRefs>
</ds:datastoreItem>
</file>

<file path=customXml/itemProps3.xml><?xml version="1.0" encoding="utf-8"?>
<ds:datastoreItem xmlns:ds="http://schemas.openxmlformats.org/officeDocument/2006/customXml" ds:itemID="{784D443D-617B-4A2F-8895-D35061492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52a98e-2476-4cd2-a796-65665cdfabe1"/>
    <ds:schemaRef ds:uri="ae3572ec-237c-4ee4-ad47-36316c3d59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5</Pages>
  <Words>2297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More Carrot LLC</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Josiah Fisk</dc:creator>
  <cp:keywords/>
  <dc:description/>
  <cp:lastModifiedBy>Cori Stevens</cp:lastModifiedBy>
  <cp:revision>25</cp:revision>
  <dcterms:created xsi:type="dcterms:W3CDTF">2023-12-15T18:16:00Z</dcterms:created>
  <dcterms:modified xsi:type="dcterms:W3CDTF">2023-12-15T22:59:00Z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0x0101002C125045C1F62D478C99BEEEBD762142</vt:lpwstr>
  </property>
</Properties>
</file>