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60D61" w14:textId="1A7B6F63" w:rsidR="00F12A1E" w:rsidRPr="00F12A1E" w:rsidRDefault="00F12A1E" w:rsidP="00F12A1E">
      <w:pPr>
        <w:rPr>
          <w:rFonts w:ascii="Calibri" w:hAnsi="Calibri" w:cs="Calibri"/>
          <w:b/>
          <w:bCs/>
          <w:sz w:val="24"/>
          <w:szCs w:val="24"/>
          <w:u w:val="single"/>
          <w:lang w:val="de-DE"/>
        </w:rPr>
      </w:pPr>
      <w:proofErr w:type="spellStart"/>
      <w:r w:rsidRPr="00F12A1E">
        <w:rPr>
          <w:rFonts w:ascii="Calibri" w:hAnsi="Calibri" w:cs="Calibri"/>
          <w:b/>
          <w:bCs/>
          <w:sz w:val="24"/>
          <w:szCs w:val="24"/>
          <w:u w:val="single"/>
          <w:lang w:val="de-DE"/>
        </w:rPr>
        <w:t>Overview</w:t>
      </w:r>
      <w:proofErr w:type="spellEnd"/>
      <w:r w:rsidRPr="00F12A1E">
        <w:rPr>
          <w:rFonts w:ascii="Calibri" w:hAnsi="Calibri" w:cs="Calibri"/>
          <w:b/>
          <w:bCs/>
          <w:sz w:val="24"/>
          <w:szCs w:val="24"/>
          <w:u w:val="single"/>
          <w:lang w:val="de-DE"/>
        </w:rPr>
        <w:t xml:space="preserve"> of the </w:t>
      </w:r>
      <w:proofErr w:type="spellStart"/>
      <w:r w:rsidRPr="00F12A1E">
        <w:rPr>
          <w:rFonts w:ascii="Calibri" w:hAnsi="Calibri" w:cs="Calibri"/>
          <w:b/>
          <w:bCs/>
          <w:sz w:val="24"/>
          <w:szCs w:val="24"/>
          <w:u w:val="single"/>
          <w:lang w:val="de-DE"/>
        </w:rPr>
        <w:t>categorization</w:t>
      </w:r>
      <w:proofErr w:type="spellEnd"/>
      <w:r w:rsidRPr="00F12A1E">
        <w:rPr>
          <w:rFonts w:ascii="Calibri" w:hAnsi="Calibri" w:cs="Calibri"/>
          <w:b/>
          <w:bCs/>
          <w:sz w:val="24"/>
          <w:szCs w:val="24"/>
          <w:u w:val="single"/>
          <w:lang w:val="de-DE"/>
        </w:rPr>
        <w:t xml:space="preserve"> </w:t>
      </w:r>
      <w:proofErr w:type="spellStart"/>
      <w:r w:rsidRPr="00F12A1E">
        <w:rPr>
          <w:rFonts w:ascii="Calibri" w:hAnsi="Calibri" w:cs="Calibri"/>
          <w:b/>
          <w:bCs/>
          <w:sz w:val="24"/>
          <w:szCs w:val="24"/>
          <w:u w:val="single"/>
          <w:lang w:val="de-DE"/>
        </w:rPr>
        <w:t>regime</w:t>
      </w:r>
      <w:proofErr w:type="spellEnd"/>
      <w:r w:rsidRPr="00F12A1E">
        <w:rPr>
          <w:rFonts w:ascii="Calibri" w:hAnsi="Calibri" w:cs="Calibri"/>
          <w:b/>
          <w:bCs/>
          <w:sz w:val="24"/>
          <w:szCs w:val="24"/>
          <w:u w:val="single"/>
          <w:lang w:val="de-DE"/>
        </w:rPr>
        <w:t xml:space="preserve"> </w:t>
      </w:r>
    </w:p>
    <w:p w14:paraId="0F6A2E29" w14:textId="77777777" w:rsidR="00F12A1E" w:rsidRDefault="00F12A1E" w:rsidP="00F12A1E">
      <w:pPr>
        <w:spacing w:after="0" w:line="240" w:lineRule="auto"/>
        <w:jc w:val="both"/>
        <w:textAlignment w:val="baseline"/>
        <w:rPr>
          <w:rFonts w:ascii="Calibri" w:eastAsia="Times New Roman" w:hAnsi="Calibri" w:cs="Calibri"/>
          <w:b/>
          <w:bCs/>
          <w:color w:val="000000" w:themeColor="text1"/>
          <w:kern w:val="0"/>
          <w:sz w:val="24"/>
          <w:szCs w:val="24"/>
          <w14:ligatures w14:val="none"/>
        </w:rPr>
      </w:pPr>
    </w:p>
    <w:p w14:paraId="4179E67C" w14:textId="683D36BF"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t xml:space="preserve">There is a need for a categorization regime. </w:t>
      </w:r>
      <w:r w:rsidRPr="00F12A1E">
        <w:rPr>
          <w:rFonts w:ascii="Calibri" w:eastAsia="Times New Roman" w:hAnsi="Calibri" w:cs="Calibri"/>
          <w:color w:val="000000" w:themeColor="text1"/>
          <w:kern w:val="0"/>
          <w:sz w:val="24"/>
          <w:szCs w:val="24"/>
          <w14:ligatures w14:val="none"/>
        </w:rPr>
        <w:t>The fact that articles 8 and 9 of SFDR have been used as labels, despite their intended role as disclosure standards, indicates this. A disclosure framework alone will not impose high, and uniform, sustainability standards. SFDR should be evolved by adding sustainable categories covering the main sustainable investing strategies in the market. </w:t>
      </w:r>
    </w:p>
    <w:p w14:paraId="7C8BEF65"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1F6BF96B"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t xml:space="preserve">The categorization regime should use a hybrid approach. </w:t>
      </w:r>
      <w:r w:rsidRPr="00F12A1E">
        <w:rPr>
          <w:rFonts w:ascii="Calibri" w:eastAsia="Times New Roman" w:hAnsi="Calibri" w:cs="Calibri"/>
          <w:color w:val="000000" w:themeColor="text1"/>
          <w:kern w:val="0"/>
          <w:sz w:val="24"/>
          <w:szCs w:val="24"/>
          <w14:ligatures w14:val="none"/>
        </w:rPr>
        <w:t>Certain (limited) concepts from the current art. 8 and 9 classifications should be maintained and evolved at least in the short term (to minimize costs and retain some continuity for investors). Overtime, references to art. 8 and 9 may no longer be necessary. At the same time, the sustainable product sub-categories should be added. These should be defined by their sustainability objectives which must meet minimum criteria. </w:t>
      </w:r>
      <w:r w:rsidRPr="00F12A1E">
        <w:rPr>
          <w:rFonts w:ascii="Calibri" w:eastAsia="Times New Roman" w:hAnsi="Calibri" w:cs="Calibri"/>
          <w:i/>
          <w:iCs/>
          <w:color w:val="000000" w:themeColor="text1"/>
          <w:kern w:val="0"/>
          <w:sz w:val="24"/>
          <w:szCs w:val="24"/>
          <w14:ligatures w14:val="none"/>
        </w:rPr>
        <w:t>  </w:t>
      </w:r>
      <w:r w:rsidRPr="00F12A1E">
        <w:rPr>
          <w:rFonts w:ascii="Calibri" w:eastAsia="Times New Roman" w:hAnsi="Calibri" w:cs="Calibri"/>
          <w:color w:val="000000" w:themeColor="text1"/>
          <w:kern w:val="0"/>
          <w:sz w:val="24"/>
          <w:szCs w:val="24"/>
          <w14:ligatures w14:val="none"/>
        </w:rPr>
        <w:t> </w:t>
      </w:r>
    </w:p>
    <w:p w14:paraId="0C4C3DF0"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63F0DF46"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t>Overview</w:t>
      </w:r>
      <w:r w:rsidRPr="00F12A1E">
        <w:rPr>
          <w:rFonts w:ascii="Calibri" w:eastAsia="Times New Roman" w:hAnsi="Calibri" w:cs="Calibri"/>
          <w:color w:val="000000" w:themeColor="text1"/>
          <w:kern w:val="0"/>
          <w:sz w:val="24"/>
          <w:szCs w:val="24"/>
          <w14:ligatures w14:val="none"/>
        </w:rPr>
        <w:t>  </w:t>
      </w:r>
    </w:p>
    <w:p w14:paraId="2AB27E63"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1CA75C68"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The following categories recognize the wide spectrum of ESG approaches available. They have some similarities to the UK FCA’s SDR categories (and we note that European convergence, here, would be beneficial). </w:t>
      </w:r>
      <w:r w:rsidRPr="00F12A1E">
        <w:rPr>
          <w:rFonts w:ascii="Calibri" w:eastAsia="Times New Roman" w:hAnsi="Calibri" w:cs="Calibri"/>
          <w:b/>
          <w:bCs/>
          <w:color w:val="000000" w:themeColor="text1"/>
          <w:kern w:val="0"/>
          <w:sz w:val="24"/>
          <w:szCs w:val="24"/>
          <w14:ligatures w14:val="none"/>
        </w:rPr>
        <w:t> </w:t>
      </w:r>
      <w:r w:rsidRPr="00F12A1E">
        <w:rPr>
          <w:rFonts w:ascii="Calibri" w:eastAsia="Times New Roman" w:hAnsi="Calibri" w:cs="Calibri"/>
          <w:color w:val="000000" w:themeColor="text1"/>
          <w:kern w:val="0"/>
          <w:sz w:val="24"/>
          <w:szCs w:val="24"/>
          <w14:ligatures w14:val="none"/>
        </w:rPr>
        <w:t> </w:t>
      </w:r>
    </w:p>
    <w:p w14:paraId="56BCA630"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p>
    <w:p w14:paraId="3FE279AC" w14:textId="1E4050E3"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18"/>
          <w:szCs w:val="18"/>
          <w14:ligatures w14:val="none"/>
        </w:rPr>
        <w:t>Note: Thematic strategies may fall under any category. * Only comprises Impact, no longer has a SI requirement.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5"/>
        <w:gridCol w:w="2514"/>
        <w:gridCol w:w="2280"/>
        <w:gridCol w:w="2115"/>
      </w:tblGrid>
      <w:tr w:rsidR="00F12A1E" w:rsidRPr="00F12A1E" w14:paraId="0F342BCB" w14:textId="77777777" w:rsidTr="00F12A1E">
        <w:trPr>
          <w:trHeight w:val="300"/>
        </w:trPr>
        <w:tc>
          <w:tcPr>
            <w:tcW w:w="6510" w:type="dxa"/>
            <w:gridSpan w:val="3"/>
            <w:tcBorders>
              <w:top w:val="single" w:sz="6" w:space="0" w:color="auto"/>
              <w:left w:val="single" w:sz="6" w:space="0" w:color="auto"/>
              <w:bottom w:val="single" w:sz="6" w:space="0" w:color="auto"/>
              <w:right w:val="single" w:sz="6" w:space="0" w:color="auto"/>
            </w:tcBorders>
            <w:shd w:val="clear" w:color="auto" w:fill="D9D9D9"/>
            <w:hideMark/>
          </w:tcPr>
          <w:p w14:paraId="5ABCE8AE"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color w:val="000000"/>
                <w:kern w:val="0"/>
                <w14:ligatures w14:val="none"/>
              </w:rPr>
              <w:t>Art. 8 </w:t>
            </w:r>
          </w:p>
        </w:tc>
        <w:tc>
          <w:tcPr>
            <w:tcW w:w="2115" w:type="dxa"/>
            <w:tcBorders>
              <w:top w:val="single" w:sz="6" w:space="0" w:color="auto"/>
              <w:left w:val="nil"/>
              <w:bottom w:val="single" w:sz="6" w:space="0" w:color="auto"/>
              <w:right w:val="single" w:sz="6" w:space="0" w:color="auto"/>
            </w:tcBorders>
            <w:shd w:val="clear" w:color="auto" w:fill="D9D9D9"/>
            <w:hideMark/>
          </w:tcPr>
          <w:p w14:paraId="1C3743E3"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14:ligatures w14:val="none"/>
              </w:rPr>
              <w:t>Art. 9*  </w:t>
            </w:r>
          </w:p>
        </w:tc>
      </w:tr>
      <w:tr w:rsidR="00F12A1E" w:rsidRPr="00F12A1E" w14:paraId="60456C5F" w14:textId="77777777" w:rsidTr="00F12A1E">
        <w:trPr>
          <w:trHeight w:val="300"/>
        </w:trPr>
        <w:tc>
          <w:tcPr>
            <w:tcW w:w="1965" w:type="dxa"/>
            <w:tcBorders>
              <w:top w:val="nil"/>
              <w:left w:val="single" w:sz="6" w:space="0" w:color="auto"/>
              <w:bottom w:val="single" w:sz="6" w:space="0" w:color="auto"/>
              <w:right w:val="single" w:sz="6" w:space="0" w:color="auto"/>
            </w:tcBorders>
            <w:shd w:val="clear" w:color="auto" w:fill="auto"/>
            <w:hideMark/>
          </w:tcPr>
          <w:p w14:paraId="5F80B36E"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i/>
                <w:iCs/>
                <w:kern w:val="0"/>
                <w14:ligatures w14:val="none"/>
              </w:rPr>
              <w:t>Not Sustainable</w:t>
            </w:r>
            <w:r w:rsidRPr="00F12A1E">
              <w:rPr>
                <w:rFonts w:ascii="Calibri" w:eastAsia="Times New Roman" w:hAnsi="Calibri" w:cs="Calibri"/>
                <w:kern w:val="0"/>
                <w14:ligatures w14:val="none"/>
              </w:rPr>
              <w:t> </w:t>
            </w:r>
          </w:p>
        </w:tc>
        <w:tc>
          <w:tcPr>
            <w:tcW w:w="6660" w:type="dxa"/>
            <w:gridSpan w:val="3"/>
            <w:tcBorders>
              <w:top w:val="nil"/>
              <w:left w:val="nil"/>
              <w:bottom w:val="single" w:sz="6" w:space="0" w:color="auto"/>
              <w:right w:val="single" w:sz="6" w:space="0" w:color="auto"/>
            </w:tcBorders>
            <w:shd w:val="clear" w:color="auto" w:fill="C5E0B3"/>
            <w:hideMark/>
          </w:tcPr>
          <w:p w14:paraId="67707500"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i/>
                <w:iCs/>
                <w:color w:val="000000"/>
                <w:kern w:val="0"/>
                <w14:ligatures w14:val="none"/>
              </w:rPr>
              <w:t>Sustainable</w:t>
            </w:r>
            <w:r w:rsidRPr="00F12A1E">
              <w:rPr>
                <w:rFonts w:ascii="Calibri" w:eastAsia="Times New Roman" w:hAnsi="Calibri" w:cs="Calibri"/>
                <w:color w:val="000000"/>
                <w:kern w:val="0"/>
                <w14:ligatures w14:val="none"/>
              </w:rPr>
              <w:t> </w:t>
            </w:r>
          </w:p>
        </w:tc>
      </w:tr>
      <w:tr w:rsidR="00F12A1E" w:rsidRPr="00F12A1E" w14:paraId="6EE21A27" w14:textId="77777777" w:rsidTr="00F12A1E">
        <w:trPr>
          <w:trHeight w:val="300"/>
        </w:trPr>
        <w:tc>
          <w:tcPr>
            <w:tcW w:w="1965" w:type="dxa"/>
            <w:tcBorders>
              <w:top w:val="nil"/>
              <w:left w:val="single" w:sz="6" w:space="0" w:color="auto"/>
              <w:bottom w:val="single" w:sz="6" w:space="0" w:color="auto"/>
              <w:right w:val="single" w:sz="6" w:space="0" w:color="auto"/>
            </w:tcBorders>
            <w:shd w:val="clear" w:color="auto" w:fill="auto"/>
            <w:hideMark/>
          </w:tcPr>
          <w:p w14:paraId="625B5D83"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14:ligatures w14:val="none"/>
              </w:rPr>
              <w:t>Other Art. 8 </w:t>
            </w:r>
          </w:p>
        </w:tc>
        <w:tc>
          <w:tcPr>
            <w:tcW w:w="2265" w:type="dxa"/>
            <w:tcBorders>
              <w:top w:val="nil"/>
              <w:left w:val="nil"/>
              <w:bottom w:val="single" w:sz="6" w:space="0" w:color="auto"/>
              <w:right w:val="single" w:sz="6" w:space="0" w:color="auto"/>
            </w:tcBorders>
            <w:shd w:val="clear" w:color="auto" w:fill="auto"/>
            <w:hideMark/>
          </w:tcPr>
          <w:p w14:paraId="661F6518" w14:textId="77777777" w:rsidR="00F12A1E" w:rsidRPr="00F12A1E" w:rsidRDefault="00F12A1E" w:rsidP="00F12A1E">
            <w:pPr>
              <w:numPr>
                <w:ilvl w:val="0"/>
                <w:numId w:val="1"/>
              </w:numPr>
              <w:spacing w:after="0" w:line="240" w:lineRule="auto"/>
              <w:ind w:firstLine="0"/>
              <w:jc w:val="center"/>
              <w:textAlignment w:val="baseline"/>
              <w:rPr>
                <w:rFonts w:ascii="Calibri" w:eastAsia="Times New Roman" w:hAnsi="Calibri" w:cs="Calibri"/>
                <w:kern w:val="0"/>
                <w14:ligatures w14:val="none"/>
              </w:rPr>
            </w:pPr>
            <w:r w:rsidRPr="00F12A1E">
              <w:rPr>
                <w:rFonts w:ascii="Calibri" w:eastAsia="Times New Roman" w:hAnsi="Calibri" w:cs="Calibri"/>
                <w:b/>
                <w:bCs/>
                <w:kern w:val="0"/>
                <w14:ligatures w14:val="none"/>
              </w:rPr>
              <w:t>Sustainable Improvers</w:t>
            </w:r>
            <w:r w:rsidRPr="00F12A1E">
              <w:rPr>
                <w:rFonts w:ascii="Calibri" w:eastAsia="Times New Roman" w:hAnsi="Calibri" w:cs="Calibri"/>
                <w:kern w:val="0"/>
                <w14:ligatures w14:val="none"/>
              </w:rPr>
              <w:t> </w:t>
            </w:r>
          </w:p>
        </w:tc>
        <w:tc>
          <w:tcPr>
            <w:tcW w:w="2265" w:type="dxa"/>
            <w:tcBorders>
              <w:top w:val="nil"/>
              <w:left w:val="nil"/>
              <w:bottom w:val="single" w:sz="6" w:space="0" w:color="auto"/>
              <w:right w:val="single" w:sz="6" w:space="0" w:color="auto"/>
            </w:tcBorders>
            <w:shd w:val="clear" w:color="auto" w:fill="auto"/>
            <w:hideMark/>
          </w:tcPr>
          <w:p w14:paraId="5D76493F"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14:ligatures w14:val="none"/>
              </w:rPr>
              <w:t>2. Sustainable Focus</w:t>
            </w:r>
            <w:r w:rsidRPr="00F12A1E">
              <w:rPr>
                <w:rFonts w:ascii="Calibri" w:eastAsia="Times New Roman" w:hAnsi="Calibri" w:cs="Calibri"/>
                <w:kern w:val="0"/>
                <w14:ligatures w14:val="none"/>
              </w:rPr>
              <w:t> </w:t>
            </w:r>
          </w:p>
        </w:tc>
        <w:tc>
          <w:tcPr>
            <w:tcW w:w="2115" w:type="dxa"/>
            <w:tcBorders>
              <w:top w:val="nil"/>
              <w:left w:val="nil"/>
              <w:bottom w:val="single" w:sz="6" w:space="0" w:color="auto"/>
              <w:right w:val="single" w:sz="6" w:space="0" w:color="auto"/>
            </w:tcBorders>
            <w:shd w:val="clear" w:color="auto" w:fill="auto"/>
            <w:hideMark/>
          </w:tcPr>
          <w:p w14:paraId="1DE4D593"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14:ligatures w14:val="none"/>
              </w:rPr>
              <w:t>3. Sustainable Impact</w:t>
            </w:r>
            <w:r w:rsidRPr="00F12A1E">
              <w:rPr>
                <w:rFonts w:ascii="Calibri" w:eastAsia="Times New Roman" w:hAnsi="Calibri" w:cs="Calibri"/>
                <w:kern w:val="0"/>
                <w14:ligatures w14:val="none"/>
              </w:rPr>
              <w:t> </w:t>
            </w:r>
          </w:p>
        </w:tc>
      </w:tr>
      <w:tr w:rsidR="00F12A1E" w:rsidRPr="00F12A1E" w14:paraId="74DB8D17" w14:textId="77777777" w:rsidTr="00F12A1E">
        <w:trPr>
          <w:trHeight w:val="300"/>
        </w:trPr>
        <w:tc>
          <w:tcPr>
            <w:tcW w:w="1965" w:type="dxa"/>
            <w:tcBorders>
              <w:top w:val="nil"/>
              <w:left w:val="single" w:sz="6" w:space="0" w:color="auto"/>
              <w:bottom w:val="single" w:sz="6" w:space="0" w:color="auto"/>
              <w:right w:val="single" w:sz="6" w:space="0" w:color="auto"/>
            </w:tcBorders>
            <w:shd w:val="clear" w:color="auto" w:fill="auto"/>
            <w:hideMark/>
          </w:tcPr>
          <w:p w14:paraId="73123B62"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Other environmental or social characteristics </w:t>
            </w:r>
          </w:p>
          <w:p w14:paraId="1D7D0A20"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60FA3A46"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7A9A88A9"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Some sustainable term use restrictions. Notice that ‘not sustainable’. </w:t>
            </w:r>
          </w:p>
          <w:p w14:paraId="1579B78E"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7983754F"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433856C7"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6365EC87"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sz w:val="20"/>
                <w:szCs w:val="20"/>
                <w14:ligatures w14:val="none"/>
              </w:rPr>
              <w:t>Coverage</w:t>
            </w:r>
            <w:r w:rsidRPr="00F12A1E">
              <w:rPr>
                <w:rFonts w:ascii="Calibri" w:eastAsia="Times New Roman" w:hAnsi="Calibri" w:cs="Calibri"/>
                <w:kern w:val="0"/>
                <w:sz w:val="20"/>
                <w:szCs w:val="20"/>
                <w14:ligatures w14:val="none"/>
              </w:rPr>
              <w:t>: 70% of investments.  </w:t>
            </w:r>
          </w:p>
        </w:tc>
        <w:tc>
          <w:tcPr>
            <w:tcW w:w="2265" w:type="dxa"/>
            <w:tcBorders>
              <w:top w:val="nil"/>
              <w:left w:val="nil"/>
              <w:bottom w:val="single" w:sz="6" w:space="0" w:color="auto"/>
              <w:right w:val="single" w:sz="6" w:space="0" w:color="auto"/>
            </w:tcBorders>
            <w:shd w:val="clear" w:color="auto" w:fill="auto"/>
            <w:hideMark/>
          </w:tcPr>
          <w:p w14:paraId="582FE7E2"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Credible transition standard  </w:t>
            </w:r>
          </w:p>
          <w:p w14:paraId="40DFB812"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61A564C0"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OR  </w:t>
            </w:r>
          </w:p>
          <w:p w14:paraId="21170E44"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0C8B0B7E"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Improvement of relevant E/S characteristics measured by metrics.  </w:t>
            </w:r>
          </w:p>
          <w:p w14:paraId="4D448A82"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59827DBC"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OR  </w:t>
            </w:r>
          </w:p>
          <w:p w14:paraId="7E1E6D56"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7055667D"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1749B922" w14:textId="77777777" w:rsidR="00F12A1E" w:rsidRPr="00F12A1E" w:rsidRDefault="00F12A1E" w:rsidP="00F12A1E">
            <w:pPr>
              <w:spacing w:after="0" w:line="240" w:lineRule="auto"/>
              <w:ind w:left="-60"/>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sz w:val="20"/>
                <w:szCs w:val="20"/>
                <w14:ligatures w14:val="none"/>
              </w:rPr>
              <w:t>Coverage</w:t>
            </w:r>
            <w:r w:rsidRPr="00F12A1E">
              <w:rPr>
                <w:rFonts w:ascii="Calibri" w:eastAsia="Times New Roman" w:hAnsi="Calibri" w:cs="Calibri"/>
                <w:kern w:val="0"/>
                <w:sz w:val="20"/>
                <w:szCs w:val="20"/>
                <w14:ligatures w14:val="none"/>
              </w:rPr>
              <w:t>: 70% of investments. </w:t>
            </w:r>
          </w:p>
        </w:tc>
        <w:tc>
          <w:tcPr>
            <w:tcW w:w="2265" w:type="dxa"/>
            <w:tcBorders>
              <w:top w:val="nil"/>
              <w:left w:val="nil"/>
              <w:bottom w:val="single" w:sz="6" w:space="0" w:color="auto"/>
              <w:right w:val="single" w:sz="6" w:space="0" w:color="auto"/>
            </w:tcBorders>
            <w:shd w:val="clear" w:color="auto" w:fill="auto"/>
            <w:hideMark/>
          </w:tcPr>
          <w:p w14:paraId="024FFA3D"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xml:space="preserve">a)  Comprise: </w:t>
            </w:r>
            <w:proofErr w:type="spellStart"/>
            <w:r w:rsidRPr="00F12A1E">
              <w:rPr>
                <w:rFonts w:ascii="Calibri" w:eastAsia="Times New Roman" w:hAnsi="Calibri" w:cs="Calibri"/>
                <w:kern w:val="0"/>
                <w:sz w:val="20"/>
                <w:szCs w:val="20"/>
                <w14:ligatures w14:val="none"/>
              </w:rPr>
              <w:t>i</w:t>
            </w:r>
            <w:proofErr w:type="spellEnd"/>
            <w:r w:rsidRPr="00F12A1E">
              <w:rPr>
                <w:rFonts w:ascii="Calibri" w:eastAsia="Times New Roman" w:hAnsi="Calibri" w:cs="Calibri"/>
                <w:kern w:val="0"/>
                <w:sz w:val="20"/>
                <w:szCs w:val="20"/>
                <w14:ligatures w14:val="none"/>
              </w:rPr>
              <w:t>. a minimum % Sustainable Investments; and ii. 70% of investments have E/S characteristics.  </w:t>
            </w:r>
          </w:p>
          <w:p w14:paraId="513FA211"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113950F4"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OR </w:t>
            </w:r>
          </w:p>
          <w:p w14:paraId="5EE364E6"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54A2B79A"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xml:space="preserve">b) Binding ESG approach covering 70% of investments which is selective resulting in reduction </w:t>
            </w:r>
            <w:proofErr w:type="gramStart"/>
            <w:r w:rsidRPr="00F12A1E">
              <w:rPr>
                <w:rFonts w:ascii="Calibri" w:eastAsia="Times New Roman" w:hAnsi="Calibri" w:cs="Calibri"/>
                <w:kern w:val="0"/>
                <w:sz w:val="20"/>
                <w:szCs w:val="20"/>
                <w14:ligatures w14:val="none"/>
              </w:rPr>
              <w:t>of  universe</w:t>
            </w:r>
            <w:proofErr w:type="gramEnd"/>
            <w:r w:rsidRPr="00F12A1E">
              <w:rPr>
                <w:rFonts w:ascii="Calibri" w:eastAsia="Times New Roman" w:hAnsi="Calibri" w:cs="Calibri"/>
                <w:kern w:val="0"/>
                <w:sz w:val="20"/>
                <w:szCs w:val="20"/>
                <w14:ligatures w14:val="none"/>
              </w:rPr>
              <w:t xml:space="preserve"> by a specified percentage.       </w:t>
            </w:r>
          </w:p>
          <w:p w14:paraId="016A65F1"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69D57D9B"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sz w:val="20"/>
                <w:szCs w:val="20"/>
                <w14:ligatures w14:val="none"/>
              </w:rPr>
              <w:t>Coverage</w:t>
            </w:r>
            <w:r w:rsidRPr="00F12A1E">
              <w:rPr>
                <w:rFonts w:ascii="Calibri" w:eastAsia="Times New Roman" w:hAnsi="Calibri" w:cs="Calibri"/>
                <w:kern w:val="0"/>
                <w:sz w:val="20"/>
                <w:szCs w:val="20"/>
                <w14:ligatures w14:val="none"/>
              </w:rPr>
              <w:t>: Per a) and b).  </w:t>
            </w:r>
          </w:p>
        </w:tc>
        <w:tc>
          <w:tcPr>
            <w:tcW w:w="2115" w:type="dxa"/>
            <w:tcBorders>
              <w:top w:val="nil"/>
              <w:left w:val="nil"/>
              <w:bottom w:val="single" w:sz="6" w:space="0" w:color="auto"/>
              <w:right w:val="single" w:sz="6" w:space="0" w:color="auto"/>
            </w:tcBorders>
            <w:shd w:val="clear" w:color="auto" w:fill="auto"/>
            <w:hideMark/>
          </w:tcPr>
          <w:p w14:paraId="3E407FD9"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Adheres to a recognized impact market standard. Specifically, has a theory of change, investor, and investment impact.  </w:t>
            </w:r>
          </w:p>
          <w:p w14:paraId="4B757349"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73D48DFC"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3C57EDEA"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144EFD1B"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p w14:paraId="3550B925" w14:textId="77777777" w:rsidR="00F12A1E" w:rsidRPr="00F12A1E" w:rsidRDefault="00F12A1E" w:rsidP="00F12A1E">
            <w:pPr>
              <w:spacing w:after="0" w:line="240" w:lineRule="auto"/>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kern w:val="0"/>
                <w:sz w:val="20"/>
                <w:szCs w:val="20"/>
                <w14:ligatures w14:val="none"/>
              </w:rPr>
              <w:t>Coverage</w:t>
            </w:r>
            <w:r w:rsidRPr="00F12A1E">
              <w:rPr>
                <w:rFonts w:ascii="Calibri" w:eastAsia="Times New Roman" w:hAnsi="Calibri" w:cs="Calibri"/>
                <w:kern w:val="0"/>
                <w:sz w:val="20"/>
                <w:szCs w:val="20"/>
                <w14:ligatures w14:val="none"/>
              </w:rPr>
              <w:t>: 70% of investments. </w:t>
            </w:r>
          </w:p>
        </w:tc>
      </w:tr>
      <w:tr w:rsidR="00F12A1E" w:rsidRPr="00F12A1E" w14:paraId="73E61B0F" w14:textId="77777777" w:rsidTr="00F12A1E">
        <w:trPr>
          <w:trHeight w:val="300"/>
        </w:trPr>
        <w:tc>
          <w:tcPr>
            <w:tcW w:w="1965" w:type="dxa"/>
            <w:tcBorders>
              <w:top w:val="nil"/>
              <w:left w:val="single" w:sz="6" w:space="0" w:color="auto"/>
              <w:bottom w:val="single" w:sz="6" w:space="0" w:color="auto"/>
              <w:right w:val="single" w:sz="6" w:space="0" w:color="auto"/>
            </w:tcBorders>
            <w:shd w:val="clear" w:color="auto" w:fill="auto"/>
            <w:hideMark/>
          </w:tcPr>
          <w:p w14:paraId="25C0A497"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kern w:val="0"/>
                <w:sz w:val="20"/>
                <w:szCs w:val="20"/>
                <w14:ligatures w14:val="none"/>
              </w:rPr>
              <w:t> </w:t>
            </w:r>
          </w:p>
        </w:tc>
        <w:tc>
          <w:tcPr>
            <w:tcW w:w="6660" w:type="dxa"/>
            <w:gridSpan w:val="3"/>
            <w:tcBorders>
              <w:top w:val="nil"/>
              <w:left w:val="nil"/>
              <w:bottom w:val="single" w:sz="6" w:space="0" w:color="auto"/>
              <w:right w:val="single" w:sz="6" w:space="0" w:color="auto"/>
            </w:tcBorders>
            <w:shd w:val="clear" w:color="auto" w:fill="C5E0B3"/>
            <w:hideMark/>
          </w:tcPr>
          <w:p w14:paraId="6A770ACC" w14:textId="77777777" w:rsidR="00F12A1E" w:rsidRPr="00F12A1E" w:rsidRDefault="00F12A1E" w:rsidP="00F12A1E">
            <w:pPr>
              <w:spacing w:after="0" w:line="240" w:lineRule="auto"/>
              <w:jc w:val="center"/>
              <w:textAlignment w:val="baseline"/>
              <w:rPr>
                <w:rFonts w:ascii="Calibri" w:eastAsia="Times New Roman" w:hAnsi="Calibri" w:cs="Calibri"/>
                <w:kern w:val="0"/>
                <w:sz w:val="24"/>
                <w:szCs w:val="24"/>
                <w14:ligatures w14:val="none"/>
              </w:rPr>
            </w:pPr>
            <w:r w:rsidRPr="00F12A1E">
              <w:rPr>
                <w:rFonts w:ascii="Calibri" w:eastAsia="Times New Roman" w:hAnsi="Calibri" w:cs="Calibri"/>
                <w:b/>
                <w:bCs/>
                <w:color w:val="000000"/>
                <w:kern w:val="0"/>
                <w14:ligatures w14:val="none"/>
              </w:rPr>
              <w:t>4. Mixed - For Strategies Combing the Above </w:t>
            </w:r>
            <w:r w:rsidRPr="00F12A1E">
              <w:rPr>
                <w:rFonts w:ascii="Calibri" w:eastAsia="Times New Roman" w:hAnsi="Calibri" w:cs="Calibri"/>
                <w:color w:val="000000"/>
                <w:kern w:val="0"/>
                <w14:ligatures w14:val="none"/>
              </w:rPr>
              <w:t> </w:t>
            </w:r>
          </w:p>
        </w:tc>
      </w:tr>
    </w:tbl>
    <w:p w14:paraId="05745EE2" w14:textId="0C6CE549" w:rsidR="00F12A1E" w:rsidRDefault="00F12A1E" w:rsidP="00F12A1E">
      <w:pPr>
        <w:spacing w:after="0" w:line="240" w:lineRule="auto"/>
        <w:textAlignment w:val="baseline"/>
        <w:rPr>
          <w:rFonts w:ascii="Calibri" w:eastAsia="Times New Roman" w:hAnsi="Calibri" w:cs="Calibri"/>
          <w:kern w:val="0"/>
          <w14:ligatures w14:val="none"/>
        </w:rPr>
      </w:pPr>
      <w:r w:rsidRPr="00F12A1E">
        <w:rPr>
          <w:rFonts w:ascii="Calibri" w:eastAsia="Times New Roman" w:hAnsi="Calibri" w:cs="Calibri"/>
          <w:kern w:val="0"/>
          <w14:ligatures w14:val="none"/>
        </w:rPr>
        <w:t> </w:t>
      </w:r>
    </w:p>
    <w:p w14:paraId="77D0DDB1" w14:textId="77777777" w:rsidR="00F12A1E" w:rsidRDefault="00F12A1E" w:rsidP="00F12A1E">
      <w:pPr>
        <w:spacing w:after="0" w:line="240" w:lineRule="auto"/>
        <w:textAlignment w:val="baseline"/>
        <w:rPr>
          <w:rFonts w:ascii="Calibri" w:eastAsia="Times New Roman" w:hAnsi="Calibri" w:cs="Calibri"/>
          <w:kern w:val="0"/>
          <w14:ligatures w14:val="none"/>
        </w:rPr>
      </w:pPr>
    </w:p>
    <w:p w14:paraId="7EA903A4" w14:textId="77777777" w:rsidR="00F12A1E" w:rsidRDefault="00F12A1E" w:rsidP="00F12A1E">
      <w:pPr>
        <w:spacing w:after="0" w:line="240" w:lineRule="auto"/>
        <w:textAlignment w:val="baseline"/>
        <w:rPr>
          <w:rFonts w:ascii="Calibri" w:eastAsia="Times New Roman" w:hAnsi="Calibri" w:cs="Calibri"/>
          <w:kern w:val="0"/>
          <w14:ligatures w14:val="none"/>
        </w:rPr>
      </w:pPr>
    </w:p>
    <w:p w14:paraId="37314A9C" w14:textId="77777777" w:rsidR="00F12A1E" w:rsidRPr="00F12A1E" w:rsidRDefault="00F12A1E" w:rsidP="00F12A1E">
      <w:pPr>
        <w:spacing w:after="0" w:line="240" w:lineRule="auto"/>
        <w:ind w:right="94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lastRenderedPageBreak/>
        <w:t>Article 8</w:t>
      </w:r>
      <w:r w:rsidRPr="00F12A1E">
        <w:rPr>
          <w:rFonts w:ascii="Calibri" w:eastAsia="Times New Roman" w:hAnsi="Calibri" w:cs="Calibri"/>
          <w:color w:val="000000" w:themeColor="text1"/>
          <w:kern w:val="0"/>
          <w:sz w:val="24"/>
          <w:szCs w:val="24"/>
          <w14:ligatures w14:val="none"/>
        </w:rPr>
        <w:t>: The following categories exist -  </w:t>
      </w:r>
    </w:p>
    <w:p w14:paraId="79080CB3" w14:textId="77777777" w:rsidR="00F12A1E" w:rsidRPr="00F12A1E" w:rsidRDefault="00F12A1E" w:rsidP="00F12A1E">
      <w:pPr>
        <w:spacing w:after="0" w:line="240" w:lineRule="auto"/>
        <w:ind w:right="94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14:ligatures w14:val="none"/>
        </w:rPr>
        <w:t> </w:t>
      </w:r>
    </w:p>
    <w:p w14:paraId="7FDD14AE" w14:textId="77777777" w:rsidR="00F12A1E" w:rsidRDefault="00F12A1E" w:rsidP="00F12A1E">
      <w:pPr>
        <w:pStyle w:val="ListParagraph"/>
        <w:numPr>
          <w:ilvl w:val="0"/>
          <w:numId w:val="9"/>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Sustainable Improvers</w:t>
      </w:r>
      <w:r w:rsidRPr="00F12A1E">
        <w:rPr>
          <w:rFonts w:ascii="Calibri" w:eastAsia="Times New Roman" w:hAnsi="Calibri" w:cs="Calibri"/>
          <w:color w:val="000000" w:themeColor="text1"/>
          <w:kern w:val="0"/>
          <w:sz w:val="24"/>
          <w:szCs w:val="24"/>
          <w14:ligatures w14:val="none"/>
        </w:rPr>
        <w:t>: An ‘Improvers’ sub-category would be defined setting out the minimum ‘environmental or social characteristics’ that need to be met. Specifically, that Improvers strategies must evidence a credible transition standard or relevant E/S characteristics that are improved over an appropriate timeframe by reference to metrics (including engagement). 70% of the portfolio should meet these requirements. This is a sustainable category that seeks sustainability performance over time (or ‘momentum’).     </w:t>
      </w:r>
    </w:p>
    <w:p w14:paraId="0319F318" w14:textId="77777777" w:rsidR="00F12A1E" w:rsidRDefault="00F12A1E" w:rsidP="00F12A1E">
      <w:pPr>
        <w:pStyle w:val="ListParagraph"/>
        <w:spacing w:after="0" w:line="240" w:lineRule="auto"/>
        <w:jc w:val="both"/>
        <w:textAlignment w:val="baseline"/>
        <w:rPr>
          <w:rFonts w:ascii="Calibri" w:eastAsia="Times New Roman" w:hAnsi="Calibri" w:cs="Calibri"/>
          <w:color w:val="000000" w:themeColor="text1"/>
          <w:kern w:val="0"/>
          <w:sz w:val="24"/>
          <w:szCs w:val="24"/>
          <w14:ligatures w14:val="none"/>
        </w:rPr>
      </w:pPr>
    </w:p>
    <w:p w14:paraId="6C6F34A3" w14:textId="77777777" w:rsidR="00F12A1E" w:rsidRDefault="00F12A1E" w:rsidP="00F12A1E">
      <w:pPr>
        <w:pStyle w:val="ListParagraph"/>
        <w:numPr>
          <w:ilvl w:val="0"/>
          <w:numId w:val="9"/>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Sustainable Focus</w:t>
      </w:r>
      <w:r w:rsidRPr="00F12A1E">
        <w:rPr>
          <w:rFonts w:ascii="Calibri" w:eastAsia="Times New Roman" w:hAnsi="Calibri" w:cs="Calibri"/>
          <w:color w:val="000000" w:themeColor="text1"/>
          <w:kern w:val="0"/>
          <w:sz w:val="24"/>
          <w:szCs w:val="24"/>
          <w14:ligatures w14:val="none"/>
        </w:rPr>
        <w:t>: To qualify for this category, the strategy would either:  </w:t>
      </w:r>
    </w:p>
    <w:p w14:paraId="2C85D5D0" w14:textId="77777777" w:rsidR="00F12A1E" w:rsidRDefault="00F12A1E" w:rsidP="00F12A1E">
      <w:pPr>
        <w:pStyle w:val="ListParagraph"/>
        <w:numPr>
          <w:ilvl w:val="1"/>
          <w:numId w:val="9"/>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Comprise a minimum % of ‘sustainable investments’ (as defined in Art. 2(17) SFDR or by reference to the EU Taxonomy), which is rigorous but lower than the 50% proposed under the ESMA Names Rule which would be too restrictive</w:t>
      </w:r>
      <w:r w:rsidRPr="00F12A1E">
        <w:rPr>
          <w:rFonts w:ascii="Calibri" w:eastAsia="Times New Roman" w:hAnsi="Calibri" w:cs="Calibri"/>
          <w:color w:val="000000" w:themeColor="text1"/>
          <w:kern w:val="0"/>
          <w:sz w:val="19"/>
          <w:szCs w:val="19"/>
          <w:vertAlign w:val="superscript"/>
          <w14:ligatures w14:val="none"/>
        </w:rPr>
        <w:t>1</w:t>
      </w:r>
      <w:r w:rsidRPr="00F12A1E">
        <w:rPr>
          <w:rFonts w:ascii="Calibri" w:eastAsia="Times New Roman" w:hAnsi="Calibri" w:cs="Calibri"/>
          <w:color w:val="000000" w:themeColor="text1"/>
          <w:kern w:val="0"/>
          <w:sz w:val="24"/>
          <w:szCs w:val="24"/>
          <w14:ligatures w14:val="none"/>
        </w:rPr>
        <w:t>. This is in addition to having environmental or social characteristics covering 70% of the portfolio; or  </w:t>
      </w:r>
    </w:p>
    <w:p w14:paraId="6241808C" w14:textId="77777777" w:rsidR="00F12A1E" w:rsidRDefault="00F12A1E" w:rsidP="00F12A1E">
      <w:pPr>
        <w:pStyle w:val="ListParagraph"/>
        <w:numPr>
          <w:ilvl w:val="1"/>
          <w:numId w:val="9"/>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Be a binding ESG approach covering 70% of the portfolio which is selective and results in the reduction of the universe by a specified percentage. Stringent exclusions (for example CTB exclusions) may be a component of this.   </w:t>
      </w:r>
    </w:p>
    <w:p w14:paraId="074BA093" w14:textId="77777777" w:rsidR="00F12A1E" w:rsidRDefault="00F12A1E" w:rsidP="00F12A1E">
      <w:pPr>
        <w:spacing w:after="0" w:line="240" w:lineRule="auto"/>
        <w:ind w:firstLine="720"/>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xml:space="preserve">This is a sustainable category with a focus on ‘already sustainable </w:t>
      </w:r>
      <w:proofErr w:type="gramStart"/>
      <w:r w:rsidRPr="00F12A1E">
        <w:rPr>
          <w:rFonts w:ascii="Calibri" w:eastAsia="Times New Roman" w:hAnsi="Calibri" w:cs="Calibri"/>
          <w:color w:val="000000" w:themeColor="text1"/>
          <w:kern w:val="0"/>
          <w:sz w:val="24"/>
          <w:szCs w:val="24"/>
          <w14:ligatures w14:val="none"/>
        </w:rPr>
        <w:t>investments’</w:t>
      </w:r>
      <w:proofErr w:type="gramEnd"/>
      <w:r w:rsidRPr="00F12A1E">
        <w:rPr>
          <w:rFonts w:ascii="Calibri" w:eastAsia="Times New Roman" w:hAnsi="Calibri" w:cs="Calibri"/>
          <w:color w:val="000000" w:themeColor="text1"/>
          <w:kern w:val="0"/>
          <w:sz w:val="24"/>
          <w:szCs w:val="24"/>
          <w14:ligatures w14:val="none"/>
        </w:rPr>
        <w:t>.  </w:t>
      </w:r>
    </w:p>
    <w:p w14:paraId="0E27F891" w14:textId="77777777" w:rsidR="00F12A1E" w:rsidRDefault="00F12A1E" w:rsidP="00F12A1E">
      <w:pPr>
        <w:spacing w:after="0" w:line="240" w:lineRule="auto"/>
        <w:ind w:firstLine="720"/>
        <w:jc w:val="both"/>
        <w:textAlignment w:val="baseline"/>
        <w:rPr>
          <w:rFonts w:ascii="Calibri" w:eastAsia="Times New Roman" w:hAnsi="Calibri" w:cs="Calibri"/>
          <w:color w:val="000000" w:themeColor="text1"/>
          <w:kern w:val="0"/>
          <w:sz w:val="24"/>
          <w:szCs w:val="24"/>
          <w14:ligatures w14:val="none"/>
        </w:rPr>
      </w:pPr>
    </w:p>
    <w:p w14:paraId="5D6097B0" w14:textId="3DFA2E75" w:rsidR="00F12A1E" w:rsidRDefault="00F12A1E" w:rsidP="00F12A1E">
      <w:pPr>
        <w:spacing w:after="0" w:line="240" w:lineRule="auto"/>
        <w:ind w:left="720"/>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Sustainable Investments</w:t>
      </w:r>
      <w:r w:rsidRPr="00F12A1E">
        <w:rPr>
          <w:rFonts w:ascii="Calibri" w:eastAsia="Times New Roman" w:hAnsi="Calibri" w:cs="Calibri"/>
          <w:color w:val="000000" w:themeColor="text1"/>
          <w:kern w:val="0"/>
          <w:sz w:val="24"/>
          <w:szCs w:val="24"/>
          <w14:ligatures w14:val="none"/>
        </w:rPr>
        <w:t>: The definition of ‘sustainable investments’ should be evolved to</w:t>
      </w:r>
      <w:r>
        <w:rPr>
          <w:rFonts w:ascii="Calibri" w:eastAsia="Times New Roman" w:hAnsi="Calibri" w:cs="Calibri"/>
          <w:color w:val="000000" w:themeColor="text1"/>
          <w:kern w:val="0"/>
          <w:sz w:val="24"/>
          <w:szCs w:val="24"/>
          <w14:ligatures w14:val="none"/>
        </w:rPr>
        <w:t xml:space="preserve"> </w:t>
      </w:r>
      <w:r w:rsidRPr="00F12A1E">
        <w:rPr>
          <w:rFonts w:ascii="Calibri" w:eastAsia="Times New Roman" w:hAnsi="Calibri" w:cs="Calibri"/>
          <w:color w:val="000000" w:themeColor="text1"/>
          <w:kern w:val="0"/>
          <w:sz w:val="24"/>
          <w:szCs w:val="24"/>
          <w14:ligatures w14:val="none"/>
        </w:rPr>
        <w:t xml:space="preserve">provide for minimum standards, objectivity, and comparability. The European authorities should be empowered to issue guidance setting out </w:t>
      </w:r>
      <w:proofErr w:type="spellStart"/>
      <w:r w:rsidRPr="00F12A1E">
        <w:rPr>
          <w:rFonts w:ascii="Calibri" w:eastAsia="Times New Roman" w:hAnsi="Calibri" w:cs="Calibri"/>
          <w:color w:val="000000" w:themeColor="text1"/>
          <w:kern w:val="0"/>
          <w:sz w:val="24"/>
          <w:szCs w:val="24"/>
          <w14:ligatures w14:val="none"/>
        </w:rPr>
        <w:t>i</w:t>
      </w:r>
      <w:proofErr w:type="spellEnd"/>
      <w:r w:rsidRPr="00F12A1E">
        <w:rPr>
          <w:rFonts w:ascii="Calibri" w:eastAsia="Times New Roman" w:hAnsi="Calibri" w:cs="Calibri"/>
          <w:color w:val="000000" w:themeColor="text1"/>
          <w:kern w:val="0"/>
          <w:sz w:val="24"/>
          <w:szCs w:val="24"/>
          <w14:ligatures w14:val="none"/>
        </w:rPr>
        <w:t>) what constitutes a positive contribution to an environmental or social objective under the first limb of Art. 2(17); and ii) what the appropriate thresholds are for ‘doing no significant harm’ under the second limb of Art. 2(17). This should be calibrated to provide for high but attainable standards, i.e., not a stringent as the EU Taxonomy, recognizing that the sustainable transition is work-in-progress and to facilitate the construction of diversified, sustainable portfolios. The SI test should remain an entity level (and not an activities level) test. For emerging market investments, lower PAI thresholds should be required to ensure sustainable investments reach the locations where they are needed most and can have the biggest impact.  </w:t>
      </w:r>
    </w:p>
    <w:p w14:paraId="3F95FC45" w14:textId="77777777" w:rsid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p>
    <w:p w14:paraId="5DA8172C"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Other Art. 8 Strategies</w:t>
      </w:r>
      <w:r w:rsidRPr="00F12A1E">
        <w:rPr>
          <w:rFonts w:ascii="Calibri" w:eastAsia="Times New Roman" w:hAnsi="Calibri" w:cs="Calibri"/>
          <w:color w:val="000000" w:themeColor="text1"/>
          <w:kern w:val="0"/>
          <w:sz w:val="24"/>
          <w:szCs w:val="24"/>
          <w14:ligatures w14:val="none"/>
        </w:rPr>
        <w:t xml:space="preserve">: Where at least 70% of the portfolio has some environmental or social characteristics but do not meet the Improvers, Focus or Impact requirements. This is </w:t>
      </w:r>
      <w:r w:rsidRPr="00F12A1E">
        <w:rPr>
          <w:rFonts w:ascii="Calibri" w:eastAsia="Times New Roman" w:hAnsi="Calibri" w:cs="Calibri"/>
          <w:b/>
          <w:bCs/>
          <w:color w:val="000000" w:themeColor="text1"/>
          <w:kern w:val="0"/>
          <w:sz w:val="24"/>
          <w:szCs w:val="24"/>
          <w14:ligatures w14:val="none"/>
        </w:rPr>
        <w:t>not</w:t>
      </w:r>
      <w:r w:rsidRPr="00F12A1E">
        <w:rPr>
          <w:rFonts w:ascii="Calibri" w:eastAsia="Times New Roman" w:hAnsi="Calibri" w:cs="Calibri"/>
          <w:color w:val="000000" w:themeColor="text1"/>
          <w:kern w:val="0"/>
          <w:sz w:val="24"/>
          <w:szCs w:val="24"/>
          <w14:ligatures w14:val="none"/>
        </w:rPr>
        <w:t xml:space="preserve"> a sustainable category. These strategies would not be able to use certain terms reserved for the categories (e.g., ‘Sustainable’, ‘Sustainability’ or ‘Impact’ and related terms) in their names or elsewhere. However, they would be allowed to use other ESG terms (in their name and in other materials) to describe the product’s environmental or social characteristics and provided that the fund’s name is in line with those characteristics. Further, they must disclose that, and why, they do not have a category label.    </w:t>
      </w:r>
    </w:p>
    <w:p w14:paraId="148DE3D4"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226A04A0"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lastRenderedPageBreak/>
        <w:t>Article 9 </w:t>
      </w:r>
      <w:r w:rsidRPr="00F12A1E">
        <w:rPr>
          <w:rFonts w:ascii="Calibri" w:eastAsia="Times New Roman" w:hAnsi="Calibri" w:cs="Calibri"/>
          <w:color w:val="000000" w:themeColor="text1"/>
          <w:kern w:val="0"/>
          <w:sz w:val="24"/>
          <w:szCs w:val="24"/>
          <w14:ligatures w14:val="none"/>
        </w:rPr>
        <w:t> </w:t>
      </w:r>
    </w:p>
    <w:p w14:paraId="584021F9"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475EA97E" w14:textId="77777777" w:rsidR="00F12A1E" w:rsidRPr="00F12A1E" w:rsidRDefault="00F12A1E" w:rsidP="00F12A1E">
      <w:p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Impact</w:t>
      </w:r>
      <w:r w:rsidRPr="00F12A1E">
        <w:rPr>
          <w:rFonts w:ascii="Calibri" w:eastAsia="Times New Roman" w:hAnsi="Calibri" w:cs="Calibri"/>
          <w:color w:val="000000" w:themeColor="text1"/>
          <w:kern w:val="0"/>
          <w:sz w:val="24"/>
          <w:szCs w:val="24"/>
          <w14:ligatures w14:val="none"/>
        </w:rPr>
        <w:t xml:space="preserve">: Article 9 would be amended so that only Impact strategies meet the requirements. Specifically, an Impact strategy would need to meet accepted market frameworks for impact investing, such as the IMP Impact Management Framework’s </w:t>
      </w:r>
      <w:r w:rsidRPr="00F12A1E">
        <w:rPr>
          <w:rFonts w:ascii="Calibri" w:eastAsia="Times New Roman" w:hAnsi="Calibri" w:cs="Calibri"/>
          <w:i/>
          <w:iCs/>
          <w:color w:val="000000" w:themeColor="text1"/>
          <w:kern w:val="0"/>
          <w:sz w:val="24"/>
          <w:szCs w:val="24"/>
          <w14:ligatures w14:val="none"/>
        </w:rPr>
        <w:t>Operating Principles for Impact Management</w:t>
      </w:r>
      <w:r w:rsidRPr="00F12A1E">
        <w:rPr>
          <w:rFonts w:ascii="Calibri" w:eastAsia="Times New Roman" w:hAnsi="Calibri" w:cs="Calibri"/>
          <w:color w:val="000000" w:themeColor="text1"/>
          <w:kern w:val="0"/>
          <w:sz w:val="24"/>
          <w:szCs w:val="24"/>
          <w14:ligatures w14:val="none"/>
        </w:rPr>
        <w:t xml:space="preserve"> or the Global Impact Investing Network’s (GIIN) </w:t>
      </w:r>
      <w:r w:rsidRPr="00F12A1E">
        <w:rPr>
          <w:rFonts w:ascii="Calibri" w:eastAsia="Times New Roman" w:hAnsi="Calibri" w:cs="Calibri"/>
          <w:i/>
          <w:iCs/>
          <w:color w:val="000000" w:themeColor="text1"/>
          <w:kern w:val="0"/>
          <w:sz w:val="24"/>
          <w:szCs w:val="24"/>
          <w14:ligatures w14:val="none"/>
        </w:rPr>
        <w:t>Principles</w:t>
      </w:r>
      <w:r w:rsidRPr="00F12A1E">
        <w:rPr>
          <w:rFonts w:ascii="Calibri" w:eastAsia="Times New Roman" w:hAnsi="Calibri" w:cs="Calibri"/>
          <w:color w:val="000000" w:themeColor="text1"/>
          <w:kern w:val="0"/>
          <w:sz w:val="24"/>
          <w:szCs w:val="24"/>
          <w14:ligatures w14:val="none"/>
        </w:rPr>
        <w:t>. There are some key common requirements:  </w:t>
      </w:r>
    </w:p>
    <w:p w14:paraId="30B031FA" w14:textId="77777777" w:rsidR="00F12A1E" w:rsidRDefault="00F12A1E" w:rsidP="00F12A1E">
      <w:pPr>
        <w:pStyle w:val="ListParagraph"/>
        <w:numPr>
          <w:ilvl w:val="0"/>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i/>
          <w:iCs/>
          <w:color w:val="000000" w:themeColor="text1"/>
          <w:kern w:val="0"/>
          <w:sz w:val="24"/>
          <w:szCs w:val="24"/>
          <w14:ligatures w14:val="none"/>
        </w:rPr>
        <w:t>Intentionality</w:t>
      </w:r>
      <w:r w:rsidRPr="00F12A1E">
        <w:rPr>
          <w:rFonts w:ascii="Calibri" w:eastAsia="Times New Roman" w:hAnsi="Calibri" w:cs="Calibri"/>
          <w:color w:val="000000" w:themeColor="text1"/>
          <w:kern w:val="0"/>
          <w:sz w:val="24"/>
          <w:szCs w:val="24"/>
          <w14:ligatures w14:val="none"/>
        </w:rPr>
        <w:t>: A theory of change (articulating the impact thesis), including how to measure and evidence its logic and objectives with metrics. </w:t>
      </w:r>
    </w:p>
    <w:p w14:paraId="3EB83F66" w14:textId="77777777" w:rsidR="00F12A1E" w:rsidRDefault="00F12A1E" w:rsidP="00F12A1E">
      <w:pPr>
        <w:pStyle w:val="ListParagraph"/>
        <w:numPr>
          <w:ilvl w:val="0"/>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i/>
          <w:iCs/>
          <w:color w:val="000000" w:themeColor="text1"/>
          <w:kern w:val="0"/>
          <w:sz w:val="24"/>
          <w:szCs w:val="24"/>
          <w14:ligatures w14:val="none"/>
        </w:rPr>
        <w:t>Additionality </w:t>
      </w:r>
      <w:r w:rsidRPr="00F12A1E">
        <w:rPr>
          <w:rFonts w:ascii="Calibri" w:eastAsia="Times New Roman" w:hAnsi="Calibri" w:cs="Calibri"/>
          <w:color w:val="000000" w:themeColor="text1"/>
          <w:kern w:val="0"/>
          <w:sz w:val="24"/>
          <w:szCs w:val="24"/>
          <w14:ligatures w14:val="none"/>
        </w:rPr>
        <w:t> </w:t>
      </w:r>
    </w:p>
    <w:p w14:paraId="6C6F2315" w14:textId="77777777" w:rsidR="00F12A1E" w:rsidRDefault="00F12A1E" w:rsidP="00F12A1E">
      <w:pPr>
        <w:pStyle w:val="ListParagraph"/>
        <w:numPr>
          <w:ilvl w:val="1"/>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Investment contribution to the theory of change. How are investments contributing to solutions to environmental or social problems, often in under-served markets or to address observed market failures.  </w:t>
      </w:r>
    </w:p>
    <w:p w14:paraId="08E5A8EF" w14:textId="77777777" w:rsidR="00F12A1E" w:rsidRDefault="00F12A1E" w:rsidP="00F12A1E">
      <w:pPr>
        <w:pStyle w:val="ListParagraph"/>
        <w:numPr>
          <w:ilvl w:val="1"/>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Investor impact / contribution to investment impact. This can include financial additionality of capital i.e., growing new or undersupplied capital markets and / or driving change through engagement.  </w:t>
      </w:r>
    </w:p>
    <w:p w14:paraId="30B7C4D9" w14:textId="77777777" w:rsidR="00F12A1E" w:rsidRDefault="00F12A1E" w:rsidP="00F12A1E">
      <w:pPr>
        <w:pStyle w:val="ListParagraph"/>
        <w:numPr>
          <w:ilvl w:val="0"/>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Impact management by establishing, monitoring, and reporting impact metrics and performance in line with the fund objectives set in the theory of change.  </w:t>
      </w:r>
    </w:p>
    <w:p w14:paraId="4FDFD5A7" w14:textId="12891A04" w:rsidR="00F12A1E" w:rsidRPr="00F12A1E" w:rsidRDefault="00F12A1E" w:rsidP="00F12A1E">
      <w:pPr>
        <w:pStyle w:val="ListParagraph"/>
        <w:numPr>
          <w:ilvl w:val="0"/>
          <w:numId w:val="12"/>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The requirement to have Sustainable Investments at all or a certain minimum % Sustainable Investments should be removed, as this category would only comprise Impact. 70% of the portfolio should meet these requirements. This is a sustainable category.  </w:t>
      </w:r>
    </w:p>
    <w:p w14:paraId="59145357" w14:textId="77777777" w:rsidR="00F12A1E" w:rsidRP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7BCE0B1E" w14:textId="77777777" w:rsidR="00F12A1E" w:rsidRP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t>Mixed Category</w:t>
      </w:r>
      <w:r w:rsidRPr="00F12A1E">
        <w:rPr>
          <w:rFonts w:ascii="Calibri" w:eastAsia="Times New Roman" w:hAnsi="Calibri" w:cs="Calibri"/>
          <w:color w:val="000000" w:themeColor="text1"/>
          <w:kern w:val="0"/>
          <w:sz w:val="24"/>
          <w:szCs w:val="24"/>
          <w14:ligatures w14:val="none"/>
        </w:rPr>
        <w:t> </w:t>
      </w:r>
    </w:p>
    <w:p w14:paraId="6E08DB66" w14:textId="77777777" w:rsid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p>
    <w:p w14:paraId="2A8D67EC" w14:textId="64ECDDE1" w:rsidR="00F12A1E" w:rsidRP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To accommodate a multi-manager or multi-asset strategy a fund or portfolio ought to be able to combine approaches, say 50% Improvers and 50% Sustainable Focus provided that the requirements of each category are met (proportionately). </w:t>
      </w:r>
    </w:p>
    <w:p w14:paraId="0DD8A37A"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4B043186"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b/>
          <w:bCs/>
          <w:color w:val="000000" w:themeColor="text1"/>
          <w:kern w:val="0"/>
          <w:sz w:val="24"/>
          <w:szCs w:val="24"/>
          <w14:ligatures w14:val="none"/>
        </w:rPr>
        <w:t>Universal Criteria</w:t>
      </w:r>
      <w:r w:rsidRPr="00F12A1E">
        <w:rPr>
          <w:rFonts w:ascii="Calibri" w:eastAsia="Times New Roman" w:hAnsi="Calibri" w:cs="Calibri"/>
          <w:color w:val="000000" w:themeColor="text1"/>
          <w:kern w:val="0"/>
          <w:sz w:val="24"/>
          <w:szCs w:val="24"/>
          <w14:ligatures w14:val="none"/>
        </w:rPr>
        <w:t>  </w:t>
      </w:r>
    </w:p>
    <w:p w14:paraId="7AECAFFA" w14:textId="77777777" w:rsidR="00F12A1E" w:rsidRPr="00F12A1E" w:rsidRDefault="00F12A1E" w:rsidP="00F12A1E">
      <w:pPr>
        <w:spacing w:after="0" w:line="240" w:lineRule="auto"/>
        <w:ind w:right="1365"/>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 </w:t>
      </w:r>
    </w:p>
    <w:p w14:paraId="652802E7" w14:textId="77777777" w:rsidR="00F12A1E" w:rsidRP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14:ligatures w14:val="none"/>
        </w:rPr>
        <w:t>The following should be applied across all three sustainable categories -  </w:t>
      </w:r>
    </w:p>
    <w:p w14:paraId="4B044623" w14:textId="77777777" w:rsidR="00F12A1E" w:rsidRPr="00F12A1E" w:rsidRDefault="00F12A1E" w:rsidP="00F12A1E">
      <w:pPr>
        <w:spacing w:after="0" w:line="240" w:lineRule="auto"/>
        <w:ind w:right="1365"/>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14:ligatures w14:val="none"/>
        </w:rPr>
        <w:t>  </w:t>
      </w:r>
    </w:p>
    <w:p w14:paraId="7E038DF8"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Sustainable Objective</w:t>
      </w:r>
      <w:r w:rsidRPr="00F12A1E">
        <w:rPr>
          <w:rFonts w:ascii="Calibri" w:eastAsia="Times New Roman" w:hAnsi="Calibri" w:cs="Calibri"/>
          <w:color w:val="000000" w:themeColor="text1"/>
          <w:kern w:val="0"/>
          <w:sz w:val="24"/>
          <w:szCs w:val="24"/>
          <w14:ligatures w14:val="none"/>
        </w:rPr>
        <w:t>: Should be clearly articulated and should be rigorous and underpinned by metrics or key performance indicators.    </w:t>
      </w:r>
    </w:p>
    <w:p w14:paraId="696A5A74"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Investment Strategy</w:t>
      </w:r>
      <w:r w:rsidRPr="00F12A1E">
        <w:rPr>
          <w:rFonts w:ascii="Calibri" w:eastAsia="Times New Roman" w:hAnsi="Calibri" w:cs="Calibri"/>
          <w:color w:val="000000" w:themeColor="text1"/>
          <w:kern w:val="0"/>
          <w:sz w:val="24"/>
          <w:szCs w:val="24"/>
          <w14:ligatures w14:val="none"/>
        </w:rPr>
        <w:t>: To achieve the sustainable objective should be described.  </w:t>
      </w:r>
    </w:p>
    <w:p w14:paraId="301CFB9E"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Good Governance Requirement</w:t>
      </w:r>
      <w:r w:rsidRPr="00F12A1E">
        <w:rPr>
          <w:rFonts w:ascii="Calibri" w:eastAsia="Times New Roman" w:hAnsi="Calibri" w:cs="Calibri"/>
          <w:color w:val="000000" w:themeColor="text1"/>
          <w:kern w:val="0"/>
          <w:sz w:val="24"/>
          <w:szCs w:val="24"/>
          <w14:ligatures w14:val="none"/>
        </w:rPr>
        <w:t>: Should be retained.   </w:t>
      </w:r>
    </w:p>
    <w:p w14:paraId="62EDB051"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Minimum Coverage</w:t>
      </w:r>
      <w:r w:rsidRPr="00F12A1E">
        <w:rPr>
          <w:rFonts w:ascii="Calibri" w:eastAsia="Times New Roman" w:hAnsi="Calibri" w:cs="Calibri"/>
          <w:color w:val="000000" w:themeColor="text1"/>
          <w:kern w:val="0"/>
          <w:sz w:val="24"/>
          <w:szCs w:val="24"/>
          <w14:ligatures w14:val="none"/>
        </w:rPr>
        <w:t xml:space="preserve">: Calculation methodologies should be internationally aligned, for example with the UK FCA and SEC, </w:t>
      </w:r>
      <w:proofErr w:type="gramStart"/>
      <w:r w:rsidRPr="00F12A1E">
        <w:rPr>
          <w:rFonts w:ascii="Calibri" w:eastAsia="Times New Roman" w:hAnsi="Calibri" w:cs="Calibri"/>
          <w:color w:val="000000" w:themeColor="text1"/>
          <w:kern w:val="0"/>
          <w:sz w:val="24"/>
          <w:szCs w:val="24"/>
          <w14:ligatures w14:val="none"/>
        </w:rPr>
        <w:t>in particular for</w:t>
      </w:r>
      <w:proofErr w:type="gramEnd"/>
      <w:r w:rsidRPr="00F12A1E">
        <w:rPr>
          <w:rFonts w:ascii="Calibri" w:eastAsia="Times New Roman" w:hAnsi="Calibri" w:cs="Calibri"/>
          <w:color w:val="000000" w:themeColor="text1"/>
          <w:kern w:val="0"/>
          <w:sz w:val="24"/>
          <w:szCs w:val="24"/>
          <w14:ligatures w14:val="none"/>
        </w:rPr>
        <w:t xml:space="preserve"> determining how derivatives exposures are counted.   </w:t>
      </w:r>
    </w:p>
    <w:p w14:paraId="5391FE0C" w14:textId="77777777" w:rsidR="00F12A1E" w:rsidRPr="00F12A1E" w:rsidRDefault="00F12A1E" w:rsidP="00F12A1E">
      <w:pPr>
        <w:pStyle w:val="ListParagraph"/>
        <w:numPr>
          <w:ilvl w:val="0"/>
          <w:numId w:val="11"/>
        </w:numPr>
        <w:spacing w:after="0" w:line="240" w:lineRule="auto"/>
        <w:jc w:val="both"/>
        <w:textAlignment w:val="baseline"/>
        <w:rPr>
          <w:rFonts w:ascii="Calibri" w:eastAsia="Times New Roman" w:hAnsi="Calibri" w:cs="Calibri"/>
          <w:color w:val="000000" w:themeColor="text1"/>
          <w:kern w:val="0"/>
          <w:sz w:val="24"/>
          <w:szCs w:val="24"/>
          <w14:ligatures w14:val="none"/>
        </w:rPr>
      </w:pPr>
      <w:r w:rsidRPr="00F12A1E">
        <w:rPr>
          <w:rFonts w:ascii="Calibri" w:eastAsia="Times New Roman" w:hAnsi="Calibri" w:cs="Calibri"/>
          <w:color w:val="000000" w:themeColor="text1"/>
          <w:kern w:val="0"/>
          <w:sz w:val="24"/>
          <w:szCs w:val="24"/>
          <w:u w:val="single"/>
          <w14:ligatures w14:val="none"/>
        </w:rPr>
        <w:t>Asset Neutrality</w:t>
      </w:r>
      <w:r w:rsidRPr="00F12A1E">
        <w:rPr>
          <w:rFonts w:ascii="Calibri" w:eastAsia="Times New Roman" w:hAnsi="Calibri" w:cs="Calibri"/>
          <w:color w:val="000000" w:themeColor="text1"/>
          <w:kern w:val="0"/>
          <w:sz w:val="24"/>
          <w:szCs w:val="24"/>
          <w14:ligatures w14:val="none"/>
        </w:rPr>
        <w:t>: The categories should be able to be applied to all asset types, including real estate.</w:t>
      </w:r>
    </w:p>
    <w:p w14:paraId="175C2ECD" w14:textId="77777777" w:rsidR="00F12A1E" w:rsidRPr="00F12A1E" w:rsidRDefault="00F12A1E" w:rsidP="00F12A1E">
      <w:pPr>
        <w:rPr>
          <w:rFonts w:ascii="Calibri" w:hAnsi="Calibri" w:cs="Calibri"/>
          <w:b/>
          <w:bCs/>
          <w:color w:val="000000" w:themeColor="text1"/>
          <w:u w:val="single"/>
        </w:rPr>
      </w:pPr>
    </w:p>
    <w:sectPr w:rsidR="00F12A1E" w:rsidRPr="00F12A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30142"/>
    <w:multiLevelType w:val="multilevel"/>
    <w:tmpl w:val="D6CC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010691"/>
    <w:multiLevelType w:val="hybridMultilevel"/>
    <w:tmpl w:val="4844E0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A47D84"/>
    <w:multiLevelType w:val="multilevel"/>
    <w:tmpl w:val="24C4B9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6D74A03"/>
    <w:multiLevelType w:val="multilevel"/>
    <w:tmpl w:val="28849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CE7EC4"/>
    <w:multiLevelType w:val="multilevel"/>
    <w:tmpl w:val="E280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3B5393"/>
    <w:multiLevelType w:val="multilevel"/>
    <w:tmpl w:val="FDF41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894D3D"/>
    <w:multiLevelType w:val="hybridMultilevel"/>
    <w:tmpl w:val="23A0F96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1F1021"/>
    <w:multiLevelType w:val="multilevel"/>
    <w:tmpl w:val="D722F2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6E410E5"/>
    <w:multiLevelType w:val="hybridMultilevel"/>
    <w:tmpl w:val="8DE2A0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8A96D39"/>
    <w:multiLevelType w:val="multilevel"/>
    <w:tmpl w:val="DFEA9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6238B5"/>
    <w:multiLevelType w:val="multilevel"/>
    <w:tmpl w:val="8782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4258D6"/>
    <w:multiLevelType w:val="hybridMultilevel"/>
    <w:tmpl w:val="F950204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3730923">
    <w:abstractNumId w:val="3"/>
  </w:num>
  <w:num w:numId="2" w16cid:durableId="456460329">
    <w:abstractNumId w:val="5"/>
  </w:num>
  <w:num w:numId="3" w16cid:durableId="1197739094">
    <w:abstractNumId w:val="2"/>
  </w:num>
  <w:num w:numId="4" w16cid:durableId="1893148399">
    <w:abstractNumId w:val="7"/>
  </w:num>
  <w:num w:numId="5" w16cid:durableId="1249734917">
    <w:abstractNumId w:val="0"/>
  </w:num>
  <w:num w:numId="6" w16cid:durableId="180822475">
    <w:abstractNumId w:val="10"/>
  </w:num>
  <w:num w:numId="7" w16cid:durableId="586814837">
    <w:abstractNumId w:val="4"/>
  </w:num>
  <w:num w:numId="8" w16cid:durableId="1293168987">
    <w:abstractNumId w:val="9"/>
  </w:num>
  <w:num w:numId="9" w16cid:durableId="38211029">
    <w:abstractNumId w:val="6"/>
  </w:num>
  <w:num w:numId="10" w16cid:durableId="929849597">
    <w:abstractNumId w:val="1"/>
  </w:num>
  <w:num w:numId="11" w16cid:durableId="1099564408">
    <w:abstractNumId w:val="11"/>
  </w:num>
  <w:num w:numId="12" w16cid:durableId="4993493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1E"/>
    <w:rsid w:val="00165FDF"/>
    <w:rsid w:val="002135AA"/>
    <w:rsid w:val="00F12A1E"/>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C38E"/>
  <w15:chartTrackingRefBased/>
  <w15:docId w15:val="{5FAEA269-93FF-4EF7-AD0B-EB85F088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ko-KR"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12A1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F12A1E"/>
  </w:style>
  <w:style w:type="character" w:customStyle="1" w:styleId="eop">
    <w:name w:val="eop"/>
    <w:basedOn w:val="DefaultParagraphFont"/>
    <w:rsid w:val="00F12A1E"/>
  </w:style>
  <w:style w:type="character" w:customStyle="1" w:styleId="superscript">
    <w:name w:val="superscript"/>
    <w:basedOn w:val="DefaultParagraphFont"/>
    <w:rsid w:val="00F12A1E"/>
  </w:style>
  <w:style w:type="character" w:customStyle="1" w:styleId="tabchar">
    <w:name w:val="tabchar"/>
    <w:basedOn w:val="DefaultParagraphFont"/>
    <w:rsid w:val="00F12A1E"/>
  </w:style>
  <w:style w:type="paragraph" w:styleId="ListParagraph">
    <w:name w:val="List Paragraph"/>
    <w:basedOn w:val="Normal"/>
    <w:uiPriority w:val="34"/>
    <w:qFormat/>
    <w:rsid w:val="00F12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159292">
      <w:bodyDiv w:val="1"/>
      <w:marLeft w:val="0"/>
      <w:marRight w:val="0"/>
      <w:marTop w:val="0"/>
      <w:marBottom w:val="0"/>
      <w:divBdr>
        <w:top w:val="none" w:sz="0" w:space="0" w:color="auto"/>
        <w:left w:val="none" w:sz="0" w:space="0" w:color="auto"/>
        <w:bottom w:val="none" w:sz="0" w:space="0" w:color="auto"/>
        <w:right w:val="none" w:sz="0" w:space="0" w:color="auto"/>
      </w:divBdr>
      <w:divsChild>
        <w:div w:id="1711346526">
          <w:marLeft w:val="-75"/>
          <w:marRight w:val="0"/>
          <w:marTop w:val="30"/>
          <w:marBottom w:val="30"/>
          <w:divBdr>
            <w:top w:val="none" w:sz="0" w:space="0" w:color="auto"/>
            <w:left w:val="none" w:sz="0" w:space="0" w:color="auto"/>
            <w:bottom w:val="none" w:sz="0" w:space="0" w:color="auto"/>
            <w:right w:val="none" w:sz="0" w:space="0" w:color="auto"/>
          </w:divBdr>
          <w:divsChild>
            <w:div w:id="680736852">
              <w:marLeft w:val="0"/>
              <w:marRight w:val="0"/>
              <w:marTop w:val="0"/>
              <w:marBottom w:val="0"/>
              <w:divBdr>
                <w:top w:val="none" w:sz="0" w:space="0" w:color="auto"/>
                <w:left w:val="none" w:sz="0" w:space="0" w:color="auto"/>
                <w:bottom w:val="none" w:sz="0" w:space="0" w:color="auto"/>
                <w:right w:val="none" w:sz="0" w:space="0" w:color="auto"/>
              </w:divBdr>
              <w:divsChild>
                <w:div w:id="1803186582">
                  <w:marLeft w:val="0"/>
                  <w:marRight w:val="0"/>
                  <w:marTop w:val="0"/>
                  <w:marBottom w:val="0"/>
                  <w:divBdr>
                    <w:top w:val="none" w:sz="0" w:space="0" w:color="auto"/>
                    <w:left w:val="none" w:sz="0" w:space="0" w:color="auto"/>
                    <w:bottom w:val="none" w:sz="0" w:space="0" w:color="auto"/>
                    <w:right w:val="none" w:sz="0" w:space="0" w:color="auto"/>
                  </w:divBdr>
                </w:div>
              </w:divsChild>
            </w:div>
            <w:div w:id="512956952">
              <w:marLeft w:val="0"/>
              <w:marRight w:val="0"/>
              <w:marTop w:val="0"/>
              <w:marBottom w:val="0"/>
              <w:divBdr>
                <w:top w:val="none" w:sz="0" w:space="0" w:color="auto"/>
                <w:left w:val="none" w:sz="0" w:space="0" w:color="auto"/>
                <w:bottom w:val="none" w:sz="0" w:space="0" w:color="auto"/>
                <w:right w:val="none" w:sz="0" w:space="0" w:color="auto"/>
              </w:divBdr>
              <w:divsChild>
                <w:div w:id="194076609">
                  <w:marLeft w:val="0"/>
                  <w:marRight w:val="0"/>
                  <w:marTop w:val="0"/>
                  <w:marBottom w:val="0"/>
                  <w:divBdr>
                    <w:top w:val="none" w:sz="0" w:space="0" w:color="auto"/>
                    <w:left w:val="none" w:sz="0" w:space="0" w:color="auto"/>
                    <w:bottom w:val="none" w:sz="0" w:space="0" w:color="auto"/>
                    <w:right w:val="none" w:sz="0" w:space="0" w:color="auto"/>
                  </w:divBdr>
                </w:div>
              </w:divsChild>
            </w:div>
            <w:div w:id="60490391">
              <w:marLeft w:val="0"/>
              <w:marRight w:val="0"/>
              <w:marTop w:val="0"/>
              <w:marBottom w:val="0"/>
              <w:divBdr>
                <w:top w:val="none" w:sz="0" w:space="0" w:color="auto"/>
                <w:left w:val="none" w:sz="0" w:space="0" w:color="auto"/>
                <w:bottom w:val="none" w:sz="0" w:space="0" w:color="auto"/>
                <w:right w:val="none" w:sz="0" w:space="0" w:color="auto"/>
              </w:divBdr>
              <w:divsChild>
                <w:div w:id="227418051">
                  <w:marLeft w:val="0"/>
                  <w:marRight w:val="0"/>
                  <w:marTop w:val="0"/>
                  <w:marBottom w:val="0"/>
                  <w:divBdr>
                    <w:top w:val="none" w:sz="0" w:space="0" w:color="auto"/>
                    <w:left w:val="none" w:sz="0" w:space="0" w:color="auto"/>
                    <w:bottom w:val="none" w:sz="0" w:space="0" w:color="auto"/>
                    <w:right w:val="none" w:sz="0" w:space="0" w:color="auto"/>
                  </w:divBdr>
                </w:div>
              </w:divsChild>
            </w:div>
            <w:div w:id="564881432">
              <w:marLeft w:val="0"/>
              <w:marRight w:val="0"/>
              <w:marTop w:val="0"/>
              <w:marBottom w:val="0"/>
              <w:divBdr>
                <w:top w:val="none" w:sz="0" w:space="0" w:color="auto"/>
                <w:left w:val="none" w:sz="0" w:space="0" w:color="auto"/>
                <w:bottom w:val="none" w:sz="0" w:space="0" w:color="auto"/>
                <w:right w:val="none" w:sz="0" w:space="0" w:color="auto"/>
              </w:divBdr>
              <w:divsChild>
                <w:div w:id="1480414775">
                  <w:marLeft w:val="0"/>
                  <w:marRight w:val="0"/>
                  <w:marTop w:val="0"/>
                  <w:marBottom w:val="0"/>
                  <w:divBdr>
                    <w:top w:val="none" w:sz="0" w:space="0" w:color="auto"/>
                    <w:left w:val="none" w:sz="0" w:space="0" w:color="auto"/>
                    <w:bottom w:val="none" w:sz="0" w:space="0" w:color="auto"/>
                    <w:right w:val="none" w:sz="0" w:space="0" w:color="auto"/>
                  </w:divBdr>
                </w:div>
              </w:divsChild>
            </w:div>
            <w:div w:id="1718817160">
              <w:marLeft w:val="0"/>
              <w:marRight w:val="0"/>
              <w:marTop w:val="0"/>
              <w:marBottom w:val="0"/>
              <w:divBdr>
                <w:top w:val="none" w:sz="0" w:space="0" w:color="auto"/>
                <w:left w:val="none" w:sz="0" w:space="0" w:color="auto"/>
                <w:bottom w:val="none" w:sz="0" w:space="0" w:color="auto"/>
                <w:right w:val="none" w:sz="0" w:space="0" w:color="auto"/>
              </w:divBdr>
              <w:divsChild>
                <w:div w:id="2122525948">
                  <w:marLeft w:val="0"/>
                  <w:marRight w:val="0"/>
                  <w:marTop w:val="0"/>
                  <w:marBottom w:val="0"/>
                  <w:divBdr>
                    <w:top w:val="none" w:sz="0" w:space="0" w:color="auto"/>
                    <w:left w:val="none" w:sz="0" w:space="0" w:color="auto"/>
                    <w:bottom w:val="none" w:sz="0" w:space="0" w:color="auto"/>
                    <w:right w:val="none" w:sz="0" w:space="0" w:color="auto"/>
                  </w:divBdr>
                </w:div>
              </w:divsChild>
            </w:div>
            <w:div w:id="376316654">
              <w:marLeft w:val="0"/>
              <w:marRight w:val="0"/>
              <w:marTop w:val="0"/>
              <w:marBottom w:val="0"/>
              <w:divBdr>
                <w:top w:val="none" w:sz="0" w:space="0" w:color="auto"/>
                <w:left w:val="none" w:sz="0" w:space="0" w:color="auto"/>
                <w:bottom w:val="none" w:sz="0" w:space="0" w:color="auto"/>
                <w:right w:val="none" w:sz="0" w:space="0" w:color="auto"/>
              </w:divBdr>
              <w:divsChild>
                <w:div w:id="313533933">
                  <w:marLeft w:val="0"/>
                  <w:marRight w:val="0"/>
                  <w:marTop w:val="0"/>
                  <w:marBottom w:val="0"/>
                  <w:divBdr>
                    <w:top w:val="none" w:sz="0" w:space="0" w:color="auto"/>
                    <w:left w:val="none" w:sz="0" w:space="0" w:color="auto"/>
                    <w:bottom w:val="none" w:sz="0" w:space="0" w:color="auto"/>
                    <w:right w:val="none" w:sz="0" w:space="0" w:color="auto"/>
                  </w:divBdr>
                </w:div>
              </w:divsChild>
            </w:div>
            <w:div w:id="413819886">
              <w:marLeft w:val="0"/>
              <w:marRight w:val="0"/>
              <w:marTop w:val="0"/>
              <w:marBottom w:val="0"/>
              <w:divBdr>
                <w:top w:val="none" w:sz="0" w:space="0" w:color="auto"/>
                <w:left w:val="none" w:sz="0" w:space="0" w:color="auto"/>
                <w:bottom w:val="none" w:sz="0" w:space="0" w:color="auto"/>
                <w:right w:val="none" w:sz="0" w:space="0" w:color="auto"/>
              </w:divBdr>
              <w:divsChild>
                <w:div w:id="101534612">
                  <w:marLeft w:val="0"/>
                  <w:marRight w:val="0"/>
                  <w:marTop w:val="0"/>
                  <w:marBottom w:val="0"/>
                  <w:divBdr>
                    <w:top w:val="none" w:sz="0" w:space="0" w:color="auto"/>
                    <w:left w:val="none" w:sz="0" w:space="0" w:color="auto"/>
                    <w:bottom w:val="none" w:sz="0" w:space="0" w:color="auto"/>
                    <w:right w:val="none" w:sz="0" w:space="0" w:color="auto"/>
                  </w:divBdr>
                </w:div>
              </w:divsChild>
            </w:div>
            <w:div w:id="1423643926">
              <w:marLeft w:val="0"/>
              <w:marRight w:val="0"/>
              <w:marTop w:val="0"/>
              <w:marBottom w:val="0"/>
              <w:divBdr>
                <w:top w:val="none" w:sz="0" w:space="0" w:color="auto"/>
                <w:left w:val="none" w:sz="0" w:space="0" w:color="auto"/>
                <w:bottom w:val="none" w:sz="0" w:space="0" w:color="auto"/>
                <w:right w:val="none" w:sz="0" w:space="0" w:color="auto"/>
              </w:divBdr>
              <w:divsChild>
                <w:div w:id="1404375764">
                  <w:marLeft w:val="0"/>
                  <w:marRight w:val="0"/>
                  <w:marTop w:val="0"/>
                  <w:marBottom w:val="0"/>
                  <w:divBdr>
                    <w:top w:val="none" w:sz="0" w:space="0" w:color="auto"/>
                    <w:left w:val="none" w:sz="0" w:space="0" w:color="auto"/>
                    <w:bottom w:val="none" w:sz="0" w:space="0" w:color="auto"/>
                    <w:right w:val="none" w:sz="0" w:space="0" w:color="auto"/>
                  </w:divBdr>
                </w:div>
              </w:divsChild>
            </w:div>
            <w:div w:id="1350762646">
              <w:marLeft w:val="0"/>
              <w:marRight w:val="0"/>
              <w:marTop w:val="0"/>
              <w:marBottom w:val="0"/>
              <w:divBdr>
                <w:top w:val="none" w:sz="0" w:space="0" w:color="auto"/>
                <w:left w:val="none" w:sz="0" w:space="0" w:color="auto"/>
                <w:bottom w:val="none" w:sz="0" w:space="0" w:color="auto"/>
                <w:right w:val="none" w:sz="0" w:space="0" w:color="auto"/>
              </w:divBdr>
              <w:divsChild>
                <w:div w:id="55326346">
                  <w:marLeft w:val="0"/>
                  <w:marRight w:val="0"/>
                  <w:marTop w:val="0"/>
                  <w:marBottom w:val="0"/>
                  <w:divBdr>
                    <w:top w:val="none" w:sz="0" w:space="0" w:color="auto"/>
                    <w:left w:val="none" w:sz="0" w:space="0" w:color="auto"/>
                    <w:bottom w:val="none" w:sz="0" w:space="0" w:color="auto"/>
                    <w:right w:val="none" w:sz="0" w:space="0" w:color="auto"/>
                  </w:divBdr>
                </w:div>
                <w:div w:id="1549535965">
                  <w:marLeft w:val="0"/>
                  <w:marRight w:val="0"/>
                  <w:marTop w:val="0"/>
                  <w:marBottom w:val="0"/>
                  <w:divBdr>
                    <w:top w:val="none" w:sz="0" w:space="0" w:color="auto"/>
                    <w:left w:val="none" w:sz="0" w:space="0" w:color="auto"/>
                    <w:bottom w:val="none" w:sz="0" w:space="0" w:color="auto"/>
                    <w:right w:val="none" w:sz="0" w:space="0" w:color="auto"/>
                  </w:divBdr>
                </w:div>
                <w:div w:id="1570143877">
                  <w:marLeft w:val="0"/>
                  <w:marRight w:val="0"/>
                  <w:marTop w:val="0"/>
                  <w:marBottom w:val="0"/>
                  <w:divBdr>
                    <w:top w:val="none" w:sz="0" w:space="0" w:color="auto"/>
                    <w:left w:val="none" w:sz="0" w:space="0" w:color="auto"/>
                    <w:bottom w:val="none" w:sz="0" w:space="0" w:color="auto"/>
                    <w:right w:val="none" w:sz="0" w:space="0" w:color="auto"/>
                  </w:divBdr>
                </w:div>
                <w:div w:id="1412511250">
                  <w:marLeft w:val="0"/>
                  <w:marRight w:val="0"/>
                  <w:marTop w:val="0"/>
                  <w:marBottom w:val="0"/>
                  <w:divBdr>
                    <w:top w:val="none" w:sz="0" w:space="0" w:color="auto"/>
                    <w:left w:val="none" w:sz="0" w:space="0" w:color="auto"/>
                    <w:bottom w:val="none" w:sz="0" w:space="0" w:color="auto"/>
                    <w:right w:val="none" w:sz="0" w:space="0" w:color="auto"/>
                  </w:divBdr>
                </w:div>
                <w:div w:id="1830361832">
                  <w:marLeft w:val="0"/>
                  <w:marRight w:val="0"/>
                  <w:marTop w:val="0"/>
                  <w:marBottom w:val="0"/>
                  <w:divBdr>
                    <w:top w:val="none" w:sz="0" w:space="0" w:color="auto"/>
                    <w:left w:val="none" w:sz="0" w:space="0" w:color="auto"/>
                    <w:bottom w:val="none" w:sz="0" w:space="0" w:color="auto"/>
                    <w:right w:val="none" w:sz="0" w:space="0" w:color="auto"/>
                  </w:divBdr>
                </w:div>
                <w:div w:id="858853941">
                  <w:marLeft w:val="0"/>
                  <w:marRight w:val="0"/>
                  <w:marTop w:val="0"/>
                  <w:marBottom w:val="0"/>
                  <w:divBdr>
                    <w:top w:val="none" w:sz="0" w:space="0" w:color="auto"/>
                    <w:left w:val="none" w:sz="0" w:space="0" w:color="auto"/>
                    <w:bottom w:val="none" w:sz="0" w:space="0" w:color="auto"/>
                    <w:right w:val="none" w:sz="0" w:space="0" w:color="auto"/>
                  </w:divBdr>
                </w:div>
                <w:div w:id="82652564">
                  <w:marLeft w:val="0"/>
                  <w:marRight w:val="0"/>
                  <w:marTop w:val="0"/>
                  <w:marBottom w:val="0"/>
                  <w:divBdr>
                    <w:top w:val="none" w:sz="0" w:space="0" w:color="auto"/>
                    <w:left w:val="none" w:sz="0" w:space="0" w:color="auto"/>
                    <w:bottom w:val="none" w:sz="0" w:space="0" w:color="auto"/>
                    <w:right w:val="none" w:sz="0" w:space="0" w:color="auto"/>
                  </w:divBdr>
                </w:div>
                <w:div w:id="166404147">
                  <w:marLeft w:val="0"/>
                  <w:marRight w:val="0"/>
                  <w:marTop w:val="0"/>
                  <w:marBottom w:val="0"/>
                  <w:divBdr>
                    <w:top w:val="none" w:sz="0" w:space="0" w:color="auto"/>
                    <w:left w:val="none" w:sz="0" w:space="0" w:color="auto"/>
                    <w:bottom w:val="none" w:sz="0" w:space="0" w:color="auto"/>
                    <w:right w:val="none" w:sz="0" w:space="0" w:color="auto"/>
                  </w:divBdr>
                </w:div>
              </w:divsChild>
            </w:div>
            <w:div w:id="681511580">
              <w:marLeft w:val="0"/>
              <w:marRight w:val="0"/>
              <w:marTop w:val="0"/>
              <w:marBottom w:val="0"/>
              <w:divBdr>
                <w:top w:val="none" w:sz="0" w:space="0" w:color="auto"/>
                <w:left w:val="none" w:sz="0" w:space="0" w:color="auto"/>
                <w:bottom w:val="none" w:sz="0" w:space="0" w:color="auto"/>
                <w:right w:val="none" w:sz="0" w:space="0" w:color="auto"/>
              </w:divBdr>
              <w:divsChild>
                <w:div w:id="322662097">
                  <w:marLeft w:val="0"/>
                  <w:marRight w:val="0"/>
                  <w:marTop w:val="0"/>
                  <w:marBottom w:val="0"/>
                  <w:divBdr>
                    <w:top w:val="none" w:sz="0" w:space="0" w:color="auto"/>
                    <w:left w:val="none" w:sz="0" w:space="0" w:color="auto"/>
                    <w:bottom w:val="none" w:sz="0" w:space="0" w:color="auto"/>
                    <w:right w:val="none" w:sz="0" w:space="0" w:color="auto"/>
                  </w:divBdr>
                </w:div>
                <w:div w:id="2106031987">
                  <w:marLeft w:val="0"/>
                  <w:marRight w:val="0"/>
                  <w:marTop w:val="0"/>
                  <w:marBottom w:val="0"/>
                  <w:divBdr>
                    <w:top w:val="none" w:sz="0" w:space="0" w:color="auto"/>
                    <w:left w:val="none" w:sz="0" w:space="0" w:color="auto"/>
                    <w:bottom w:val="none" w:sz="0" w:space="0" w:color="auto"/>
                    <w:right w:val="none" w:sz="0" w:space="0" w:color="auto"/>
                  </w:divBdr>
                </w:div>
                <w:div w:id="179711136">
                  <w:marLeft w:val="0"/>
                  <w:marRight w:val="0"/>
                  <w:marTop w:val="0"/>
                  <w:marBottom w:val="0"/>
                  <w:divBdr>
                    <w:top w:val="none" w:sz="0" w:space="0" w:color="auto"/>
                    <w:left w:val="none" w:sz="0" w:space="0" w:color="auto"/>
                    <w:bottom w:val="none" w:sz="0" w:space="0" w:color="auto"/>
                    <w:right w:val="none" w:sz="0" w:space="0" w:color="auto"/>
                  </w:divBdr>
                </w:div>
                <w:div w:id="2111390258">
                  <w:marLeft w:val="0"/>
                  <w:marRight w:val="0"/>
                  <w:marTop w:val="0"/>
                  <w:marBottom w:val="0"/>
                  <w:divBdr>
                    <w:top w:val="none" w:sz="0" w:space="0" w:color="auto"/>
                    <w:left w:val="none" w:sz="0" w:space="0" w:color="auto"/>
                    <w:bottom w:val="none" w:sz="0" w:space="0" w:color="auto"/>
                    <w:right w:val="none" w:sz="0" w:space="0" w:color="auto"/>
                  </w:divBdr>
                </w:div>
                <w:div w:id="247813060">
                  <w:marLeft w:val="0"/>
                  <w:marRight w:val="0"/>
                  <w:marTop w:val="0"/>
                  <w:marBottom w:val="0"/>
                  <w:divBdr>
                    <w:top w:val="none" w:sz="0" w:space="0" w:color="auto"/>
                    <w:left w:val="none" w:sz="0" w:space="0" w:color="auto"/>
                    <w:bottom w:val="none" w:sz="0" w:space="0" w:color="auto"/>
                    <w:right w:val="none" w:sz="0" w:space="0" w:color="auto"/>
                  </w:divBdr>
                </w:div>
                <w:div w:id="386802941">
                  <w:marLeft w:val="0"/>
                  <w:marRight w:val="0"/>
                  <w:marTop w:val="0"/>
                  <w:marBottom w:val="0"/>
                  <w:divBdr>
                    <w:top w:val="none" w:sz="0" w:space="0" w:color="auto"/>
                    <w:left w:val="none" w:sz="0" w:space="0" w:color="auto"/>
                    <w:bottom w:val="none" w:sz="0" w:space="0" w:color="auto"/>
                    <w:right w:val="none" w:sz="0" w:space="0" w:color="auto"/>
                  </w:divBdr>
                </w:div>
                <w:div w:id="549729258">
                  <w:marLeft w:val="0"/>
                  <w:marRight w:val="0"/>
                  <w:marTop w:val="0"/>
                  <w:marBottom w:val="0"/>
                  <w:divBdr>
                    <w:top w:val="none" w:sz="0" w:space="0" w:color="auto"/>
                    <w:left w:val="none" w:sz="0" w:space="0" w:color="auto"/>
                    <w:bottom w:val="none" w:sz="0" w:space="0" w:color="auto"/>
                    <w:right w:val="none" w:sz="0" w:space="0" w:color="auto"/>
                  </w:divBdr>
                </w:div>
                <w:div w:id="644118617">
                  <w:marLeft w:val="0"/>
                  <w:marRight w:val="0"/>
                  <w:marTop w:val="0"/>
                  <w:marBottom w:val="0"/>
                  <w:divBdr>
                    <w:top w:val="none" w:sz="0" w:space="0" w:color="auto"/>
                    <w:left w:val="none" w:sz="0" w:space="0" w:color="auto"/>
                    <w:bottom w:val="none" w:sz="0" w:space="0" w:color="auto"/>
                    <w:right w:val="none" w:sz="0" w:space="0" w:color="auto"/>
                  </w:divBdr>
                </w:div>
                <w:div w:id="583539271">
                  <w:marLeft w:val="0"/>
                  <w:marRight w:val="0"/>
                  <w:marTop w:val="0"/>
                  <w:marBottom w:val="0"/>
                  <w:divBdr>
                    <w:top w:val="none" w:sz="0" w:space="0" w:color="auto"/>
                    <w:left w:val="none" w:sz="0" w:space="0" w:color="auto"/>
                    <w:bottom w:val="none" w:sz="0" w:space="0" w:color="auto"/>
                    <w:right w:val="none" w:sz="0" w:space="0" w:color="auto"/>
                  </w:divBdr>
                </w:div>
                <w:div w:id="456724665">
                  <w:marLeft w:val="0"/>
                  <w:marRight w:val="0"/>
                  <w:marTop w:val="0"/>
                  <w:marBottom w:val="0"/>
                  <w:divBdr>
                    <w:top w:val="none" w:sz="0" w:space="0" w:color="auto"/>
                    <w:left w:val="none" w:sz="0" w:space="0" w:color="auto"/>
                    <w:bottom w:val="none" w:sz="0" w:space="0" w:color="auto"/>
                    <w:right w:val="none" w:sz="0" w:space="0" w:color="auto"/>
                  </w:divBdr>
                </w:div>
              </w:divsChild>
            </w:div>
            <w:div w:id="504442819">
              <w:marLeft w:val="0"/>
              <w:marRight w:val="0"/>
              <w:marTop w:val="0"/>
              <w:marBottom w:val="0"/>
              <w:divBdr>
                <w:top w:val="none" w:sz="0" w:space="0" w:color="auto"/>
                <w:left w:val="none" w:sz="0" w:space="0" w:color="auto"/>
                <w:bottom w:val="none" w:sz="0" w:space="0" w:color="auto"/>
                <w:right w:val="none" w:sz="0" w:space="0" w:color="auto"/>
              </w:divBdr>
              <w:divsChild>
                <w:div w:id="440997734">
                  <w:marLeft w:val="0"/>
                  <w:marRight w:val="0"/>
                  <w:marTop w:val="0"/>
                  <w:marBottom w:val="0"/>
                  <w:divBdr>
                    <w:top w:val="none" w:sz="0" w:space="0" w:color="auto"/>
                    <w:left w:val="none" w:sz="0" w:space="0" w:color="auto"/>
                    <w:bottom w:val="none" w:sz="0" w:space="0" w:color="auto"/>
                    <w:right w:val="none" w:sz="0" w:space="0" w:color="auto"/>
                  </w:divBdr>
                </w:div>
                <w:div w:id="545024848">
                  <w:marLeft w:val="0"/>
                  <w:marRight w:val="0"/>
                  <w:marTop w:val="0"/>
                  <w:marBottom w:val="0"/>
                  <w:divBdr>
                    <w:top w:val="none" w:sz="0" w:space="0" w:color="auto"/>
                    <w:left w:val="none" w:sz="0" w:space="0" w:color="auto"/>
                    <w:bottom w:val="none" w:sz="0" w:space="0" w:color="auto"/>
                    <w:right w:val="none" w:sz="0" w:space="0" w:color="auto"/>
                  </w:divBdr>
                </w:div>
                <w:div w:id="2056731603">
                  <w:marLeft w:val="0"/>
                  <w:marRight w:val="0"/>
                  <w:marTop w:val="0"/>
                  <w:marBottom w:val="0"/>
                  <w:divBdr>
                    <w:top w:val="none" w:sz="0" w:space="0" w:color="auto"/>
                    <w:left w:val="none" w:sz="0" w:space="0" w:color="auto"/>
                    <w:bottom w:val="none" w:sz="0" w:space="0" w:color="auto"/>
                    <w:right w:val="none" w:sz="0" w:space="0" w:color="auto"/>
                  </w:divBdr>
                </w:div>
                <w:div w:id="545290540">
                  <w:marLeft w:val="0"/>
                  <w:marRight w:val="0"/>
                  <w:marTop w:val="0"/>
                  <w:marBottom w:val="0"/>
                  <w:divBdr>
                    <w:top w:val="none" w:sz="0" w:space="0" w:color="auto"/>
                    <w:left w:val="none" w:sz="0" w:space="0" w:color="auto"/>
                    <w:bottom w:val="none" w:sz="0" w:space="0" w:color="auto"/>
                    <w:right w:val="none" w:sz="0" w:space="0" w:color="auto"/>
                  </w:divBdr>
                </w:div>
                <w:div w:id="993532246">
                  <w:marLeft w:val="0"/>
                  <w:marRight w:val="0"/>
                  <w:marTop w:val="0"/>
                  <w:marBottom w:val="0"/>
                  <w:divBdr>
                    <w:top w:val="none" w:sz="0" w:space="0" w:color="auto"/>
                    <w:left w:val="none" w:sz="0" w:space="0" w:color="auto"/>
                    <w:bottom w:val="none" w:sz="0" w:space="0" w:color="auto"/>
                    <w:right w:val="none" w:sz="0" w:space="0" w:color="auto"/>
                  </w:divBdr>
                </w:div>
                <w:div w:id="367534603">
                  <w:marLeft w:val="0"/>
                  <w:marRight w:val="0"/>
                  <w:marTop w:val="0"/>
                  <w:marBottom w:val="0"/>
                  <w:divBdr>
                    <w:top w:val="none" w:sz="0" w:space="0" w:color="auto"/>
                    <w:left w:val="none" w:sz="0" w:space="0" w:color="auto"/>
                    <w:bottom w:val="none" w:sz="0" w:space="0" w:color="auto"/>
                    <w:right w:val="none" w:sz="0" w:space="0" w:color="auto"/>
                  </w:divBdr>
                </w:div>
                <w:div w:id="2138063070">
                  <w:marLeft w:val="0"/>
                  <w:marRight w:val="0"/>
                  <w:marTop w:val="0"/>
                  <w:marBottom w:val="0"/>
                  <w:divBdr>
                    <w:top w:val="none" w:sz="0" w:space="0" w:color="auto"/>
                    <w:left w:val="none" w:sz="0" w:space="0" w:color="auto"/>
                    <w:bottom w:val="none" w:sz="0" w:space="0" w:color="auto"/>
                    <w:right w:val="none" w:sz="0" w:space="0" w:color="auto"/>
                  </w:divBdr>
                </w:div>
              </w:divsChild>
            </w:div>
            <w:div w:id="478620769">
              <w:marLeft w:val="0"/>
              <w:marRight w:val="0"/>
              <w:marTop w:val="0"/>
              <w:marBottom w:val="0"/>
              <w:divBdr>
                <w:top w:val="none" w:sz="0" w:space="0" w:color="auto"/>
                <w:left w:val="none" w:sz="0" w:space="0" w:color="auto"/>
                <w:bottom w:val="none" w:sz="0" w:space="0" w:color="auto"/>
                <w:right w:val="none" w:sz="0" w:space="0" w:color="auto"/>
              </w:divBdr>
              <w:divsChild>
                <w:div w:id="1581481787">
                  <w:marLeft w:val="0"/>
                  <w:marRight w:val="0"/>
                  <w:marTop w:val="0"/>
                  <w:marBottom w:val="0"/>
                  <w:divBdr>
                    <w:top w:val="none" w:sz="0" w:space="0" w:color="auto"/>
                    <w:left w:val="none" w:sz="0" w:space="0" w:color="auto"/>
                    <w:bottom w:val="none" w:sz="0" w:space="0" w:color="auto"/>
                    <w:right w:val="none" w:sz="0" w:space="0" w:color="auto"/>
                  </w:divBdr>
                </w:div>
                <w:div w:id="363137784">
                  <w:marLeft w:val="0"/>
                  <w:marRight w:val="0"/>
                  <w:marTop w:val="0"/>
                  <w:marBottom w:val="0"/>
                  <w:divBdr>
                    <w:top w:val="none" w:sz="0" w:space="0" w:color="auto"/>
                    <w:left w:val="none" w:sz="0" w:space="0" w:color="auto"/>
                    <w:bottom w:val="none" w:sz="0" w:space="0" w:color="auto"/>
                    <w:right w:val="none" w:sz="0" w:space="0" w:color="auto"/>
                  </w:divBdr>
                </w:div>
                <w:div w:id="1507549907">
                  <w:marLeft w:val="0"/>
                  <w:marRight w:val="0"/>
                  <w:marTop w:val="0"/>
                  <w:marBottom w:val="0"/>
                  <w:divBdr>
                    <w:top w:val="none" w:sz="0" w:space="0" w:color="auto"/>
                    <w:left w:val="none" w:sz="0" w:space="0" w:color="auto"/>
                    <w:bottom w:val="none" w:sz="0" w:space="0" w:color="auto"/>
                    <w:right w:val="none" w:sz="0" w:space="0" w:color="auto"/>
                  </w:divBdr>
                </w:div>
                <w:div w:id="1294630093">
                  <w:marLeft w:val="0"/>
                  <w:marRight w:val="0"/>
                  <w:marTop w:val="0"/>
                  <w:marBottom w:val="0"/>
                  <w:divBdr>
                    <w:top w:val="none" w:sz="0" w:space="0" w:color="auto"/>
                    <w:left w:val="none" w:sz="0" w:space="0" w:color="auto"/>
                    <w:bottom w:val="none" w:sz="0" w:space="0" w:color="auto"/>
                    <w:right w:val="none" w:sz="0" w:space="0" w:color="auto"/>
                  </w:divBdr>
                </w:div>
                <w:div w:id="1748728816">
                  <w:marLeft w:val="0"/>
                  <w:marRight w:val="0"/>
                  <w:marTop w:val="0"/>
                  <w:marBottom w:val="0"/>
                  <w:divBdr>
                    <w:top w:val="none" w:sz="0" w:space="0" w:color="auto"/>
                    <w:left w:val="none" w:sz="0" w:space="0" w:color="auto"/>
                    <w:bottom w:val="none" w:sz="0" w:space="0" w:color="auto"/>
                    <w:right w:val="none" w:sz="0" w:space="0" w:color="auto"/>
                  </w:divBdr>
                </w:div>
                <w:div w:id="1608999073">
                  <w:marLeft w:val="0"/>
                  <w:marRight w:val="0"/>
                  <w:marTop w:val="0"/>
                  <w:marBottom w:val="0"/>
                  <w:divBdr>
                    <w:top w:val="none" w:sz="0" w:space="0" w:color="auto"/>
                    <w:left w:val="none" w:sz="0" w:space="0" w:color="auto"/>
                    <w:bottom w:val="none" w:sz="0" w:space="0" w:color="auto"/>
                    <w:right w:val="none" w:sz="0" w:space="0" w:color="auto"/>
                  </w:divBdr>
                </w:div>
              </w:divsChild>
            </w:div>
            <w:div w:id="1668746912">
              <w:marLeft w:val="0"/>
              <w:marRight w:val="0"/>
              <w:marTop w:val="0"/>
              <w:marBottom w:val="0"/>
              <w:divBdr>
                <w:top w:val="none" w:sz="0" w:space="0" w:color="auto"/>
                <w:left w:val="none" w:sz="0" w:space="0" w:color="auto"/>
                <w:bottom w:val="none" w:sz="0" w:space="0" w:color="auto"/>
                <w:right w:val="none" w:sz="0" w:space="0" w:color="auto"/>
              </w:divBdr>
              <w:divsChild>
                <w:div w:id="321978941">
                  <w:marLeft w:val="0"/>
                  <w:marRight w:val="0"/>
                  <w:marTop w:val="0"/>
                  <w:marBottom w:val="0"/>
                  <w:divBdr>
                    <w:top w:val="none" w:sz="0" w:space="0" w:color="auto"/>
                    <w:left w:val="none" w:sz="0" w:space="0" w:color="auto"/>
                    <w:bottom w:val="none" w:sz="0" w:space="0" w:color="auto"/>
                    <w:right w:val="none" w:sz="0" w:space="0" w:color="auto"/>
                  </w:divBdr>
                </w:div>
              </w:divsChild>
            </w:div>
            <w:div w:id="885071462">
              <w:marLeft w:val="0"/>
              <w:marRight w:val="0"/>
              <w:marTop w:val="0"/>
              <w:marBottom w:val="0"/>
              <w:divBdr>
                <w:top w:val="none" w:sz="0" w:space="0" w:color="auto"/>
                <w:left w:val="none" w:sz="0" w:space="0" w:color="auto"/>
                <w:bottom w:val="none" w:sz="0" w:space="0" w:color="auto"/>
                <w:right w:val="none" w:sz="0" w:space="0" w:color="auto"/>
              </w:divBdr>
              <w:divsChild>
                <w:div w:id="4564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1288">
          <w:marLeft w:val="0"/>
          <w:marRight w:val="0"/>
          <w:marTop w:val="0"/>
          <w:marBottom w:val="0"/>
          <w:divBdr>
            <w:top w:val="none" w:sz="0" w:space="0" w:color="auto"/>
            <w:left w:val="none" w:sz="0" w:space="0" w:color="auto"/>
            <w:bottom w:val="none" w:sz="0" w:space="0" w:color="auto"/>
            <w:right w:val="none" w:sz="0" w:space="0" w:color="auto"/>
          </w:divBdr>
        </w:div>
        <w:div w:id="1034042416">
          <w:marLeft w:val="0"/>
          <w:marRight w:val="0"/>
          <w:marTop w:val="0"/>
          <w:marBottom w:val="0"/>
          <w:divBdr>
            <w:top w:val="none" w:sz="0" w:space="0" w:color="auto"/>
            <w:left w:val="none" w:sz="0" w:space="0" w:color="auto"/>
            <w:bottom w:val="none" w:sz="0" w:space="0" w:color="auto"/>
            <w:right w:val="none" w:sz="0" w:space="0" w:color="auto"/>
          </w:divBdr>
        </w:div>
        <w:div w:id="455679167">
          <w:marLeft w:val="0"/>
          <w:marRight w:val="0"/>
          <w:marTop w:val="0"/>
          <w:marBottom w:val="0"/>
          <w:divBdr>
            <w:top w:val="none" w:sz="0" w:space="0" w:color="auto"/>
            <w:left w:val="none" w:sz="0" w:space="0" w:color="auto"/>
            <w:bottom w:val="none" w:sz="0" w:space="0" w:color="auto"/>
            <w:right w:val="none" w:sz="0" w:space="0" w:color="auto"/>
          </w:divBdr>
        </w:div>
        <w:div w:id="1940404946">
          <w:marLeft w:val="0"/>
          <w:marRight w:val="0"/>
          <w:marTop w:val="0"/>
          <w:marBottom w:val="0"/>
          <w:divBdr>
            <w:top w:val="none" w:sz="0" w:space="0" w:color="auto"/>
            <w:left w:val="none" w:sz="0" w:space="0" w:color="auto"/>
            <w:bottom w:val="none" w:sz="0" w:space="0" w:color="auto"/>
            <w:right w:val="none" w:sz="0" w:space="0" w:color="auto"/>
          </w:divBdr>
        </w:div>
        <w:div w:id="52897564">
          <w:marLeft w:val="0"/>
          <w:marRight w:val="0"/>
          <w:marTop w:val="0"/>
          <w:marBottom w:val="0"/>
          <w:divBdr>
            <w:top w:val="none" w:sz="0" w:space="0" w:color="auto"/>
            <w:left w:val="none" w:sz="0" w:space="0" w:color="auto"/>
            <w:bottom w:val="none" w:sz="0" w:space="0" w:color="auto"/>
            <w:right w:val="none" w:sz="0" w:space="0" w:color="auto"/>
          </w:divBdr>
        </w:div>
        <w:div w:id="2136824542">
          <w:marLeft w:val="0"/>
          <w:marRight w:val="0"/>
          <w:marTop w:val="0"/>
          <w:marBottom w:val="0"/>
          <w:divBdr>
            <w:top w:val="none" w:sz="0" w:space="0" w:color="auto"/>
            <w:left w:val="none" w:sz="0" w:space="0" w:color="auto"/>
            <w:bottom w:val="none" w:sz="0" w:space="0" w:color="auto"/>
            <w:right w:val="none" w:sz="0" w:space="0" w:color="auto"/>
          </w:divBdr>
        </w:div>
        <w:div w:id="462626142">
          <w:marLeft w:val="0"/>
          <w:marRight w:val="0"/>
          <w:marTop w:val="0"/>
          <w:marBottom w:val="0"/>
          <w:divBdr>
            <w:top w:val="none" w:sz="0" w:space="0" w:color="auto"/>
            <w:left w:val="none" w:sz="0" w:space="0" w:color="auto"/>
            <w:bottom w:val="none" w:sz="0" w:space="0" w:color="auto"/>
            <w:right w:val="none" w:sz="0" w:space="0" w:color="auto"/>
          </w:divBdr>
        </w:div>
        <w:div w:id="1022053749">
          <w:marLeft w:val="0"/>
          <w:marRight w:val="0"/>
          <w:marTop w:val="0"/>
          <w:marBottom w:val="0"/>
          <w:divBdr>
            <w:top w:val="none" w:sz="0" w:space="0" w:color="auto"/>
            <w:left w:val="none" w:sz="0" w:space="0" w:color="auto"/>
            <w:bottom w:val="none" w:sz="0" w:space="0" w:color="auto"/>
            <w:right w:val="none" w:sz="0" w:space="0" w:color="auto"/>
          </w:divBdr>
        </w:div>
        <w:div w:id="387849034">
          <w:marLeft w:val="0"/>
          <w:marRight w:val="0"/>
          <w:marTop w:val="0"/>
          <w:marBottom w:val="0"/>
          <w:divBdr>
            <w:top w:val="none" w:sz="0" w:space="0" w:color="auto"/>
            <w:left w:val="none" w:sz="0" w:space="0" w:color="auto"/>
            <w:bottom w:val="none" w:sz="0" w:space="0" w:color="auto"/>
            <w:right w:val="none" w:sz="0" w:space="0" w:color="auto"/>
          </w:divBdr>
        </w:div>
        <w:div w:id="1814442067">
          <w:marLeft w:val="0"/>
          <w:marRight w:val="0"/>
          <w:marTop w:val="0"/>
          <w:marBottom w:val="0"/>
          <w:divBdr>
            <w:top w:val="none" w:sz="0" w:space="0" w:color="auto"/>
            <w:left w:val="none" w:sz="0" w:space="0" w:color="auto"/>
            <w:bottom w:val="none" w:sz="0" w:space="0" w:color="auto"/>
            <w:right w:val="none" w:sz="0" w:space="0" w:color="auto"/>
          </w:divBdr>
        </w:div>
        <w:div w:id="2136562468">
          <w:marLeft w:val="0"/>
          <w:marRight w:val="0"/>
          <w:marTop w:val="0"/>
          <w:marBottom w:val="0"/>
          <w:divBdr>
            <w:top w:val="none" w:sz="0" w:space="0" w:color="auto"/>
            <w:left w:val="none" w:sz="0" w:space="0" w:color="auto"/>
            <w:bottom w:val="none" w:sz="0" w:space="0" w:color="auto"/>
            <w:right w:val="none" w:sz="0" w:space="0" w:color="auto"/>
          </w:divBdr>
        </w:div>
        <w:div w:id="349332217">
          <w:marLeft w:val="0"/>
          <w:marRight w:val="0"/>
          <w:marTop w:val="0"/>
          <w:marBottom w:val="0"/>
          <w:divBdr>
            <w:top w:val="none" w:sz="0" w:space="0" w:color="auto"/>
            <w:left w:val="none" w:sz="0" w:space="0" w:color="auto"/>
            <w:bottom w:val="none" w:sz="0" w:space="0" w:color="auto"/>
            <w:right w:val="none" w:sz="0" w:space="0" w:color="auto"/>
          </w:divBdr>
        </w:div>
        <w:div w:id="301547731">
          <w:marLeft w:val="0"/>
          <w:marRight w:val="0"/>
          <w:marTop w:val="0"/>
          <w:marBottom w:val="0"/>
          <w:divBdr>
            <w:top w:val="none" w:sz="0" w:space="0" w:color="auto"/>
            <w:left w:val="none" w:sz="0" w:space="0" w:color="auto"/>
            <w:bottom w:val="none" w:sz="0" w:space="0" w:color="auto"/>
            <w:right w:val="none" w:sz="0" w:space="0" w:color="auto"/>
          </w:divBdr>
        </w:div>
        <w:div w:id="137039892">
          <w:marLeft w:val="0"/>
          <w:marRight w:val="0"/>
          <w:marTop w:val="0"/>
          <w:marBottom w:val="0"/>
          <w:divBdr>
            <w:top w:val="none" w:sz="0" w:space="0" w:color="auto"/>
            <w:left w:val="none" w:sz="0" w:space="0" w:color="auto"/>
            <w:bottom w:val="none" w:sz="0" w:space="0" w:color="auto"/>
            <w:right w:val="none" w:sz="0" w:space="0" w:color="auto"/>
          </w:divBdr>
        </w:div>
        <w:div w:id="1393776482">
          <w:marLeft w:val="0"/>
          <w:marRight w:val="0"/>
          <w:marTop w:val="0"/>
          <w:marBottom w:val="0"/>
          <w:divBdr>
            <w:top w:val="none" w:sz="0" w:space="0" w:color="auto"/>
            <w:left w:val="none" w:sz="0" w:space="0" w:color="auto"/>
            <w:bottom w:val="none" w:sz="0" w:space="0" w:color="auto"/>
            <w:right w:val="none" w:sz="0" w:space="0" w:color="auto"/>
          </w:divBdr>
        </w:div>
        <w:div w:id="1477262600">
          <w:marLeft w:val="0"/>
          <w:marRight w:val="0"/>
          <w:marTop w:val="0"/>
          <w:marBottom w:val="0"/>
          <w:divBdr>
            <w:top w:val="none" w:sz="0" w:space="0" w:color="auto"/>
            <w:left w:val="none" w:sz="0" w:space="0" w:color="auto"/>
            <w:bottom w:val="none" w:sz="0" w:space="0" w:color="auto"/>
            <w:right w:val="none" w:sz="0" w:space="0" w:color="auto"/>
          </w:divBdr>
        </w:div>
        <w:div w:id="1672290919">
          <w:marLeft w:val="0"/>
          <w:marRight w:val="0"/>
          <w:marTop w:val="0"/>
          <w:marBottom w:val="0"/>
          <w:divBdr>
            <w:top w:val="none" w:sz="0" w:space="0" w:color="auto"/>
            <w:left w:val="none" w:sz="0" w:space="0" w:color="auto"/>
            <w:bottom w:val="none" w:sz="0" w:space="0" w:color="auto"/>
            <w:right w:val="none" w:sz="0" w:space="0" w:color="auto"/>
          </w:divBdr>
        </w:div>
        <w:div w:id="1703820929">
          <w:marLeft w:val="0"/>
          <w:marRight w:val="0"/>
          <w:marTop w:val="0"/>
          <w:marBottom w:val="0"/>
          <w:divBdr>
            <w:top w:val="none" w:sz="0" w:space="0" w:color="auto"/>
            <w:left w:val="none" w:sz="0" w:space="0" w:color="auto"/>
            <w:bottom w:val="none" w:sz="0" w:space="0" w:color="auto"/>
            <w:right w:val="none" w:sz="0" w:space="0" w:color="auto"/>
          </w:divBdr>
        </w:div>
        <w:div w:id="2047440254">
          <w:marLeft w:val="0"/>
          <w:marRight w:val="0"/>
          <w:marTop w:val="0"/>
          <w:marBottom w:val="0"/>
          <w:divBdr>
            <w:top w:val="none" w:sz="0" w:space="0" w:color="auto"/>
            <w:left w:val="none" w:sz="0" w:space="0" w:color="auto"/>
            <w:bottom w:val="none" w:sz="0" w:space="0" w:color="auto"/>
            <w:right w:val="none" w:sz="0" w:space="0" w:color="auto"/>
          </w:divBdr>
        </w:div>
        <w:div w:id="327372670">
          <w:marLeft w:val="0"/>
          <w:marRight w:val="0"/>
          <w:marTop w:val="0"/>
          <w:marBottom w:val="0"/>
          <w:divBdr>
            <w:top w:val="none" w:sz="0" w:space="0" w:color="auto"/>
            <w:left w:val="none" w:sz="0" w:space="0" w:color="auto"/>
            <w:bottom w:val="none" w:sz="0" w:space="0" w:color="auto"/>
            <w:right w:val="none" w:sz="0" w:space="0" w:color="auto"/>
          </w:divBdr>
        </w:div>
        <w:div w:id="1068918200">
          <w:marLeft w:val="0"/>
          <w:marRight w:val="0"/>
          <w:marTop w:val="0"/>
          <w:marBottom w:val="0"/>
          <w:divBdr>
            <w:top w:val="none" w:sz="0" w:space="0" w:color="auto"/>
            <w:left w:val="none" w:sz="0" w:space="0" w:color="auto"/>
            <w:bottom w:val="none" w:sz="0" w:space="0" w:color="auto"/>
            <w:right w:val="none" w:sz="0" w:space="0" w:color="auto"/>
          </w:divBdr>
        </w:div>
        <w:div w:id="1659847560">
          <w:marLeft w:val="0"/>
          <w:marRight w:val="0"/>
          <w:marTop w:val="0"/>
          <w:marBottom w:val="0"/>
          <w:divBdr>
            <w:top w:val="none" w:sz="0" w:space="0" w:color="auto"/>
            <w:left w:val="none" w:sz="0" w:space="0" w:color="auto"/>
            <w:bottom w:val="none" w:sz="0" w:space="0" w:color="auto"/>
            <w:right w:val="none" w:sz="0" w:space="0" w:color="auto"/>
          </w:divBdr>
        </w:div>
        <w:div w:id="1100756897">
          <w:marLeft w:val="0"/>
          <w:marRight w:val="0"/>
          <w:marTop w:val="0"/>
          <w:marBottom w:val="0"/>
          <w:divBdr>
            <w:top w:val="none" w:sz="0" w:space="0" w:color="auto"/>
            <w:left w:val="none" w:sz="0" w:space="0" w:color="auto"/>
            <w:bottom w:val="none" w:sz="0" w:space="0" w:color="auto"/>
            <w:right w:val="none" w:sz="0" w:space="0" w:color="auto"/>
          </w:divBdr>
        </w:div>
        <w:div w:id="1185246151">
          <w:marLeft w:val="0"/>
          <w:marRight w:val="0"/>
          <w:marTop w:val="0"/>
          <w:marBottom w:val="0"/>
          <w:divBdr>
            <w:top w:val="none" w:sz="0" w:space="0" w:color="auto"/>
            <w:left w:val="none" w:sz="0" w:space="0" w:color="auto"/>
            <w:bottom w:val="none" w:sz="0" w:space="0" w:color="auto"/>
            <w:right w:val="none" w:sz="0" w:space="0" w:color="auto"/>
          </w:divBdr>
        </w:div>
        <w:div w:id="1521621587">
          <w:marLeft w:val="0"/>
          <w:marRight w:val="0"/>
          <w:marTop w:val="0"/>
          <w:marBottom w:val="0"/>
          <w:divBdr>
            <w:top w:val="none" w:sz="0" w:space="0" w:color="auto"/>
            <w:left w:val="none" w:sz="0" w:space="0" w:color="auto"/>
            <w:bottom w:val="none" w:sz="0" w:space="0" w:color="auto"/>
            <w:right w:val="none" w:sz="0" w:space="0" w:color="auto"/>
          </w:divBdr>
        </w:div>
        <w:div w:id="1453593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6371</Characters>
  <Application>Microsoft Office Word</Application>
  <DocSecurity>0</DocSecurity>
  <Lines>53</Lines>
  <Paragraphs>14</Paragraphs>
  <ScaleCrop>false</ScaleCrop>
  <Company>UBS AG</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Schuler, Samantha</dc:creator>
  <cp:keywords/>
  <dc:description/>
  <cp:lastModifiedBy>Schuler, Samantha</cp:lastModifiedBy>
  <cp:revision>1</cp:revision>
  <dcterms:created xsi:type="dcterms:W3CDTF">2023-12-14T12:39:00Z</dcterms:created>
  <dcterms:modified xsi:type="dcterms:W3CDTF">2023-12-14T12:48:00Z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1e85bf-ac82-4d95-8ebe-b1488d74b05a_Enabled">
    <vt:lpwstr>true</vt:lpwstr>
  </property>
  <property fmtid="{D5CDD505-2E9C-101B-9397-08002B2CF9AE}" pid="3" name="MSIP_Label_0c1e85bf-ac82-4d95-8ebe-b1488d74b05a_SetDate">
    <vt:lpwstr>2023-12-14T12:48:24Z</vt:lpwstr>
  </property>
  <property fmtid="{D5CDD505-2E9C-101B-9397-08002B2CF9AE}" pid="4" name="MSIP_Label_0c1e85bf-ac82-4d95-8ebe-b1488d74b05a_Method">
    <vt:lpwstr>Privileged</vt:lpwstr>
  </property>
  <property fmtid="{D5CDD505-2E9C-101B-9397-08002B2CF9AE}" pid="5" name="MSIP_Label_0c1e85bf-ac82-4d95-8ebe-b1488d74b05a_Name">
    <vt:lpwstr>0c1e85bf-ac82-4d95-8ebe-b1488d74b05a</vt:lpwstr>
  </property>
  <property fmtid="{D5CDD505-2E9C-101B-9397-08002B2CF9AE}" pid="6" name="MSIP_Label_0c1e85bf-ac82-4d95-8ebe-b1488d74b05a_SiteId">
    <vt:lpwstr>fb6ea403-7cf1-4905-810a-fe5547e98204</vt:lpwstr>
  </property>
  <property fmtid="{D5CDD505-2E9C-101B-9397-08002B2CF9AE}" pid="7" name="MSIP_Label_0c1e85bf-ac82-4d95-8ebe-b1488d74b05a_ActionId">
    <vt:lpwstr>68216251-9698-45ad-a87d-9e42bbbe3bdc</vt:lpwstr>
  </property>
  <property fmtid="{D5CDD505-2E9C-101B-9397-08002B2CF9AE}" pid="8" name="MSIP_Label_0c1e85bf-ac82-4d95-8ebe-b1488d74b05a_ContentBits">
    <vt:lpwstr>0</vt:lpwstr>
  </property>
</Properties>
</file>