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9FE26" w14:textId="77777777" w:rsidR="00183173" w:rsidRDefault="00183173" w:rsidP="00E265FF">
      <w:pPr>
        <w:pStyle w:val="LIEUDATE"/>
        <w:spacing w:line="276" w:lineRule="auto"/>
        <w:rPr>
          <w:lang w:val="en-US"/>
        </w:rPr>
      </w:pPr>
      <w:bookmarkStart w:id="0" w:name="_Hlk85201558"/>
    </w:p>
    <w:p w14:paraId="2817BF37" w14:textId="4BB984E3" w:rsidR="00454815" w:rsidRPr="00E22C80" w:rsidRDefault="009B1173" w:rsidP="00E265FF">
      <w:pPr>
        <w:pStyle w:val="LIEUDATE"/>
        <w:spacing w:line="276" w:lineRule="auto"/>
        <w:rPr>
          <w:lang w:val="en-US"/>
        </w:rPr>
      </w:pPr>
      <w:r>
        <w:rPr>
          <w:lang w:val="en-US"/>
        </w:rPr>
        <w:t>12</w:t>
      </w:r>
      <w:r w:rsidR="008B3992">
        <w:rPr>
          <w:lang w:val="en-US"/>
        </w:rPr>
        <w:t>/1</w:t>
      </w:r>
      <w:r>
        <w:rPr>
          <w:lang w:val="en-US"/>
        </w:rPr>
        <w:t>2</w:t>
      </w:r>
      <w:r w:rsidR="008B3992">
        <w:rPr>
          <w:lang w:val="en-US"/>
        </w:rPr>
        <w:t>/2023</w:t>
      </w:r>
      <w:r w:rsidR="00BF0E7E" w:rsidRPr="00454815">
        <w:rPr>
          <w:rStyle w:val="OBJET"/>
          <w:b/>
          <w:bCs/>
          <w:lang w:val="en-US"/>
        </w:rPr>
        <w:br/>
      </w:r>
      <w:r w:rsidR="00454815" w:rsidRPr="00E22C80">
        <w:rPr>
          <w:lang w:val="en-US"/>
        </w:rPr>
        <w:t>France Assureurs is the common name of</w:t>
      </w:r>
      <w:r w:rsidR="006D0DB1" w:rsidRPr="00E22C80">
        <w:rPr>
          <w:lang w:val="en-US"/>
        </w:rPr>
        <w:t xml:space="preserve"> the</w:t>
      </w:r>
      <w:r w:rsidR="00454815" w:rsidRPr="00E22C80">
        <w:rPr>
          <w:lang w:val="en-US"/>
        </w:rPr>
        <w:t xml:space="preserve"> Fédération Française de </w:t>
      </w:r>
      <w:proofErr w:type="spellStart"/>
      <w:r w:rsidR="00454815" w:rsidRPr="00E22C80">
        <w:rPr>
          <w:lang w:val="en-US"/>
        </w:rPr>
        <w:t>l’Assurance</w:t>
      </w:r>
      <w:proofErr w:type="spellEnd"/>
      <w:r w:rsidR="00454815" w:rsidRPr="00E22C80">
        <w:rPr>
          <w:lang w:val="en-US"/>
        </w:rPr>
        <w:t xml:space="preserve"> (French Insurance Federation)</w:t>
      </w:r>
    </w:p>
    <w:p w14:paraId="11C03753" w14:textId="0B8F7EF4" w:rsidR="008B1E83" w:rsidRPr="00F33A75" w:rsidRDefault="00454815" w:rsidP="00E265FF">
      <w:pPr>
        <w:pStyle w:val="LIEUDATE"/>
        <w:spacing w:line="276" w:lineRule="auto"/>
        <w:rPr>
          <w:highlight w:val="yellow"/>
          <w:lang w:val="en-US"/>
        </w:rPr>
      </w:pPr>
      <w:r w:rsidRPr="00E22C80">
        <w:rPr>
          <w:lang w:val="en-US"/>
        </w:rPr>
        <w:t xml:space="preserve">Fédération Française de </w:t>
      </w:r>
      <w:proofErr w:type="spellStart"/>
      <w:r w:rsidRPr="00E22C80">
        <w:rPr>
          <w:lang w:val="en-US"/>
        </w:rPr>
        <w:t>l’Assurance</w:t>
      </w:r>
      <w:proofErr w:type="spellEnd"/>
      <w:r w:rsidRPr="00E22C80">
        <w:rPr>
          <w:lang w:val="en-US"/>
        </w:rPr>
        <w:t xml:space="preserve"> is registered under </w:t>
      </w:r>
      <w:r w:rsidR="008B1E83" w:rsidRPr="00E22C80">
        <w:rPr>
          <w:lang w:val="en-US"/>
        </w:rPr>
        <w:t>EU transparency number No.5149794935-37</w:t>
      </w:r>
    </w:p>
    <w:bookmarkEnd w:id="0"/>
    <w:p w14:paraId="11B0E4A3" w14:textId="6074439A" w:rsidR="005329BD" w:rsidRPr="008B3992" w:rsidRDefault="008B3992" w:rsidP="00ED4BF9">
      <w:pPr>
        <w:pStyle w:val="Titre1"/>
        <w:rPr>
          <w:rStyle w:val="TITRE10"/>
        </w:rPr>
      </w:pPr>
      <w:r>
        <w:rPr>
          <w:rStyle w:val="TITRE10"/>
        </w:rPr>
        <w:t xml:space="preserve">PAPIER DE POSITION SUR LA CONSULTATION DE LA COMMISSION EUROPÉENNE RELATIVE À LA RÉVISION DE SFDR </w:t>
      </w:r>
    </w:p>
    <w:p w14:paraId="162367E0" w14:textId="17629FE9" w:rsidR="00FE7AC6" w:rsidRDefault="00FE7AC6" w:rsidP="00A008DE">
      <w:pPr>
        <w:pStyle w:val="TEXTECOURANTNUMEROTATION"/>
      </w:pPr>
    </w:p>
    <w:p w14:paraId="481F8921" w14:textId="668BE45E" w:rsidR="00B41BCF" w:rsidRDefault="00B41BCF" w:rsidP="0093717D">
      <w:pPr>
        <w:pStyle w:val="TITRE2"/>
      </w:pPr>
      <w:r w:rsidRPr="00B41BCF">
        <w:t>Eléments de contexte</w:t>
      </w:r>
    </w:p>
    <w:p w14:paraId="37983F33" w14:textId="05C3B927" w:rsidR="00C34136" w:rsidRPr="009C6DF7" w:rsidRDefault="7FE5A09D" w:rsidP="00A008DE">
      <w:pPr>
        <w:pStyle w:val="TEXTECOURANTNUMEROTATION"/>
      </w:pPr>
      <w:r>
        <w:t xml:space="preserve">Le règlement sur la publication d’informations en matière de durabilité dans le secteur des services financiers (SFDR) vise à améliorer la transparence sur les marchés financiers afin de permettre aux investisseurs finaux de mieux appréhender la prise en compte des principaux risques et impacts ESG par les acteurs financiers ainsi que les caractéristiques durables des produits. Le développement de ce </w:t>
      </w:r>
      <w:r w:rsidRPr="7FE5A09D">
        <w:rPr>
          <w:b/>
        </w:rPr>
        <w:t>cadre de transparence, via la normalisation d’informations à publier,</w:t>
      </w:r>
      <w:r>
        <w:t xml:space="preserve"> a pour but de permettre aux clients une meilleure </w:t>
      </w:r>
      <w:r w:rsidRPr="7FE5A09D">
        <w:rPr>
          <w:b/>
        </w:rPr>
        <w:t>comparabilité des produits financiers</w:t>
      </w:r>
      <w:r>
        <w:t xml:space="preserve">, et </w:t>
      </w:r>
      <w:r w:rsidRPr="7FE5A09D">
        <w:rPr>
          <w:i/>
          <w:iCs/>
        </w:rPr>
        <w:t>in fine</w:t>
      </w:r>
      <w:r>
        <w:t xml:space="preserve"> de rendre leurs portefeuilles d’investissements plus durables. France Assureurs soutient pleinement cet objectif, et considère à ce titre SFDR comme un outil fondamental pour </w:t>
      </w:r>
      <w:proofErr w:type="gramStart"/>
      <w:r>
        <w:t>permettre</w:t>
      </w:r>
      <w:proofErr w:type="gramEnd"/>
      <w:r>
        <w:t xml:space="preserve"> l’alignement à l’Accord de Paris et contribuer à la transition vers une économie bas carbone.</w:t>
      </w:r>
    </w:p>
    <w:p w14:paraId="3D365DB4" w14:textId="1F0DAB54" w:rsidR="000F2593" w:rsidRDefault="7FE5A09D" w:rsidP="00A008DE">
      <w:pPr>
        <w:pStyle w:val="TEXTECOURANTNUMEROTATION"/>
      </w:pPr>
      <w:r>
        <w:t>Pour autant, il existe un écart entre l’esprit de SFDR et la réalité des pratiques</w:t>
      </w:r>
      <w:r w:rsidR="00282D9F">
        <w:t>. En effet, l</w:t>
      </w:r>
      <w:r w:rsidR="000813F7">
        <w:t>e manque d’harmonisation et de clarté des</w:t>
      </w:r>
      <w:r w:rsidR="006125B8">
        <w:t xml:space="preserve"> </w:t>
      </w:r>
      <w:r w:rsidR="000813F7">
        <w:t>concepts introduits par la</w:t>
      </w:r>
      <w:r w:rsidR="00EE360D">
        <w:t xml:space="preserve"> </w:t>
      </w:r>
      <w:r w:rsidR="000813F7">
        <w:t xml:space="preserve">règlementation a conduit à </w:t>
      </w:r>
      <w:r w:rsidR="002503C7">
        <w:t>une grande hétérogénéité des interprétations et des informations fournies</w:t>
      </w:r>
      <w:r w:rsidR="00961CBD">
        <w:t xml:space="preserve">, ce qui nuit </w:t>
      </w:r>
      <w:r w:rsidR="00961CBD" w:rsidRPr="7FE5A09D">
        <w:rPr>
          <w:i/>
          <w:iCs/>
        </w:rPr>
        <w:t>de facto</w:t>
      </w:r>
      <w:r w:rsidR="00961CBD">
        <w:t xml:space="preserve"> à la comparabilité des produits financiers</w:t>
      </w:r>
      <w:r w:rsidR="007A1640">
        <w:t xml:space="preserve">. Cela entrave, par ailleurs, la compréhension des réelles caractéristiques durables d’un produit pour les clients finaux et expose les acteurs des marchés financiers à des </w:t>
      </w:r>
      <w:r w:rsidR="007A1640" w:rsidRPr="7FE5A09D">
        <w:rPr>
          <w:b/>
        </w:rPr>
        <w:t>risques juridiques</w:t>
      </w:r>
      <w:r w:rsidR="007A1640">
        <w:t xml:space="preserve"> ou </w:t>
      </w:r>
      <w:r w:rsidR="007A1640" w:rsidRPr="7FE5A09D">
        <w:rPr>
          <w:b/>
        </w:rPr>
        <w:t>de réputation</w:t>
      </w:r>
      <w:r w:rsidR="007A1640">
        <w:t xml:space="preserve">, voire de </w:t>
      </w:r>
      <w:r w:rsidR="007A1640" w:rsidRPr="7FE5A09D">
        <w:rPr>
          <w:b/>
          <w:i/>
          <w:iCs/>
        </w:rPr>
        <w:t>greenwashing</w:t>
      </w:r>
      <w:r w:rsidR="00D76528">
        <w:t xml:space="preserve">. </w:t>
      </w:r>
    </w:p>
    <w:p w14:paraId="64BF1B2F" w14:textId="7FCF3463" w:rsidR="00706AA8" w:rsidRDefault="00961CBD" w:rsidP="00A008DE">
      <w:pPr>
        <w:pStyle w:val="TEXTECOURANTNUMEROTATION"/>
      </w:pPr>
      <w:r>
        <w:t>Face à ce constat</w:t>
      </w:r>
      <w:r w:rsidR="7FE5A09D">
        <w:t xml:space="preserve">, la consultation de la Commission européenne relative à la révision de SFDR apparait comme un moyen d’améliorer le cadre actuel de la règlementation. France Assureurs se positionne ainsi en faveur d’un </w:t>
      </w:r>
      <w:r w:rsidR="7FE5A09D" w:rsidRPr="7FE5A09D">
        <w:rPr>
          <w:b/>
        </w:rPr>
        <w:t>renforcement des obligations de transparence</w:t>
      </w:r>
      <w:r w:rsidR="00A46B93">
        <w:rPr>
          <w:b/>
        </w:rPr>
        <w:t xml:space="preserve"> comme préalable à toute catégorisation</w:t>
      </w:r>
      <w:r w:rsidR="7FE5A09D">
        <w:t xml:space="preserve">, dans le but de fournir aux clients finaux </w:t>
      </w:r>
      <w:r w:rsidR="7FE5A09D" w:rsidRPr="7FE5A09D">
        <w:rPr>
          <w:b/>
        </w:rPr>
        <w:t>des informations ESG claires, robustes et comparables pour leurs décisions d’investissements</w:t>
      </w:r>
      <w:r w:rsidR="7FE5A09D">
        <w:t xml:space="preserve">. Cette approche semble la solution la plus efficace pour lutter contre les divergences de marché, tout en capitalisant sur les efforts menés jusqu’à maintenant par les acteurs financiers pour mettre en application les exigences de SFDR. </w:t>
      </w:r>
    </w:p>
    <w:p w14:paraId="0CF762E9" w14:textId="77777777" w:rsidR="005917EF" w:rsidRDefault="005917EF" w:rsidP="00A008DE">
      <w:pPr>
        <w:pStyle w:val="TEXTECOURANTNUMEROTATION"/>
      </w:pPr>
    </w:p>
    <w:p w14:paraId="0F81E627" w14:textId="40A2D16E" w:rsidR="006E0B3D" w:rsidRDefault="00B41BCF" w:rsidP="0093717D">
      <w:pPr>
        <w:pStyle w:val="TITRE2"/>
      </w:pPr>
      <w:r w:rsidRPr="00B41BCF">
        <w:t xml:space="preserve">Position de France Assureurs  </w:t>
      </w:r>
    </w:p>
    <w:p w14:paraId="52756F57" w14:textId="0F5F4620" w:rsidR="00725312" w:rsidRDefault="7FE5A09D" w:rsidP="00A008DE">
      <w:pPr>
        <w:pStyle w:val="TEXTECOURANTNUMEROTATION"/>
      </w:pPr>
      <w:r>
        <w:t xml:space="preserve">France Assureurs </w:t>
      </w:r>
      <w:r w:rsidR="00725312">
        <w:t xml:space="preserve">considère qu’il est nécessaire de réaffirmer les objectifs de SFDR. La révision doit avoir pour </w:t>
      </w:r>
      <w:r w:rsidR="00C56952">
        <w:t>but</w:t>
      </w:r>
      <w:r w:rsidR="00725312">
        <w:t xml:space="preserve"> principal de </w:t>
      </w:r>
      <w:r w:rsidR="00AF4AF0" w:rsidRPr="00A008DE">
        <w:rPr>
          <w:b/>
        </w:rPr>
        <w:t>replacer les besoins du client final au cœur de la règlementation</w:t>
      </w:r>
      <w:r w:rsidR="00C56952">
        <w:t xml:space="preserve"> autrement dit</w:t>
      </w:r>
      <w:r w:rsidR="00AF4AF0">
        <w:t xml:space="preserve">, la règlementation doit permettre aux clients finaux de </w:t>
      </w:r>
      <w:r w:rsidR="00AF4AF0" w:rsidRPr="00A008DE">
        <w:rPr>
          <w:b/>
        </w:rPr>
        <w:t>prendre les décisions d’investissement en tenant compte de leurs préférences de durabilité</w:t>
      </w:r>
      <w:r w:rsidR="00AF4AF0">
        <w:t xml:space="preserve">. </w:t>
      </w:r>
      <w:r w:rsidR="002B696A">
        <w:t>Elle doit donc :</w:t>
      </w:r>
    </w:p>
    <w:p w14:paraId="55545A11" w14:textId="77777777" w:rsidR="006A57E1" w:rsidRPr="001F36EB" w:rsidRDefault="00C269CC" w:rsidP="00A008DE">
      <w:pPr>
        <w:pStyle w:val="TEXTECOURANTNUMEROTATION"/>
        <w:numPr>
          <w:ilvl w:val="0"/>
          <w:numId w:val="41"/>
        </w:numPr>
      </w:pPr>
      <w:r w:rsidRPr="001F36EB">
        <w:t>F</w:t>
      </w:r>
      <w:r w:rsidR="002B696A" w:rsidRPr="001F36EB">
        <w:t>aciliter</w:t>
      </w:r>
      <w:r w:rsidRPr="001F36EB">
        <w:t xml:space="preserve"> </w:t>
      </w:r>
      <w:r w:rsidR="006A57E1" w:rsidRPr="003E6B2E">
        <w:t xml:space="preserve">la </w:t>
      </w:r>
      <w:r w:rsidR="006A57E1" w:rsidRPr="00C11B4C">
        <w:t>compréhension des caractéristiques ESG</w:t>
      </w:r>
      <w:r w:rsidR="006A57E1" w:rsidRPr="001F36EB">
        <w:t xml:space="preserve"> d’un produit</w:t>
      </w:r>
    </w:p>
    <w:p w14:paraId="29D656A7" w14:textId="0BCE1DA9" w:rsidR="002B696A" w:rsidRPr="001F36EB" w:rsidRDefault="006A57E1" w:rsidP="00A008DE">
      <w:pPr>
        <w:pStyle w:val="TEXTECOURANTNUMEROTATION"/>
        <w:numPr>
          <w:ilvl w:val="0"/>
          <w:numId w:val="41"/>
        </w:numPr>
      </w:pPr>
      <w:r w:rsidRPr="001F36EB">
        <w:t xml:space="preserve">Permettre de </w:t>
      </w:r>
      <w:r w:rsidRPr="00A008DE">
        <w:rPr>
          <w:b/>
        </w:rPr>
        <w:t>comparer les caractéristiques ESG</w:t>
      </w:r>
      <w:r w:rsidRPr="001F36EB">
        <w:t xml:space="preserve"> des différents produits.</w:t>
      </w:r>
      <w:r w:rsidR="002B696A" w:rsidRPr="001F36EB">
        <w:t xml:space="preserve"> </w:t>
      </w:r>
    </w:p>
    <w:p w14:paraId="4C96EDEE" w14:textId="2E234B90" w:rsidR="0082443A" w:rsidRDefault="00C606A4" w:rsidP="00A008DE">
      <w:pPr>
        <w:pStyle w:val="TEXTECOURANTNUMEROTATION"/>
      </w:pPr>
      <w:r>
        <w:t xml:space="preserve">Dans ce cadre, la profession </w:t>
      </w:r>
      <w:r w:rsidR="7FE5A09D">
        <w:t xml:space="preserve">se positionne en </w:t>
      </w:r>
      <w:r w:rsidR="7FE5A09D" w:rsidRPr="005B39C1">
        <w:t xml:space="preserve">faveur d’un </w:t>
      </w:r>
      <w:r w:rsidR="7FE5A09D" w:rsidRPr="00A008DE">
        <w:t>renforcement du cadre de transparence de SFDR</w:t>
      </w:r>
      <w:r w:rsidR="004A5ACB" w:rsidRPr="00A008DE">
        <w:t>,</w:t>
      </w:r>
      <w:r w:rsidR="00A46B93">
        <w:t xml:space="preserve"> comme préalable à toute catégorisation,</w:t>
      </w:r>
      <w:r w:rsidR="004A5ACB" w:rsidRPr="00A008DE">
        <w:t xml:space="preserve"> en capitalisant sur l’expérience actuelle de la règlementation</w:t>
      </w:r>
      <w:r w:rsidR="7FE5A09D">
        <w:t xml:space="preserve">. L’objectif est ainsi de maintenir l’esprit de la règlementation telle que voulue par les législateurs européens, tout en </w:t>
      </w:r>
      <w:r w:rsidR="7FE5A09D">
        <w:lastRenderedPageBreak/>
        <w:t xml:space="preserve">proposant des </w:t>
      </w:r>
      <w:r w:rsidR="7FE5A09D" w:rsidRPr="7FE5A09D">
        <w:rPr>
          <w:b/>
        </w:rPr>
        <w:t>ajustements</w:t>
      </w:r>
      <w:r w:rsidR="009C6D80">
        <w:rPr>
          <w:b/>
        </w:rPr>
        <w:t>, notamment en ce qui concerne la clarté des concepts utilisés, afin de</w:t>
      </w:r>
      <w:r w:rsidR="7FE5A09D">
        <w:t xml:space="preserve"> garantir </w:t>
      </w:r>
      <w:r w:rsidR="009C6D80">
        <w:t>l’</w:t>
      </w:r>
      <w:r w:rsidR="7FE5A09D" w:rsidRPr="7FE5A09D">
        <w:rPr>
          <w:b/>
        </w:rPr>
        <w:t>efficacité</w:t>
      </w:r>
      <w:r w:rsidR="009C6D80">
        <w:rPr>
          <w:b/>
        </w:rPr>
        <w:t xml:space="preserve"> du cadre</w:t>
      </w:r>
      <w:r w:rsidR="009C6D80">
        <w:t xml:space="preserve"> ainsi que</w:t>
      </w:r>
      <w:r w:rsidR="7FE5A09D">
        <w:t xml:space="preserve"> favoriser la </w:t>
      </w:r>
      <w:r w:rsidR="004309E9">
        <w:t xml:space="preserve">lisibilité et la </w:t>
      </w:r>
      <w:r w:rsidR="7FE5A09D" w:rsidRPr="7FE5A09D">
        <w:rPr>
          <w:b/>
        </w:rPr>
        <w:t>comparabilité</w:t>
      </w:r>
      <w:r w:rsidR="7FE5A09D">
        <w:t xml:space="preserve"> des produits financiers </w:t>
      </w:r>
      <w:r w:rsidR="7FE5A09D" w:rsidRPr="004A5ACB">
        <w:rPr>
          <w:b/>
        </w:rPr>
        <w:t>au bénéfice du client final</w:t>
      </w:r>
      <w:r>
        <w:t>.</w:t>
      </w:r>
      <w:r w:rsidR="7FE5A09D">
        <w:t xml:space="preserve"> </w:t>
      </w:r>
    </w:p>
    <w:p w14:paraId="20C8C2A7" w14:textId="77777777" w:rsidR="0055347C" w:rsidRDefault="0055347C" w:rsidP="00A008DE">
      <w:pPr>
        <w:pStyle w:val="TEXTECOURANTNUMEROTATION"/>
      </w:pPr>
    </w:p>
    <w:p w14:paraId="34287C67" w14:textId="77777777" w:rsidR="00EA2B06" w:rsidRDefault="00EA2B06" w:rsidP="00BD2962">
      <w:pPr>
        <w:pStyle w:val="FATITRE"/>
        <w:ind w:left="142"/>
        <w:jc w:val="left"/>
        <w:rPr>
          <w:lang w:val="fr-FR"/>
        </w:rPr>
      </w:pPr>
    </w:p>
    <w:p w14:paraId="0B19548A" w14:textId="11732905" w:rsidR="00F96B0A" w:rsidRPr="004A5ACB" w:rsidRDefault="00F96B0A" w:rsidP="00A008DE">
      <w:pPr>
        <w:pStyle w:val="FATITRE"/>
        <w:numPr>
          <w:ilvl w:val="0"/>
          <w:numId w:val="38"/>
        </w:numPr>
        <w:jc w:val="left"/>
        <w:rPr>
          <w:lang w:val="fr-FR"/>
        </w:rPr>
      </w:pPr>
      <w:r w:rsidRPr="004A5ACB">
        <w:rPr>
          <w:lang w:val="fr-FR"/>
        </w:rPr>
        <w:t>Renforcer la pertinence des exigences de transparence au niveau de l’entité</w:t>
      </w:r>
    </w:p>
    <w:p w14:paraId="65CCF950" w14:textId="77777777" w:rsidR="00F96B0A" w:rsidRDefault="00F96B0A" w:rsidP="00F96B0A">
      <w:pPr>
        <w:tabs>
          <w:tab w:val="left" w:pos="224"/>
        </w:tabs>
        <w:rPr>
          <w:rFonts w:ascii="Garamond" w:hAnsi="Garamond"/>
          <w:b/>
          <w:bCs/>
          <w:i/>
          <w:iCs/>
          <w:color w:val="002060"/>
        </w:rPr>
      </w:pPr>
      <w:r>
        <w:rPr>
          <w:rFonts w:ascii="Garamond" w:hAnsi="Garamond"/>
          <w:b/>
          <w:bCs/>
          <w:i/>
          <w:iCs/>
          <w:color w:val="002060"/>
        </w:rPr>
        <w:tab/>
      </w:r>
      <w:r>
        <w:rPr>
          <w:rFonts w:ascii="Garamond" w:hAnsi="Garamond"/>
          <w:b/>
          <w:bCs/>
          <w:i/>
          <w:iCs/>
          <w:color w:val="002060"/>
        </w:rPr>
        <w:tab/>
      </w:r>
      <w:r>
        <w:rPr>
          <w:rFonts w:ascii="Garamond" w:hAnsi="Garamond"/>
          <w:b/>
          <w:bCs/>
          <w:i/>
          <w:iCs/>
          <w:color w:val="002060"/>
        </w:rPr>
        <w:tab/>
      </w:r>
    </w:p>
    <w:p w14:paraId="03856156" w14:textId="7E449A62" w:rsidR="00F96B0A" w:rsidRPr="004205D7" w:rsidRDefault="00F96B0A" w:rsidP="00A008DE">
      <w:pPr>
        <w:tabs>
          <w:tab w:val="left" w:pos="224"/>
        </w:tabs>
        <w:spacing w:after="120"/>
        <w:rPr>
          <w:rFonts w:ascii="Garamond" w:hAnsi="Garamond"/>
          <w:b/>
          <w:bCs/>
          <w:i/>
          <w:iCs/>
          <w:color w:val="002060"/>
        </w:rPr>
      </w:pPr>
      <w:r>
        <w:rPr>
          <w:rFonts w:ascii="Garamond" w:hAnsi="Garamond"/>
          <w:b/>
          <w:bCs/>
          <w:i/>
          <w:iCs/>
          <w:color w:val="002060"/>
        </w:rPr>
        <w:tab/>
      </w:r>
      <w:r w:rsidR="0055347C">
        <w:rPr>
          <w:rFonts w:ascii="Garamond" w:hAnsi="Garamond"/>
          <w:b/>
          <w:bCs/>
          <w:i/>
          <w:iCs/>
          <w:color w:val="002060"/>
        </w:rPr>
        <w:t>Mener une analyse d’impact pour évaluer les besoins d’information au niveau de l’entité</w:t>
      </w:r>
    </w:p>
    <w:p w14:paraId="443D8F8F" w14:textId="755C13F1" w:rsidR="00D824A6" w:rsidRDefault="00F96B0A" w:rsidP="00F96B0A">
      <w:pPr>
        <w:tabs>
          <w:tab w:val="left" w:pos="224"/>
        </w:tabs>
        <w:spacing w:line="259" w:lineRule="auto"/>
        <w:ind w:left="224"/>
        <w:jc w:val="both"/>
        <w:rPr>
          <w:rFonts w:ascii="Garamond" w:hAnsi="Garamond"/>
        </w:rPr>
      </w:pPr>
      <w:r w:rsidRPr="7FE5A09D">
        <w:rPr>
          <w:rFonts w:ascii="Garamond" w:hAnsi="Garamond"/>
        </w:rPr>
        <w:t>France Assureurs</w:t>
      </w:r>
      <w:r w:rsidR="008A51C7">
        <w:rPr>
          <w:rFonts w:ascii="Garamond" w:hAnsi="Garamond"/>
        </w:rPr>
        <w:t xml:space="preserve"> soutient</w:t>
      </w:r>
      <w:r w:rsidR="00332D70">
        <w:rPr>
          <w:rFonts w:ascii="Garamond" w:hAnsi="Garamond"/>
        </w:rPr>
        <w:t xml:space="preserve"> une meilleure cohérence et articulation du cadre règlementaire européen en matière de finance durable.</w:t>
      </w:r>
      <w:r w:rsidR="009A0A14">
        <w:rPr>
          <w:rFonts w:ascii="Garamond" w:hAnsi="Garamond"/>
        </w:rPr>
        <w:t xml:space="preserve"> Aussi, France Assureurs </w:t>
      </w:r>
      <w:r w:rsidR="00293578">
        <w:rPr>
          <w:rFonts w:ascii="Garamond" w:hAnsi="Garamond"/>
        </w:rPr>
        <w:t xml:space="preserve">est consciente que les exigences de transparence prévues par l’actuel article 4 de SFDR pourraient être redondantes avec les futures informations publiées en vertu de </w:t>
      </w:r>
      <w:r w:rsidRPr="7FE5A09D">
        <w:rPr>
          <w:rFonts w:ascii="Garamond" w:hAnsi="Garamond"/>
        </w:rPr>
        <w:t xml:space="preserve">la directive sur la publication d’informations en matière de durabilité par les entreprises (CSRD). </w:t>
      </w:r>
      <w:r w:rsidR="001940E4">
        <w:rPr>
          <w:rFonts w:ascii="Garamond" w:hAnsi="Garamond"/>
        </w:rPr>
        <w:t xml:space="preserve">Toutefois, </w:t>
      </w:r>
      <w:r w:rsidRPr="7FE5A09D">
        <w:rPr>
          <w:rFonts w:ascii="Garamond" w:hAnsi="Garamond"/>
        </w:rPr>
        <w:t>l’ensemble des acteurs du marché financier n’est pas aujourd’hui soumis aux obligations de la CSRD</w:t>
      </w:r>
      <w:r>
        <w:rPr>
          <w:rFonts w:ascii="Garamond" w:hAnsi="Garamond"/>
        </w:rPr>
        <w:t>.</w:t>
      </w:r>
      <w:r w:rsidRPr="7FE5A09D">
        <w:rPr>
          <w:rFonts w:ascii="Garamond" w:hAnsi="Garamond"/>
        </w:rPr>
        <w:t>  En plus de conduire à des conditions de concurrence inégales au sein du marché financier, la suppression des informations SFDR liées à l’entité serait particulièrement problématique pour les acteurs financiers qui ont besoin des informations d’autres acteurs.</w:t>
      </w:r>
    </w:p>
    <w:p w14:paraId="61A87AD0" w14:textId="18762239" w:rsidR="00D824A6" w:rsidRDefault="00D824A6" w:rsidP="00F96B0A">
      <w:pPr>
        <w:tabs>
          <w:tab w:val="left" w:pos="224"/>
        </w:tabs>
        <w:spacing w:line="259" w:lineRule="auto"/>
        <w:ind w:left="224"/>
        <w:jc w:val="both"/>
        <w:rPr>
          <w:rFonts w:ascii="Garamond" w:hAnsi="Garamond"/>
        </w:rPr>
      </w:pPr>
      <w:r>
        <w:rPr>
          <w:rFonts w:ascii="Garamond" w:hAnsi="Garamond"/>
        </w:rPr>
        <w:t xml:space="preserve">Aussi, France Assureurs </w:t>
      </w:r>
      <w:r w:rsidR="00D72EEB">
        <w:rPr>
          <w:rFonts w:ascii="Garamond" w:hAnsi="Garamond"/>
        </w:rPr>
        <w:t xml:space="preserve">propose qu’une </w:t>
      </w:r>
      <w:r w:rsidR="00D72EEB" w:rsidRPr="008339BD">
        <w:rPr>
          <w:rFonts w:ascii="Garamond" w:hAnsi="Garamond"/>
          <w:b/>
          <w:bCs/>
        </w:rPr>
        <w:t>étude d’impact</w:t>
      </w:r>
      <w:r w:rsidR="00D72EEB">
        <w:rPr>
          <w:rFonts w:ascii="Garamond" w:hAnsi="Garamond"/>
        </w:rPr>
        <w:t xml:space="preserve"> soit menée afin de </w:t>
      </w:r>
      <w:r w:rsidR="007956F0">
        <w:rPr>
          <w:rFonts w:ascii="Garamond" w:hAnsi="Garamond"/>
        </w:rPr>
        <w:t>déterminer :</w:t>
      </w:r>
    </w:p>
    <w:p w14:paraId="6ECB0314" w14:textId="7293BD91" w:rsidR="007956F0" w:rsidRDefault="007956F0" w:rsidP="007956F0">
      <w:pPr>
        <w:pStyle w:val="Paragraphedeliste"/>
        <w:numPr>
          <w:ilvl w:val="0"/>
          <w:numId w:val="41"/>
        </w:numPr>
        <w:tabs>
          <w:tab w:val="left" w:pos="224"/>
        </w:tabs>
        <w:spacing w:line="259" w:lineRule="auto"/>
        <w:jc w:val="both"/>
        <w:rPr>
          <w:rFonts w:ascii="Garamond" w:hAnsi="Garamond"/>
        </w:rPr>
      </w:pPr>
      <w:r>
        <w:rPr>
          <w:rFonts w:ascii="Garamond" w:hAnsi="Garamond"/>
        </w:rPr>
        <w:t xml:space="preserve">Les potentiels chevauchements et </w:t>
      </w:r>
      <w:r w:rsidR="00C352E3">
        <w:rPr>
          <w:rFonts w:ascii="Garamond" w:hAnsi="Garamond"/>
        </w:rPr>
        <w:t>gaps entre les obligations entité prévues par SFDR et CSRD</w:t>
      </w:r>
    </w:p>
    <w:p w14:paraId="44CB5230" w14:textId="160A8A91" w:rsidR="00C352E3" w:rsidRDefault="00C352E3" w:rsidP="00A008DE">
      <w:pPr>
        <w:pStyle w:val="Paragraphedeliste"/>
        <w:numPr>
          <w:ilvl w:val="0"/>
          <w:numId w:val="41"/>
        </w:numPr>
        <w:tabs>
          <w:tab w:val="left" w:pos="224"/>
        </w:tabs>
        <w:spacing w:after="120" w:line="259" w:lineRule="auto"/>
        <w:ind w:left="714" w:hanging="357"/>
        <w:contextualSpacing w:val="0"/>
        <w:jc w:val="both"/>
        <w:rPr>
          <w:rFonts w:ascii="Garamond" w:hAnsi="Garamond"/>
        </w:rPr>
      </w:pPr>
      <w:r>
        <w:rPr>
          <w:rFonts w:ascii="Garamond" w:hAnsi="Garamond"/>
        </w:rPr>
        <w:t>L</w:t>
      </w:r>
      <w:r w:rsidR="00A51269">
        <w:rPr>
          <w:rFonts w:ascii="Garamond" w:hAnsi="Garamond"/>
        </w:rPr>
        <w:t>’adéquation des informations</w:t>
      </w:r>
      <w:r w:rsidR="006A7E43">
        <w:rPr>
          <w:rFonts w:ascii="Garamond" w:hAnsi="Garamond"/>
        </w:rPr>
        <w:t xml:space="preserve"> produites via SFDR</w:t>
      </w:r>
      <w:r w:rsidR="00A51269">
        <w:rPr>
          <w:rFonts w:ascii="Garamond" w:hAnsi="Garamond"/>
        </w:rPr>
        <w:t xml:space="preserve"> avec les besoins des utilisateurs de ces données. </w:t>
      </w:r>
    </w:p>
    <w:p w14:paraId="4C45F6F0" w14:textId="3C113567" w:rsidR="006A7E43" w:rsidRPr="00A008DE" w:rsidRDefault="006A7E43" w:rsidP="00A008DE">
      <w:pPr>
        <w:tabs>
          <w:tab w:val="left" w:pos="224"/>
        </w:tabs>
        <w:spacing w:line="259" w:lineRule="auto"/>
        <w:ind w:left="284"/>
        <w:jc w:val="both"/>
        <w:rPr>
          <w:rFonts w:ascii="Garamond" w:hAnsi="Garamond"/>
        </w:rPr>
      </w:pPr>
      <w:r>
        <w:rPr>
          <w:rFonts w:ascii="Garamond" w:hAnsi="Garamond"/>
        </w:rPr>
        <w:t xml:space="preserve">Cette étude d’impact doit permettre de faire évoluer les exigences </w:t>
      </w:r>
      <w:r w:rsidR="00522178">
        <w:rPr>
          <w:rFonts w:ascii="Garamond" w:hAnsi="Garamond"/>
        </w:rPr>
        <w:t>de</w:t>
      </w:r>
      <w:r w:rsidR="00235062">
        <w:rPr>
          <w:rFonts w:ascii="Garamond" w:hAnsi="Garamond"/>
        </w:rPr>
        <w:t xml:space="preserve"> transparence au niveau de l’entité afin d</w:t>
      </w:r>
      <w:r w:rsidR="00737ABE">
        <w:rPr>
          <w:rFonts w:ascii="Garamond" w:hAnsi="Garamond"/>
        </w:rPr>
        <w:t xml:space="preserve">e rendre les informations </w:t>
      </w:r>
      <w:r w:rsidR="00235062">
        <w:rPr>
          <w:rFonts w:ascii="Garamond" w:hAnsi="Garamond"/>
        </w:rPr>
        <w:t xml:space="preserve">plus </w:t>
      </w:r>
      <w:r w:rsidR="000809C7">
        <w:rPr>
          <w:rFonts w:ascii="Garamond" w:hAnsi="Garamond"/>
        </w:rPr>
        <w:t xml:space="preserve">pertinentes </w:t>
      </w:r>
      <w:r w:rsidR="00737ABE">
        <w:rPr>
          <w:rFonts w:ascii="Garamond" w:hAnsi="Garamond"/>
        </w:rPr>
        <w:t xml:space="preserve">pour les utilisateurs finaux et éviter </w:t>
      </w:r>
      <w:r w:rsidR="00557B91">
        <w:rPr>
          <w:rFonts w:ascii="Garamond" w:hAnsi="Garamond"/>
        </w:rPr>
        <w:t xml:space="preserve">les doublons de </w:t>
      </w:r>
      <w:proofErr w:type="spellStart"/>
      <w:r w:rsidR="00557B91">
        <w:rPr>
          <w:rFonts w:ascii="Garamond" w:hAnsi="Garamond"/>
        </w:rPr>
        <w:t>reporting</w:t>
      </w:r>
      <w:proofErr w:type="spellEnd"/>
      <w:r w:rsidR="00737ABE">
        <w:rPr>
          <w:rFonts w:ascii="Garamond" w:hAnsi="Garamond"/>
        </w:rPr>
        <w:t xml:space="preserve">. </w:t>
      </w:r>
    </w:p>
    <w:p w14:paraId="1DBAC91B" w14:textId="2D317E5B" w:rsidR="00F96B0A" w:rsidRPr="00A008DE" w:rsidRDefault="00F96B0A" w:rsidP="00F96B0A">
      <w:pPr>
        <w:tabs>
          <w:tab w:val="left" w:pos="224"/>
        </w:tabs>
        <w:rPr>
          <w:rFonts w:ascii="Garamond" w:hAnsi="Garamond"/>
          <w:b/>
          <w:bCs/>
          <w:color w:val="002060"/>
        </w:rPr>
      </w:pPr>
    </w:p>
    <w:p w14:paraId="21C1D2D3" w14:textId="77777777" w:rsidR="00F96B0A" w:rsidRDefault="00F96B0A" w:rsidP="00F96B0A">
      <w:pPr>
        <w:tabs>
          <w:tab w:val="left" w:pos="224"/>
        </w:tabs>
        <w:rPr>
          <w:rFonts w:ascii="Garamond" w:hAnsi="Garamond"/>
          <w:b/>
          <w:bCs/>
          <w:i/>
          <w:iCs/>
          <w:color w:val="002060"/>
        </w:rPr>
      </w:pPr>
    </w:p>
    <w:p w14:paraId="23C19D1B" w14:textId="77777777" w:rsidR="00F96B0A" w:rsidRPr="0093717D" w:rsidRDefault="00F96B0A" w:rsidP="00F96B0A">
      <w:pPr>
        <w:tabs>
          <w:tab w:val="left" w:pos="224"/>
        </w:tabs>
        <w:spacing w:after="240"/>
        <w:ind w:left="142"/>
        <w:rPr>
          <w:rFonts w:ascii="Garamond" w:hAnsi="Garamond"/>
          <w:b/>
          <w:bCs/>
          <w:i/>
          <w:iCs/>
          <w:color w:val="002060"/>
        </w:rPr>
      </w:pPr>
      <w:r w:rsidRPr="0093717D">
        <w:rPr>
          <w:rFonts w:ascii="Garamond" w:hAnsi="Garamond"/>
          <w:b/>
          <w:bCs/>
          <w:i/>
          <w:iCs/>
          <w:color w:val="002060"/>
        </w:rPr>
        <w:t>Faire évoluer les exigences de transparence au niveau de l’entité afin d’en renforcer la pertinence</w:t>
      </w:r>
    </w:p>
    <w:p w14:paraId="676D86B9" w14:textId="3456D9B0" w:rsidR="00D3639C" w:rsidRDefault="00557B91" w:rsidP="00F96B0A">
      <w:pPr>
        <w:tabs>
          <w:tab w:val="left" w:pos="224"/>
        </w:tabs>
        <w:spacing w:after="120"/>
        <w:ind w:left="284"/>
        <w:jc w:val="both"/>
        <w:rPr>
          <w:rFonts w:ascii="Garamond" w:hAnsi="Garamond"/>
        </w:rPr>
      </w:pPr>
      <w:r>
        <w:rPr>
          <w:rFonts w:ascii="Garamond" w:hAnsi="Garamond"/>
        </w:rPr>
        <w:t xml:space="preserve">En tout état de cause, </w:t>
      </w:r>
      <w:r w:rsidR="00211356">
        <w:rPr>
          <w:rFonts w:ascii="Garamond" w:hAnsi="Garamond"/>
        </w:rPr>
        <w:t xml:space="preserve">il est indispensable de </w:t>
      </w:r>
      <w:r w:rsidR="002738AC">
        <w:rPr>
          <w:rFonts w:ascii="Garamond" w:hAnsi="Garamond"/>
        </w:rPr>
        <w:t xml:space="preserve">revoir les exigences de transparence au niveau de l’entité afin d’en </w:t>
      </w:r>
      <w:r w:rsidR="002738AC" w:rsidRPr="7FE5A09D">
        <w:rPr>
          <w:rFonts w:ascii="Garamond" w:hAnsi="Garamond"/>
        </w:rPr>
        <w:t>renforcer la pertinen</w:t>
      </w:r>
      <w:r w:rsidR="002738AC">
        <w:rPr>
          <w:rFonts w:ascii="Garamond" w:hAnsi="Garamond"/>
        </w:rPr>
        <w:t>c</w:t>
      </w:r>
      <w:r w:rsidR="002738AC" w:rsidRPr="7FE5A09D">
        <w:rPr>
          <w:rFonts w:ascii="Garamond" w:hAnsi="Garamond"/>
        </w:rPr>
        <w:t>e et la cohérence à la lumière</w:t>
      </w:r>
      <w:r w:rsidR="004856F4">
        <w:rPr>
          <w:rFonts w:ascii="Garamond" w:hAnsi="Garamond"/>
        </w:rPr>
        <w:t xml:space="preserve"> des besoins des utilisateurs et</w:t>
      </w:r>
      <w:r w:rsidR="002738AC" w:rsidRPr="7FE5A09D">
        <w:rPr>
          <w:rFonts w:ascii="Garamond" w:hAnsi="Garamond"/>
        </w:rPr>
        <w:t xml:space="preserve"> des autres pièces de la règlementation finance durable</w:t>
      </w:r>
      <w:r w:rsidR="00674C9E">
        <w:rPr>
          <w:rFonts w:ascii="Garamond" w:hAnsi="Garamond"/>
        </w:rPr>
        <w:t xml:space="preserve">. </w:t>
      </w:r>
      <w:r w:rsidR="007818ED">
        <w:rPr>
          <w:rFonts w:ascii="Garamond" w:hAnsi="Garamond"/>
        </w:rPr>
        <w:t>Notamment, l</w:t>
      </w:r>
      <w:r w:rsidR="00DE5F1D">
        <w:rPr>
          <w:rFonts w:ascii="Garamond" w:hAnsi="Garamond"/>
        </w:rPr>
        <w:t>es informations</w:t>
      </w:r>
      <w:r w:rsidR="0065731E">
        <w:rPr>
          <w:rFonts w:ascii="Garamond" w:hAnsi="Garamond"/>
        </w:rPr>
        <w:t xml:space="preserve"> exigées au niveau de l’entité devraient davantage </w:t>
      </w:r>
      <w:r w:rsidR="00796BA1">
        <w:rPr>
          <w:rFonts w:ascii="Garamond" w:hAnsi="Garamond"/>
        </w:rPr>
        <w:t xml:space="preserve">se concentrer sur la stratégie ESG de l’acteur financier, sa politique d’engagement actionnarial </w:t>
      </w:r>
      <w:r w:rsidR="0054016F">
        <w:rPr>
          <w:rFonts w:ascii="Garamond" w:hAnsi="Garamond"/>
        </w:rPr>
        <w:t xml:space="preserve">et sa gouvernance. </w:t>
      </w:r>
    </w:p>
    <w:p w14:paraId="55B4CDFA" w14:textId="0B33BA78" w:rsidR="00F96B0A" w:rsidRDefault="00F96B0A" w:rsidP="00F96B0A">
      <w:pPr>
        <w:tabs>
          <w:tab w:val="left" w:pos="224"/>
        </w:tabs>
        <w:spacing w:after="120"/>
        <w:ind w:left="284"/>
        <w:jc w:val="both"/>
        <w:rPr>
          <w:rFonts w:ascii="Garamond" w:hAnsi="Garamond"/>
        </w:rPr>
      </w:pPr>
      <w:r w:rsidRPr="7FE5A09D">
        <w:rPr>
          <w:rFonts w:ascii="Garamond" w:hAnsi="Garamond"/>
        </w:rPr>
        <w:t xml:space="preserve">Aussi, France Assureurs propose que </w:t>
      </w:r>
      <w:r w:rsidRPr="00FC3B41">
        <w:rPr>
          <w:rFonts w:ascii="Garamond" w:hAnsi="Garamond"/>
          <w:b/>
          <w:bCs/>
        </w:rPr>
        <w:t>la liste des indicateurs PAI obligatoires soit revue afin de garder une sélection plus restreinte</w:t>
      </w:r>
      <w:r w:rsidRPr="7FE5A09D">
        <w:rPr>
          <w:rFonts w:ascii="Garamond" w:hAnsi="Garamond"/>
        </w:rPr>
        <w:t xml:space="preserve"> mais plus significative des informations à publier. En effet, ces indicateurs, au-delà de fournir une information aux clients finaux, doivent également permettre aux acteurs financiers </w:t>
      </w:r>
      <w:r w:rsidRPr="00FC3B41">
        <w:rPr>
          <w:rFonts w:ascii="Garamond" w:hAnsi="Garamond"/>
          <w:b/>
          <w:bCs/>
        </w:rPr>
        <w:t>d’éclairer leurs décisions d’investissement</w:t>
      </w:r>
      <w:r w:rsidRPr="7FE5A09D">
        <w:rPr>
          <w:rFonts w:ascii="Garamond" w:hAnsi="Garamond"/>
        </w:rPr>
        <w:t xml:space="preserve">. Or, pour un nombre important de PAI, les données sont aujourd’hui lacunaires voire inexistantes, ce qui rend l’indicateur illisible et inutilisable. </w:t>
      </w:r>
      <w:r w:rsidR="0067583E">
        <w:rPr>
          <w:rFonts w:ascii="Garamond" w:hAnsi="Garamond"/>
        </w:rPr>
        <w:t>De plus, les indicateurs PAI</w:t>
      </w:r>
      <w:r w:rsidR="004F17A9">
        <w:rPr>
          <w:rFonts w:ascii="Garamond" w:hAnsi="Garamond"/>
        </w:rPr>
        <w:t xml:space="preserve"> portent sur des thématiques </w:t>
      </w:r>
      <w:r w:rsidR="0067583E" w:rsidRPr="0067583E">
        <w:rPr>
          <w:rFonts w:ascii="Garamond" w:hAnsi="Garamond"/>
        </w:rPr>
        <w:t>très diverses</w:t>
      </w:r>
      <w:r w:rsidR="0067583E">
        <w:rPr>
          <w:rFonts w:ascii="Garamond" w:hAnsi="Garamond"/>
        </w:rPr>
        <w:t xml:space="preserve"> et il n’est pas réaliste d’attendre une implication égale des acteurs financiers sur chaque thème</w:t>
      </w:r>
      <w:r w:rsidR="00EA712C">
        <w:rPr>
          <w:rFonts w:ascii="Garamond" w:hAnsi="Garamond"/>
        </w:rPr>
        <w:t>,</w:t>
      </w:r>
      <w:r w:rsidR="0067583E">
        <w:rPr>
          <w:rFonts w:ascii="Garamond" w:hAnsi="Garamond"/>
        </w:rPr>
        <w:t xml:space="preserve"> </w:t>
      </w:r>
      <w:r w:rsidR="00811EC0">
        <w:rPr>
          <w:rFonts w:ascii="Garamond" w:hAnsi="Garamond"/>
        </w:rPr>
        <w:t>que ce soit en raison des priorités stratégiques de chaque acteur dont il doit rester maître</w:t>
      </w:r>
      <w:r w:rsidR="00E87A52">
        <w:rPr>
          <w:rFonts w:ascii="Garamond" w:hAnsi="Garamond"/>
        </w:rPr>
        <w:t>,</w:t>
      </w:r>
      <w:r w:rsidR="00811EC0">
        <w:rPr>
          <w:rFonts w:ascii="Garamond" w:hAnsi="Garamond"/>
        </w:rPr>
        <w:t xml:space="preserve"> ou que ce soit en raison du rôle effectif de l’investisseur dans la réduction de ces incidences négatives. </w:t>
      </w:r>
      <w:r w:rsidR="0067583E" w:rsidRPr="0067583E">
        <w:rPr>
          <w:rFonts w:ascii="Garamond" w:hAnsi="Garamond"/>
        </w:rPr>
        <w:t xml:space="preserve"> </w:t>
      </w:r>
    </w:p>
    <w:p w14:paraId="103C5FEB" w14:textId="77777777" w:rsidR="00744CD3" w:rsidRDefault="00811EC0" w:rsidP="003205F7">
      <w:pPr>
        <w:tabs>
          <w:tab w:val="left" w:pos="224"/>
        </w:tabs>
        <w:spacing w:after="120"/>
        <w:ind w:left="284"/>
        <w:jc w:val="both"/>
        <w:rPr>
          <w:rFonts w:ascii="Garamond" w:hAnsi="Garamond"/>
        </w:rPr>
      </w:pPr>
      <w:r>
        <w:rPr>
          <w:rFonts w:ascii="Garamond" w:hAnsi="Garamond"/>
        </w:rPr>
        <w:t xml:space="preserve">En conséquence, </w:t>
      </w:r>
      <w:r w:rsidR="00744CD3">
        <w:rPr>
          <w:rFonts w:ascii="Garamond" w:hAnsi="Garamond"/>
        </w:rPr>
        <w:t>il conviendrait de :</w:t>
      </w:r>
    </w:p>
    <w:p w14:paraId="2C6147D4" w14:textId="6C336975" w:rsidR="00811EC0" w:rsidRDefault="00744CD3" w:rsidP="00A008DE">
      <w:pPr>
        <w:pStyle w:val="Paragraphedeliste"/>
        <w:numPr>
          <w:ilvl w:val="0"/>
          <w:numId w:val="41"/>
        </w:numPr>
        <w:tabs>
          <w:tab w:val="left" w:pos="224"/>
        </w:tabs>
        <w:spacing w:after="120"/>
        <w:contextualSpacing w:val="0"/>
        <w:jc w:val="both"/>
        <w:rPr>
          <w:rFonts w:ascii="Garamond" w:hAnsi="Garamond"/>
        </w:rPr>
      </w:pPr>
      <w:r>
        <w:rPr>
          <w:rFonts w:ascii="Garamond" w:hAnsi="Garamond"/>
        </w:rPr>
        <w:t xml:space="preserve">Définir </w:t>
      </w:r>
      <w:r w:rsidR="00811EC0" w:rsidRPr="00A008DE">
        <w:rPr>
          <w:rFonts w:ascii="Garamond" w:hAnsi="Garamond"/>
        </w:rPr>
        <w:t xml:space="preserve">une liste réduite d’indicateurs PAI obligatoires </w:t>
      </w:r>
      <w:r>
        <w:rPr>
          <w:rFonts w:ascii="Garamond" w:hAnsi="Garamond"/>
        </w:rPr>
        <w:t>à publier par toutes les entités</w:t>
      </w:r>
      <w:r w:rsidR="003205F7">
        <w:rPr>
          <w:rFonts w:ascii="Garamond" w:hAnsi="Garamond"/>
        </w:rPr>
        <w:t> ;</w:t>
      </w:r>
    </w:p>
    <w:p w14:paraId="6F647883" w14:textId="06342218" w:rsidR="00744CD3" w:rsidRPr="00A008DE" w:rsidRDefault="00744CD3" w:rsidP="00A008DE">
      <w:pPr>
        <w:pStyle w:val="Paragraphedeliste"/>
        <w:numPr>
          <w:ilvl w:val="0"/>
          <w:numId w:val="41"/>
        </w:numPr>
        <w:tabs>
          <w:tab w:val="left" w:pos="224"/>
        </w:tabs>
        <w:spacing w:after="120"/>
        <w:contextualSpacing w:val="0"/>
        <w:jc w:val="both"/>
        <w:rPr>
          <w:rFonts w:ascii="Garamond" w:hAnsi="Garamond"/>
        </w:rPr>
      </w:pPr>
      <w:r>
        <w:rPr>
          <w:rFonts w:ascii="Garamond" w:hAnsi="Garamond"/>
        </w:rPr>
        <w:t xml:space="preserve">Etablir une liste d’indicateurs </w:t>
      </w:r>
      <w:r w:rsidR="00463FAF">
        <w:rPr>
          <w:rFonts w:ascii="Garamond" w:hAnsi="Garamond"/>
        </w:rPr>
        <w:t xml:space="preserve">PAI </w:t>
      </w:r>
      <w:r>
        <w:rPr>
          <w:rFonts w:ascii="Garamond" w:hAnsi="Garamond"/>
        </w:rPr>
        <w:t xml:space="preserve">volontaires </w:t>
      </w:r>
      <w:r w:rsidR="00463FAF">
        <w:rPr>
          <w:rFonts w:ascii="Garamond" w:hAnsi="Garamond"/>
        </w:rPr>
        <w:t xml:space="preserve">dans laquelle chaque acteur pourrait </w:t>
      </w:r>
      <w:r w:rsidR="003205F7">
        <w:rPr>
          <w:rFonts w:ascii="Garamond" w:hAnsi="Garamond"/>
        </w:rPr>
        <w:t>choisir un ou deux indicateurs à suivre en fonction de ses priorités stratégiques.</w:t>
      </w:r>
    </w:p>
    <w:p w14:paraId="24E9AFA4" w14:textId="77777777" w:rsidR="007C291C" w:rsidRDefault="007C291C" w:rsidP="00BD2962">
      <w:pPr>
        <w:pStyle w:val="FATITRE"/>
        <w:ind w:left="142"/>
        <w:jc w:val="left"/>
        <w:rPr>
          <w:lang w:val="fr-FR"/>
        </w:rPr>
      </w:pPr>
    </w:p>
    <w:p w14:paraId="0C5EB541" w14:textId="2F083BB3" w:rsidR="7FE5A09D" w:rsidRPr="004A5ACB" w:rsidRDefault="7FE5A09D" w:rsidP="00A008DE">
      <w:pPr>
        <w:pStyle w:val="FATITRE"/>
        <w:numPr>
          <w:ilvl w:val="0"/>
          <w:numId w:val="38"/>
        </w:numPr>
        <w:jc w:val="left"/>
        <w:rPr>
          <w:lang w:val="fr-FR"/>
        </w:rPr>
      </w:pPr>
      <w:r w:rsidRPr="004A5ACB">
        <w:rPr>
          <w:lang w:val="fr-FR"/>
        </w:rPr>
        <w:lastRenderedPageBreak/>
        <w:t>Renforcer la transparence au niveau des produits</w:t>
      </w:r>
      <w:r w:rsidR="003205F7">
        <w:rPr>
          <w:lang w:val="fr-FR"/>
        </w:rPr>
        <w:t xml:space="preserve"> comme préalable à la catégorisation</w:t>
      </w:r>
    </w:p>
    <w:p w14:paraId="2F8F46EF" w14:textId="77777777" w:rsidR="0093717D" w:rsidRDefault="0093717D" w:rsidP="0093717D">
      <w:pPr>
        <w:tabs>
          <w:tab w:val="left" w:pos="224"/>
        </w:tabs>
        <w:rPr>
          <w:rFonts w:ascii="Garamond" w:hAnsi="Garamond"/>
          <w:b/>
          <w:bCs/>
          <w:i/>
          <w:iCs/>
          <w:color w:val="002060"/>
        </w:rPr>
      </w:pPr>
    </w:p>
    <w:p w14:paraId="19BF55E9" w14:textId="1046B9F8" w:rsidR="007D374F" w:rsidRPr="004205D7" w:rsidRDefault="006E0B3D" w:rsidP="0093717D">
      <w:pPr>
        <w:tabs>
          <w:tab w:val="left" w:pos="224"/>
        </w:tabs>
        <w:rPr>
          <w:rFonts w:ascii="Garamond" w:hAnsi="Garamond"/>
          <w:b/>
          <w:bCs/>
          <w:i/>
          <w:iCs/>
          <w:color w:val="002060"/>
        </w:rPr>
      </w:pPr>
      <w:r w:rsidRPr="004205D7">
        <w:rPr>
          <w:rFonts w:ascii="Garamond" w:hAnsi="Garamond"/>
          <w:b/>
          <w:bCs/>
          <w:i/>
          <w:iCs/>
          <w:color w:val="002060"/>
        </w:rPr>
        <w:t xml:space="preserve">Une </w:t>
      </w:r>
      <w:r w:rsidR="008025D7">
        <w:rPr>
          <w:rFonts w:ascii="Garamond" w:hAnsi="Garamond"/>
          <w:b/>
          <w:bCs/>
          <w:i/>
          <w:iCs/>
          <w:color w:val="002060"/>
        </w:rPr>
        <w:t xml:space="preserve">simplification et une </w:t>
      </w:r>
      <w:r w:rsidRPr="004205D7">
        <w:rPr>
          <w:rFonts w:ascii="Garamond" w:hAnsi="Garamond"/>
          <w:b/>
          <w:bCs/>
          <w:i/>
          <w:iCs/>
          <w:color w:val="002060"/>
        </w:rPr>
        <w:t>standardisation des exigences de publication pour tous les produits financiers</w:t>
      </w:r>
      <w:r w:rsidR="00502FD3" w:rsidRPr="004205D7">
        <w:rPr>
          <w:rFonts w:ascii="Garamond" w:hAnsi="Garamond"/>
          <w:b/>
          <w:bCs/>
          <w:i/>
          <w:iCs/>
          <w:color w:val="002060"/>
        </w:rPr>
        <w:t xml:space="preserve"> </w:t>
      </w:r>
    </w:p>
    <w:p w14:paraId="4AA8657A" w14:textId="2ADED1C2" w:rsidR="00711A06" w:rsidRPr="00711A06" w:rsidRDefault="00711A06" w:rsidP="008025D7">
      <w:pPr>
        <w:tabs>
          <w:tab w:val="left" w:pos="224"/>
        </w:tabs>
        <w:ind w:left="224"/>
        <w:jc w:val="both"/>
        <w:rPr>
          <w:rFonts w:ascii="Garamond" w:hAnsi="Garamond"/>
          <w:b/>
          <w:bCs/>
        </w:rPr>
      </w:pPr>
      <w:r w:rsidRPr="00711A06">
        <w:rPr>
          <w:rFonts w:ascii="Garamond" w:hAnsi="Garamond"/>
          <w:b/>
          <w:bCs/>
        </w:rPr>
        <w:t>Simplifier les informations à produire</w:t>
      </w:r>
    </w:p>
    <w:p w14:paraId="2FA747E0" w14:textId="42E447EF" w:rsidR="008025D7" w:rsidRPr="006060ED" w:rsidRDefault="008025D7" w:rsidP="008025D7">
      <w:pPr>
        <w:tabs>
          <w:tab w:val="left" w:pos="224"/>
        </w:tabs>
        <w:ind w:left="224"/>
        <w:jc w:val="both"/>
        <w:rPr>
          <w:rFonts w:ascii="Garamond" w:hAnsi="Garamond"/>
        </w:rPr>
      </w:pPr>
      <w:r w:rsidRPr="7FE5A09D">
        <w:rPr>
          <w:rFonts w:ascii="Garamond" w:hAnsi="Garamond"/>
        </w:rPr>
        <w:t xml:space="preserve">Dans son avis à la Commission européenne sur la </w:t>
      </w:r>
      <w:proofErr w:type="spellStart"/>
      <w:r w:rsidRPr="7FE5A09D">
        <w:rPr>
          <w:rFonts w:ascii="Garamond" w:hAnsi="Garamond"/>
          <w:i/>
          <w:iCs/>
        </w:rPr>
        <w:t>Retail</w:t>
      </w:r>
      <w:proofErr w:type="spellEnd"/>
      <w:r w:rsidRPr="7FE5A09D">
        <w:rPr>
          <w:rFonts w:ascii="Garamond" w:hAnsi="Garamond"/>
          <w:i/>
          <w:iCs/>
        </w:rPr>
        <w:t xml:space="preserve"> Investment </w:t>
      </w:r>
      <w:proofErr w:type="spellStart"/>
      <w:r w:rsidRPr="004A5ACB">
        <w:rPr>
          <w:rFonts w:ascii="Garamond" w:hAnsi="Garamond"/>
          <w:i/>
          <w:iCs/>
        </w:rPr>
        <w:t>Strategy</w:t>
      </w:r>
      <w:proofErr w:type="spellEnd"/>
      <w:r w:rsidRPr="7FE5A09D">
        <w:rPr>
          <w:rFonts w:ascii="Garamond" w:hAnsi="Garamond"/>
        </w:rPr>
        <w:t xml:space="preserve">, l’EIOPA souligne que les exigences de </w:t>
      </w:r>
      <w:proofErr w:type="spellStart"/>
      <w:r w:rsidRPr="7FE5A09D">
        <w:rPr>
          <w:rFonts w:ascii="Garamond" w:hAnsi="Garamond"/>
        </w:rPr>
        <w:t>reporting</w:t>
      </w:r>
      <w:proofErr w:type="spellEnd"/>
      <w:r w:rsidRPr="7FE5A09D">
        <w:rPr>
          <w:rFonts w:ascii="Garamond" w:hAnsi="Garamond"/>
        </w:rPr>
        <w:t xml:space="preserve"> (dont SFDR) ne profitent pas aux clients finaux car les informations fournies sont trop complexes et trop détaillée</w:t>
      </w:r>
      <w:r>
        <w:rPr>
          <w:rFonts w:ascii="Garamond" w:hAnsi="Garamond"/>
        </w:rPr>
        <w:t>s</w:t>
      </w:r>
      <w:r w:rsidRPr="7FE5A09D">
        <w:rPr>
          <w:rFonts w:ascii="Garamond" w:hAnsi="Garamond"/>
        </w:rPr>
        <w:t xml:space="preserve"> (EIOPA-BoS-22/244, p. 35 et </w:t>
      </w:r>
      <w:proofErr w:type="spellStart"/>
      <w:r w:rsidRPr="7FE5A09D">
        <w:rPr>
          <w:rFonts w:ascii="Garamond" w:hAnsi="Garamond"/>
        </w:rPr>
        <w:t>seq</w:t>
      </w:r>
      <w:proofErr w:type="spellEnd"/>
      <w:r w:rsidRPr="7FE5A09D">
        <w:rPr>
          <w:rFonts w:ascii="Garamond" w:hAnsi="Garamond"/>
        </w:rPr>
        <w:t xml:space="preserve">.) Selon le superviseur européen, cela s’explique entre autres par un mélange des objectifs de supervision et de transparence des marchés.  Aussi, afin de remplir pleinement l’objectif de SFDR en matière de protection des investisseurs finaux, </w:t>
      </w:r>
      <w:r>
        <w:rPr>
          <w:rFonts w:ascii="Garamond" w:hAnsi="Garamond"/>
        </w:rPr>
        <w:t>France Assureurs</w:t>
      </w:r>
      <w:r w:rsidRPr="7FE5A09D">
        <w:rPr>
          <w:rFonts w:ascii="Garamond" w:hAnsi="Garamond"/>
        </w:rPr>
        <w:t xml:space="preserve"> plaide en faveur d’une </w:t>
      </w:r>
      <w:r w:rsidRPr="7FE5A09D">
        <w:rPr>
          <w:rFonts w:ascii="Garamond" w:hAnsi="Garamond"/>
          <w:b/>
          <w:bCs/>
        </w:rPr>
        <w:t>rationalisation et simplification des informations à produire</w:t>
      </w:r>
      <w:r w:rsidRPr="7FE5A09D">
        <w:rPr>
          <w:rFonts w:ascii="Garamond" w:hAnsi="Garamond"/>
        </w:rPr>
        <w:t xml:space="preserve">.  La quantité d’informations à fournir doit être réévaluée afin de ne sélectionner que les données les plus pertinentes – autrement dit, celles qui sont les plus objectives et dont l’importance fait consensus au sein du marché financier, et celles qui sont </w:t>
      </w:r>
      <w:r w:rsidRPr="004A5ACB">
        <w:rPr>
          <w:rFonts w:ascii="Garamond" w:hAnsi="Garamond"/>
          <w:b/>
          <w:bCs/>
        </w:rPr>
        <w:t>compréhensibles pour le client final.</w:t>
      </w:r>
      <w:r w:rsidR="006060ED">
        <w:rPr>
          <w:rFonts w:ascii="Garamond" w:hAnsi="Garamond"/>
          <w:b/>
          <w:bCs/>
        </w:rPr>
        <w:t xml:space="preserve"> </w:t>
      </w:r>
      <w:r w:rsidR="006060ED">
        <w:rPr>
          <w:rFonts w:ascii="Garamond" w:hAnsi="Garamond"/>
        </w:rPr>
        <w:t>A cet égard, des études auprès d</w:t>
      </w:r>
      <w:r w:rsidR="00931AC1">
        <w:rPr>
          <w:rFonts w:ascii="Garamond" w:hAnsi="Garamond"/>
        </w:rPr>
        <w:t>e consommateurs sont indispensables.</w:t>
      </w:r>
    </w:p>
    <w:p w14:paraId="0FC454C0" w14:textId="77777777" w:rsidR="008025D7" w:rsidRDefault="008025D7" w:rsidP="00E02936">
      <w:pPr>
        <w:tabs>
          <w:tab w:val="left" w:pos="224"/>
        </w:tabs>
        <w:spacing w:after="120"/>
        <w:ind w:left="227"/>
        <w:jc w:val="both"/>
        <w:rPr>
          <w:rFonts w:ascii="Garamond" w:hAnsi="Garamond"/>
        </w:rPr>
      </w:pPr>
    </w:p>
    <w:p w14:paraId="55EC6441" w14:textId="0136BA97" w:rsidR="00711A06" w:rsidRPr="006A7D87" w:rsidRDefault="00711A06" w:rsidP="00E02936">
      <w:pPr>
        <w:tabs>
          <w:tab w:val="left" w:pos="224"/>
        </w:tabs>
        <w:spacing w:after="120"/>
        <w:ind w:left="227"/>
        <w:jc w:val="both"/>
        <w:rPr>
          <w:rFonts w:ascii="Garamond" w:hAnsi="Garamond"/>
          <w:b/>
          <w:bCs/>
        </w:rPr>
      </w:pPr>
      <w:r w:rsidRPr="006A7D87">
        <w:rPr>
          <w:rFonts w:ascii="Garamond" w:hAnsi="Garamond"/>
          <w:b/>
          <w:bCs/>
        </w:rPr>
        <w:t xml:space="preserve">Etendre les exigences </w:t>
      </w:r>
      <w:r w:rsidR="006A7D87" w:rsidRPr="006A7D87">
        <w:rPr>
          <w:rFonts w:ascii="Garamond" w:hAnsi="Garamond"/>
          <w:b/>
          <w:bCs/>
        </w:rPr>
        <w:t xml:space="preserve">à tous les produits via un </w:t>
      </w:r>
      <w:proofErr w:type="spellStart"/>
      <w:r w:rsidR="006A7D87" w:rsidRPr="006A7D87">
        <w:rPr>
          <w:rFonts w:ascii="Garamond" w:hAnsi="Garamond"/>
          <w:b/>
          <w:bCs/>
        </w:rPr>
        <w:t>template</w:t>
      </w:r>
      <w:proofErr w:type="spellEnd"/>
      <w:r w:rsidR="006A7D87" w:rsidRPr="006A7D87">
        <w:rPr>
          <w:rFonts w:ascii="Garamond" w:hAnsi="Garamond"/>
          <w:b/>
          <w:bCs/>
        </w:rPr>
        <w:t xml:space="preserve"> </w:t>
      </w:r>
      <w:r w:rsidR="000144DA">
        <w:rPr>
          <w:rFonts w:ascii="Garamond" w:hAnsi="Garamond"/>
          <w:b/>
          <w:bCs/>
        </w:rPr>
        <w:t xml:space="preserve">unique </w:t>
      </w:r>
    </w:p>
    <w:p w14:paraId="4939B4A3" w14:textId="5750E84B" w:rsidR="004A5ACB" w:rsidRDefault="002D4E91" w:rsidP="00E02936">
      <w:pPr>
        <w:tabs>
          <w:tab w:val="left" w:pos="224"/>
        </w:tabs>
        <w:spacing w:after="120"/>
        <w:ind w:left="227"/>
        <w:jc w:val="both"/>
        <w:rPr>
          <w:rFonts w:ascii="Garamond" w:hAnsi="Garamond"/>
        </w:rPr>
      </w:pPr>
      <w:r>
        <w:rPr>
          <w:rFonts w:ascii="Garamond" w:hAnsi="Garamond"/>
        </w:rPr>
        <w:t xml:space="preserve">D’autre part, </w:t>
      </w:r>
      <w:r w:rsidR="00A30319">
        <w:rPr>
          <w:rFonts w:ascii="Garamond" w:hAnsi="Garamond"/>
        </w:rPr>
        <w:t xml:space="preserve">afin d’assurer la comparabilité entre produits, </w:t>
      </w:r>
      <w:r w:rsidR="7FE5A09D" w:rsidRPr="7FE5A09D">
        <w:rPr>
          <w:rFonts w:ascii="Garamond" w:hAnsi="Garamond"/>
        </w:rPr>
        <w:t>France Assureurs soutient la proposition de la Commission européenne d</w:t>
      </w:r>
      <w:r w:rsidR="004A5ACB">
        <w:rPr>
          <w:rFonts w:ascii="Garamond" w:hAnsi="Garamond"/>
        </w:rPr>
        <w:t>’élargir</w:t>
      </w:r>
      <w:r w:rsidR="7FE5A09D" w:rsidRPr="7FE5A09D">
        <w:rPr>
          <w:rFonts w:ascii="Garamond" w:hAnsi="Garamond"/>
        </w:rPr>
        <w:t xml:space="preserve"> </w:t>
      </w:r>
      <w:r w:rsidR="004A5ACB">
        <w:rPr>
          <w:rFonts w:ascii="Garamond" w:hAnsi="Garamond"/>
        </w:rPr>
        <w:t>certaines</w:t>
      </w:r>
      <w:r w:rsidR="7FE5A09D" w:rsidRPr="7FE5A09D">
        <w:rPr>
          <w:rFonts w:ascii="Garamond" w:hAnsi="Garamond"/>
        </w:rPr>
        <w:t xml:space="preserve"> exigences de publication</w:t>
      </w:r>
      <w:r w:rsidR="004A5ACB">
        <w:rPr>
          <w:rFonts w:ascii="Garamond" w:hAnsi="Garamond"/>
        </w:rPr>
        <w:t xml:space="preserve"> en matière ESG à tous l</w:t>
      </w:r>
      <w:r w:rsidR="7FE5A09D" w:rsidRPr="7FE5A09D">
        <w:rPr>
          <w:rFonts w:ascii="Garamond" w:hAnsi="Garamond"/>
        </w:rPr>
        <w:t xml:space="preserve">es </w:t>
      </w:r>
      <w:r w:rsidR="00160C26">
        <w:rPr>
          <w:rFonts w:ascii="Garamond" w:hAnsi="Garamond"/>
        </w:rPr>
        <w:t>produit</w:t>
      </w:r>
      <w:r w:rsidR="00160C26" w:rsidRPr="7FE5A09D">
        <w:rPr>
          <w:rFonts w:ascii="Garamond" w:hAnsi="Garamond"/>
        </w:rPr>
        <w:t xml:space="preserve">s </w:t>
      </w:r>
      <w:r w:rsidR="7FE5A09D" w:rsidRPr="7FE5A09D">
        <w:rPr>
          <w:rFonts w:ascii="Garamond" w:hAnsi="Garamond"/>
        </w:rPr>
        <w:t>financiers.</w:t>
      </w:r>
      <w:r w:rsidR="00B02BB5">
        <w:rPr>
          <w:rFonts w:ascii="Garamond" w:hAnsi="Garamond"/>
        </w:rPr>
        <w:t xml:space="preserve"> L’ensemble des produits financiers, au-delà du périmètre actuel</w:t>
      </w:r>
      <w:r w:rsidR="00995120">
        <w:rPr>
          <w:rFonts w:ascii="Garamond" w:hAnsi="Garamond"/>
        </w:rPr>
        <w:t xml:space="preserve"> en incluant par exemple les produits structurés</w:t>
      </w:r>
      <w:r w:rsidR="00B02BB5">
        <w:rPr>
          <w:rFonts w:ascii="Garamond" w:hAnsi="Garamond"/>
        </w:rPr>
        <w:t>, pourrait produire des informations</w:t>
      </w:r>
      <w:r w:rsidR="00995120">
        <w:rPr>
          <w:rFonts w:ascii="Garamond" w:hAnsi="Garamond"/>
        </w:rPr>
        <w:t xml:space="preserve"> dans le cadre de SFDR.</w:t>
      </w:r>
      <w:r w:rsidR="7FE5A09D" w:rsidRPr="7FE5A09D">
        <w:rPr>
          <w:rFonts w:ascii="Garamond" w:hAnsi="Garamond"/>
        </w:rPr>
        <w:t xml:space="preserve"> </w:t>
      </w:r>
      <w:r w:rsidR="004A5ACB">
        <w:rPr>
          <w:rFonts w:ascii="Garamond" w:hAnsi="Garamond"/>
        </w:rPr>
        <w:t>Cet élargissement</w:t>
      </w:r>
      <w:r w:rsidR="7FE5A09D" w:rsidRPr="7FE5A09D">
        <w:rPr>
          <w:rFonts w:ascii="Garamond" w:hAnsi="Garamond"/>
        </w:rPr>
        <w:t xml:space="preserve"> doit se matérialiser par la</w:t>
      </w:r>
      <w:r w:rsidR="004A5ACB">
        <w:rPr>
          <w:rFonts w:ascii="Garamond" w:hAnsi="Garamond"/>
        </w:rPr>
        <w:t xml:space="preserve"> standardisation d’un</w:t>
      </w:r>
      <w:r w:rsidR="7FE5A09D" w:rsidRPr="7FE5A09D">
        <w:rPr>
          <w:rFonts w:ascii="Garamond" w:hAnsi="Garamond"/>
          <w:b/>
          <w:bCs/>
        </w:rPr>
        <w:t xml:space="preserve"> </w:t>
      </w:r>
      <w:proofErr w:type="spellStart"/>
      <w:r w:rsidR="7FE5A09D" w:rsidRPr="7FE5A09D">
        <w:rPr>
          <w:rFonts w:ascii="Garamond" w:hAnsi="Garamond"/>
          <w:b/>
          <w:bCs/>
          <w:i/>
          <w:iCs/>
        </w:rPr>
        <w:t>template</w:t>
      </w:r>
      <w:proofErr w:type="spellEnd"/>
      <w:r w:rsidR="7FE5A09D" w:rsidRPr="7FE5A09D">
        <w:rPr>
          <w:rFonts w:ascii="Garamond" w:hAnsi="Garamond"/>
          <w:b/>
          <w:bCs/>
        </w:rPr>
        <w:t xml:space="preserve"> unique</w:t>
      </w:r>
      <w:r w:rsidR="7FE5A09D" w:rsidRPr="7FE5A09D">
        <w:rPr>
          <w:rFonts w:ascii="Garamond" w:hAnsi="Garamond"/>
        </w:rPr>
        <w:t xml:space="preserve"> “</w:t>
      </w:r>
      <w:r w:rsidR="001E297A">
        <w:rPr>
          <w:rFonts w:ascii="Garamond" w:hAnsi="Garamond"/>
        </w:rPr>
        <w:t>en entonnoir</w:t>
      </w:r>
      <w:r w:rsidR="7FE5A09D" w:rsidRPr="7FE5A09D">
        <w:rPr>
          <w:rFonts w:ascii="Garamond" w:hAnsi="Garamond"/>
        </w:rPr>
        <w:t>” qui devrait être rempli en fonction du caractère durable des produits</w:t>
      </w:r>
      <w:r w:rsidR="004A5ACB">
        <w:rPr>
          <w:rFonts w:ascii="Garamond" w:hAnsi="Garamond"/>
        </w:rPr>
        <w:t> :</w:t>
      </w:r>
    </w:p>
    <w:p w14:paraId="423F93AE" w14:textId="77777777" w:rsidR="00C96F62" w:rsidRDefault="004A5ACB" w:rsidP="004D35A6">
      <w:pPr>
        <w:pStyle w:val="Paragraphedeliste"/>
        <w:numPr>
          <w:ilvl w:val="0"/>
          <w:numId w:val="42"/>
        </w:numPr>
        <w:tabs>
          <w:tab w:val="left" w:pos="224"/>
        </w:tabs>
        <w:spacing w:after="120"/>
        <w:contextualSpacing w:val="0"/>
        <w:jc w:val="both"/>
        <w:rPr>
          <w:rFonts w:ascii="Garamond" w:hAnsi="Garamond"/>
        </w:rPr>
      </w:pPr>
      <w:r w:rsidRPr="00C96F62">
        <w:rPr>
          <w:rFonts w:ascii="Garamond" w:hAnsi="Garamond"/>
          <w:b/>
          <w:bCs/>
        </w:rPr>
        <w:t>U</w:t>
      </w:r>
      <w:r w:rsidR="7FE5A09D" w:rsidRPr="00C96F62">
        <w:rPr>
          <w:rFonts w:ascii="Garamond" w:hAnsi="Garamond"/>
          <w:b/>
          <w:bCs/>
        </w:rPr>
        <w:t>n premier socle d</w:t>
      </w:r>
      <w:r w:rsidR="0093717D" w:rsidRPr="00C96F62">
        <w:rPr>
          <w:rFonts w:ascii="Garamond" w:hAnsi="Garamond"/>
          <w:b/>
          <w:bCs/>
        </w:rPr>
        <w:t>’</w:t>
      </w:r>
      <w:r w:rsidR="7FE5A09D" w:rsidRPr="00C96F62">
        <w:rPr>
          <w:rFonts w:ascii="Garamond" w:hAnsi="Garamond"/>
          <w:b/>
          <w:bCs/>
        </w:rPr>
        <w:t>informations</w:t>
      </w:r>
      <w:r w:rsidRPr="00C96F62">
        <w:rPr>
          <w:rFonts w:ascii="Garamond" w:hAnsi="Garamond"/>
          <w:b/>
          <w:bCs/>
        </w:rPr>
        <w:t xml:space="preserve"> obligatoires</w:t>
      </w:r>
      <w:r w:rsidR="7FE5A09D" w:rsidRPr="00C96F62">
        <w:rPr>
          <w:rFonts w:ascii="Garamond" w:hAnsi="Garamond"/>
        </w:rPr>
        <w:t xml:space="preserve"> avec les éléments clés en matière de durabilité devrait être publié par tous les supports. </w:t>
      </w:r>
      <w:r w:rsidR="008141BC" w:rsidRPr="00C96F62">
        <w:rPr>
          <w:rFonts w:ascii="Garamond" w:hAnsi="Garamond"/>
        </w:rPr>
        <w:t>Ces informations auraient</w:t>
      </w:r>
      <w:r w:rsidR="00FC2772" w:rsidRPr="00C96F62">
        <w:rPr>
          <w:rFonts w:ascii="Garamond" w:hAnsi="Garamond"/>
        </w:rPr>
        <w:t xml:space="preserve"> une vocation d’information et il conviendrait de présenter de manière distincte ce qui constitue un</w:t>
      </w:r>
      <w:r w:rsidR="00D0734D" w:rsidRPr="00C96F62">
        <w:rPr>
          <w:rFonts w:ascii="Garamond" w:hAnsi="Garamond"/>
        </w:rPr>
        <w:t xml:space="preserve"> engagement sur la durée de vie de ce qui constitue une information sur les réalisations du support.</w:t>
      </w:r>
      <w:r w:rsidR="00E12B5D" w:rsidRPr="00C96F62">
        <w:rPr>
          <w:rFonts w:ascii="Garamond" w:hAnsi="Garamond"/>
        </w:rPr>
        <w:t xml:space="preserve"> </w:t>
      </w:r>
      <w:r w:rsidR="7FE5A09D" w:rsidRPr="00C96F62">
        <w:rPr>
          <w:rFonts w:ascii="Garamond" w:hAnsi="Garamond"/>
        </w:rPr>
        <w:t>Ce premier socle pourrait notamment contenir le pourcentage d’alignement à la taxonomie, une sélection réduite de PAI essentiels (à l’instar de l’intensité carbone et de l’exposition aux hydrocarbures), une information sur les stratégies d’exclusion poursuivies par le produit.</w:t>
      </w:r>
      <w:r w:rsidR="00116429" w:rsidRPr="00C96F62">
        <w:rPr>
          <w:rFonts w:ascii="Garamond" w:hAnsi="Garamond"/>
        </w:rPr>
        <w:t xml:space="preserve"> </w:t>
      </w:r>
    </w:p>
    <w:p w14:paraId="78F17F60" w14:textId="4C3256FA" w:rsidR="00D0734D" w:rsidRPr="00C96F62" w:rsidRDefault="00D0734D" w:rsidP="00C96F62">
      <w:pPr>
        <w:pStyle w:val="Paragraphedeliste"/>
        <w:tabs>
          <w:tab w:val="left" w:pos="224"/>
        </w:tabs>
        <w:spacing w:after="120"/>
        <w:ind w:left="947"/>
        <w:contextualSpacing w:val="0"/>
        <w:jc w:val="both"/>
        <w:rPr>
          <w:rFonts w:ascii="Garamond" w:hAnsi="Garamond"/>
        </w:rPr>
      </w:pPr>
      <w:r w:rsidRPr="00C96F62">
        <w:rPr>
          <w:rFonts w:ascii="Garamond" w:hAnsi="Garamond"/>
        </w:rPr>
        <w:t>Afin d’éviter une surcharge administrative inefficace, ces informations devraient uniquement être produites sur les produits commercialisés.</w:t>
      </w:r>
    </w:p>
    <w:p w14:paraId="7906A02F" w14:textId="1CEF968C" w:rsidR="00F816EE" w:rsidRPr="00F816EE" w:rsidRDefault="00F816EE" w:rsidP="00D0734D">
      <w:pPr>
        <w:pStyle w:val="Paragraphedeliste"/>
        <w:tabs>
          <w:tab w:val="left" w:pos="224"/>
        </w:tabs>
        <w:spacing w:after="120"/>
        <w:ind w:left="947"/>
        <w:contextualSpacing w:val="0"/>
        <w:jc w:val="both"/>
        <w:rPr>
          <w:rFonts w:ascii="Garamond" w:hAnsi="Garamond"/>
          <w:i/>
          <w:iCs/>
        </w:rPr>
      </w:pPr>
      <w:r>
        <w:rPr>
          <w:rFonts w:ascii="Garamond" w:hAnsi="Garamond"/>
          <w:i/>
          <w:iCs/>
        </w:rPr>
        <w:t>Les produits qui n’ont pas de carac</w:t>
      </w:r>
      <w:r w:rsidR="00990890">
        <w:rPr>
          <w:rFonts w:ascii="Garamond" w:hAnsi="Garamond"/>
          <w:i/>
          <w:iCs/>
        </w:rPr>
        <w:t>téristiques ESG</w:t>
      </w:r>
      <w:r w:rsidR="00F45532">
        <w:rPr>
          <w:rFonts w:ascii="Garamond" w:hAnsi="Garamond"/>
          <w:i/>
          <w:iCs/>
        </w:rPr>
        <w:t xml:space="preserve"> (</w:t>
      </w:r>
      <w:proofErr w:type="spellStart"/>
      <w:r w:rsidR="00F45532">
        <w:rPr>
          <w:rFonts w:ascii="Garamond" w:hAnsi="Garamond"/>
          <w:i/>
          <w:iCs/>
        </w:rPr>
        <w:t>ie</w:t>
      </w:r>
      <w:proofErr w:type="spellEnd"/>
      <w:r w:rsidR="00F45532">
        <w:rPr>
          <w:rFonts w:ascii="Garamond" w:hAnsi="Garamond"/>
          <w:i/>
          <w:iCs/>
        </w:rPr>
        <w:t xml:space="preserve"> actuels Article 6)</w:t>
      </w:r>
      <w:r w:rsidR="00990890">
        <w:rPr>
          <w:rFonts w:ascii="Garamond" w:hAnsi="Garamond"/>
          <w:i/>
          <w:iCs/>
        </w:rPr>
        <w:t xml:space="preserve"> devraient alors renseigner des valeurs nulles dans cette section.</w:t>
      </w:r>
    </w:p>
    <w:p w14:paraId="25985D27" w14:textId="0704E5F0" w:rsidR="0093717D" w:rsidRPr="00A008DE" w:rsidRDefault="004A5ACB" w:rsidP="00A008DE">
      <w:pPr>
        <w:pStyle w:val="Paragraphedeliste"/>
        <w:numPr>
          <w:ilvl w:val="0"/>
          <w:numId w:val="42"/>
        </w:numPr>
        <w:tabs>
          <w:tab w:val="left" w:pos="224"/>
        </w:tabs>
        <w:spacing w:after="120"/>
        <w:jc w:val="both"/>
        <w:rPr>
          <w:rFonts w:ascii="Garamond" w:hAnsi="Garamond"/>
        </w:rPr>
      </w:pPr>
      <w:r w:rsidRPr="00A008DE">
        <w:rPr>
          <w:rFonts w:ascii="Garamond" w:hAnsi="Garamond"/>
          <w:b/>
          <w:bCs/>
        </w:rPr>
        <w:t xml:space="preserve">Des informations supplémentaires </w:t>
      </w:r>
      <w:r w:rsidR="00C600B2" w:rsidRPr="00A008DE">
        <w:rPr>
          <w:rFonts w:ascii="Garamond" w:hAnsi="Garamond"/>
          <w:b/>
          <w:bCs/>
        </w:rPr>
        <w:t>spécifiques</w:t>
      </w:r>
      <w:r w:rsidR="008141BC">
        <w:rPr>
          <w:rFonts w:ascii="Garamond" w:hAnsi="Garamond"/>
          <w:b/>
          <w:bCs/>
        </w:rPr>
        <w:t xml:space="preserve"> et volontaires</w:t>
      </w:r>
      <w:r w:rsidRPr="00A008DE">
        <w:rPr>
          <w:rFonts w:ascii="Garamond" w:hAnsi="Garamond"/>
        </w:rPr>
        <w:t xml:space="preserve">, en s’appuyant sur les </w:t>
      </w:r>
      <w:proofErr w:type="spellStart"/>
      <w:r w:rsidRPr="00A008DE">
        <w:rPr>
          <w:rFonts w:ascii="Garamond" w:hAnsi="Garamond"/>
          <w:i/>
          <w:iCs/>
        </w:rPr>
        <w:t>templates</w:t>
      </w:r>
      <w:proofErr w:type="spellEnd"/>
      <w:r w:rsidRPr="00A008DE">
        <w:rPr>
          <w:rFonts w:ascii="Garamond" w:hAnsi="Garamond"/>
        </w:rPr>
        <w:t xml:space="preserve"> actuels des articles 8 et 9, pourraient ensuite être demandées, afin de mieux rendre compte du caractère durable d’un support. </w:t>
      </w:r>
      <w:r w:rsidR="00E02936" w:rsidRPr="00A008DE">
        <w:rPr>
          <w:rFonts w:ascii="Garamond" w:hAnsi="Garamond"/>
        </w:rPr>
        <w:t>Ces informations devraient</w:t>
      </w:r>
      <w:r w:rsidRPr="00A008DE">
        <w:rPr>
          <w:rFonts w:ascii="Garamond" w:hAnsi="Garamond"/>
        </w:rPr>
        <w:t xml:space="preserve"> </w:t>
      </w:r>
      <w:r w:rsidR="7FE5A09D" w:rsidRPr="00A008DE">
        <w:rPr>
          <w:rFonts w:ascii="Garamond" w:hAnsi="Garamond"/>
        </w:rPr>
        <w:t xml:space="preserve">notamment </w:t>
      </w:r>
      <w:r w:rsidR="00E02936" w:rsidRPr="00A008DE">
        <w:rPr>
          <w:rFonts w:ascii="Garamond" w:hAnsi="Garamond"/>
        </w:rPr>
        <w:t>porter</w:t>
      </w:r>
      <w:r w:rsidR="7FE5A09D" w:rsidRPr="00A008DE">
        <w:rPr>
          <w:rFonts w:ascii="Garamond" w:hAnsi="Garamond"/>
        </w:rPr>
        <w:t xml:space="preserve"> sur les investissements durables, </w:t>
      </w:r>
      <w:r w:rsidR="008B7C68" w:rsidRPr="00A008DE">
        <w:rPr>
          <w:rFonts w:ascii="Garamond" w:hAnsi="Garamond"/>
        </w:rPr>
        <w:t xml:space="preserve">la stratégie d’engagement avec les entreprises, </w:t>
      </w:r>
      <w:r w:rsidR="7FE5A09D" w:rsidRPr="00A008DE">
        <w:rPr>
          <w:rFonts w:ascii="Garamond" w:hAnsi="Garamond"/>
        </w:rPr>
        <w:t>la stratégie de gestion retenue, une liste de PAI</w:t>
      </w:r>
      <w:r w:rsidR="008B7C68" w:rsidRPr="00A008DE">
        <w:rPr>
          <w:rFonts w:ascii="Garamond" w:hAnsi="Garamond"/>
        </w:rPr>
        <w:t xml:space="preserve"> spécifiques</w:t>
      </w:r>
      <w:r w:rsidR="7FE5A09D" w:rsidRPr="00A008DE">
        <w:rPr>
          <w:rFonts w:ascii="Garamond" w:hAnsi="Garamond"/>
        </w:rPr>
        <w:t>, la stratégie en matière de soutien à la transition.</w:t>
      </w:r>
    </w:p>
    <w:p w14:paraId="684F6146" w14:textId="2170B5CC" w:rsidR="0019269F" w:rsidRDefault="0034673A" w:rsidP="00A008DE">
      <w:pPr>
        <w:pStyle w:val="TEXTECOURANTNUMEROTATION"/>
      </w:pPr>
      <w:r>
        <w:t xml:space="preserve">Cette approche présuppose également une </w:t>
      </w:r>
      <w:r w:rsidRPr="0034673A">
        <w:t>clarification et harmonisation des définitions d’un certain nombre de concepts de la règlementation, tels que « la promotion des caractéristiques E/S », l’évaluation du principe « DNSH » ou encore « l’investissement durable »</w:t>
      </w:r>
      <w:r w:rsidR="000A5E4D">
        <w:t>.</w:t>
      </w:r>
      <w:r w:rsidR="0019269F">
        <w:t xml:space="preserve"> </w:t>
      </w:r>
      <w:r w:rsidR="000A5E4D">
        <w:t xml:space="preserve"> En effet, bien que ces notions soient clés pour comprendre les subtilités liées aux caractéristiques durables des produits financiers, elles sont aujourd’hui définies trop largement et avec des différences substantielles entre acteurs. De ce fait, France Assureurs appelle la </w:t>
      </w:r>
      <w:r w:rsidR="000A5E4D">
        <w:lastRenderedPageBreak/>
        <w:t xml:space="preserve">Commission européenne à </w:t>
      </w:r>
      <w:r w:rsidR="000A5E4D" w:rsidRPr="00FC3B41">
        <w:rPr>
          <w:b/>
        </w:rPr>
        <w:t>préciser ces définitions afin d’en garantir une interprétation claire et commune au niveau du marché</w:t>
      </w:r>
      <w:r w:rsidR="000A5E4D">
        <w:t xml:space="preserve">. </w:t>
      </w:r>
    </w:p>
    <w:p w14:paraId="6412278C" w14:textId="77777777" w:rsidR="006A7D87" w:rsidRDefault="006A7D87" w:rsidP="006A7D87">
      <w:pPr>
        <w:pStyle w:val="Paragraphedeliste"/>
        <w:tabs>
          <w:tab w:val="left" w:pos="224"/>
        </w:tabs>
        <w:ind w:left="944"/>
        <w:jc w:val="both"/>
        <w:rPr>
          <w:rFonts w:ascii="Garamond" w:hAnsi="Garamond"/>
        </w:rPr>
      </w:pPr>
    </w:p>
    <w:p w14:paraId="66507C95" w14:textId="1B2E8E34" w:rsidR="0093717D" w:rsidRDefault="7FE5A09D" w:rsidP="0093717D">
      <w:pPr>
        <w:pStyle w:val="Paragraphedeliste"/>
        <w:numPr>
          <w:ilvl w:val="0"/>
          <w:numId w:val="35"/>
        </w:numPr>
        <w:tabs>
          <w:tab w:val="left" w:pos="224"/>
        </w:tabs>
        <w:jc w:val="both"/>
        <w:rPr>
          <w:rFonts w:ascii="Garamond" w:hAnsi="Garamond"/>
        </w:rPr>
      </w:pPr>
      <w:r w:rsidRPr="0093717D">
        <w:rPr>
          <w:rFonts w:ascii="Garamond" w:hAnsi="Garamond"/>
        </w:rPr>
        <w:t>Cette approche permettrait au client final de mieux appréhender les caractéristiques ESG de chaque support</w:t>
      </w:r>
      <w:r w:rsidR="0093717D">
        <w:rPr>
          <w:rFonts w:ascii="Garamond" w:hAnsi="Garamond"/>
        </w:rPr>
        <w:t>.</w:t>
      </w:r>
    </w:p>
    <w:p w14:paraId="312C6032" w14:textId="2883E0B6" w:rsidR="00B955BC" w:rsidRPr="0093717D" w:rsidRDefault="7FE5A09D" w:rsidP="00A008DE">
      <w:pPr>
        <w:pStyle w:val="Paragraphedeliste"/>
        <w:numPr>
          <w:ilvl w:val="0"/>
          <w:numId w:val="35"/>
        </w:numPr>
        <w:tabs>
          <w:tab w:val="left" w:pos="224"/>
        </w:tabs>
        <w:spacing w:after="240"/>
        <w:ind w:left="941" w:hanging="357"/>
        <w:contextualSpacing w:val="0"/>
        <w:jc w:val="both"/>
        <w:rPr>
          <w:rFonts w:ascii="Garamond" w:hAnsi="Garamond"/>
        </w:rPr>
      </w:pPr>
      <w:r w:rsidRPr="0093717D">
        <w:rPr>
          <w:rFonts w:ascii="Garamond" w:hAnsi="Garamond"/>
        </w:rPr>
        <w:t>Elle permettrait également de capitaliser sur les efforts de déploiement et pédagogie déjà menés pour mettre en œuvre SFDR et sensibiliser les clients aux concepts du règlement.</w:t>
      </w:r>
    </w:p>
    <w:p w14:paraId="75290058" w14:textId="516CE9BD" w:rsidR="006A7D87" w:rsidRPr="006A7D87" w:rsidRDefault="006A7D87" w:rsidP="0093717D">
      <w:pPr>
        <w:tabs>
          <w:tab w:val="left" w:pos="224"/>
        </w:tabs>
        <w:jc w:val="both"/>
        <w:rPr>
          <w:rFonts w:ascii="Garamond" w:hAnsi="Garamond"/>
          <w:b/>
          <w:bCs/>
        </w:rPr>
      </w:pPr>
      <w:r w:rsidRPr="006A7D87">
        <w:rPr>
          <w:rFonts w:ascii="Garamond" w:hAnsi="Garamond"/>
          <w:b/>
          <w:bCs/>
        </w:rPr>
        <w:t>Répondre au besoin d’informations des assureurs</w:t>
      </w:r>
    </w:p>
    <w:p w14:paraId="1F23F607" w14:textId="3431CA41" w:rsidR="00B114A8" w:rsidRDefault="00B114A8" w:rsidP="0093717D">
      <w:pPr>
        <w:tabs>
          <w:tab w:val="left" w:pos="224"/>
        </w:tabs>
        <w:jc w:val="both"/>
        <w:rPr>
          <w:rFonts w:ascii="Garamond" w:hAnsi="Garamond"/>
        </w:rPr>
      </w:pPr>
      <w:r>
        <w:rPr>
          <w:rFonts w:ascii="Garamond" w:hAnsi="Garamond"/>
        </w:rPr>
        <w:t xml:space="preserve">Par ailleurs, cette approche </w:t>
      </w:r>
      <w:r w:rsidR="006E6B87">
        <w:rPr>
          <w:rFonts w:ascii="Garamond" w:hAnsi="Garamond"/>
        </w:rPr>
        <w:t>basé</w:t>
      </w:r>
      <w:r w:rsidR="00E743A2">
        <w:rPr>
          <w:rFonts w:ascii="Garamond" w:hAnsi="Garamond"/>
        </w:rPr>
        <w:t>e</w:t>
      </w:r>
      <w:r w:rsidR="006E6B87">
        <w:rPr>
          <w:rFonts w:ascii="Garamond" w:hAnsi="Garamond"/>
        </w:rPr>
        <w:t xml:space="preserve"> sur la transparence via des informations comparables est indispensable pour les assureurs</w:t>
      </w:r>
      <w:r w:rsidR="00274FCE">
        <w:rPr>
          <w:rFonts w:ascii="Garamond" w:hAnsi="Garamond"/>
        </w:rPr>
        <w:t xml:space="preserve"> qui dépendent des gestionnaires d’actifs </w:t>
      </w:r>
      <w:r w:rsidR="00274FCE" w:rsidRPr="00274FCE">
        <w:rPr>
          <w:rFonts w:ascii="Garamond" w:hAnsi="Garamond"/>
        </w:rPr>
        <w:t>pour la gestion en titres (mandats) et en parts de fonds (produits)</w:t>
      </w:r>
      <w:r w:rsidR="007F53A8">
        <w:rPr>
          <w:rFonts w:ascii="Garamond" w:hAnsi="Garamond"/>
        </w:rPr>
        <w:t xml:space="preserve"> et doivent donc </w:t>
      </w:r>
      <w:r w:rsidR="007F53A8" w:rsidRPr="00A008DE">
        <w:rPr>
          <w:rFonts w:ascii="Garamond" w:hAnsi="Garamond"/>
          <w:b/>
          <w:bCs/>
        </w:rPr>
        <w:t>agréger les informations pour leurs propres produits</w:t>
      </w:r>
      <w:r w:rsidR="007F53A8">
        <w:rPr>
          <w:rFonts w:ascii="Garamond" w:hAnsi="Garamond"/>
        </w:rPr>
        <w:t xml:space="preserve"> afin de fournir une information claire et non trompeuse </w:t>
      </w:r>
      <w:r w:rsidR="00E743A2">
        <w:rPr>
          <w:rFonts w:ascii="Garamond" w:hAnsi="Garamond"/>
        </w:rPr>
        <w:t xml:space="preserve">aux assurés et au superviseur. </w:t>
      </w:r>
    </w:p>
    <w:p w14:paraId="7EEA3EA3" w14:textId="77777777" w:rsidR="006A7D87" w:rsidRDefault="006A7D87" w:rsidP="0093717D">
      <w:pPr>
        <w:tabs>
          <w:tab w:val="left" w:pos="224"/>
        </w:tabs>
        <w:jc w:val="both"/>
        <w:rPr>
          <w:rFonts w:ascii="Garamond" w:hAnsi="Garamond"/>
        </w:rPr>
      </w:pPr>
    </w:p>
    <w:p w14:paraId="5B9FF81F" w14:textId="00FDC1BD" w:rsidR="006A7D87" w:rsidRDefault="00063D1F" w:rsidP="0093717D">
      <w:pPr>
        <w:tabs>
          <w:tab w:val="left" w:pos="224"/>
        </w:tabs>
        <w:jc w:val="both"/>
        <w:rPr>
          <w:rFonts w:ascii="Garamond" w:hAnsi="Garamond"/>
          <w:b/>
          <w:bCs/>
        </w:rPr>
      </w:pPr>
      <w:r>
        <w:rPr>
          <w:rFonts w:ascii="Garamond" w:hAnsi="Garamond"/>
          <w:b/>
          <w:bCs/>
        </w:rPr>
        <w:t xml:space="preserve">Maintenir </w:t>
      </w:r>
      <w:r w:rsidR="00A562DB">
        <w:rPr>
          <w:rFonts w:ascii="Garamond" w:hAnsi="Garamond"/>
          <w:b/>
          <w:bCs/>
        </w:rPr>
        <w:t>la taxonomie</w:t>
      </w:r>
      <w:r w:rsidR="001207F7">
        <w:rPr>
          <w:rFonts w:ascii="Garamond" w:hAnsi="Garamond"/>
          <w:b/>
          <w:bCs/>
        </w:rPr>
        <w:t xml:space="preserve"> comme</w:t>
      </w:r>
      <w:r w:rsidR="00A562DB">
        <w:rPr>
          <w:rFonts w:ascii="Garamond" w:hAnsi="Garamond"/>
          <w:b/>
          <w:bCs/>
        </w:rPr>
        <w:t xml:space="preserve"> un indicateur c</w:t>
      </w:r>
      <w:r w:rsidR="001207F7">
        <w:rPr>
          <w:rFonts w:ascii="Garamond" w:hAnsi="Garamond"/>
          <w:b/>
          <w:bCs/>
        </w:rPr>
        <w:t>lé</w:t>
      </w:r>
      <w:r w:rsidR="00A562DB">
        <w:rPr>
          <w:rFonts w:ascii="Garamond" w:hAnsi="Garamond"/>
          <w:b/>
          <w:bCs/>
        </w:rPr>
        <w:t xml:space="preserve"> des produits qui ont des caractéristiques </w:t>
      </w:r>
      <w:r w:rsidR="00C4560E">
        <w:rPr>
          <w:rFonts w:ascii="Garamond" w:hAnsi="Garamond"/>
          <w:b/>
          <w:bCs/>
        </w:rPr>
        <w:t>environnementales</w:t>
      </w:r>
    </w:p>
    <w:p w14:paraId="6667B60F" w14:textId="763313C4" w:rsidR="00A562DB" w:rsidRPr="0058623E" w:rsidRDefault="00922D6A" w:rsidP="00FB201E">
      <w:pPr>
        <w:tabs>
          <w:tab w:val="left" w:pos="227"/>
        </w:tabs>
        <w:spacing w:after="120"/>
        <w:jc w:val="both"/>
        <w:rPr>
          <w:rFonts w:ascii="Garamond" w:hAnsi="Garamond"/>
        </w:rPr>
      </w:pPr>
      <w:r w:rsidRPr="0058623E">
        <w:rPr>
          <w:rFonts w:ascii="Garamond" w:hAnsi="Garamond"/>
        </w:rPr>
        <w:t xml:space="preserve">La taxonomie environnementale européenne apparaît aujourd’hui comme le seul référentiel commun d’activités vertes. Il est donc essentiel </w:t>
      </w:r>
      <w:r w:rsidR="001207F7">
        <w:rPr>
          <w:rFonts w:ascii="Garamond" w:hAnsi="Garamond"/>
        </w:rPr>
        <w:t>de garder cet indicateur</w:t>
      </w:r>
      <w:r w:rsidRPr="0058623E">
        <w:rPr>
          <w:rFonts w:ascii="Garamond" w:hAnsi="Garamond"/>
        </w:rPr>
        <w:t xml:space="preserve"> </w:t>
      </w:r>
      <w:r w:rsidR="00FB2D95" w:rsidRPr="0058623E">
        <w:rPr>
          <w:rFonts w:ascii="Garamond" w:hAnsi="Garamond"/>
        </w:rPr>
        <w:t>dans la transparence des produits</w:t>
      </w:r>
      <w:r w:rsidR="00DD2FB7">
        <w:rPr>
          <w:rFonts w:ascii="Garamond" w:hAnsi="Garamond"/>
        </w:rPr>
        <w:t xml:space="preserve"> qui contribuent à un objectif env</w:t>
      </w:r>
      <w:r w:rsidR="00D52602">
        <w:rPr>
          <w:rFonts w:ascii="Garamond" w:hAnsi="Garamond"/>
        </w:rPr>
        <w:t>ironnemental</w:t>
      </w:r>
      <w:r w:rsidR="00FB2D95" w:rsidRPr="0058623E">
        <w:rPr>
          <w:rFonts w:ascii="Garamond" w:hAnsi="Garamond"/>
        </w:rPr>
        <w:t>. A cet égard, afin de permettre à cet indicateur</w:t>
      </w:r>
      <w:r w:rsidR="00FD5C57" w:rsidRPr="0058623E">
        <w:rPr>
          <w:rFonts w:ascii="Garamond" w:hAnsi="Garamond"/>
        </w:rPr>
        <w:t xml:space="preserve"> </w:t>
      </w:r>
      <w:r w:rsidR="001207F7">
        <w:rPr>
          <w:rFonts w:ascii="Garamond" w:hAnsi="Garamond"/>
        </w:rPr>
        <w:t xml:space="preserve">d’être pleinement opérationnel, </w:t>
      </w:r>
      <w:r w:rsidR="00FD5C57" w:rsidRPr="0058623E">
        <w:rPr>
          <w:rFonts w:ascii="Garamond" w:hAnsi="Garamond"/>
        </w:rPr>
        <w:t>il conviendrait de :</w:t>
      </w:r>
    </w:p>
    <w:p w14:paraId="585A0FB2" w14:textId="24656384" w:rsidR="00301F6A" w:rsidRDefault="00301F6A" w:rsidP="00FB201E">
      <w:pPr>
        <w:pStyle w:val="Paragraphedeliste"/>
        <w:numPr>
          <w:ilvl w:val="0"/>
          <w:numId w:val="41"/>
        </w:numPr>
        <w:tabs>
          <w:tab w:val="left" w:pos="227"/>
        </w:tabs>
        <w:spacing w:after="120"/>
        <w:contextualSpacing w:val="0"/>
        <w:jc w:val="both"/>
        <w:rPr>
          <w:rFonts w:ascii="Garamond" w:hAnsi="Garamond"/>
        </w:rPr>
      </w:pPr>
      <w:r w:rsidRPr="0058623E">
        <w:rPr>
          <w:rFonts w:ascii="Garamond" w:hAnsi="Garamond"/>
        </w:rPr>
        <w:t xml:space="preserve">Distinguer l’indicateur relatif au chiffre d’affaires alignés à la taxonomie qui permet de donner une </w:t>
      </w:r>
      <w:r w:rsidR="00987401" w:rsidRPr="0058623E">
        <w:rPr>
          <w:rFonts w:ascii="Garamond" w:hAnsi="Garamond"/>
        </w:rPr>
        <w:t xml:space="preserve">photographie du caractère vert des investissements et l’indicateur relatif aux CAPEX alignés à la taxonomie qui permet de donner une vision prospective </w:t>
      </w:r>
      <w:r w:rsidR="007D1A82" w:rsidRPr="0058623E">
        <w:rPr>
          <w:rFonts w:ascii="Garamond" w:hAnsi="Garamond"/>
        </w:rPr>
        <w:t xml:space="preserve">et devrait donc être utilisé pour les informations relatives à la transition ou l’investissement durable. </w:t>
      </w:r>
    </w:p>
    <w:p w14:paraId="31F6175F" w14:textId="7506FE7E" w:rsidR="0058623E" w:rsidRPr="0058623E" w:rsidRDefault="0058623E" w:rsidP="00FB201E">
      <w:pPr>
        <w:pStyle w:val="Paragraphedeliste"/>
        <w:numPr>
          <w:ilvl w:val="0"/>
          <w:numId w:val="41"/>
        </w:numPr>
        <w:tabs>
          <w:tab w:val="left" w:pos="227"/>
        </w:tabs>
        <w:spacing w:after="120"/>
        <w:contextualSpacing w:val="0"/>
        <w:jc w:val="both"/>
        <w:rPr>
          <w:rFonts w:ascii="Garamond" w:hAnsi="Garamond"/>
        </w:rPr>
      </w:pPr>
      <w:r w:rsidRPr="0058623E">
        <w:rPr>
          <w:rFonts w:ascii="Garamond" w:hAnsi="Garamond"/>
        </w:rPr>
        <w:t xml:space="preserve">Clarifier </w:t>
      </w:r>
      <w:r>
        <w:rPr>
          <w:rFonts w:ascii="Garamond" w:hAnsi="Garamond"/>
        </w:rPr>
        <w:t xml:space="preserve">la possibilité d’utiliser des estimations </w:t>
      </w:r>
      <w:r w:rsidR="00EB16E8">
        <w:rPr>
          <w:rFonts w:ascii="Garamond" w:hAnsi="Garamond"/>
        </w:rPr>
        <w:t xml:space="preserve">en cohérence avec </w:t>
      </w:r>
      <w:r w:rsidR="00FB201E">
        <w:rPr>
          <w:rFonts w:ascii="Garamond" w:hAnsi="Garamond"/>
        </w:rPr>
        <w:t xml:space="preserve">les pratiques pour les indicateurs produits au niveau des entités. </w:t>
      </w:r>
    </w:p>
    <w:p w14:paraId="296549B7" w14:textId="43B82A9B" w:rsidR="008B1282" w:rsidRPr="00FB201E" w:rsidRDefault="007D1A82" w:rsidP="0093717D">
      <w:pPr>
        <w:pStyle w:val="Paragraphedeliste"/>
        <w:numPr>
          <w:ilvl w:val="0"/>
          <w:numId w:val="41"/>
        </w:numPr>
        <w:tabs>
          <w:tab w:val="left" w:pos="227"/>
        </w:tabs>
        <w:spacing w:after="120"/>
        <w:contextualSpacing w:val="0"/>
        <w:jc w:val="both"/>
        <w:rPr>
          <w:rFonts w:ascii="Garamond" w:hAnsi="Garamond"/>
        </w:rPr>
      </w:pPr>
      <w:r w:rsidRPr="0058623E">
        <w:rPr>
          <w:rFonts w:ascii="Garamond" w:hAnsi="Garamond"/>
        </w:rPr>
        <w:t xml:space="preserve">Simplifier le </w:t>
      </w:r>
      <w:proofErr w:type="spellStart"/>
      <w:r w:rsidRPr="0058623E">
        <w:rPr>
          <w:rFonts w:ascii="Garamond" w:hAnsi="Garamond"/>
        </w:rPr>
        <w:t>reporting</w:t>
      </w:r>
      <w:proofErr w:type="spellEnd"/>
      <w:r w:rsidRPr="0058623E">
        <w:rPr>
          <w:rFonts w:ascii="Garamond" w:hAnsi="Garamond"/>
        </w:rPr>
        <w:t xml:space="preserve"> afin que l’information soit plus concise et claire pour le client final. A titre d’exemple, il serait possible de </w:t>
      </w:r>
      <w:proofErr w:type="gramStart"/>
      <w:r w:rsidRPr="0058623E">
        <w:rPr>
          <w:rFonts w:ascii="Garamond" w:hAnsi="Garamond"/>
        </w:rPr>
        <w:t>donner</w:t>
      </w:r>
      <w:proofErr w:type="gramEnd"/>
      <w:r w:rsidRPr="0058623E">
        <w:rPr>
          <w:rFonts w:ascii="Garamond" w:hAnsi="Garamond"/>
        </w:rPr>
        <w:t xml:space="preserve"> </w:t>
      </w:r>
      <w:r w:rsidR="006032B1" w:rsidRPr="0058623E">
        <w:rPr>
          <w:rFonts w:ascii="Garamond" w:hAnsi="Garamond"/>
        </w:rPr>
        <w:t>une information générale sur l’allocation des actifs dans le support (</w:t>
      </w:r>
      <w:proofErr w:type="spellStart"/>
      <w:r w:rsidR="006032B1" w:rsidRPr="0058623E">
        <w:rPr>
          <w:rFonts w:ascii="Garamond" w:hAnsi="Garamond"/>
        </w:rPr>
        <w:t>corporates</w:t>
      </w:r>
      <w:proofErr w:type="spellEnd"/>
      <w:r w:rsidR="006032B1" w:rsidRPr="0058623E">
        <w:rPr>
          <w:rFonts w:ascii="Garamond" w:hAnsi="Garamond"/>
        </w:rPr>
        <w:t xml:space="preserve"> / souverains / immobilier </w:t>
      </w:r>
      <w:proofErr w:type="spellStart"/>
      <w:r w:rsidR="006032B1" w:rsidRPr="0058623E">
        <w:rPr>
          <w:rFonts w:ascii="Garamond" w:hAnsi="Garamond"/>
        </w:rPr>
        <w:t>etc</w:t>
      </w:r>
      <w:proofErr w:type="spellEnd"/>
      <w:r w:rsidR="006032B1" w:rsidRPr="0058623E">
        <w:rPr>
          <w:rFonts w:ascii="Garamond" w:hAnsi="Garamond"/>
        </w:rPr>
        <w:t xml:space="preserve">) et ensuite fournir les indicateurs liés à la taxonomie uniquement sur </w:t>
      </w:r>
      <w:r w:rsidR="0058623E" w:rsidRPr="0058623E">
        <w:rPr>
          <w:rFonts w:ascii="Garamond" w:hAnsi="Garamond"/>
        </w:rPr>
        <w:t xml:space="preserve">le périmètre pertinent. </w:t>
      </w:r>
    </w:p>
    <w:p w14:paraId="61B8275D" w14:textId="77777777" w:rsidR="00B955BC" w:rsidRDefault="00B955BC" w:rsidP="0093717D">
      <w:pPr>
        <w:tabs>
          <w:tab w:val="left" w:pos="224"/>
        </w:tabs>
        <w:jc w:val="both"/>
        <w:rPr>
          <w:rFonts w:ascii="Garamond" w:hAnsi="Garamond"/>
        </w:rPr>
      </w:pPr>
    </w:p>
    <w:p w14:paraId="02F98A7D" w14:textId="57EE90C0" w:rsidR="004152F3" w:rsidRDefault="00BD2962" w:rsidP="0093717D">
      <w:pPr>
        <w:tabs>
          <w:tab w:val="left" w:pos="224"/>
        </w:tabs>
        <w:ind w:left="224"/>
        <w:jc w:val="both"/>
        <w:rPr>
          <w:rFonts w:ascii="Garamond" w:hAnsi="Garamond"/>
          <w:b/>
          <w:bCs/>
          <w:i/>
          <w:iCs/>
          <w:color w:val="002060"/>
        </w:rPr>
      </w:pPr>
      <w:r>
        <w:rPr>
          <w:rFonts w:ascii="Garamond" w:hAnsi="Garamond"/>
          <w:b/>
          <w:bCs/>
          <w:i/>
          <w:iCs/>
          <w:color w:val="002060"/>
        </w:rPr>
        <w:t>U</w:t>
      </w:r>
      <w:r w:rsidR="0093717D">
        <w:rPr>
          <w:rFonts w:ascii="Garamond" w:hAnsi="Garamond"/>
          <w:b/>
          <w:bCs/>
          <w:i/>
          <w:iCs/>
          <w:color w:val="002060"/>
        </w:rPr>
        <w:t>ne</w:t>
      </w:r>
      <w:r w:rsidR="00A46B93">
        <w:rPr>
          <w:rFonts w:ascii="Garamond" w:hAnsi="Garamond"/>
          <w:b/>
          <w:bCs/>
          <w:i/>
          <w:iCs/>
          <w:color w:val="002060"/>
        </w:rPr>
        <w:t xml:space="preserve"> c</w:t>
      </w:r>
      <w:r w:rsidR="00CA051E">
        <w:rPr>
          <w:rFonts w:ascii="Garamond" w:hAnsi="Garamond"/>
          <w:b/>
          <w:bCs/>
          <w:i/>
          <w:iCs/>
          <w:color w:val="002060"/>
        </w:rPr>
        <w:t xml:space="preserve">atégorisation </w:t>
      </w:r>
      <w:r w:rsidR="00A46B93">
        <w:rPr>
          <w:rFonts w:ascii="Garamond" w:hAnsi="Garamond"/>
          <w:b/>
          <w:bCs/>
          <w:i/>
          <w:iCs/>
          <w:color w:val="002060"/>
        </w:rPr>
        <w:t>des produits</w:t>
      </w:r>
      <w:r w:rsidR="00DD2D5F">
        <w:rPr>
          <w:rFonts w:ascii="Garamond" w:hAnsi="Garamond"/>
          <w:b/>
          <w:bCs/>
          <w:i/>
          <w:iCs/>
          <w:color w:val="002060"/>
        </w:rPr>
        <w:t xml:space="preserve"> </w:t>
      </w:r>
      <w:r w:rsidR="00CA051E">
        <w:rPr>
          <w:rFonts w:ascii="Garamond" w:hAnsi="Garamond"/>
          <w:b/>
          <w:bCs/>
          <w:i/>
          <w:iCs/>
          <w:color w:val="002060"/>
        </w:rPr>
        <w:t>sur la base d’informations robustes et comparables</w:t>
      </w:r>
      <w:r w:rsidR="7FE5A09D" w:rsidRPr="7FE5A09D">
        <w:rPr>
          <w:rFonts w:ascii="Garamond" w:hAnsi="Garamond"/>
          <w:b/>
          <w:bCs/>
          <w:i/>
          <w:iCs/>
          <w:color w:val="002060"/>
        </w:rPr>
        <w:t xml:space="preserve"> </w:t>
      </w:r>
    </w:p>
    <w:p w14:paraId="1026BA4E" w14:textId="77777777" w:rsidR="0093717D" w:rsidRPr="004205D7" w:rsidRDefault="0093717D" w:rsidP="0093717D">
      <w:pPr>
        <w:tabs>
          <w:tab w:val="left" w:pos="224"/>
        </w:tabs>
        <w:jc w:val="both"/>
        <w:rPr>
          <w:rFonts w:ascii="Garamond" w:hAnsi="Garamond"/>
          <w:b/>
          <w:bCs/>
          <w:i/>
          <w:iCs/>
          <w:color w:val="002060"/>
        </w:rPr>
      </w:pPr>
    </w:p>
    <w:p w14:paraId="78CA6AF5" w14:textId="418ED435" w:rsidR="00137A83" w:rsidRDefault="00651A21" w:rsidP="00137A83">
      <w:pPr>
        <w:pStyle w:val="TEXTECOURANTNUMEROTATION"/>
      </w:pPr>
      <w:r>
        <w:t xml:space="preserve">L’exercice de transparence sur la base d’informations harmonisées, comparables et robustes est </w:t>
      </w:r>
      <w:r w:rsidRPr="00A008DE">
        <w:rPr>
          <w:b/>
        </w:rPr>
        <w:t xml:space="preserve">un préalable indispensable à une catégorisation </w:t>
      </w:r>
      <w:r w:rsidR="00B01BA2" w:rsidRPr="00A008DE">
        <w:rPr>
          <w:b/>
        </w:rPr>
        <w:t>des produits</w:t>
      </w:r>
      <w:r>
        <w:t>.</w:t>
      </w:r>
      <w:r w:rsidR="00B01BA2">
        <w:t xml:space="preserve"> France Assureurs </w:t>
      </w:r>
      <w:r w:rsidR="00DB0812">
        <w:t>comprend</w:t>
      </w:r>
      <w:r w:rsidR="00B01BA2">
        <w:t xml:space="preserve"> que la mise en place d’une catégorisation peut </w:t>
      </w:r>
      <w:r w:rsidR="00C475BC" w:rsidRPr="00C475BC">
        <w:t xml:space="preserve">faciliter </w:t>
      </w:r>
      <w:r w:rsidR="00C3425D">
        <w:t xml:space="preserve">la lisibilité pour le client final. </w:t>
      </w:r>
      <w:r w:rsidR="00422B0A">
        <w:t xml:space="preserve">Aussi, ces catégories doivent être strictement définies et s’appuyer sur des notions déjà existantes (niveau d’alignement à la taxonomie, niveau d’investissement responsable, seuils de certains PAI </w:t>
      </w:r>
      <w:proofErr w:type="spellStart"/>
      <w:r w:rsidR="00422B0A">
        <w:t>etc</w:t>
      </w:r>
      <w:proofErr w:type="spellEnd"/>
      <w:r w:rsidR="00422B0A">
        <w:t xml:space="preserve">). </w:t>
      </w:r>
      <w:r w:rsidR="0087194B">
        <w:t xml:space="preserve">En somme, il serait pertinent de fixer des critères et des seuils à partir du </w:t>
      </w:r>
      <w:proofErr w:type="spellStart"/>
      <w:r w:rsidR="0087194B">
        <w:t>template</w:t>
      </w:r>
      <w:proofErr w:type="spellEnd"/>
      <w:r w:rsidR="0087194B">
        <w:t xml:space="preserve"> unique mis en place en capitalisation sur les </w:t>
      </w:r>
      <w:r w:rsidR="00DB6560">
        <w:t>actuels article 8 et 9.</w:t>
      </w:r>
      <w:r w:rsidR="00244469">
        <w:t xml:space="preserve"> </w:t>
      </w:r>
      <w:r w:rsidR="00F459BF">
        <w:t>En effet, ces catégories ont déjà fait l’objet d’actions de sensibilisation et pédagogie auprès des distributeurs et des épargnants.</w:t>
      </w:r>
      <w:r w:rsidR="00306182">
        <w:t xml:space="preserve"> Autrement dit, la lecture du </w:t>
      </w:r>
      <w:proofErr w:type="spellStart"/>
      <w:r w:rsidR="00306182">
        <w:t>template</w:t>
      </w:r>
      <w:proofErr w:type="spellEnd"/>
      <w:r w:rsidR="00306182">
        <w:t xml:space="preserve"> standard doit permettre de déterminer la catégorie d’un produit. </w:t>
      </w:r>
      <w:r w:rsidR="00F31A3B">
        <w:t>Néanmoins, la fixation de ces critères et seuils nécessite une réflexion plus approfondie avec l’ensemble des parties prenantes, afin de garantir leur pertinence et prendre en compte les réalités du marché financier.</w:t>
      </w:r>
    </w:p>
    <w:p w14:paraId="4AABC0F5" w14:textId="414C5C28" w:rsidR="00C3425D" w:rsidRDefault="00C3425D" w:rsidP="00A008DE">
      <w:pPr>
        <w:pStyle w:val="TEXTECOURANTNUMEROTATION"/>
      </w:pPr>
    </w:p>
    <w:p w14:paraId="31B64CAE" w14:textId="3A03B392" w:rsidR="00F459BF" w:rsidRDefault="00DF34F4" w:rsidP="00A008DE">
      <w:pPr>
        <w:pStyle w:val="TEXTECOURANTNUMEROTATION"/>
      </w:pPr>
      <w:r>
        <w:lastRenderedPageBreak/>
        <w:t xml:space="preserve">Notons </w:t>
      </w:r>
      <w:r w:rsidR="00724B0F">
        <w:t xml:space="preserve">par ailleurs que ces potentielles catégories ne devraient pas être nécessairement exclusives. En effet, elles devraient pouvoir se combiner dans une optique de diversification, afin de promouvoir </w:t>
      </w:r>
      <w:r w:rsidR="00724B0F" w:rsidRPr="00163E99">
        <w:t>une gestion d’actifs diversifiée protectrice de l’épargne des clients et de la solvabilité des assureu</w:t>
      </w:r>
      <w:r w:rsidR="00724B0F">
        <w:t>rs.</w:t>
      </w:r>
      <w:r w:rsidR="0087194B">
        <w:t xml:space="preserve"> Idéalement, des catégories </w:t>
      </w:r>
      <w:proofErr w:type="spellStart"/>
      <w:r w:rsidR="0087194B">
        <w:t>adhoc</w:t>
      </w:r>
      <w:proofErr w:type="spellEnd"/>
      <w:r w:rsidR="0087194B">
        <w:t xml:space="preserve"> pour les fonds euros qui sont soumis à des contraintes particulières pourraient être envisagées.</w:t>
      </w:r>
    </w:p>
    <w:p w14:paraId="5D2D47DA" w14:textId="5D03C2E9" w:rsidR="00651A21" w:rsidDel="008025D7" w:rsidRDefault="00CE585A" w:rsidP="00A008DE">
      <w:pPr>
        <w:pStyle w:val="TEXTECOURANTNUMEROTATION"/>
      </w:pPr>
      <w:r>
        <w:t>In fine, la nomenclature et les allégations de durabilité des produits devraient également découler de ces potentielles catégories</w:t>
      </w:r>
      <w:r w:rsidR="00C62D22">
        <w:t xml:space="preserve"> et des critères minimaux et seuils définis</w:t>
      </w:r>
      <w:r>
        <w:t>.</w:t>
      </w:r>
    </w:p>
    <w:p w14:paraId="396A2823" w14:textId="77777777" w:rsidR="00FC3B41" w:rsidRDefault="00FC3B41" w:rsidP="00A008DE">
      <w:pPr>
        <w:pStyle w:val="TEXTECOURANTNUMEROTATION"/>
      </w:pPr>
    </w:p>
    <w:p w14:paraId="317E3ABD" w14:textId="77777777" w:rsidR="000139FA" w:rsidRDefault="000139FA" w:rsidP="0093717D">
      <w:pPr>
        <w:tabs>
          <w:tab w:val="left" w:pos="224"/>
        </w:tabs>
        <w:rPr>
          <w:rFonts w:ascii="Garamond" w:hAnsi="Garamond"/>
        </w:rPr>
      </w:pPr>
    </w:p>
    <w:p w14:paraId="0B1B1802" w14:textId="186EA0DA" w:rsidR="004F100F" w:rsidRPr="00BD2962" w:rsidRDefault="7FE5A09D" w:rsidP="00A008DE">
      <w:pPr>
        <w:pStyle w:val="FATITRE"/>
        <w:numPr>
          <w:ilvl w:val="0"/>
          <w:numId w:val="38"/>
        </w:numPr>
        <w:jc w:val="both"/>
        <w:rPr>
          <w:lang w:val="fr-FR"/>
        </w:rPr>
      </w:pPr>
      <w:r w:rsidRPr="00BD2962">
        <w:rPr>
          <w:lang w:val="fr-FR"/>
        </w:rPr>
        <w:t>Renforcer la cohérence et l’alignement entre règlementations en matière de finance durable</w:t>
      </w:r>
    </w:p>
    <w:p w14:paraId="7DB195B9" w14:textId="3D24C7F6" w:rsidR="004F100F" w:rsidRDefault="004F100F" w:rsidP="00A008DE">
      <w:pPr>
        <w:pStyle w:val="TEXTECOURANTNUMEROTATION"/>
      </w:pPr>
      <w:r>
        <w:t>France Assureurs soutient les objectifs de l’Accord de Paris et le haut niveau d’ambition porté par le Pacte</w:t>
      </w:r>
      <w:r w:rsidR="00EB670D">
        <w:t xml:space="preserve"> </w:t>
      </w:r>
      <w:r>
        <w:t>vert pour l’Europe pour atteindre la neutralité c</w:t>
      </w:r>
      <w:r w:rsidR="008D3E6C">
        <w:t>arbone</w:t>
      </w:r>
      <w:r>
        <w:t xml:space="preserve"> en 2050. Néanmoins, les nombreuses règlementations en matière de finance durable pourraient être davantage alignées, afin de gagner en </w:t>
      </w:r>
      <w:r w:rsidRPr="00AC7818">
        <w:rPr>
          <w:b/>
        </w:rPr>
        <w:t>cohérence</w:t>
      </w:r>
      <w:r>
        <w:t xml:space="preserve">, en </w:t>
      </w:r>
      <w:r w:rsidRPr="00AC7818">
        <w:rPr>
          <w:b/>
        </w:rPr>
        <w:t>effectivité</w:t>
      </w:r>
      <w:r>
        <w:t xml:space="preserve"> et en </w:t>
      </w:r>
      <w:r w:rsidRPr="00AC7818">
        <w:rPr>
          <w:b/>
        </w:rPr>
        <w:t>lisibilité</w:t>
      </w:r>
      <w:r>
        <w:t xml:space="preserve">. France Assureurs salue les efforts menés pour </w:t>
      </w:r>
      <w:r w:rsidR="00AC7818">
        <w:t>concilier</w:t>
      </w:r>
      <w:r>
        <w:t xml:space="preserve"> les exigences de la </w:t>
      </w:r>
      <w:r w:rsidRPr="00AC7818">
        <w:rPr>
          <w:b/>
        </w:rPr>
        <w:t>taxonomie européenne</w:t>
      </w:r>
      <w:r>
        <w:t xml:space="preserve"> avec SFDR notamment en ce qui concerne l’investissement durable, et encourage la Commission européenne à poursuivre ce travail d’articulation avec d’autres règlementations. </w:t>
      </w:r>
    </w:p>
    <w:p w14:paraId="1708DB0F" w14:textId="05AD3BDA" w:rsidR="002906F6" w:rsidRDefault="004F100F" w:rsidP="00A008DE">
      <w:pPr>
        <w:pStyle w:val="TEXTECOURANTNUMEROTATION"/>
      </w:pPr>
      <w:r>
        <w:t xml:space="preserve">Plus particulièrement, le secteur de l’assurance appelle à un meilleur alignement </w:t>
      </w:r>
      <w:r w:rsidR="00711029">
        <w:t>de SFDR avec l</w:t>
      </w:r>
      <w:r w:rsidR="005B3BC0">
        <w:t>a</w:t>
      </w:r>
      <w:r w:rsidRPr="00B91A7C">
        <w:rPr>
          <w:b/>
        </w:rPr>
        <w:t xml:space="preserve"> directive sur la distribution d’assurance</w:t>
      </w:r>
      <w:r w:rsidR="00711029" w:rsidRPr="00B91A7C">
        <w:rPr>
          <w:b/>
        </w:rPr>
        <w:t xml:space="preserve"> (DDA)</w:t>
      </w:r>
      <w:r w:rsidR="00BC168B">
        <w:t xml:space="preserve"> - dans le but</w:t>
      </w:r>
      <w:r w:rsidR="004A1665">
        <w:t xml:space="preserve"> de </w:t>
      </w:r>
      <w:r>
        <w:t xml:space="preserve">réconcilier les objectifs d’investissement </w:t>
      </w:r>
      <w:r w:rsidR="00DF5363">
        <w:t xml:space="preserve">de SFDR </w:t>
      </w:r>
      <w:r>
        <w:t xml:space="preserve">avec les </w:t>
      </w:r>
      <w:r w:rsidRPr="00AC7818">
        <w:rPr>
          <w:b/>
        </w:rPr>
        <w:t>préférences ESG des clients</w:t>
      </w:r>
      <w:r w:rsidRPr="00B91A7C">
        <w:t xml:space="preserve">. Outre la rationalisation du cadre règlementaire, cette mise en cohérence permettra de renforcer l’utilité et l’utilisation des informations fournies dans le cadre de SFDR par les conseillers financiers pour déterminer le profil durable des investisseurs, tout </w:t>
      </w:r>
      <w:r w:rsidRPr="00FC3B41">
        <w:rPr>
          <w:b/>
        </w:rPr>
        <w:t>en facilitant la lisibilité et la compréhension de l’ensemble de la documentation client</w:t>
      </w:r>
      <w:r w:rsidRPr="00B91A7C">
        <w:t xml:space="preserve"> en matière de finance durable.</w:t>
      </w:r>
      <w:r w:rsidR="00577F5D">
        <w:t xml:space="preserve"> </w:t>
      </w:r>
    </w:p>
    <w:p w14:paraId="162225E8" w14:textId="47EC9522" w:rsidR="00577F5D" w:rsidRDefault="00577F5D" w:rsidP="00A008DE">
      <w:pPr>
        <w:pStyle w:val="TEXTECOURANTNUMEROTATION"/>
      </w:pPr>
      <w:r>
        <w:sym w:font="Wingdings" w:char="F0E8"/>
      </w:r>
      <w:r>
        <w:t xml:space="preserve"> </w:t>
      </w:r>
      <w:r w:rsidR="00564519">
        <w:t>Il</w:t>
      </w:r>
      <w:r>
        <w:t xml:space="preserve"> est indispensable que toute réflexion sur la révision de SFDR s’accompagne d’une réflexion sur l’évolution de la DDA avec </w:t>
      </w:r>
      <w:r w:rsidRPr="00564519">
        <w:rPr>
          <w:b/>
          <w:bCs w:val="0"/>
        </w:rPr>
        <w:t>des calendriers synchronisés</w:t>
      </w:r>
      <w:r w:rsidR="00564519">
        <w:t xml:space="preserve"> à la fois en ce qui concerne le processus règlementaire et les délais de mise en œuvre.</w:t>
      </w:r>
    </w:p>
    <w:p w14:paraId="2906D6AF" w14:textId="7B070DCD" w:rsidR="003E6B2E" w:rsidRDefault="00306182" w:rsidP="00A008DE">
      <w:pPr>
        <w:pStyle w:val="TEXTECOURANTNUMEROTATION"/>
      </w:pPr>
      <w:r>
        <w:t xml:space="preserve">Notons également que </w:t>
      </w:r>
      <w:r w:rsidR="004465A1">
        <w:t>la révision des RTS SFDR devrait également suivre la révision plus globale du règlement, afin d’éviter des coûts de déploiement disproportionnés en cas de remise à plat des obligations.</w:t>
      </w:r>
    </w:p>
    <w:p w14:paraId="71E3C9D0" w14:textId="77777777" w:rsidR="003E6B2E" w:rsidRDefault="003E6B2E" w:rsidP="00A008DE">
      <w:pPr>
        <w:pStyle w:val="TEXTECOURANTNUMEROTATION"/>
      </w:pPr>
    </w:p>
    <w:sectPr w:rsidR="003E6B2E" w:rsidSect="00B4509A">
      <w:headerReference w:type="even" r:id="rId8"/>
      <w:headerReference w:type="default" r:id="rId9"/>
      <w:footerReference w:type="even" r:id="rId10"/>
      <w:footerReference w:type="default" r:id="rId11"/>
      <w:headerReference w:type="first" r:id="rId12"/>
      <w:footerReference w:type="first" r:id="rId13"/>
      <w:pgSz w:w="11900" w:h="16840"/>
      <w:pgMar w:top="2185" w:right="844" w:bottom="1417" w:left="850" w:header="79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7B7AA" w14:textId="77777777" w:rsidR="00355A1A" w:rsidRDefault="00355A1A" w:rsidP="00717714">
      <w:r>
        <w:separator/>
      </w:r>
    </w:p>
  </w:endnote>
  <w:endnote w:type="continuationSeparator" w:id="0">
    <w:p w14:paraId="0B2D912D" w14:textId="77777777" w:rsidR="00355A1A" w:rsidRDefault="00355A1A" w:rsidP="0071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altName w:val="STIX Two Math"/>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01EC7" w14:textId="6944147B" w:rsidR="009D6D34" w:rsidRDefault="009D6D34" w:rsidP="005D5005">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BD2962">
      <w:rPr>
        <w:rStyle w:val="Numrodepage"/>
        <w:noProof/>
      </w:rPr>
      <w:t>2</w:t>
    </w:r>
    <w:r>
      <w:rPr>
        <w:rStyle w:val="Numrodepage"/>
      </w:rPr>
      <w:fldChar w:fldCharType="end"/>
    </w:r>
  </w:p>
  <w:p w14:paraId="02C9B713" w14:textId="77777777" w:rsidR="009D6D34" w:rsidRDefault="009D6D34" w:rsidP="009D6D34">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34FAB" w14:textId="2429292C" w:rsidR="00183173" w:rsidRDefault="00183173" w:rsidP="005D5005">
    <w:pPr>
      <w:ind w:right="360"/>
    </w:pPr>
  </w:p>
  <w:sdt>
    <w:sdtPr>
      <w:rPr>
        <w:rStyle w:val="Numrodepage"/>
      </w:rPr>
      <w:id w:val="-1948001604"/>
      <w:docPartObj>
        <w:docPartGallery w:val="Page Numbers (Bottom of Page)"/>
        <w:docPartUnique/>
      </w:docPartObj>
    </w:sdtPr>
    <w:sdtContent>
      <w:p w14:paraId="4244313B" w14:textId="77777777" w:rsidR="005D5005" w:rsidRPr="005D5005" w:rsidRDefault="005D5005" w:rsidP="00B4509A">
        <w:pPr>
          <w:pStyle w:val="numrotation"/>
          <w:framePr w:wrap="none" w:x="11225" w:y="1673"/>
          <w:rPr>
            <w:rStyle w:val="Numrodepage"/>
          </w:rPr>
        </w:pPr>
        <w:r w:rsidRPr="005D5005">
          <w:rPr>
            <w:rStyle w:val="Numrodepage"/>
          </w:rPr>
          <w:fldChar w:fldCharType="begin"/>
        </w:r>
        <w:r w:rsidRPr="005D5005">
          <w:rPr>
            <w:rStyle w:val="Numrodepage"/>
          </w:rPr>
          <w:instrText xml:space="preserve"> PAGE </w:instrText>
        </w:r>
        <w:r w:rsidRPr="005D5005">
          <w:rPr>
            <w:rStyle w:val="Numrodepage"/>
          </w:rPr>
          <w:fldChar w:fldCharType="separate"/>
        </w:r>
        <w:r w:rsidRPr="005D5005">
          <w:rPr>
            <w:rStyle w:val="Numrodepage"/>
          </w:rPr>
          <w:t>2</w:t>
        </w:r>
        <w:r w:rsidRPr="005D5005">
          <w:rPr>
            <w:rStyle w:val="Numrodepage"/>
          </w:rPr>
          <w:fldChar w:fldCharType="end"/>
        </w:r>
      </w:p>
    </w:sdtContent>
  </w:sdt>
  <w:p w14:paraId="36B65EDD" w14:textId="77777777" w:rsidR="00BE5299" w:rsidRPr="004A7CFA" w:rsidRDefault="00BE5299" w:rsidP="005546CC">
    <w:pPr>
      <w:autoSpaceDE w:val="0"/>
      <w:autoSpaceDN w:val="0"/>
      <w:adjustRightInd w:val="0"/>
      <w:ind w:right="360"/>
      <w:rPr>
        <w:rFonts w:ascii="Garamond" w:hAnsi="Garamond" w:cs="Times New Roman"/>
        <w:b/>
        <w:bCs/>
        <w:color w:val="FF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DE83" w14:textId="77777777" w:rsidR="00B4509A" w:rsidRDefault="00B4509A" w:rsidP="005D5005">
    <w:pPr>
      <w:ind w:right="360"/>
      <w:jc w:val="both"/>
      <w:rPr>
        <w:rFonts w:ascii="Garamond" w:hAnsi="Garamond" w:cs="Arial"/>
        <w:b/>
        <w:bCs/>
        <w:color w:val="000000" w:themeColor="text1"/>
        <w:sz w:val="16"/>
        <w:szCs w:val="16"/>
        <w:lang w:val="en-US"/>
      </w:rPr>
    </w:pPr>
  </w:p>
  <w:p w14:paraId="5A5D1630" w14:textId="77777777" w:rsidR="00B4509A" w:rsidRDefault="00B4509A" w:rsidP="005D5005">
    <w:pPr>
      <w:ind w:right="360"/>
      <w:jc w:val="both"/>
      <w:rPr>
        <w:rFonts w:ascii="Garamond" w:hAnsi="Garamond" w:cs="Arial"/>
        <w:b/>
        <w:bCs/>
        <w:color w:val="000000" w:themeColor="text1"/>
        <w:sz w:val="16"/>
        <w:szCs w:val="16"/>
        <w:lang w:val="en-US"/>
      </w:rPr>
    </w:pPr>
  </w:p>
  <w:p w14:paraId="40291E08" w14:textId="77777777" w:rsidR="00B4509A" w:rsidRDefault="00B4509A" w:rsidP="005D5005">
    <w:pPr>
      <w:ind w:right="360"/>
      <w:jc w:val="both"/>
      <w:rPr>
        <w:rFonts w:ascii="Garamond" w:hAnsi="Garamond" w:cs="Arial"/>
        <w:b/>
        <w:bCs/>
        <w:color w:val="000000" w:themeColor="text1"/>
        <w:sz w:val="16"/>
        <w:szCs w:val="16"/>
        <w:lang w:val="en-US"/>
      </w:rPr>
    </w:pPr>
  </w:p>
  <w:p w14:paraId="0471F6A5" w14:textId="77777777" w:rsidR="00887115" w:rsidRPr="00B4509A" w:rsidRDefault="00533A8D" w:rsidP="005D5005">
    <w:pPr>
      <w:ind w:right="360"/>
      <w:jc w:val="both"/>
      <w:rPr>
        <w:rFonts w:ascii="Garamond" w:hAnsi="Garamond" w:cs="Arial"/>
        <w:b/>
        <w:bCs/>
        <w:color w:val="000000" w:themeColor="text1"/>
        <w:sz w:val="16"/>
        <w:szCs w:val="16"/>
        <w:lang w:val="en-US"/>
      </w:rPr>
    </w:pPr>
    <w:r w:rsidRPr="00B4509A">
      <w:rPr>
        <w:rFonts w:ascii="Garamond" w:hAnsi="Garamond" w:cs="Arial"/>
        <w:b/>
        <w:bCs/>
        <w:color w:val="000000" w:themeColor="text1"/>
        <w:sz w:val="16"/>
        <w:szCs w:val="16"/>
        <w:lang w:val="en-US"/>
      </w:rPr>
      <w:t>About France Assureurs</w:t>
    </w:r>
  </w:p>
  <w:p w14:paraId="230FD456" w14:textId="77777777" w:rsidR="00C2752B" w:rsidRPr="00B4509A" w:rsidRDefault="00C2752B" w:rsidP="00C2752B">
    <w:pPr>
      <w:tabs>
        <w:tab w:val="center" w:pos="4536"/>
        <w:tab w:val="right" w:pos="9072"/>
      </w:tabs>
      <w:jc w:val="both"/>
      <w:rPr>
        <w:rFonts w:ascii="Garamond" w:hAnsi="Garamond" w:cs="Arial"/>
        <w:color w:val="000000" w:themeColor="text1"/>
        <w:sz w:val="16"/>
        <w:szCs w:val="16"/>
        <w:lang w:val="en-US"/>
      </w:rPr>
    </w:pPr>
    <w:r w:rsidRPr="00B4509A">
      <w:rPr>
        <w:rFonts w:ascii="Garamond" w:hAnsi="Garamond" w:cs="Arial"/>
        <w:color w:val="000000" w:themeColor="text1"/>
        <w:sz w:val="16"/>
        <w:szCs w:val="16"/>
        <w:lang w:val="en-US"/>
      </w:rPr>
      <w:t xml:space="preserve">France Assureurs is the common name of Fédération Française de </w:t>
    </w:r>
    <w:proofErr w:type="spellStart"/>
    <w:r w:rsidRPr="00B4509A">
      <w:rPr>
        <w:rFonts w:ascii="Garamond" w:hAnsi="Garamond" w:cs="Arial"/>
        <w:color w:val="000000" w:themeColor="text1"/>
        <w:sz w:val="16"/>
        <w:szCs w:val="16"/>
        <w:lang w:val="en-US"/>
      </w:rPr>
      <w:t>l’Assurance</w:t>
    </w:r>
    <w:proofErr w:type="spellEnd"/>
    <w:r w:rsidRPr="00B4509A">
      <w:rPr>
        <w:rFonts w:ascii="Garamond" w:hAnsi="Garamond" w:cs="Arial"/>
        <w:color w:val="000000" w:themeColor="text1"/>
        <w:sz w:val="16"/>
        <w:szCs w:val="16"/>
        <w:lang w:val="en-US"/>
      </w:rPr>
      <w:t xml:space="preserve"> (French Insurance Federation), </w:t>
    </w:r>
    <w:r w:rsidR="00B13928" w:rsidRPr="00B4509A">
      <w:rPr>
        <w:rFonts w:ascii="Garamond" w:hAnsi="Garamond" w:cs="Arial"/>
        <w:color w:val="000000" w:themeColor="text1"/>
        <w:sz w:val="16"/>
        <w:szCs w:val="16"/>
        <w:lang w:val="en-US"/>
      </w:rPr>
      <w:t>which brings together 247 insurance and reinsurance companies representing 99% of companies governed by the French Insurance</w:t>
    </w:r>
    <w:r w:rsidR="006302A7" w:rsidRPr="00B4509A">
      <w:rPr>
        <w:rFonts w:ascii="Garamond" w:hAnsi="Garamond" w:cs="Arial"/>
        <w:color w:val="000000" w:themeColor="text1"/>
        <w:sz w:val="16"/>
        <w:szCs w:val="16"/>
        <w:lang w:val="en-US"/>
      </w:rPr>
      <w:t xml:space="preserve"> Code</w:t>
    </w:r>
    <w:r w:rsidR="00B13928" w:rsidRPr="00B4509A">
      <w:rPr>
        <w:rFonts w:ascii="Garamond" w:hAnsi="Garamond" w:cs="Arial"/>
        <w:color w:val="000000" w:themeColor="text1"/>
        <w:sz w:val="16"/>
        <w:szCs w:val="16"/>
        <w:lang w:val="en-US"/>
      </w:rPr>
      <w:t>.</w:t>
    </w:r>
  </w:p>
  <w:p w14:paraId="3151AA28" w14:textId="77777777" w:rsidR="005D5005" w:rsidRPr="00B4509A" w:rsidRDefault="005D5005" w:rsidP="00B4509A">
    <w:pPr>
      <w:pStyle w:val="Pieddepage"/>
      <w:framePr w:wrap="none" w:vAnchor="text" w:hAnchor="page" w:x="11357" w:y="709"/>
      <w:rPr>
        <w:rStyle w:val="Numrodepage"/>
        <w:rFonts w:ascii="Garamond" w:hAnsi="Garamond"/>
        <w:sz w:val="16"/>
        <w:szCs w:val="16"/>
        <w:lang w:val="en-US"/>
      </w:rPr>
    </w:pPr>
    <w:r w:rsidRPr="00B4509A">
      <w:rPr>
        <w:rStyle w:val="Numrodepage"/>
        <w:rFonts w:ascii="Garamond" w:hAnsi="Garamond"/>
        <w:sz w:val="16"/>
        <w:szCs w:val="16"/>
      </w:rPr>
      <w:fldChar w:fldCharType="begin"/>
    </w:r>
    <w:r w:rsidRPr="00B4509A">
      <w:rPr>
        <w:rStyle w:val="Numrodepage"/>
        <w:rFonts w:ascii="Garamond" w:hAnsi="Garamond"/>
        <w:sz w:val="16"/>
        <w:szCs w:val="16"/>
        <w:lang w:val="en-US"/>
      </w:rPr>
      <w:instrText xml:space="preserve"> PAGE </w:instrText>
    </w:r>
    <w:r w:rsidRPr="00B4509A">
      <w:rPr>
        <w:rStyle w:val="Numrodepage"/>
        <w:rFonts w:ascii="Garamond" w:hAnsi="Garamond"/>
        <w:sz w:val="16"/>
        <w:szCs w:val="16"/>
      </w:rPr>
      <w:fldChar w:fldCharType="separate"/>
    </w:r>
    <w:r w:rsidR="006B5686">
      <w:rPr>
        <w:rStyle w:val="Numrodepage"/>
        <w:rFonts w:ascii="Garamond" w:hAnsi="Garamond"/>
        <w:noProof/>
        <w:sz w:val="16"/>
        <w:szCs w:val="16"/>
        <w:lang w:val="en-US"/>
      </w:rPr>
      <w:t>1</w:t>
    </w:r>
    <w:r w:rsidRPr="00B4509A">
      <w:rPr>
        <w:rStyle w:val="Numrodepage"/>
        <w:rFonts w:ascii="Garamond" w:hAnsi="Garamond"/>
        <w:sz w:val="16"/>
        <w:szCs w:val="16"/>
      </w:rPr>
      <w:fldChar w:fldCharType="end"/>
    </w:r>
  </w:p>
  <w:p w14:paraId="24F97BE0" w14:textId="77777777" w:rsidR="007D6574" w:rsidRPr="00B4509A" w:rsidRDefault="00C2752B" w:rsidP="00C2752B">
    <w:pPr>
      <w:tabs>
        <w:tab w:val="center" w:pos="4536"/>
        <w:tab w:val="right" w:pos="9072"/>
      </w:tabs>
      <w:jc w:val="both"/>
      <w:rPr>
        <w:rStyle w:val="NOTEBASDEPAGE"/>
        <w:color w:val="000000" w:themeColor="text1"/>
        <w:lang w:val="en-US"/>
      </w:rPr>
    </w:pPr>
    <w:r w:rsidRPr="00B4509A">
      <w:rPr>
        <w:rFonts w:ascii="Garamond" w:hAnsi="Garamond" w:cs="Arial"/>
        <w:color w:val="000000" w:themeColor="text1"/>
        <w:sz w:val="16"/>
        <w:szCs w:val="16"/>
        <w:lang w:val="en-US"/>
      </w:rPr>
      <w:t>We represent the interests of insurers</w:t>
    </w:r>
    <w:r w:rsidR="006D0DB1" w:rsidRPr="00B4509A">
      <w:rPr>
        <w:rFonts w:ascii="Garamond" w:hAnsi="Garamond" w:cs="Arial"/>
        <w:color w:val="000000" w:themeColor="text1"/>
        <w:sz w:val="16"/>
        <w:szCs w:val="16"/>
        <w:lang w:val="en-US"/>
      </w:rPr>
      <w:t xml:space="preserve"> and reinsurers</w:t>
    </w:r>
    <w:r w:rsidRPr="00B4509A">
      <w:rPr>
        <w:rFonts w:ascii="Garamond" w:hAnsi="Garamond" w:cs="Arial"/>
        <w:color w:val="000000" w:themeColor="text1"/>
        <w:sz w:val="16"/>
        <w:szCs w:val="16"/>
        <w:lang w:val="en-US"/>
      </w:rPr>
      <w:t xml:space="preserve"> to national, </w:t>
    </w:r>
    <w:proofErr w:type="gramStart"/>
    <w:r w:rsidRPr="00B4509A">
      <w:rPr>
        <w:rFonts w:ascii="Garamond" w:hAnsi="Garamond" w:cs="Arial"/>
        <w:color w:val="000000" w:themeColor="text1"/>
        <w:sz w:val="16"/>
        <w:szCs w:val="16"/>
        <w:lang w:val="en-US"/>
      </w:rPr>
      <w:t>European</w:t>
    </w:r>
    <w:proofErr w:type="gramEnd"/>
    <w:r w:rsidRPr="00B4509A">
      <w:rPr>
        <w:rFonts w:ascii="Garamond" w:hAnsi="Garamond" w:cs="Arial"/>
        <w:color w:val="000000" w:themeColor="text1"/>
        <w:sz w:val="16"/>
        <w:szCs w:val="16"/>
        <w:lang w:val="en-US"/>
      </w:rPr>
      <w:t xml:space="preserve"> and international public authorities, to institutions and to administrative or local authorities. We produce and make available statistical data essential to the industry and provide information for the </w:t>
    </w:r>
    <w:proofErr w:type="gramStart"/>
    <w:r w:rsidRPr="00B4509A">
      <w:rPr>
        <w:rFonts w:ascii="Garamond" w:hAnsi="Garamond" w:cs="Arial"/>
        <w:color w:val="000000" w:themeColor="text1"/>
        <w:sz w:val="16"/>
        <w:szCs w:val="16"/>
        <w:lang w:val="en-US"/>
      </w:rPr>
      <w:t>general public</w:t>
    </w:r>
    <w:proofErr w:type="gramEnd"/>
    <w:r w:rsidRPr="00B4509A">
      <w:rPr>
        <w:rFonts w:ascii="Garamond" w:hAnsi="Garamond" w:cs="Arial"/>
        <w:color w:val="000000" w:themeColor="text1"/>
        <w:sz w:val="16"/>
        <w:szCs w:val="16"/>
        <w:lang w:val="en-US"/>
      </w:rPr>
      <w:t xml:space="preserve"> and the media. Fédération Française de </w:t>
    </w:r>
    <w:proofErr w:type="spellStart"/>
    <w:r w:rsidRPr="00B4509A">
      <w:rPr>
        <w:rFonts w:ascii="Garamond" w:hAnsi="Garamond" w:cs="Arial"/>
        <w:color w:val="000000" w:themeColor="text1"/>
        <w:sz w:val="16"/>
        <w:szCs w:val="16"/>
        <w:lang w:val="en-US"/>
      </w:rPr>
      <w:t>l’Assurance</w:t>
    </w:r>
    <w:proofErr w:type="spellEnd"/>
    <w:r w:rsidRPr="00B4509A">
      <w:rPr>
        <w:rFonts w:ascii="Garamond" w:hAnsi="Garamond" w:cs="Arial"/>
        <w:color w:val="000000" w:themeColor="text1"/>
        <w:sz w:val="16"/>
        <w:szCs w:val="16"/>
        <w:lang w:val="en-US"/>
      </w:rPr>
      <w:t xml:space="preserve"> also contributes </w:t>
    </w:r>
    <w:proofErr w:type="gramStart"/>
    <w:r w:rsidRPr="00B4509A">
      <w:rPr>
        <w:rFonts w:ascii="Garamond" w:hAnsi="Garamond" w:cs="Arial"/>
        <w:color w:val="000000" w:themeColor="text1"/>
        <w:sz w:val="16"/>
        <w:szCs w:val="16"/>
        <w:lang w:val="en-US"/>
      </w:rPr>
      <w:t>in</w:t>
    </w:r>
    <w:proofErr w:type="gramEnd"/>
    <w:r w:rsidRPr="00B4509A">
      <w:rPr>
        <w:rFonts w:ascii="Garamond" w:hAnsi="Garamond" w:cs="Arial"/>
        <w:color w:val="000000" w:themeColor="text1"/>
        <w:sz w:val="16"/>
        <w:szCs w:val="16"/>
        <w:lang w:val="en-US"/>
      </w:rPr>
      <w:t xml:space="preserve"> raising the awareness and attractiveness of the industry by promoting insurance and risk management culture. Fédération Française de </w:t>
    </w:r>
    <w:proofErr w:type="spellStart"/>
    <w:r w:rsidRPr="00B4509A">
      <w:rPr>
        <w:rFonts w:ascii="Garamond" w:hAnsi="Garamond" w:cs="Arial"/>
        <w:color w:val="000000" w:themeColor="text1"/>
        <w:sz w:val="16"/>
        <w:szCs w:val="16"/>
        <w:lang w:val="en-US"/>
      </w:rPr>
      <w:t>l’Assurance</w:t>
    </w:r>
    <w:proofErr w:type="spellEnd"/>
    <w:r w:rsidRPr="00B4509A">
      <w:rPr>
        <w:rFonts w:ascii="Garamond" w:hAnsi="Garamond" w:cs="Arial"/>
        <w:color w:val="000000" w:themeColor="text1"/>
        <w:sz w:val="16"/>
        <w:szCs w:val="16"/>
        <w:lang w:val="en-US"/>
      </w:rPr>
      <w:t xml:space="preserve"> is a member of Insurance Europe and GFIA. In an ever-changing environment, faced with the emergence of new political, economic, social, </w:t>
    </w:r>
    <w:proofErr w:type="gramStart"/>
    <w:r w:rsidRPr="00B4509A">
      <w:rPr>
        <w:rFonts w:ascii="Garamond" w:hAnsi="Garamond" w:cs="Arial"/>
        <w:color w:val="000000" w:themeColor="text1"/>
        <w:sz w:val="16"/>
        <w:szCs w:val="16"/>
        <w:lang w:val="en-US"/>
      </w:rPr>
      <w:t>technological</w:t>
    </w:r>
    <w:proofErr w:type="gramEnd"/>
    <w:r w:rsidRPr="00B4509A">
      <w:rPr>
        <w:rFonts w:ascii="Garamond" w:hAnsi="Garamond" w:cs="Arial"/>
        <w:color w:val="000000" w:themeColor="text1"/>
        <w:sz w:val="16"/>
        <w:szCs w:val="16"/>
        <w:lang w:val="en-US"/>
      </w:rPr>
      <w:t xml:space="preserve"> and environmental risks, the French insurance industry constantly innovates to be more competitive, support the economy and extend the boundaries of insurability.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D3FDB" w14:textId="77777777" w:rsidR="00355A1A" w:rsidRDefault="00355A1A" w:rsidP="00717714">
      <w:r>
        <w:separator/>
      </w:r>
    </w:p>
  </w:footnote>
  <w:footnote w:type="continuationSeparator" w:id="0">
    <w:p w14:paraId="2B6B43ED" w14:textId="77777777" w:rsidR="00355A1A" w:rsidRDefault="00355A1A" w:rsidP="00717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CFD79" w14:textId="4E71D3CA" w:rsidR="007B730D" w:rsidRDefault="00000000">
    <w:r>
      <w:rPr>
        <w:noProof/>
      </w:rPr>
      <w:pict w14:anchorId="680CCF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404126" o:spid="_x0000_s1027" type="#_x0000_t136" style="position:absolute;margin-left:0;margin-top:0;width:211pt;height:105.5pt;rotation:315;z-index:-25165875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A871A" w14:textId="5015DAB8" w:rsidR="00076652" w:rsidRDefault="00000000">
    <w:pPr>
      <w:pStyle w:val="En-tte"/>
    </w:pPr>
    <w:r>
      <w:rPr>
        <w:noProof/>
      </w:rPr>
      <w:pict w14:anchorId="19E3B7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404127" o:spid="_x0000_s1028" type="#_x0000_t136" style="position:absolute;margin-left:0;margin-top:0;width:211pt;height:105.5pt;rotation:315;z-index:-25165772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BA31" w14:textId="15E8FB05" w:rsidR="00A30F6C" w:rsidRPr="004A7CFA" w:rsidRDefault="00000000" w:rsidP="00A30F6C">
    <w:pPr>
      <w:tabs>
        <w:tab w:val="left" w:pos="5614"/>
        <w:tab w:val="left" w:pos="6521"/>
      </w:tabs>
      <w:ind w:right="141"/>
      <w:rPr>
        <w:rFonts w:ascii="Garamond" w:hAnsi="Garamond"/>
        <w:b/>
        <w:bCs/>
        <w:sz w:val="34"/>
        <w:szCs w:val="34"/>
      </w:rPr>
    </w:pPr>
    <w:r>
      <w:rPr>
        <w:noProof/>
      </w:rPr>
      <w:pict w14:anchorId="7FEF2E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404125" o:spid="_x0000_s1026" type="#_x0000_t136" style="position:absolute;margin-left:0;margin-top:0;width:211pt;height:105.5pt;rotation:315;z-index:-251656704;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887115" w:rsidRPr="004A7CFA">
      <w:rPr>
        <w:rFonts w:ascii="Garamond" w:hAnsi="Garamond"/>
        <w:b/>
        <w:bCs/>
        <w:noProof/>
        <w:sz w:val="34"/>
        <w:szCs w:val="34"/>
        <w:lang w:val="en-US"/>
      </w:rPr>
      <mc:AlternateContent>
        <mc:Choice Requires="wps">
          <w:drawing>
            <wp:anchor distT="45720" distB="45720" distL="114300" distR="114300" simplePos="0" relativeHeight="251655680" behindDoc="0" locked="0" layoutInCell="1" allowOverlap="1" wp14:anchorId="4EFDD829" wp14:editId="7B5A789A">
              <wp:simplePos x="0" y="0"/>
              <wp:positionH relativeFrom="column">
                <wp:posOffset>2740660</wp:posOffset>
              </wp:positionH>
              <wp:positionV relativeFrom="paragraph">
                <wp:posOffset>196522</wp:posOffset>
              </wp:positionV>
              <wp:extent cx="3840480" cy="34290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342900"/>
                      </a:xfrm>
                      <a:prstGeom prst="rect">
                        <a:avLst/>
                      </a:prstGeom>
                      <a:noFill/>
                      <a:ln w="9525">
                        <a:noFill/>
                        <a:miter lim="800000"/>
                        <a:headEnd/>
                        <a:tailEnd/>
                      </a:ln>
                    </wps:spPr>
                    <wps:txbx>
                      <w:txbxContent>
                        <w:p w14:paraId="795D8B64" w14:textId="52041996" w:rsidR="00A30F6C" w:rsidRPr="00E22C80" w:rsidRDefault="00F7332D" w:rsidP="002D0419">
                          <w:pPr>
                            <w:pStyle w:val="FATITRE"/>
                            <w:rPr>
                              <w:color w:val="C00000"/>
                            </w:rPr>
                          </w:pPr>
                          <w:r w:rsidRPr="00E22C80">
                            <w:rPr>
                              <w:color w:val="C00000"/>
                            </w:rPr>
                            <w:t>POSITION</w:t>
                          </w:r>
                          <w:r w:rsidR="00FE3D4A" w:rsidRPr="00E22C80">
                            <w:rPr>
                              <w:color w:val="C00000"/>
                            </w:rPr>
                            <w:t xml:space="preserve"> PAPER</w:t>
                          </w:r>
                          <w:r w:rsidR="009B1173">
                            <w:rPr>
                              <w:color w:val="C00000"/>
                            </w:rPr>
                            <w:t xml:space="preserve"> - VF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FDD829" id="_x0000_t202" coordsize="21600,21600" o:spt="202" path="m,l,21600r21600,l21600,xe">
              <v:stroke joinstyle="miter"/>
              <v:path gradientshapeok="t" o:connecttype="rect"/>
            </v:shapetype>
            <v:shape id="Zone de texte 2" o:spid="_x0000_s1026" type="#_x0000_t202" style="position:absolute;margin-left:215.8pt;margin-top:15.45pt;width:302.4pt;height:27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" filled="f" stroked="f">
              <v:textbox>
                <w:txbxContent>
                  <w:p w14:paraId="795D8B64" w14:textId="52041996" w:rsidR="00A30F6C" w:rsidRPr="00E22C80" w:rsidRDefault="00F7332D" w:rsidP="002D0419">
                    <w:pPr>
                      <w:pStyle w:val="FATITRE"/>
                      <w:rPr>
                        <w:color w:val="C00000"/>
                      </w:rPr>
                    </w:pPr>
                    <w:r w:rsidRPr="00E22C80">
                      <w:rPr>
                        <w:color w:val="C00000"/>
                      </w:rPr>
                      <w:t>POSITION</w:t>
                    </w:r>
                    <w:r w:rsidR="00FE3D4A" w:rsidRPr="00E22C80">
                      <w:rPr>
                        <w:color w:val="C00000"/>
                      </w:rPr>
                      <w:t xml:space="preserve"> PAPER</w:t>
                    </w:r>
                    <w:r w:rsidR="009B1173">
                      <w:rPr>
                        <w:color w:val="C00000"/>
                      </w:rPr>
                      <w:t xml:space="preserve"> - VF</w:t>
                    </w:r>
                  </w:p>
                </w:txbxContent>
              </v:textbox>
              <w10:wrap type="square"/>
            </v:shape>
          </w:pict>
        </mc:Fallback>
      </mc:AlternateContent>
    </w:r>
    <w:r w:rsidR="00183173" w:rsidRPr="004A7CFA">
      <w:rPr>
        <w:rFonts w:ascii="Garamond" w:hAnsi="Garamond"/>
        <w:noProof/>
        <w:lang w:val="en-US"/>
      </w:rPr>
      <w:drawing>
        <wp:inline distT="0" distB="0" distL="0" distR="0" wp14:anchorId="58D1B8BC" wp14:editId="00A8E9D4">
          <wp:extent cx="2066290" cy="497193"/>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
                    <a:extLst>
                      <a:ext uri="{28A0092B-C50C-407E-A947-70E740481C1C}">
                        <a14:useLocalDpi xmlns:a14="http://schemas.microsoft.com/office/drawing/2010/main" val="0"/>
                      </a:ext>
                    </a:extLst>
                  </a:blip>
                  <a:srcRect l="8875" t="17760" r="1" b="20664"/>
                  <a:stretch/>
                </pic:blipFill>
                <pic:spPr bwMode="auto">
                  <a:xfrm>
                    <a:off x="0" y="0"/>
                    <a:ext cx="2066338" cy="497205"/>
                  </a:xfrm>
                  <a:prstGeom prst="rect">
                    <a:avLst/>
                  </a:prstGeom>
                  <a:noFill/>
                  <a:ln>
                    <a:noFill/>
                  </a:ln>
                  <a:extLst>
                    <a:ext uri="{53640926-AAD7-44D8-BBD7-CCE9431645EC}">
                      <a14:shadowObscured xmlns:a14="http://schemas.microsoft.com/office/drawing/2010/main"/>
                    </a:ext>
                  </a:extLst>
                </pic:spPr>
              </pic:pic>
            </a:graphicData>
          </a:graphic>
        </wp:inline>
      </w:drawing>
    </w:r>
  </w:p>
  <w:p w14:paraId="234C9D5B" w14:textId="77777777" w:rsidR="00B55CBE" w:rsidRPr="004A7CFA" w:rsidRDefault="003B74F8" w:rsidP="00A30F6C">
    <w:pPr>
      <w:rPr>
        <w:rFonts w:ascii="Garamond" w:hAnsi="Garamond"/>
      </w:rPr>
    </w:pPr>
    <w:r w:rsidRPr="004A7CFA">
      <w:rPr>
        <w:rStyle w:val="NOTEBASDEPAGE"/>
        <w:noProof/>
        <w:lang w:val="en-US"/>
      </w:rPr>
      <mc:AlternateContent>
        <mc:Choice Requires="wps">
          <w:drawing>
            <wp:anchor distT="0" distB="0" distL="114300" distR="114300" simplePos="0" relativeHeight="251656704" behindDoc="0" locked="0" layoutInCell="1" allowOverlap="1" wp14:anchorId="6B1F2236" wp14:editId="2470544D">
              <wp:simplePos x="0" y="0"/>
              <wp:positionH relativeFrom="column">
                <wp:posOffset>0</wp:posOffset>
              </wp:positionH>
              <wp:positionV relativeFrom="paragraph">
                <wp:posOffset>215839</wp:posOffset>
              </wp:positionV>
              <wp:extent cx="6467475" cy="0"/>
              <wp:effectExtent l="0" t="0" r="0" b="0"/>
              <wp:wrapNone/>
              <wp:docPr id="4" name="Connecteur droit 6"/>
              <wp:cNvGraphicFramePr/>
              <a:graphic xmlns:a="http://schemas.openxmlformats.org/drawingml/2006/main">
                <a:graphicData uri="http://schemas.microsoft.com/office/word/2010/wordprocessingShape">
                  <wps:wsp>
                    <wps:cNvCnPr/>
                    <wps:spPr>
                      <a:xfrm>
                        <a:off x="0" y="0"/>
                        <a:ext cx="646747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573B0533" id="Connecteur droit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17pt" to="509.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" strokecolor="windowText" strokeweight="1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3085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FA7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32E0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7CB5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07A5A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44D7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F037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2D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406BF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B232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733BB"/>
    <w:multiLevelType w:val="hybridMultilevel"/>
    <w:tmpl w:val="92C8A2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6325860"/>
    <w:multiLevelType w:val="hybridMultilevel"/>
    <w:tmpl w:val="B3E04BE8"/>
    <w:lvl w:ilvl="0" w:tplc="6C1E3F7A">
      <w:start w:val="2"/>
      <w:numFmt w:val="decimal"/>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2" w15:restartNumberingAfterBreak="0">
    <w:nsid w:val="06587CEB"/>
    <w:multiLevelType w:val="hybridMultilevel"/>
    <w:tmpl w:val="BDF25ECC"/>
    <w:lvl w:ilvl="0" w:tplc="9B42AD4C">
      <w:numFmt w:val="bullet"/>
      <w:lvlText w:val=""/>
      <w:lvlJc w:val="left"/>
      <w:pPr>
        <w:ind w:left="644" w:hanging="360"/>
      </w:pPr>
      <w:rPr>
        <w:rFonts w:ascii="Wingdings" w:eastAsiaTheme="minorHAnsi" w:hAnsi="Wingdings"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12003E6A"/>
    <w:multiLevelType w:val="hybridMultilevel"/>
    <w:tmpl w:val="8BAA85C2"/>
    <w:lvl w:ilvl="0" w:tplc="EC4805C4">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4" w15:restartNumberingAfterBreak="0">
    <w:nsid w:val="133F0DC7"/>
    <w:multiLevelType w:val="hybridMultilevel"/>
    <w:tmpl w:val="60309320"/>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5" w15:restartNumberingAfterBreak="0">
    <w:nsid w:val="14F47F8F"/>
    <w:multiLevelType w:val="hybridMultilevel"/>
    <w:tmpl w:val="F3C8F7DE"/>
    <w:lvl w:ilvl="0" w:tplc="F60266D2">
      <w:start w:val="1"/>
      <w:numFmt w:val="bullet"/>
      <w:lvlText w:val="-"/>
      <w:lvlJc w:val="left"/>
      <w:pPr>
        <w:ind w:left="720" w:hanging="360"/>
      </w:pPr>
      <w:rPr>
        <w:rFonts w:ascii="Garamond" w:eastAsiaTheme="minorHAns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4FA7986"/>
    <w:multiLevelType w:val="hybridMultilevel"/>
    <w:tmpl w:val="D0223886"/>
    <w:lvl w:ilvl="0" w:tplc="040C000F">
      <w:start w:val="1"/>
      <w:numFmt w:val="decimal"/>
      <w:lvlText w:val="%1."/>
      <w:lvlJc w:val="left"/>
      <w:pPr>
        <w:ind w:left="5756" w:hanging="360"/>
      </w:pPr>
    </w:lvl>
    <w:lvl w:ilvl="1" w:tplc="040C0019" w:tentative="1">
      <w:start w:val="1"/>
      <w:numFmt w:val="lowerLetter"/>
      <w:lvlText w:val="%2."/>
      <w:lvlJc w:val="left"/>
      <w:pPr>
        <w:ind w:left="6476" w:hanging="360"/>
      </w:pPr>
    </w:lvl>
    <w:lvl w:ilvl="2" w:tplc="040C001B" w:tentative="1">
      <w:start w:val="1"/>
      <w:numFmt w:val="lowerRoman"/>
      <w:lvlText w:val="%3."/>
      <w:lvlJc w:val="right"/>
      <w:pPr>
        <w:ind w:left="7196" w:hanging="180"/>
      </w:pPr>
    </w:lvl>
    <w:lvl w:ilvl="3" w:tplc="040C000F" w:tentative="1">
      <w:start w:val="1"/>
      <w:numFmt w:val="decimal"/>
      <w:lvlText w:val="%4."/>
      <w:lvlJc w:val="left"/>
      <w:pPr>
        <w:ind w:left="7916" w:hanging="360"/>
      </w:pPr>
    </w:lvl>
    <w:lvl w:ilvl="4" w:tplc="040C0019" w:tentative="1">
      <w:start w:val="1"/>
      <w:numFmt w:val="lowerLetter"/>
      <w:lvlText w:val="%5."/>
      <w:lvlJc w:val="left"/>
      <w:pPr>
        <w:ind w:left="8636" w:hanging="360"/>
      </w:pPr>
    </w:lvl>
    <w:lvl w:ilvl="5" w:tplc="040C001B" w:tentative="1">
      <w:start w:val="1"/>
      <w:numFmt w:val="lowerRoman"/>
      <w:lvlText w:val="%6."/>
      <w:lvlJc w:val="right"/>
      <w:pPr>
        <w:ind w:left="9356" w:hanging="180"/>
      </w:pPr>
    </w:lvl>
    <w:lvl w:ilvl="6" w:tplc="040C000F" w:tentative="1">
      <w:start w:val="1"/>
      <w:numFmt w:val="decimal"/>
      <w:lvlText w:val="%7."/>
      <w:lvlJc w:val="left"/>
      <w:pPr>
        <w:ind w:left="10076" w:hanging="360"/>
      </w:pPr>
    </w:lvl>
    <w:lvl w:ilvl="7" w:tplc="040C0019" w:tentative="1">
      <w:start w:val="1"/>
      <w:numFmt w:val="lowerLetter"/>
      <w:lvlText w:val="%8."/>
      <w:lvlJc w:val="left"/>
      <w:pPr>
        <w:ind w:left="10796" w:hanging="360"/>
      </w:pPr>
    </w:lvl>
    <w:lvl w:ilvl="8" w:tplc="040C001B" w:tentative="1">
      <w:start w:val="1"/>
      <w:numFmt w:val="lowerRoman"/>
      <w:lvlText w:val="%9."/>
      <w:lvlJc w:val="right"/>
      <w:pPr>
        <w:ind w:left="11516" w:hanging="180"/>
      </w:pPr>
    </w:lvl>
  </w:abstractNum>
  <w:abstractNum w:abstractNumId="17" w15:restartNumberingAfterBreak="0">
    <w:nsid w:val="1A142533"/>
    <w:multiLevelType w:val="hybridMultilevel"/>
    <w:tmpl w:val="9D30AD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A67178F"/>
    <w:multiLevelType w:val="hybridMultilevel"/>
    <w:tmpl w:val="CBC02052"/>
    <w:lvl w:ilvl="0" w:tplc="AC3C1F86">
      <w:start w:val="1"/>
      <w:numFmt w:val="bullet"/>
      <w:lvlText w:val="-"/>
      <w:lvlJc w:val="left"/>
      <w:pPr>
        <w:ind w:left="720" w:hanging="360"/>
      </w:pPr>
      <w:rPr>
        <w:rFonts w:ascii="Garamond" w:eastAsiaTheme="minorHAns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4A16819"/>
    <w:multiLevelType w:val="hybridMultilevel"/>
    <w:tmpl w:val="076E531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3D6DD9"/>
    <w:multiLevelType w:val="hybridMultilevel"/>
    <w:tmpl w:val="C64030FA"/>
    <w:lvl w:ilvl="0" w:tplc="321CE2E0">
      <w:numFmt w:val="bullet"/>
      <w:lvlText w:val="-"/>
      <w:lvlJc w:val="left"/>
      <w:pPr>
        <w:ind w:left="720" w:hanging="360"/>
      </w:pPr>
      <w:rPr>
        <w:rFonts w:ascii="Garamond" w:eastAsiaTheme="minorHAns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A646633"/>
    <w:multiLevelType w:val="multilevel"/>
    <w:tmpl w:val="2292C586"/>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DC35723"/>
    <w:multiLevelType w:val="hybridMultilevel"/>
    <w:tmpl w:val="13D07DEC"/>
    <w:lvl w:ilvl="0" w:tplc="4206421C">
      <w:start w:val="3"/>
      <w:numFmt w:val="bullet"/>
      <w:lvlText w:val="-"/>
      <w:lvlJc w:val="left"/>
      <w:pPr>
        <w:ind w:left="720" w:hanging="360"/>
      </w:pPr>
      <w:rPr>
        <w:rFonts w:ascii="Garamond" w:eastAsiaTheme="minorHAns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E187CB6"/>
    <w:multiLevelType w:val="hybridMultilevel"/>
    <w:tmpl w:val="3D0AF9F2"/>
    <w:lvl w:ilvl="0" w:tplc="4776D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05513C3"/>
    <w:multiLevelType w:val="hybridMultilevel"/>
    <w:tmpl w:val="46245EE4"/>
    <w:lvl w:ilvl="0" w:tplc="D6AC0B16">
      <w:start w:val="1"/>
      <w:numFmt w:val="decimal"/>
      <w:lvlText w:val="%1)"/>
      <w:lvlJc w:val="left"/>
      <w:pPr>
        <w:ind w:left="720" w:hanging="360"/>
      </w:pPr>
    </w:lvl>
    <w:lvl w:ilvl="1" w:tplc="8D8CBD8E">
      <w:start w:val="1"/>
      <w:numFmt w:val="lowerLetter"/>
      <w:lvlText w:val="%2."/>
      <w:lvlJc w:val="left"/>
      <w:pPr>
        <w:ind w:left="1440" w:hanging="360"/>
      </w:pPr>
    </w:lvl>
    <w:lvl w:ilvl="2" w:tplc="8DB60380">
      <w:start w:val="1"/>
      <w:numFmt w:val="lowerRoman"/>
      <w:lvlText w:val="%3."/>
      <w:lvlJc w:val="right"/>
      <w:pPr>
        <w:ind w:left="2160" w:hanging="180"/>
      </w:pPr>
    </w:lvl>
    <w:lvl w:ilvl="3" w:tplc="873A657E">
      <w:start w:val="1"/>
      <w:numFmt w:val="decimal"/>
      <w:lvlText w:val="%4."/>
      <w:lvlJc w:val="left"/>
      <w:pPr>
        <w:ind w:left="2880" w:hanging="360"/>
      </w:pPr>
    </w:lvl>
    <w:lvl w:ilvl="4" w:tplc="EE46B51C">
      <w:start w:val="1"/>
      <w:numFmt w:val="lowerLetter"/>
      <w:lvlText w:val="%5."/>
      <w:lvlJc w:val="left"/>
      <w:pPr>
        <w:ind w:left="3600" w:hanging="360"/>
      </w:pPr>
    </w:lvl>
    <w:lvl w:ilvl="5" w:tplc="89CE2B32">
      <w:start w:val="1"/>
      <w:numFmt w:val="lowerRoman"/>
      <w:lvlText w:val="%6."/>
      <w:lvlJc w:val="right"/>
      <w:pPr>
        <w:ind w:left="4320" w:hanging="180"/>
      </w:pPr>
    </w:lvl>
    <w:lvl w:ilvl="6" w:tplc="AA783C7C">
      <w:start w:val="1"/>
      <w:numFmt w:val="decimal"/>
      <w:lvlText w:val="%7."/>
      <w:lvlJc w:val="left"/>
      <w:pPr>
        <w:ind w:left="5040" w:hanging="360"/>
      </w:pPr>
    </w:lvl>
    <w:lvl w:ilvl="7" w:tplc="DD64CCB0">
      <w:start w:val="1"/>
      <w:numFmt w:val="lowerLetter"/>
      <w:lvlText w:val="%8."/>
      <w:lvlJc w:val="left"/>
      <w:pPr>
        <w:ind w:left="5760" w:hanging="360"/>
      </w:pPr>
    </w:lvl>
    <w:lvl w:ilvl="8" w:tplc="2DA0B996">
      <w:start w:val="1"/>
      <w:numFmt w:val="lowerRoman"/>
      <w:lvlText w:val="%9."/>
      <w:lvlJc w:val="right"/>
      <w:pPr>
        <w:ind w:left="6480" w:hanging="180"/>
      </w:pPr>
    </w:lvl>
  </w:abstractNum>
  <w:abstractNum w:abstractNumId="25" w15:restartNumberingAfterBreak="0">
    <w:nsid w:val="3A1E5F8A"/>
    <w:multiLevelType w:val="hybridMultilevel"/>
    <w:tmpl w:val="D606276E"/>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6" w15:restartNumberingAfterBreak="0">
    <w:nsid w:val="3AB74AD9"/>
    <w:multiLevelType w:val="hybridMultilevel"/>
    <w:tmpl w:val="3F6441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F875795"/>
    <w:multiLevelType w:val="hybridMultilevel"/>
    <w:tmpl w:val="60309320"/>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8" w15:restartNumberingAfterBreak="0">
    <w:nsid w:val="44053470"/>
    <w:multiLevelType w:val="hybridMultilevel"/>
    <w:tmpl w:val="F5E27032"/>
    <w:lvl w:ilvl="0" w:tplc="040C0001">
      <w:start w:val="1"/>
      <w:numFmt w:val="bullet"/>
      <w:lvlText w:val=""/>
      <w:lvlJc w:val="left"/>
      <w:pPr>
        <w:ind w:left="947" w:hanging="360"/>
      </w:pPr>
      <w:rPr>
        <w:rFonts w:ascii="Symbol" w:hAnsi="Symbol" w:hint="default"/>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29" w15:restartNumberingAfterBreak="0">
    <w:nsid w:val="446A650E"/>
    <w:multiLevelType w:val="hybridMultilevel"/>
    <w:tmpl w:val="451CD1DA"/>
    <w:lvl w:ilvl="0" w:tplc="2CA4EB24">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696D45"/>
    <w:multiLevelType w:val="hybridMultilevel"/>
    <w:tmpl w:val="9DFC7ABE"/>
    <w:lvl w:ilvl="0" w:tplc="040C000F">
      <w:start w:val="1"/>
      <w:numFmt w:val="decimal"/>
      <w:lvlText w:val="%1."/>
      <w:lvlJc w:val="left"/>
      <w:pPr>
        <w:ind w:left="3552" w:hanging="360"/>
      </w:pPr>
    </w:lvl>
    <w:lvl w:ilvl="1" w:tplc="040C0019" w:tentative="1">
      <w:start w:val="1"/>
      <w:numFmt w:val="lowerLetter"/>
      <w:lvlText w:val="%2."/>
      <w:lvlJc w:val="left"/>
      <w:pPr>
        <w:ind w:left="4272" w:hanging="360"/>
      </w:pPr>
    </w:lvl>
    <w:lvl w:ilvl="2" w:tplc="040C001B" w:tentative="1">
      <w:start w:val="1"/>
      <w:numFmt w:val="lowerRoman"/>
      <w:lvlText w:val="%3."/>
      <w:lvlJc w:val="right"/>
      <w:pPr>
        <w:ind w:left="4992" w:hanging="180"/>
      </w:pPr>
    </w:lvl>
    <w:lvl w:ilvl="3" w:tplc="040C000F" w:tentative="1">
      <w:start w:val="1"/>
      <w:numFmt w:val="decimal"/>
      <w:lvlText w:val="%4."/>
      <w:lvlJc w:val="left"/>
      <w:pPr>
        <w:ind w:left="5712" w:hanging="360"/>
      </w:pPr>
    </w:lvl>
    <w:lvl w:ilvl="4" w:tplc="040C0019" w:tentative="1">
      <w:start w:val="1"/>
      <w:numFmt w:val="lowerLetter"/>
      <w:lvlText w:val="%5."/>
      <w:lvlJc w:val="left"/>
      <w:pPr>
        <w:ind w:left="6432" w:hanging="360"/>
      </w:pPr>
    </w:lvl>
    <w:lvl w:ilvl="5" w:tplc="040C001B" w:tentative="1">
      <w:start w:val="1"/>
      <w:numFmt w:val="lowerRoman"/>
      <w:lvlText w:val="%6."/>
      <w:lvlJc w:val="right"/>
      <w:pPr>
        <w:ind w:left="7152" w:hanging="180"/>
      </w:pPr>
    </w:lvl>
    <w:lvl w:ilvl="6" w:tplc="040C000F" w:tentative="1">
      <w:start w:val="1"/>
      <w:numFmt w:val="decimal"/>
      <w:lvlText w:val="%7."/>
      <w:lvlJc w:val="left"/>
      <w:pPr>
        <w:ind w:left="7872" w:hanging="360"/>
      </w:pPr>
    </w:lvl>
    <w:lvl w:ilvl="7" w:tplc="040C0019" w:tentative="1">
      <w:start w:val="1"/>
      <w:numFmt w:val="lowerLetter"/>
      <w:lvlText w:val="%8."/>
      <w:lvlJc w:val="left"/>
      <w:pPr>
        <w:ind w:left="8592" w:hanging="360"/>
      </w:pPr>
    </w:lvl>
    <w:lvl w:ilvl="8" w:tplc="040C001B" w:tentative="1">
      <w:start w:val="1"/>
      <w:numFmt w:val="lowerRoman"/>
      <w:lvlText w:val="%9."/>
      <w:lvlJc w:val="right"/>
      <w:pPr>
        <w:ind w:left="9312" w:hanging="180"/>
      </w:pPr>
    </w:lvl>
  </w:abstractNum>
  <w:abstractNum w:abstractNumId="31" w15:restartNumberingAfterBreak="0">
    <w:nsid w:val="4AF55D42"/>
    <w:multiLevelType w:val="hybridMultilevel"/>
    <w:tmpl w:val="8AD47B02"/>
    <w:lvl w:ilvl="0" w:tplc="8378035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518E6F34"/>
    <w:multiLevelType w:val="hybridMultilevel"/>
    <w:tmpl w:val="32346040"/>
    <w:lvl w:ilvl="0" w:tplc="04D241D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27523FF"/>
    <w:multiLevelType w:val="hybridMultilevel"/>
    <w:tmpl w:val="2A5099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68168B0"/>
    <w:multiLevelType w:val="hybridMultilevel"/>
    <w:tmpl w:val="E80820B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15:restartNumberingAfterBreak="0">
    <w:nsid w:val="61AB1612"/>
    <w:multiLevelType w:val="hybridMultilevel"/>
    <w:tmpl w:val="2C621590"/>
    <w:lvl w:ilvl="0" w:tplc="7570AE3A">
      <w:numFmt w:val="bullet"/>
      <w:lvlText w:val="-"/>
      <w:lvlJc w:val="left"/>
      <w:pPr>
        <w:ind w:left="720" w:hanging="360"/>
      </w:pPr>
      <w:rPr>
        <w:rFonts w:ascii="Garamond" w:eastAsiaTheme="minorHAns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BA02A90"/>
    <w:multiLevelType w:val="hybridMultilevel"/>
    <w:tmpl w:val="AC6AF912"/>
    <w:lvl w:ilvl="0" w:tplc="75A23AFE">
      <w:start w:val="3"/>
      <w:numFmt w:val="bullet"/>
      <w:lvlText w:val="-"/>
      <w:lvlJc w:val="left"/>
      <w:pPr>
        <w:ind w:left="720" w:hanging="360"/>
      </w:pPr>
      <w:rPr>
        <w:rFonts w:ascii="Garamond" w:eastAsiaTheme="minorHAns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F76228"/>
    <w:multiLevelType w:val="hybridMultilevel"/>
    <w:tmpl w:val="56709B48"/>
    <w:lvl w:ilvl="0" w:tplc="A124505E">
      <w:numFmt w:val="bullet"/>
      <w:lvlText w:val="-"/>
      <w:lvlJc w:val="left"/>
      <w:pPr>
        <w:ind w:left="720" w:hanging="360"/>
      </w:pPr>
      <w:rPr>
        <w:rFonts w:ascii="Garamond" w:eastAsiaTheme="minorHAnsi" w:hAnsi="Garamond"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F70708"/>
    <w:multiLevelType w:val="hybridMultilevel"/>
    <w:tmpl w:val="D6FAB6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720" w:hanging="360"/>
      </w:pPr>
      <w:rPr>
        <w:rFonts w:ascii="Symbol" w:hAnsi="Symbol" w:hint="default"/>
      </w:rPr>
    </w:lvl>
    <w:lvl w:ilvl="3" w:tplc="0D387F6A">
      <w:start w:val="1"/>
      <w:numFmt w:val="bullet"/>
      <w:pStyle w:val="BULLETPOINTNIVEAU2"/>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54313F"/>
    <w:multiLevelType w:val="hybridMultilevel"/>
    <w:tmpl w:val="D32607C2"/>
    <w:lvl w:ilvl="0" w:tplc="8A1848F6">
      <w:start w:val="1"/>
      <w:numFmt w:val="bullet"/>
      <w:lvlText w:val=""/>
      <w:lvlJc w:val="left"/>
      <w:pPr>
        <w:ind w:left="944" w:hanging="360"/>
      </w:pPr>
      <w:rPr>
        <w:rFonts w:ascii="Wingdings" w:eastAsiaTheme="minorHAnsi" w:hAnsi="Wingdings" w:cstheme="minorBidi" w:hint="default"/>
      </w:rPr>
    </w:lvl>
    <w:lvl w:ilvl="1" w:tplc="040C0003" w:tentative="1">
      <w:start w:val="1"/>
      <w:numFmt w:val="bullet"/>
      <w:lvlText w:val="o"/>
      <w:lvlJc w:val="left"/>
      <w:pPr>
        <w:ind w:left="1664" w:hanging="360"/>
      </w:pPr>
      <w:rPr>
        <w:rFonts w:ascii="Courier New" w:hAnsi="Courier New" w:cs="Courier New" w:hint="default"/>
      </w:rPr>
    </w:lvl>
    <w:lvl w:ilvl="2" w:tplc="040C0005" w:tentative="1">
      <w:start w:val="1"/>
      <w:numFmt w:val="bullet"/>
      <w:lvlText w:val=""/>
      <w:lvlJc w:val="left"/>
      <w:pPr>
        <w:ind w:left="2384" w:hanging="360"/>
      </w:pPr>
      <w:rPr>
        <w:rFonts w:ascii="Wingdings" w:hAnsi="Wingdings" w:hint="default"/>
      </w:rPr>
    </w:lvl>
    <w:lvl w:ilvl="3" w:tplc="040C0001" w:tentative="1">
      <w:start w:val="1"/>
      <w:numFmt w:val="bullet"/>
      <w:lvlText w:val=""/>
      <w:lvlJc w:val="left"/>
      <w:pPr>
        <w:ind w:left="3104" w:hanging="360"/>
      </w:pPr>
      <w:rPr>
        <w:rFonts w:ascii="Symbol" w:hAnsi="Symbol" w:hint="default"/>
      </w:rPr>
    </w:lvl>
    <w:lvl w:ilvl="4" w:tplc="040C0003" w:tentative="1">
      <w:start w:val="1"/>
      <w:numFmt w:val="bullet"/>
      <w:lvlText w:val="o"/>
      <w:lvlJc w:val="left"/>
      <w:pPr>
        <w:ind w:left="3824" w:hanging="360"/>
      </w:pPr>
      <w:rPr>
        <w:rFonts w:ascii="Courier New" w:hAnsi="Courier New" w:cs="Courier New" w:hint="default"/>
      </w:rPr>
    </w:lvl>
    <w:lvl w:ilvl="5" w:tplc="040C0005" w:tentative="1">
      <w:start w:val="1"/>
      <w:numFmt w:val="bullet"/>
      <w:lvlText w:val=""/>
      <w:lvlJc w:val="left"/>
      <w:pPr>
        <w:ind w:left="4544" w:hanging="360"/>
      </w:pPr>
      <w:rPr>
        <w:rFonts w:ascii="Wingdings" w:hAnsi="Wingdings" w:hint="default"/>
      </w:rPr>
    </w:lvl>
    <w:lvl w:ilvl="6" w:tplc="040C0001" w:tentative="1">
      <w:start w:val="1"/>
      <w:numFmt w:val="bullet"/>
      <w:lvlText w:val=""/>
      <w:lvlJc w:val="left"/>
      <w:pPr>
        <w:ind w:left="5264" w:hanging="360"/>
      </w:pPr>
      <w:rPr>
        <w:rFonts w:ascii="Symbol" w:hAnsi="Symbol" w:hint="default"/>
      </w:rPr>
    </w:lvl>
    <w:lvl w:ilvl="7" w:tplc="040C0003" w:tentative="1">
      <w:start w:val="1"/>
      <w:numFmt w:val="bullet"/>
      <w:lvlText w:val="o"/>
      <w:lvlJc w:val="left"/>
      <w:pPr>
        <w:ind w:left="5984" w:hanging="360"/>
      </w:pPr>
      <w:rPr>
        <w:rFonts w:ascii="Courier New" w:hAnsi="Courier New" w:cs="Courier New" w:hint="default"/>
      </w:rPr>
    </w:lvl>
    <w:lvl w:ilvl="8" w:tplc="040C0005" w:tentative="1">
      <w:start w:val="1"/>
      <w:numFmt w:val="bullet"/>
      <w:lvlText w:val=""/>
      <w:lvlJc w:val="left"/>
      <w:pPr>
        <w:ind w:left="6704" w:hanging="360"/>
      </w:pPr>
      <w:rPr>
        <w:rFonts w:ascii="Wingdings" w:hAnsi="Wingdings" w:hint="default"/>
      </w:rPr>
    </w:lvl>
  </w:abstractNum>
  <w:abstractNum w:abstractNumId="40" w15:restartNumberingAfterBreak="0">
    <w:nsid w:val="7BED77C0"/>
    <w:multiLevelType w:val="hybridMultilevel"/>
    <w:tmpl w:val="B85C5B1E"/>
    <w:lvl w:ilvl="0" w:tplc="1D34BF00">
      <w:start w:val="1"/>
      <w:numFmt w:val="decimal"/>
      <w:lvlText w:val="%1."/>
      <w:lvlJc w:val="left"/>
      <w:pPr>
        <w:ind w:left="1287" w:hanging="360"/>
      </w:pPr>
      <w:rPr>
        <w:lang w:val="fr-FR"/>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16cid:durableId="1744446039">
    <w:abstractNumId w:val="24"/>
  </w:num>
  <w:num w:numId="2" w16cid:durableId="2050953042">
    <w:abstractNumId w:val="21"/>
  </w:num>
  <w:num w:numId="3" w16cid:durableId="441188407">
    <w:abstractNumId w:val="16"/>
  </w:num>
  <w:num w:numId="4" w16cid:durableId="97679784">
    <w:abstractNumId w:val="30"/>
  </w:num>
  <w:num w:numId="5" w16cid:durableId="2105497531">
    <w:abstractNumId w:val="14"/>
  </w:num>
  <w:num w:numId="6" w16cid:durableId="571891922">
    <w:abstractNumId w:val="40"/>
  </w:num>
  <w:num w:numId="7" w16cid:durableId="1230383916">
    <w:abstractNumId w:val="11"/>
  </w:num>
  <w:num w:numId="8" w16cid:durableId="409928863">
    <w:abstractNumId w:val="27"/>
  </w:num>
  <w:num w:numId="9" w16cid:durableId="842548765">
    <w:abstractNumId w:val="26"/>
  </w:num>
  <w:num w:numId="10" w16cid:durableId="1375500665">
    <w:abstractNumId w:val="25"/>
  </w:num>
  <w:num w:numId="11" w16cid:durableId="983703436">
    <w:abstractNumId w:val="33"/>
  </w:num>
  <w:num w:numId="12" w16cid:durableId="1121025309">
    <w:abstractNumId w:val="17"/>
  </w:num>
  <w:num w:numId="13" w16cid:durableId="983657400">
    <w:abstractNumId w:val="10"/>
  </w:num>
  <w:num w:numId="14" w16cid:durableId="1444691043">
    <w:abstractNumId w:val="4"/>
  </w:num>
  <w:num w:numId="15" w16cid:durableId="1165895396">
    <w:abstractNumId w:val="5"/>
  </w:num>
  <w:num w:numId="16" w16cid:durableId="1892576934">
    <w:abstractNumId w:val="6"/>
  </w:num>
  <w:num w:numId="17" w16cid:durableId="707996318">
    <w:abstractNumId w:val="7"/>
  </w:num>
  <w:num w:numId="18" w16cid:durableId="599067625">
    <w:abstractNumId w:val="9"/>
  </w:num>
  <w:num w:numId="19" w16cid:durableId="1703825552">
    <w:abstractNumId w:val="0"/>
  </w:num>
  <w:num w:numId="20" w16cid:durableId="165290910">
    <w:abstractNumId w:val="1"/>
  </w:num>
  <w:num w:numId="21" w16cid:durableId="1333414905">
    <w:abstractNumId w:val="2"/>
  </w:num>
  <w:num w:numId="22" w16cid:durableId="1031539676">
    <w:abstractNumId w:val="3"/>
  </w:num>
  <w:num w:numId="23" w16cid:durableId="78406597">
    <w:abstractNumId w:val="8"/>
  </w:num>
  <w:num w:numId="24" w16cid:durableId="1337730331">
    <w:abstractNumId w:val="32"/>
  </w:num>
  <w:num w:numId="25" w16cid:durableId="266741492">
    <w:abstractNumId w:val="19"/>
  </w:num>
  <w:num w:numId="26" w16cid:durableId="311568325">
    <w:abstractNumId w:val="38"/>
  </w:num>
  <w:num w:numId="27" w16cid:durableId="1834419055">
    <w:abstractNumId w:val="18"/>
  </w:num>
  <w:num w:numId="28" w16cid:durableId="1862011770">
    <w:abstractNumId w:val="15"/>
  </w:num>
  <w:num w:numId="29" w16cid:durableId="347372498">
    <w:abstractNumId w:val="35"/>
  </w:num>
  <w:num w:numId="30" w16cid:durableId="1967199992">
    <w:abstractNumId w:val="37"/>
  </w:num>
  <w:num w:numId="31" w16cid:durableId="188226038">
    <w:abstractNumId w:val="29"/>
  </w:num>
  <w:num w:numId="32" w16cid:durableId="1309869129">
    <w:abstractNumId w:val="20"/>
  </w:num>
  <w:num w:numId="33" w16cid:durableId="723336133">
    <w:abstractNumId w:val="23"/>
  </w:num>
  <w:num w:numId="34" w16cid:durableId="659232564">
    <w:abstractNumId w:val="23"/>
    <w:lvlOverride w:ilvl="0">
      <w:startOverride w:val="1"/>
    </w:lvlOverride>
  </w:num>
  <w:num w:numId="35" w16cid:durableId="49236636">
    <w:abstractNumId w:val="39"/>
  </w:num>
  <w:num w:numId="36" w16cid:durableId="618224985">
    <w:abstractNumId w:val="34"/>
  </w:num>
  <w:num w:numId="37" w16cid:durableId="564730522">
    <w:abstractNumId w:val="12"/>
  </w:num>
  <w:num w:numId="38" w16cid:durableId="1541362122">
    <w:abstractNumId w:val="13"/>
  </w:num>
  <w:num w:numId="39" w16cid:durableId="976687067">
    <w:abstractNumId w:val="22"/>
  </w:num>
  <w:num w:numId="40" w16cid:durableId="1961959707">
    <w:abstractNumId w:val="31"/>
  </w:num>
  <w:num w:numId="41" w16cid:durableId="431318354">
    <w:abstractNumId w:val="36"/>
  </w:num>
  <w:num w:numId="42" w16cid:durableId="112427815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doNotUseMarginsForDrawingGridOrigin/>
  <w:drawingGridHorizontalOrigin w:val="851"/>
  <w:drawingGridVerticalOrigin w:val="21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992"/>
    <w:rsid w:val="0000006C"/>
    <w:rsid w:val="0000162D"/>
    <w:rsid w:val="000037C4"/>
    <w:rsid w:val="000061B5"/>
    <w:rsid w:val="00006F72"/>
    <w:rsid w:val="000139FA"/>
    <w:rsid w:val="000144DA"/>
    <w:rsid w:val="00033B7B"/>
    <w:rsid w:val="00037088"/>
    <w:rsid w:val="00042940"/>
    <w:rsid w:val="00042D61"/>
    <w:rsid w:val="000455B0"/>
    <w:rsid w:val="00047FD5"/>
    <w:rsid w:val="00052907"/>
    <w:rsid w:val="000559E8"/>
    <w:rsid w:val="00057B04"/>
    <w:rsid w:val="00063D1F"/>
    <w:rsid w:val="0006674C"/>
    <w:rsid w:val="00074BE6"/>
    <w:rsid w:val="00076652"/>
    <w:rsid w:val="000774B7"/>
    <w:rsid w:val="000809C7"/>
    <w:rsid w:val="000813F7"/>
    <w:rsid w:val="000820C3"/>
    <w:rsid w:val="00083478"/>
    <w:rsid w:val="000846A6"/>
    <w:rsid w:val="000937A3"/>
    <w:rsid w:val="00096EE0"/>
    <w:rsid w:val="000A24CF"/>
    <w:rsid w:val="000A5E4D"/>
    <w:rsid w:val="000A7027"/>
    <w:rsid w:val="000C3D21"/>
    <w:rsid w:val="000C6B22"/>
    <w:rsid w:val="000D35E6"/>
    <w:rsid w:val="000D7F87"/>
    <w:rsid w:val="000E04FD"/>
    <w:rsid w:val="000F04CA"/>
    <w:rsid w:val="000F2593"/>
    <w:rsid w:val="000F2A60"/>
    <w:rsid w:val="000F2ABD"/>
    <w:rsid w:val="00103DC8"/>
    <w:rsid w:val="0011563B"/>
    <w:rsid w:val="00115C5F"/>
    <w:rsid w:val="00116429"/>
    <w:rsid w:val="00117EA7"/>
    <w:rsid w:val="001207F7"/>
    <w:rsid w:val="001216FE"/>
    <w:rsid w:val="00127A22"/>
    <w:rsid w:val="00130506"/>
    <w:rsid w:val="0013139D"/>
    <w:rsid w:val="00137A83"/>
    <w:rsid w:val="00142E2F"/>
    <w:rsid w:val="00142F4F"/>
    <w:rsid w:val="0015005C"/>
    <w:rsid w:val="00160C26"/>
    <w:rsid w:val="001632F9"/>
    <w:rsid w:val="00163E99"/>
    <w:rsid w:val="0016461D"/>
    <w:rsid w:val="001703C1"/>
    <w:rsid w:val="00171ED2"/>
    <w:rsid w:val="00177E66"/>
    <w:rsid w:val="00183173"/>
    <w:rsid w:val="001855A2"/>
    <w:rsid w:val="0018696F"/>
    <w:rsid w:val="00192008"/>
    <w:rsid w:val="0019269F"/>
    <w:rsid w:val="0019300F"/>
    <w:rsid w:val="001940E4"/>
    <w:rsid w:val="001A30B3"/>
    <w:rsid w:val="001A4171"/>
    <w:rsid w:val="001A4D48"/>
    <w:rsid w:val="001A5F31"/>
    <w:rsid w:val="001A735F"/>
    <w:rsid w:val="001B5A0A"/>
    <w:rsid w:val="001B5F3B"/>
    <w:rsid w:val="001C43DE"/>
    <w:rsid w:val="001C5337"/>
    <w:rsid w:val="001D1BA8"/>
    <w:rsid w:val="001D5458"/>
    <w:rsid w:val="001E297A"/>
    <w:rsid w:val="001E7E02"/>
    <w:rsid w:val="001F36EB"/>
    <w:rsid w:val="001F3EAC"/>
    <w:rsid w:val="001F5417"/>
    <w:rsid w:val="002025AB"/>
    <w:rsid w:val="002042A4"/>
    <w:rsid w:val="00211356"/>
    <w:rsid w:val="00234B02"/>
    <w:rsid w:val="00235062"/>
    <w:rsid w:val="00244469"/>
    <w:rsid w:val="002503C7"/>
    <w:rsid w:val="00250E1E"/>
    <w:rsid w:val="0025714E"/>
    <w:rsid w:val="00260650"/>
    <w:rsid w:val="00261AC0"/>
    <w:rsid w:val="00267883"/>
    <w:rsid w:val="002738AC"/>
    <w:rsid w:val="00274FCE"/>
    <w:rsid w:val="00275C3F"/>
    <w:rsid w:val="002769FB"/>
    <w:rsid w:val="00282D9F"/>
    <w:rsid w:val="002906F6"/>
    <w:rsid w:val="00293578"/>
    <w:rsid w:val="00297118"/>
    <w:rsid w:val="002A021B"/>
    <w:rsid w:val="002B00F0"/>
    <w:rsid w:val="002B063D"/>
    <w:rsid w:val="002B2FA7"/>
    <w:rsid w:val="002B5DC7"/>
    <w:rsid w:val="002B696A"/>
    <w:rsid w:val="002C0131"/>
    <w:rsid w:val="002C313E"/>
    <w:rsid w:val="002C6B22"/>
    <w:rsid w:val="002C6DA4"/>
    <w:rsid w:val="002C7286"/>
    <w:rsid w:val="002D0419"/>
    <w:rsid w:val="002D162F"/>
    <w:rsid w:val="002D37FF"/>
    <w:rsid w:val="002D4251"/>
    <w:rsid w:val="002D4E91"/>
    <w:rsid w:val="002D7DF7"/>
    <w:rsid w:val="002E749B"/>
    <w:rsid w:val="002F11E4"/>
    <w:rsid w:val="00301D80"/>
    <w:rsid w:val="00301F6A"/>
    <w:rsid w:val="00304B81"/>
    <w:rsid w:val="00306182"/>
    <w:rsid w:val="00316367"/>
    <w:rsid w:val="00317F53"/>
    <w:rsid w:val="003205F7"/>
    <w:rsid w:val="0033072A"/>
    <w:rsid w:val="003314EB"/>
    <w:rsid w:val="00332581"/>
    <w:rsid w:val="00332D70"/>
    <w:rsid w:val="00336846"/>
    <w:rsid w:val="00342D50"/>
    <w:rsid w:val="0034673A"/>
    <w:rsid w:val="00355A1A"/>
    <w:rsid w:val="00361A30"/>
    <w:rsid w:val="0036714E"/>
    <w:rsid w:val="003734BB"/>
    <w:rsid w:val="003824C6"/>
    <w:rsid w:val="00395743"/>
    <w:rsid w:val="00396563"/>
    <w:rsid w:val="003977AC"/>
    <w:rsid w:val="003A2C52"/>
    <w:rsid w:val="003A3765"/>
    <w:rsid w:val="003B07DF"/>
    <w:rsid w:val="003B2899"/>
    <w:rsid w:val="003B74F8"/>
    <w:rsid w:val="003C7B07"/>
    <w:rsid w:val="003D2396"/>
    <w:rsid w:val="003E6B2E"/>
    <w:rsid w:val="003E7538"/>
    <w:rsid w:val="003F0577"/>
    <w:rsid w:val="00400433"/>
    <w:rsid w:val="00404579"/>
    <w:rsid w:val="00404F18"/>
    <w:rsid w:val="00413D3F"/>
    <w:rsid w:val="00414499"/>
    <w:rsid w:val="004152F3"/>
    <w:rsid w:val="0041555A"/>
    <w:rsid w:val="004205D7"/>
    <w:rsid w:val="00422B0A"/>
    <w:rsid w:val="0042782F"/>
    <w:rsid w:val="004309E9"/>
    <w:rsid w:val="00430CF0"/>
    <w:rsid w:val="00432D48"/>
    <w:rsid w:val="00433461"/>
    <w:rsid w:val="004377F2"/>
    <w:rsid w:val="00442BA4"/>
    <w:rsid w:val="004445D9"/>
    <w:rsid w:val="00445543"/>
    <w:rsid w:val="0044575E"/>
    <w:rsid w:val="00445A4F"/>
    <w:rsid w:val="004465A1"/>
    <w:rsid w:val="00454815"/>
    <w:rsid w:val="00455E6B"/>
    <w:rsid w:val="00463FAF"/>
    <w:rsid w:val="00463FB4"/>
    <w:rsid w:val="0047430B"/>
    <w:rsid w:val="00484F52"/>
    <w:rsid w:val="004856F4"/>
    <w:rsid w:val="004915BA"/>
    <w:rsid w:val="00493642"/>
    <w:rsid w:val="004A0E46"/>
    <w:rsid w:val="004A1089"/>
    <w:rsid w:val="004A1665"/>
    <w:rsid w:val="004A5ACB"/>
    <w:rsid w:val="004A5FFD"/>
    <w:rsid w:val="004A7CFA"/>
    <w:rsid w:val="004A7D13"/>
    <w:rsid w:val="004B55E6"/>
    <w:rsid w:val="004B58E9"/>
    <w:rsid w:val="004D5BBD"/>
    <w:rsid w:val="004E06B1"/>
    <w:rsid w:val="004E3F78"/>
    <w:rsid w:val="004E4757"/>
    <w:rsid w:val="004F03CF"/>
    <w:rsid w:val="004F100F"/>
    <w:rsid w:val="004F17A9"/>
    <w:rsid w:val="004F1E57"/>
    <w:rsid w:val="004F6279"/>
    <w:rsid w:val="004F7876"/>
    <w:rsid w:val="00500A5D"/>
    <w:rsid w:val="00502837"/>
    <w:rsid w:val="00502FD3"/>
    <w:rsid w:val="00522178"/>
    <w:rsid w:val="00525599"/>
    <w:rsid w:val="005329BD"/>
    <w:rsid w:val="00533A8D"/>
    <w:rsid w:val="0054016F"/>
    <w:rsid w:val="00550AD1"/>
    <w:rsid w:val="0055347C"/>
    <w:rsid w:val="005546CC"/>
    <w:rsid w:val="00554DA0"/>
    <w:rsid w:val="005567FA"/>
    <w:rsid w:val="00557B91"/>
    <w:rsid w:val="00564519"/>
    <w:rsid w:val="00570A4A"/>
    <w:rsid w:val="0057334A"/>
    <w:rsid w:val="00573DEB"/>
    <w:rsid w:val="00577F5D"/>
    <w:rsid w:val="00580094"/>
    <w:rsid w:val="005800CD"/>
    <w:rsid w:val="005814BF"/>
    <w:rsid w:val="005826F2"/>
    <w:rsid w:val="0058623E"/>
    <w:rsid w:val="005917EF"/>
    <w:rsid w:val="00593A4C"/>
    <w:rsid w:val="005A098B"/>
    <w:rsid w:val="005B0857"/>
    <w:rsid w:val="005B0C99"/>
    <w:rsid w:val="005B39C1"/>
    <w:rsid w:val="005B3BC0"/>
    <w:rsid w:val="005C11BD"/>
    <w:rsid w:val="005C32D8"/>
    <w:rsid w:val="005C5AD7"/>
    <w:rsid w:val="005C7509"/>
    <w:rsid w:val="005D0612"/>
    <w:rsid w:val="005D3E2B"/>
    <w:rsid w:val="005D5005"/>
    <w:rsid w:val="005D786D"/>
    <w:rsid w:val="005E2636"/>
    <w:rsid w:val="005F2727"/>
    <w:rsid w:val="005F5FC2"/>
    <w:rsid w:val="006032B1"/>
    <w:rsid w:val="0060542C"/>
    <w:rsid w:val="006060ED"/>
    <w:rsid w:val="0060761D"/>
    <w:rsid w:val="006125B8"/>
    <w:rsid w:val="00613601"/>
    <w:rsid w:val="00613D33"/>
    <w:rsid w:val="00616811"/>
    <w:rsid w:val="006277F0"/>
    <w:rsid w:val="006302A7"/>
    <w:rsid w:val="00631761"/>
    <w:rsid w:val="0063643E"/>
    <w:rsid w:val="006402FB"/>
    <w:rsid w:val="00643D90"/>
    <w:rsid w:val="00651633"/>
    <w:rsid w:val="00651922"/>
    <w:rsid w:val="00651A21"/>
    <w:rsid w:val="00654726"/>
    <w:rsid w:val="006555B7"/>
    <w:rsid w:val="0065731E"/>
    <w:rsid w:val="00674C9E"/>
    <w:rsid w:val="0067583E"/>
    <w:rsid w:val="00675CA7"/>
    <w:rsid w:val="0069150D"/>
    <w:rsid w:val="0069235D"/>
    <w:rsid w:val="00692F42"/>
    <w:rsid w:val="0069688F"/>
    <w:rsid w:val="006A25CD"/>
    <w:rsid w:val="006A57E1"/>
    <w:rsid w:val="006A7D87"/>
    <w:rsid w:val="006A7E43"/>
    <w:rsid w:val="006B5686"/>
    <w:rsid w:val="006C56D4"/>
    <w:rsid w:val="006D0DB1"/>
    <w:rsid w:val="006D1E8D"/>
    <w:rsid w:val="006D3B9D"/>
    <w:rsid w:val="006D6338"/>
    <w:rsid w:val="006E059D"/>
    <w:rsid w:val="006E0B3D"/>
    <w:rsid w:val="006E6B87"/>
    <w:rsid w:val="006F1FC8"/>
    <w:rsid w:val="006F2F42"/>
    <w:rsid w:val="006F4808"/>
    <w:rsid w:val="00700AA6"/>
    <w:rsid w:val="00700BB7"/>
    <w:rsid w:val="0070347C"/>
    <w:rsid w:val="00703A7B"/>
    <w:rsid w:val="00706AA8"/>
    <w:rsid w:val="00711029"/>
    <w:rsid w:val="00711A06"/>
    <w:rsid w:val="00717714"/>
    <w:rsid w:val="00717D79"/>
    <w:rsid w:val="00721281"/>
    <w:rsid w:val="0072322F"/>
    <w:rsid w:val="00724B0F"/>
    <w:rsid w:val="00725312"/>
    <w:rsid w:val="00733CCE"/>
    <w:rsid w:val="00737ABE"/>
    <w:rsid w:val="00743992"/>
    <w:rsid w:val="00744CD3"/>
    <w:rsid w:val="0074572C"/>
    <w:rsid w:val="007569C9"/>
    <w:rsid w:val="007575C6"/>
    <w:rsid w:val="007812BB"/>
    <w:rsid w:val="007818ED"/>
    <w:rsid w:val="00781E20"/>
    <w:rsid w:val="007841E3"/>
    <w:rsid w:val="007956F0"/>
    <w:rsid w:val="00796BA1"/>
    <w:rsid w:val="0079792B"/>
    <w:rsid w:val="007A1640"/>
    <w:rsid w:val="007A2BE1"/>
    <w:rsid w:val="007B2F4E"/>
    <w:rsid w:val="007B63CB"/>
    <w:rsid w:val="007B6E7D"/>
    <w:rsid w:val="007B730D"/>
    <w:rsid w:val="007C0E3A"/>
    <w:rsid w:val="007C1A59"/>
    <w:rsid w:val="007C291C"/>
    <w:rsid w:val="007C2F8D"/>
    <w:rsid w:val="007C741D"/>
    <w:rsid w:val="007D1A82"/>
    <w:rsid w:val="007D374F"/>
    <w:rsid w:val="007D6574"/>
    <w:rsid w:val="007E257E"/>
    <w:rsid w:val="007E5057"/>
    <w:rsid w:val="007E539B"/>
    <w:rsid w:val="007F0F2D"/>
    <w:rsid w:val="007F5146"/>
    <w:rsid w:val="007F53A8"/>
    <w:rsid w:val="008017A3"/>
    <w:rsid w:val="008025D7"/>
    <w:rsid w:val="0080590D"/>
    <w:rsid w:val="00811EC0"/>
    <w:rsid w:val="008141BC"/>
    <w:rsid w:val="00817AFC"/>
    <w:rsid w:val="0082443A"/>
    <w:rsid w:val="0083057E"/>
    <w:rsid w:val="008339BD"/>
    <w:rsid w:val="0084023C"/>
    <w:rsid w:val="008437BF"/>
    <w:rsid w:val="00846A2E"/>
    <w:rsid w:val="008562A2"/>
    <w:rsid w:val="0085748D"/>
    <w:rsid w:val="0086001B"/>
    <w:rsid w:val="008670D0"/>
    <w:rsid w:val="008712D6"/>
    <w:rsid w:val="0087189D"/>
    <w:rsid w:val="0087194B"/>
    <w:rsid w:val="00871FCA"/>
    <w:rsid w:val="00874D9A"/>
    <w:rsid w:val="0087762F"/>
    <w:rsid w:val="00885968"/>
    <w:rsid w:val="00887115"/>
    <w:rsid w:val="00891E28"/>
    <w:rsid w:val="00894C3E"/>
    <w:rsid w:val="008953CC"/>
    <w:rsid w:val="00897161"/>
    <w:rsid w:val="008A51C7"/>
    <w:rsid w:val="008A6FE1"/>
    <w:rsid w:val="008B1282"/>
    <w:rsid w:val="008B1E83"/>
    <w:rsid w:val="008B3992"/>
    <w:rsid w:val="008B7C68"/>
    <w:rsid w:val="008C3A72"/>
    <w:rsid w:val="008C5BA6"/>
    <w:rsid w:val="008C68D9"/>
    <w:rsid w:val="008C79F2"/>
    <w:rsid w:val="008D00EC"/>
    <w:rsid w:val="008D3E6C"/>
    <w:rsid w:val="008D42CC"/>
    <w:rsid w:val="008D603A"/>
    <w:rsid w:val="008D74C8"/>
    <w:rsid w:val="008E527B"/>
    <w:rsid w:val="008E6381"/>
    <w:rsid w:val="008E641F"/>
    <w:rsid w:val="008E7789"/>
    <w:rsid w:val="008F3BDF"/>
    <w:rsid w:val="00910796"/>
    <w:rsid w:val="00914043"/>
    <w:rsid w:val="00920CD5"/>
    <w:rsid w:val="0092190E"/>
    <w:rsid w:val="00922D6A"/>
    <w:rsid w:val="00931AC1"/>
    <w:rsid w:val="0093717D"/>
    <w:rsid w:val="0095123A"/>
    <w:rsid w:val="009532BE"/>
    <w:rsid w:val="00956875"/>
    <w:rsid w:val="00961CBD"/>
    <w:rsid w:val="0096241F"/>
    <w:rsid w:val="0096390E"/>
    <w:rsid w:val="00965FFF"/>
    <w:rsid w:val="0097180D"/>
    <w:rsid w:val="00971A7E"/>
    <w:rsid w:val="0097728D"/>
    <w:rsid w:val="00987401"/>
    <w:rsid w:val="00990890"/>
    <w:rsid w:val="009947B0"/>
    <w:rsid w:val="00995120"/>
    <w:rsid w:val="009A0A14"/>
    <w:rsid w:val="009A5C7C"/>
    <w:rsid w:val="009A5F93"/>
    <w:rsid w:val="009A71D7"/>
    <w:rsid w:val="009B1173"/>
    <w:rsid w:val="009C1E02"/>
    <w:rsid w:val="009C6D80"/>
    <w:rsid w:val="009C6DF7"/>
    <w:rsid w:val="009D0BC1"/>
    <w:rsid w:val="009D5278"/>
    <w:rsid w:val="009D6728"/>
    <w:rsid w:val="009D6D34"/>
    <w:rsid w:val="009D7E5F"/>
    <w:rsid w:val="009E4318"/>
    <w:rsid w:val="009E525B"/>
    <w:rsid w:val="009E6613"/>
    <w:rsid w:val="009F1532"/>
    <w:rsid w:val="00A008DE"/>
    <w:rsid w:val="00A04274"/>
    <w:rsid w:val="00A1280C"/>
    <w:rsid w:val="00A2203C"/>
    <w:rsid w:val="00A2384B"/>
    <w:rsid w:val="00A243C0"/>
    <w:rsid w:val="00A25C0A"/>
    <w:rsid w:val="00A30319"/>
    <w:rsid w:val="00A30F6C"/>
    <w:rsid w:val="00A359A8"/>
    <w:rsid w:val="00A373C0"/>
    <w:rsid w:val="00A4078D"/>
    <w:rsid w:val="00A43C7C"/>
    <w:rsid w:val="00A459F6"/>
    <w:rsid w:val="00A46B93"/>
    <w:rsid w:val="00A51269"/>
    <w:rsid w:val="00A5345C"/>
    <w:rsid w:val="00A548D1"/>
    <w:rsid w:val="00A54F4C"/>
    <w:rsid w:val="00A562DB"/>
    <w:rsid w:val="00A61FCB"/>
    <w:rsid w:val="00A638E8"/>
    <w:rsid w:val="00A63A52"/>
    <w:rsid w:val="00A67A73"/>
    <w:rsid w:val="00A7432F"/>
    <w:rsid w:val="00A74D5A"/>
    <w:rsid w:val="00A75F82"/>
    <w:rsid w:val="00A764A3"/>
    <w:rsid w:val="00A81230"/>
    <w:rsid w:val="00A863B7"/>
    <w:rsid w:val="00A97220"/>
    <w:rsid w:val="00AA2B61"/>
    <w:rsid w:val="00AB0B3B"/>
    <w:rsid w:val="00AB1D16"/>
    <w:rsid w:val="00AB50EA"/>
    <w:rsid w:val="00AC5497"/>
    <w:rsid w:val="00AC5563"/>
    <w:rsid w:val="00AC5ACC"/>
    <w:rsid w:val="00AC7818"/>
    <w:rsid w:val="00AD0821"/>
    <w:rsid w:val="00AD4F27"/>
    <w:rsid w:val="00AD524A"/>
    <w:rsid w:val="00AD66D1"/>
    <w:rsid w:val="00AE05B2"/>
    <w:rsid w:val="00AE1139"/>
    <w:rsid w:val="00AE506B"/>
    <w:rsid w:val="00AE5C60"/>
    <w:rsid w:val="00AF4AF0"/>
    <w:rsid w:val="00AF7D62"/>
    <w:rsid w:val="00B01BA2"/>
    <w:rsid w:val="00B028FF"/>
    <w:rsid w:val="00B02BB5"/>
    <w:rsid w:val="00B114A8"/>
    <w:rsid w:val="00B13928"/>
    <w:rsid w:val="00B21E87"/>
    <w:rsid w:val="00B23FD9"/>
    <w:rsid w:val="00B244B7"/>
    <w:rsid w:val="00B30B9B"/>
    <w:rsid w:val="00B33F00"/>
    <w:rsid w:val="00B34930"/>
    <w:rsid w:val="00B41BCF"/>
    <w:rsid w:val="00B443BA"/>
    <w:rsid w:val="00B44567"/>
    <w:rsid w:val="00B4509A"/>
    <w:rsid w:val="00B552AD"/>
    <w:rsid w:val="00B55CBE"/>
    <w:rsid w:val="00B55EA3"/>
    <w:rsid w:val="00B57474"/>
    <w:rsid w:val="00B650A8"/>
    <w:rsid w:val="00B66C7F"/>
    <w:rsid w:val="00B7175C"/>
    <w:rsid w:val="00B763E5"/>
    <w:rsid w:val="00B80C4A"/>
    <w:rsid w:val="00B8139E"/>
    <w:rsid w:val="00B820A1"/>
    <w:rsid w:val="00B86944"/>
    <w:rsid w:val="00B91A7C"/>
    <w:rsid w:val="00B955BC"/>
    <w:rsid w:val="00BA0960"/>
    <w:rsid w:val="00BA1D86"/>
    <w:rsid w:val="00BA6A04"/>
    <w:rsid w:val="00BA6BBF"/>
    <w:rsid w:val="00BC0B4B"/>
    <w:rsid w:val="00BC168B"/>
    <w:rsid w:val="00BD0D2C"/>
    <w:rsid w:val="00BD2962"/>
    <w:rsid w:val="00BD4597"/>
    <w:rsid w:val="00BD5630"/>
    <w:rsid w:val="00BE5299"/>
    <w:rsid w:val="00BE5CB5"/>
    <w:rsid w:val="00BE5FCD"/>
    <w:rsid w:val="00BE7ECD"/>
    <w:rsid w:val="00BF0E7E"/>
    <w:rsid w:val="00BF1557"/>
    <w:rsid w:val="00BF5ECC"/>
    <w:rsid w:val="00C0728B"/>
    <w:rsid w:val="00C07305"/>
    <w:rsid w:val="00C07A6D"/>
    <w:rsid w:val="00C11B4C"/>
    <w:rsid w:val="00C141FD"/>
    <w:rsid w:val="00C16578"/>
    <w:rsid w:val="00C17FE3"/>
    <w:rsid w:val="00C22EE5"/>
    <w:rsid w:val="00C269CC"/>
    <w:rsid w:val="00C2752B"/>
    <w:rsid w:val="00C34136"/>
    <w:rsid w:val="00C3425D"/>
    <w:rsid w:val="00C352E3"/>
    <w:rsid w:val="00C35481"/>
    <w:rsid w:val="00C360B5"/>
    <w:rsid w:val="00C42C3D"/>
    <w:rsid w:val="00C4560E"/>
    <w:rsid w:val="00C46048"/>
    <w:rsid w:val="00C475BC"/>
    <w:rsid w:val="00C5048F"/>
    <w:rsid w:val="00C56952"/>
    <w:rsid w:val="00C600B2"/>
    <w:rsid w:val="00C606A4"/>
    <w:rsid w:val="00C608C6"/>
    <w:rsid w:val="00C62D22"/>
    <w:rsid w:val="00C70D2C"/>
    <w:rsid w:val="00C73D79"/>
    <w:rsid w:val="00C766A0"/>
    <w:rsid w:val="00C8158C"/>
    <w:rsid w:val="00C90CAA"/>
    <w:rsid w:val="00C96F62"/>
    <w:rsid w:val="00CA051E"/>
    <w:rsid w:val="00CB0536"/>
    <w:rsid w:val="00CB0634"/>
    <w:rsid w:val="00CB3850"/>
    <w:rsid w:val="00CB53AA"/>
    <w:rsid w:val="00CC0038"/>
    <w:rsid w:val="00CD58F7"/>
    <w:rsid w:val="00CE453B"/>
    <w:rsid w:val="00CE585A"/>
    <w:rsid w:val="00CE77E6"/>
    <w:rsid w:val="00CF4480"/>
    <w:rsid w:val="00D0407F"/>
    <w:rsid w:val="00D06041"/>
    <w:rsid w:val="00D0734D"/>
    <w:rsid w:val="00D24B01"/>
    <w:rsid w:val="00D3248A"/>
    <w:rsid w:val="00D3639C"/>
    <w:rsid w:val="00D36DDF"/>
    <w:rsid w:val="00D36EF6"/>
    <w:rsid w:val="00D41209"/>
    <w:rsid w:val="00D412FA"/>
    <w:rsid w:val="00D45180"/>
    <w:rsid w:val="00D5189C"/>
    <w:rsid w:val="00D52602"/>
    <w:rsid w:val="00D55CD1"/>
    <w:rsid w:val="00D61C35"/>
    <w:rsid w:val="00D64E6F"/>
    <w:rsid w:val="00D6676F"/>
    <w:rsid w:val="00D70BD6"/>
    <w:rsid w:val="00D72EEB"/>
    <w:rsid w:val="00D76528"/>
    <w:rsid w:val="00D824A6"/>
    <w:rsid w:val="00D87F82"/>
    <w:rsid w:val="00D93E81"/>
    <w:rsid w:val="00DA1C82"/>
    <w:rsid w:val="00DA5852"/>
    <w:rsid w:val="00DB0812"/>
    <w:rsid w:val="00DB1E36"/>
    <w:rsid w:val="00DB3BAA"/>
    <w:rsid w:val="00DB58D5"/>
    <w:rsid w:val="00DB6560"/>
    <w:rsid w:val="00DB6830"/>
    <w:rsid w:val="00DC38D2"/>
    <w:rsid w:val="00DD2D5F"/>
    <w:rsid w:val="00DD2FB7"/>
    <w:rsid w:val="00DD4818"/>
    <w:rsid w:val="00DD55FB"/>
    <w:rsid w:val="00DE5828"/>
    <w:rsid w:val="00DE5ACD"/>
    <w:rsid w:val="00DE5F1D"/>
    <w:rsid w:val="00DF34F4"/>
    <w:rsid w:val="00DF5363"/>
    <w:rsid w:val="00DF688D"/>
    <w:rsid w:val="00E02936"/>
    <w:rsid w:val="00E0476E"/>
    <w:rsid w:val="00E107E9"/>
    <w:rsid w:val="00E12B5D"/>
    <w:rsid w:val="00E155F3"/>
    <w:rsid w:val="00E15BE4"/>
    <w:rsid w:val="00E16CD9"/>
    <w:rsid w:val="00E22C80"/>
    <w:rsid w:val="00E265FF"/>
    <w:rsid w:val="00E26E28"/>
    <w:rsid w:val="00E31DA9"/>
    <w:rsid w:val="00E36FF2"/>
    <w:rsid w:val="00E44E0D"/>
    <w:rsid w:val="00E45B31"/>
    <w:rsid w:val="00E46115"/>
    <w:rsid w:val="00E55170"/>
    <w:rsid w:val="00E70C5A"/>
    <w:rsid w:val="00E743A2"/>
    <w:rsid w:val="00E77174"/>
    <w:rsid w:val="00E83781"/>
    <w:rsid w:val="00E83D48"/>
    <w:rsid w:val="00E87A52"/>
    <w:rsid w:val="00E93B0A"/>
    <w:rsid w:val="00E9644F"/>
    <w:rsid w:val="00E9760B"/>
    <w:rsid w:val="00EA02FB"/>
    <w:rsid w:val="00EA2B06"/>
    <w:rsid w:val="00EA712C"/>
    <w:rsid w:val="00EB03AF"/>
    <w:rsid w:val="00EB16E8"/>
    <w:rsid w:val="00EB4162"/>
    <w:rsid w:val="00EB670D"/>
    <w:rsid w:val="00EC096D"/>
    <w:rsid w:val="00ED17C8"/>
    <w:rsid w:val="00ED3F80"/>
    <w:rsid w:val="00ED4BF9"/>
    <w:rsid w:val="00ED604B"/>
    <w:rsid w:val="00EE0543"/>
    <w:rsid w:val="00EE2C24"/>
    <w:rsid w:val="00EE360D"/>
    <w:rsid w:val="00EE6E18"/>
    <w:rsid w:val="00EF1102"/>
    <w:rsid w:val="00F0570D"/>
    <w:rsid w:val="00F115A0"/>
    <w:rsid w:val="00F23327"/>
    <w:rsid w:val="00F25C80"/>
    <w:rsid w:val="00F31A3B"/>
    <w:rsid w:val="00F321B1"/>
    <w:rsid w:val="00F33A75"/>
    <w:rsid w:val="00F349DD"/>
    <w:rsid w:val="00F3580F"/>
    <w:rsid w:val="00F4270C"/>
    <w:rsid w:val="00F44FF8"/>
    <w:rsid w:val="00F45532"/>
    <w:rsid w:val="00F459BF"/>
    <w:rsid w:val="00F47B7E"/>
    <w:rsid w:val="00F519BF"/>
    <w:rsid w:val="00F603C9"/>
    <w:rsid w:val="00F610E7"/>
    <w:rsid w:val="00F64222"/>
    <w:rsid w:val="00F66AC9"/>
    <w:rsid w:val="00F7332D"/>
    <w:rsid w:val="00F801E4"/>
    <w:rsid w:val="00F816EE"/>
    <w:rsid w:val="00F96B0A"/>
    <w:rsid w:val="00FA7239"/>
    <w:rsid w:val="00FB189A"/>
    <w:rsid w:val="00FB201E"/>
    <w:rsid w:val="00FB2D95"/>
    <w:rsid w:val="00FC2772"/>
    <w:rsid w:val="00FC3B41"/>
    <w:rsid w:val="00FD556B"/>
    <w:rsid w:val="00FD5C57"/>
    <w:rsid w:val="00FE2F7B"/>
    <w:rsid w:val="00FE3D4A"/>
    <w:rsid w:val="00FE6166"/>
    <w:rsid w:val="00FE7AC6"/>
    <w:rsid w:val="00FF433A"/>
    <w:rsid w:val="00FF52AC"/>
    <w:rsid w:val="7FE5A0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2B8A"/>
  <w15:chartTrackingRefBased/>
  <w15:docId w15:val="{C96A6117-AAF5-4888-BB5A-A0AB27599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link w:val="Titre1Car"/>
    <w:uiPriority w:val="9"/>
    <w:rsid w:val="0011563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C766A0"/>
    <w:rPr>
      <w:sz w:val="20"/>
      <w:szCs w:val="20"/>
    </w:rPr>
  </w:style>
  <w:style w:type="character" w:customStyle="1" w:styleId="NotedefinCar">
    <w:name w:val="Note de fin Car"/>
    <w:basedOn w:val="Policepardfaut"/>
    <w:link w:val="Notedefin"/>
    <w:uiPriority w:val="99"/>
    <w:semiHidden/>
    <w:rsid w:val="00C766A0"/>
    <w:rPr>
      <w:sz w:val="20"/>
      <w:szCs w:val="20"/>
    </w:rPr>
  </w:style>
  <w:style w:type="character" w:styleId="Appeldenotedefin">
    <w:name w:val="endnote reference"/>
    <w:basedOn w:val="Policepardfaut"/>
    <w:uiPriority w:val="99"/>
    <w:semiHidden/>
    <w:unhideWhenUsed/>
    <w:rsid w:val="00C766A0"/>
    <w:rPr>
      <w:vertAlign w:val="superscript"/>
    </w:rPr>
  </w:style>
  <w:style w:type="paragraph" w:customStyle="1" w:styleId="FATITRE">
    <w:name w:val="FA TITRE"/>
    <w:basedOn w:val="Normal"/>
    <w:qFormat/>
    <w:rsid w:val="002D0419"/>
    <w:pPr>
      <w:autoSpaceDE w:val="0"/>
      <w:autoSpaceDN w:val="0"/>
      <w:adjustRightInd w:val="0"/>
      <w:ind w:left="1985"/>
      <w:jc w:val="right"/>
    </w:pPr>
    <w:rPr>
      <w:rFonts w:ascii="Garamond" w:hAnsi="Garamond" w:cs="Times New Roman"/>
      <w:b/>
      <w:bCs/>
      <w:color w:val="C80F19"/>
      <w:sz w:val="26"/>
      <w:lang w:val="en-US"/>
    </w:rPr>
  </w:style>
  <w:style w:type="character" w:styleId="Numrodepage">
    <w:name w:val="page number"/>
    <w:basedOn w:val="Policepardfaut"/>
    <w:uiPriority w:val="99"/>
    <w:semiHidden/>
    <w:unhideWhenUsed/>
    <w:rsid w:val="009D6D34"/>
  </w:style>
  <w:style w:type="table" w:styleId="Grilledutableau">
    <w:name w:val="Table Grid"/>
    <w:basedOn w:val="TableauNormal"/>
    <w:uiPriority w:val="39"/>
    <w:rsid w:val="00A40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TEXTECOURANT">
    <w:name w:val="DATE TEXTE COURANT"/>
    <w:basedOn w:val="Normal"/>
    <w:qFormat/>
    <w:rsid w:val="00430CF0"/>
    <w:pPr>
      <w:autoSpaceDE w:val="0"/>
      <w:autoSpaceDN w:val="0"/>
      <w:adjustRightInd w:val="0"/>
      <w:spacing w:line="288" w:lineRule="auto"/>
      <w:ind w:right="-90"/>
      <w:jc w:val="right"/>
      <w:textAlignment w:val="center"/>
    </w:pPr>
    <w:rPr>
      <w:rFonts w:ascii="Garamond" w:hAnsi="Garamond" w:cs="Garamond"/>
      <w:i/>
      <w:iCs/>
      <w:color w:val="000000"/>
      <w:sz w:val="20"/>
      <w:szCs w:val="20"/>
    </w:rPr>
  </w:style>
  <w:style w:type="character" w:customStyle="1" w:styleId="INFOSENTETE">
    <w:name w:val="INFOS ENTETE"/>
    <w:basedOn w:val="Policepardfaut"/>
    <w:uiPriority w:val="1"/>
    <w:qFormat/>
    <w:rsid w:val="00430CF0"/>
    <w:rPr>
      <w:rFonts w:ascii="Montserrat" w:hAnsi="Montserrat" w:cs="Montserrat"/>
      <w:color w:val="000000"/>
      <w:sz w:val="14"/>
      <w:szCs w:val="14"/>
    </w:rPr>
  </w:style>
  <w:style w:type="paragraph" w:customStyle="1" w:styleId="LIEUDATE">
    <w:name w:val="LIEU/DATE"/>
    <w:basedOn w:val="Normal"/>
    <w:qFormat/>
    <w:rsid w:val="002D0419"/>
    <w:pPr>
      <w:autoSpaceDE w:val="0"/>
      <w:autoSpaceDN w:val="0"/>
      <w:adjustRightInd w:val="0"/>
      <w:spacing w:line="360" w:lineRule="auto"/>
      <w:textAlignment w:val="center"/>
    </w:pPr>
    <w:rPr>
      <w:rFonts w:ascii="Garamond" w:hAnsi="Garamond" w:cs="Montserrat"/>
      <w:color w:val="000000" w:themeColor="text1"/>
      <w:sz w:val="18"/>
      <w:szCs w:val="16"/>
    </w:rPr>
  </w:style>
  <w:style w:type="character" w:customStyle="1" w:styleId="OBJET">
    <w:name w:val="OBJET"/>
    <w:basedOn w:val="Policepardfaut"/>
    <w:uiPriority w:val="1"/>
    <w:qFormat/>
    <w:rsid w:val="002D0419"/>
    <w:rPr>
      <w:rFonts w:ascii="Garamond" w:hAnsi="Garamond" w:cs="Montserrat"/>
      <w:color w:val="000000"/>
      <w:sz w:val="18"/>
      <w:szCs w:val="15"/>
    </w:rPr>
  </w:style>
  <w:style w:type="character" w:customStyle="1" w:styleId="TEXTECOURANT">
    <w:name w:val="TEXTE COURANT"/>
    <w:basedOn w:val="Policepardfaut"/>
    <w:uiPriority w:val="1"/>
    <w:qFormat/>
    <w:rsid w:val="002E749B"/>
    <w:rPr>
      <w:rFonts w:ascii="Garamond" w:hAnsi="Garamond"/>
      <w:sz w:val="22"/>
      <w:szCs w:val="21"/>
    </w:rPr>
  </w:style>
  <w:style w:type="character" w:customStyle="1" w:styleId="TITRE10">
    <w:name w:val="TITRE 1"/>
    <w:basedOn w:val="Titre1Car"/>
    <w:uiPriority w:val="1"/>
    <w:qFormat/>
    <w:rsid w:val="00484F52"/>
    <w:rPr>
      <w:rFonts w:ascii="Garamond" w:eastAsia="Montserrat" w:hAnsi="Garamond" w:cs="Montserrat"/>
      <w:b/>
      <w:bCs/>
      <w:i w:val="0"/>
      <w:color w:val="C80F19"/>
      <w:sz w:val="26"/>
      <w:szCs w:val="26"/>
    </w:rPr>
  </w:style>
  <w:style w:type="paragraph" w:customStyle="1" w:styleId="TITRE2">
    <w:name w:val="TITRE 2"/>
    <w:basedOn w:val="FATITRE"/>
    <w:rsid w:val="008D00EC"/>
    <w:pPr>
      <w:ind w:left="0"/>
      <w:jc w:val="left"/>
    </w:pPr>
    <w:rPr>
      <w:color w:val="000000" w:themeColor="text1"/>
      <w:u w:val="single"/>
      <w:lang w:val="fr-FR"/>
    </w:rPr>
  </w:style>
  <w:style w:type="character" w:customStyle="1" w:styleId="Titre1Car">
    <w:name w:val="Titre 1 Car"/>
    <w:basedOn w:val="Policepardfaut"/>
    <w:link w:val="Titre1"/>
    <w:uiPriority w:val="9"/>
    <w:rsid w:val="0011563B"/>
    <w:rPr>
      <w:rFonts w:asciiTheme="majorHAnsi" w:eastAsiaTheme="majorEastAsia" w:hAnsiTheme="majorHAnsi" w:cstheme="majorBidi"/>
      <w:color w:val="2F5496" w:themeColor="accent1" w:themeShade="BF"/>
      <w:sz w:val="32"/>
      <w:szCs w:val="32"/>
    </w:rPr>
  </w:style>
  <w:style w:type="paragraph" w:customStyle="1" w:styleId="TEXTECOURANTNUMEROTATION">
    <w:name w:val="TEXTE COURANT NUMEROTATION"/>
    <w:autoRedefine/>
    <w:qFormat/>
    <w:rsid w:val="00A008DE"/>
    <w:pPr>
      <w:spacing w:before="120"/>
      <w:ind w:left="142"/>
      <w:jc w:val="both"/>
    </w:pPr>
    <w:rPr>
      <w:rFonts w:ascii="Garamond" w:hAnsi="Garamond" w:cs="Times New Roman"/>
      <w:bCs/>
      <w:color w:val="000000"/>
    </w:rPr>
  </w:style>
  <w:style w:type="character" w:customStyle="1" w:styleId="NOTEBASDEPAGE">
    <w:name w:val="NOTE BAS DE PAGE"/>
    <w:basedOn w:val="TEXTECOURANT"/>
    <w:uiPriority w:val="1"/>
    <w:qFormat/>
    <w:rsid w:val="007B730D"/>
    <w:rPr>
      <w:rFonts w:ascii="Garamond" w:hAnsi="Garamond"/>
      <w:sz w:val="16"/>
      <w:szCs w:val="16"/>
    </w:rPr>
  </w:style>
  <w:style w:type="paragraph" w:customStyle="1" w:styleId="TEXTECOURANTGRAS">
    <w:name w:val="TEXTE COURANT GRAS"/>
    <w:basedOn w:val="Normal"/>
    <w:rsid w:val="002E749B"/>
    <w:rPr>
      <w:rFonts w:ascii="Garamond" w:hAnsi="Garamond"/>
      <w:b/>
      <w:bCs/>
      <w:sz w:val="22"/>
    </w:rPr>
  </w:style>
  <w:style w:type="paragraph" w:customStyle="1" w:styleId="BULLETPOINTNIVEAU1">
    <w:name w:val="BULLET POINT / NIVEAU 1"/>
    <w:basedOn w:val="Normal"/>
    <w:autoRedefine/>
    <w:qFormat/>
    <w:rsid w:val="00A008DE"/>
    <w:pPr>
      <w:contextualSpacing/>
      <w:jc w:val="both"/>
    </w:pPr>
    <w:rPr>
      <w:rFonts w:ascii="Garamond" w:hAnsi="Garamond"/>
      <w:sz w:val="22"/>
      <w:szCs w:val="22"/>
      <w:lang w:val="en-US"/>
    </w:rPr>
  </w:style>
  <w:style w:type="paragraph" w:customStyle="1" w:styleId="BULLETPOINTNIVEAU2">
    <w:name w:val="BULLET POINT / NIVEAU 2"/>
    <w:basedOn w:val="Normal"/>
    <w:rsid w:val="005800CD"/>
    <w:pPr>
      <w:numPr>
        <w:ilvl w:val="3"/>
        <w:numId w:val="26"/>
      </w:numPr>
      <w:contextualSpacing/>
      <w:jc w:val="both"/>
    </w:pPr>
    <w:rPr>
      <w:rFonts w:ascii="Garamond" w:hAnsi="Garamond"/>
      <w:sz w:val="20"/>
      <w:szCs w:val="20"/>
    </w:rPr>
  </w:style>
  <w:style w:type="paragraph" w:styleId="Notedebasdepage">
    <w:name w:val="footnote text"/>
    <w:basedOn w:val="Normal"/>
    <w:link w:val="NotedebasdepageCar"/>
    <w:uiPriority w:val="99"/>
    <w:semiHidden/>
    <w:unhideWhenUsed/>
    <w:rsid w:val="00C16578"/>
    <w:rPr>
      <w:sz w:val="20"/>
      <w:szCs w:val="20"/>
    </w:rPr>
  </w:style>
  <w:style w:type="character" w:customStyle="1" w:styleId="NotedebasdepageCar">
    <w:name w:val="Note de bas de page Car"/>
    <w:basedOn w:val="Policepardfaut"/>
    <w:link w:val="Notedebasdepage"/>
    <w:uiPriority w:val="99"/>
    <w:semiHidden/>
    <w:rsid w:val="00C16578"/>
    <w:rPr>
      <w:sz w:val="20"/>
      <w:szCs w:val="20"/>
    </w:rPr>
  </w:style>
  <w:style w:type="character" w:styleId="Appelnotedebasdep">
    <w:name w:val="footnote reference"/>
    <w:basedOn w:val="Policepardfaut"/>
    <w:uiPriority w:val="99"/>
    <w:semiHidden/>
    <w:unhideWhenUsed/>
    <w:rsid w:val="00C16578"/>
    <w:rPr>
      <w:vertAlign w:val="superscript"/>
    </w:rPr>
  </w:style>
  <w:style w:type="paragraph" w:styleId="En-tte">
    <w:name w:val="header"/>
    <w:basedOn w:val="Normal"/>
    <w:link w:val="En-tteCar"/>
    <w:uiPriority w:val="99"/>
    <w:unhideWhenUsed/>
    <w:rsid w:val="002D0419"/>
    <w:pPr>
      <w:tabs>
        <w:tab w:val="center" w:pos="4536"/>
        <w:tab w:val="right" w:pos="9072"/>
      </w:tabs>
    </w:pPr>
  </w:style>
  <w:style w:type="character" w:customStyle="1" w:styleId="En-tteCar">
    <w:name w:val="En-tête Car"/>
    <w:basedOn w:val="Policepardfaut"/>
    <w:link w:val="En-tte"/>
    <w:uiPriority w:val="99"/>
    <w:rsid w:val="002D0419"/>
  </w:style>
  <w:style w:type="paragraph" w:styleId="Pieddepage">
    <w:name w:val="footer"/>
    <w:basedOn w:val="Normal"/>
    <w:link w:val="PieddepageCar"/>
    <w:uiPriority w:val="99"/>
    <w:semiHidden/>
    <w:unhideWhenUsed/>
    <w:rsid w:val="005D5005"/>
    <w:pPr>
      <w:tabs>
        <w:tab w:val="center" w:pos="4536"/>
        <w:tab w:val="right" w:pos="9072"/>
      </w:tabs>
    </w:pPr>
  </w:style>
  <w:style w:type="character" w:customStyle="1" w:styleId="PieddepageCar">
    <w:name w:val="Pied de page Car"/>
    <w:basedOn w:val="Policepardfaut"/>
    <w:link w:val="Pieddepage"/>
    <w:uiPriority w:val="99"/>
    <w:semiHidden/>
    <w:rsid w:val="005D5005"/>
  </w:style>
  <w:style w:type="paragraph" w:customStyle="1" w:styleId="numrotation">
    <w:name w:val="numérotation"/>
    <w:basedOn w:val="Pieddepage"/>
    <w:rsid w:val="005D5005"/>
    <w:pPr>
      <w:framePr w:wrap="none" w:vAnchor="text" w:hAnchor="page" w:x="10989" w:y="1421"/>
    </w:pPr>
    <w:rPr>
      <w:rFonts w:ascii="Garamond" w:hAnsi="Garamond"/>
      <w:sz w:val="16"/>
      <w:szCs w:val="16"/>
    </w:rPr>
  </w:style>
  <w:style w:type="paragraph" w:styleId="Paragraphedeliste">
    <w:name w:val="List Paragraph"/>
    <w:basedOn w:val="Normal"/>
    <w:uiPriority w:val="34"/>
    <w:qFormat/>
    <w:rsid w:val="00E15BE4"/>
    <w:pPr>
      <w:ind w:left="720"/>
      <w:contextualSpacing/>
    </w:pPr>
  </w:style>
  <w:style w:type="character" w:styleId="Marquedecommentaire">
    <w:name w:val="annotation reference"/>
    <w:basedOn w:val="Policepardfaut"/>
    <w:uiPriority w:val="99"/>
    <w:semiHidden/>
    <w:unhideWhenUsed/>
    <w:rsid w:val="006277F0"/>
    <w:rPr>
      <w:sz w:val="16"/>
      <w:szCs w:val="16"/>
    </w:rPr>
  </w:style>
  <w:style w:type="paragraph" w:styleId="Commentaire">
    <w:name w:val="annotation text"/>
    <w:basedOn w:val="Normal"/>
    <w:link w:val="CommentaireCar"/>
    <w:uiPriority w:val="99"/>
    <w:unhideWhenUsed/>
    <w:rsid w:val="006277F0"/>
    <w:rPr>
      <w:sz w:val="20"/>
      <w:szCs w:val="20"/>
    </w:rPr>
  </w:style>
  <w:style w:type="character" w:customStyle="1" w:styleId="CommentaireCar">
    <w:name w:val="Commentaire Car"/>
    <w:basedOn w:val="Policepardfaut"/>
    <w:link w:val="Commentaire"/>
    <w:uiPriority w:val="99"/>
    <w:rsid w:val="006277F0"/>
    <w:rPr>
      <w:sz w:val="20"/>
      <w:szCs w:val="20"/>
    </w:rPr>
  </w:style>
  <w:style w:type="paragraph" w:styleId="Objetducommentaire">
    <w:name w:val="annotation subject"/>
    <w:basedOn w:val="Commentaire"/>
    <w:next w:val="Commentaire"/>
    <w:link w:val="ObjetducommentaireCar"/>
    <w:uiPriority w:val="99"/>
    <w:semiHidden/>
    <w:unhideWhenUsed/>
    <w:rsid w:val="006277F0"/>
    <w:rPr>
      <w:b/>
      <w:bCs/>
    </w:rPr>
  </w:style>
  <w:style w:type="character" w:customStyle="1" w:styleId="ObjetducommentaireCar">
    <w:name w:val="Objet du commentaire Car"/>
    <w:basedOn w:val="CommentaireCar"/>
    <w:link w:val="Objetducommentaire"/>
    <w:uiPriority w:val="99"/>
    <w:semiHidden/>
    <w:rsid w:val="006277F0"/>
    <w:rPr>
      <w:b/>
      <w:bCs/>
      <w:sz w:val="20"/>
      <w:szCs w:val="20"/>
    </w:rPr>
  </w:style>
  <w:style w:type="paragraph" w:styleId="Rvision">
    <w:name w:val="Revision"/>
    <w:hidden/>
    <w:uiPriority w:val="99"/>
    <w:semiHidden/>
    <w:rsid w:val="00937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979">
      <w:bodyDiv w:val="1"/>
      <w:marLeft w:val="0"/>
      <w:marRight w:val="0"/>
      <w:marTop w:val="0"/>
      <w:marBottom w:val="0"/>
      <w:divBdr>
        <w:top w:val="none" w:sz="0" w:space="0" w:color="auto"/>
        <w:left w:val="none" w:sz="0" w:space="0" w:color="auto"/>
        <w:bottom w:val="none" w:sz="0" w:space="0" w:color="auto"/>
        <w:right w:val="none" w:sz="0" w:space="0" w:color="auto"/>
      </w:divBdr>
      <w:divsChild>
        <w:div w:id="14602183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6794431">
              <w:marLeft w:val="0"/>
              <w:marRight w:val="0"/>
              <w:marTop w:val="0"/>
              <w:marBottom w:val="0"/>
              <w:divBdr>
                <w:top w:val="none" w:sz="0" w:space="0" w:color="auto"/>
                <w:left w:val="none" w:sz="0" w:space="0" w:color="auto"/>
                <w:bottom w:val="none" w:sz="0" w:space="0" w:color="auto"/>
                <w:right w:val="none" w:sz="0" w:space="0" w:color="auto"/>
              </w:divBdr>
              <w:divsChild>
                <w:div w:id="1556962161">
                  <w:marLeft w:val="0"/>
                  <w:marRight w:val="0"/>
                  <w:marTop w:val="0"/>
                  <w:marBottom w:val="0"/>
                  <w:divBdr>
                    <w:top w:val="none" w:sz="0" w:space="0" w:color="auto"/>
                    <w:left w:val="none" w:sz="0" w:space="0" w:color="auto"/>
                    <w:bottom w:val="none" w:sz="0" w:space="0" w:color="auto"/>
                    <w:right w:val="none" w:sz="0" w:space="0" w:color="auto"/>
                  </w:divBdr>
                  <w:divsChild>
                    <w:div w:id="180893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0049">
      <w:bodyDiv w:val="1"/>
      <w:marLeft w:val="0"/>
      <w:marRight w:val="0"/>
      <w:marTop w:val="0"/>
      <w:marBottom w:val="0"/>
      <w:divBdr>
        <w:top w:val="none" w:sz="0" w:space="0" w:color="auto"/>
        <w:left w:val="none" w:sz="0" w:space="0" w:color="auto"/>
        <w:bottom w:val="none" w:sz="0" w:space="0" w:color="auto"/>
        <w:right w:val="none" w:sz="0" w:space="0" w:color="auto"/>
      </w:divBdr>
      <w:divsChild>
        <w:div w:id="5340055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6645005">
              <w:marLeft w:val="0"/>
              <w:marRight w:val="0"/>
              <w:marTop w:val="0"/>
              <w:marBottom w:val="0"/>
              <w:divBdr>
                <w:top w:val="none" w:sz="0" w:space="0" w:color="auto"/>
                <w:left w:val="none" w:sz="0" w:space="0" w:color="auto"/>
                <w:bottom w:val="none" w:sz="0" w:space="0" w:color="auto"/>
                <w:right w:val="none" w:sz="0" w:space="0" w:color="auto"/>
              </w:divBdr>
              <w:divsChild>
                <w:div w:id="1301305003">
                  <w:marLeft w:val="0"/>
                  <w:marRight w:val="0"/>
                  <w:marTop w:val="0"/>
                  <w:marBottom w:val="0"/>
                  <w:divBdr>
                    <w:top w:val="none" w:sz="0" w:space="0" w:color="auto"/>
                    <w:left w:val="none" w:sz="0" w:space="0" w:color="auto"/>
                    <w:bottom w:val="none" w:sz="0" w:space="0" w:color="auto"/>
                    <w:right w:val="none" w:sz="0" w:space="0" w:color="auto"/>
                  </w:divBdr>
                  <w:divsChild>
                    <w:div w:id="66644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41684">
      <w:bodyDiv w:val="1"/>
      <w:marLeft w:val="0"/>
      <w:marRight w:val="0"/>
      <w:marTop w:val="0"/>
      <w:marBottom w:val="0"/>
      <w:divBdr>
        <w:top w:val="none" w:sz="0" w:space="0" w:color="auto"/>
        <w:left w:val="none" w:sz="0" w:space="0" w:color="auto"/>
        <w:bottom w:val="none" w:sz="0" w:space="0" w:color="auto"/>
        <w:right w:val="none" w:sz="0" w:space="0" w:color="auto"/>
      </w:divBdr>
    </w:div>
    <w:div w:id="97793945">
      <w:bodyDiv w:val="1"/>
      <w:marLeft w:val="0"/>
      <w:marRight w:val="0"/>
      <w:marTop w:val="0"/>
      <w:marBottom w:val="0"/>
      <w:divBdr>
        <w:top w:val="none" w:sz="0" w:space="0" w:color="auto"/>
        <w:left w:val="none" w:sz="0" w:space="0" w:color="auto"/>
        <w:bottom w:val="none" w:sz="0" w:space="0" w:color="auto"/>
        <w:right w:val="none" w:sz="0" w:space="0" w:color="auto"/>
      </w:divBdr>
    </w:div>
    <w:div w:id="123623185">
      <w:bodyDiv w:val="1"/>
      <w:marLeft w:val="0"/>
      <w:marRight w:val="0"/>
      <w:marTop w:val="0"/>
      <w:marBottom w:val="0"/>
      <w:divBdr>
        <w:top w:val="none" w:sz="0" w:space="0" w:color="auto"/>
        <w:left w:val="none" w:sz="0" w:space="0" w:color="auto"/>
        <w:bottom w:val="none" w:sz="0" w:space="0" w:color="auto"/>
        <w:right w:val="none" w:sz="0" w:space="0" w:color="auto"/>
      </w:divBdr>
    </w:div>
    <w:div w:id="204610904">
      <w:bodyDiv w:val="1"/>
      <w:marLeft w:val="0"/>
      <w:marRight w:val="0"/>
      <w:marTop w:val="0"/>
      <w:marBottom w:val="0"/>
      <w:divBdr>
        <w:top w:val="none" w:sz="0" w:space="0" w:color="auto"/>
        <w:left w:val="none" w:sz="0" w:space="0" w:color="auto"/>
        <w:bottom w:val="none" w:sz="0" w:space="0" w:color="auto"/>
        <w:right w:val="none" w:sz="0" w:space="0" w:color="auto"/>
      </w:divBdr>
    </w:div>
    <w:div w:id="299382218">
      <w:bodyDiv w:val="1"/>
      <w:marLeft w:val="0"/>
      <w:marRight w:val="0"/>
      <w:marTop w:val="0"/>
      <w:marBottom w:val="0"/>
      <w:divBdr>
        <w:top w:val="none" w:sz="0" w:space="0" w:color="auto"/>
        <w:left w:val="none" w:sz="0" w:space="0" w:color="auto"/>
        <w:bottom w:val="none" w:sz="0" w:space="0" w:color="auto"/>
        <w:right w:val="none" w:sz="0" w:space="0" w:color="auto"/>
      </w:divBdr>
    </w:div>
    <w:div w:id="487937610">
      <w:bodyDiv w:val="1"/>
      <w:marLeft w:val="0"/>
      <w:marRight w:val="0"/>
      <w:marTop w:val="0"/>
      <w:marBottom w:val="0"/>
      <w:divBdr>
        <w:top w:val="none" w:sz="0" w:space="0" w:color="auto"/>
        <w:left w:val="none" w:sz="0" w:space="0" w:color="auto"/>
        <w:bottom w:val="none" w:sz="0" w:space="0" w:color="auto"/>
        <w:right w:val="none" w:sz="0" w:space="0" w:color="auto"/>
      </w:divBdr>
    </w:div>
    <w:div w:id="522130068">
      <w:bodyDiv w:val="1"/>
      <w:marLeft w:val="0"/>
      <w:marRight w:val="0"/>
      <w:marTop w:val="0"/>
      <w:marBottom w:val="0"/>
      <w:divBdr>
        <w:top w:val="none" w:sz="0" w:space="0" w:color="auto"/>
        <w:left w:val="none" w:sz="0" w:space="0" w:color="auto"/>
        <w:bottom w:val="none" w:sz="0" w:space="0" w:color="auto"/>
        <w:right w:val="none" w:sz="0" w:space="0" w:color="auto"/>
      </w:divBdr>
    </w:div>
    <w:div w:id="589437157">
      <w:bodyDiv w:val="1"/>
      <w:marLeft w:val="0"/>
      <w:marRight w:val="0"/>
      <w:marTop w:val="0"/>
      <w:marBottom w:val="0"/>
      <w:divBdr>
        <w:top w:val="none" w:sz="0" w:space="0" w:color="auto"/>
        <w:left w:val="none" w:sz="0" w:space="0" w:color="auto"/>
        <w:bottom w:val="none" w:sz="0" w:space="0" w:color="auto"/>
        <w:right w:val="none" w:sz="0" w:space="0" w:color="auto"/>
      </w:divBdr>
    </w:div>
    <w:div w:id="773011684">
      <w:bodyDiv w:val="1"/>
      <w:marLeft w:val="0"/>
      <w:marRight w:val="0"/>
      <w:marTop w:val="0"/>
      <w:marBottom w:val="0"/>
      <w:divBdr>
        <w:top w:val="none" w:sz="0" w:space="0" w:color="auto"/>
        <w:left w:val="none" w:sz="0" w:space="0" w:color="auto"/>
        <w:bottom w:val="none" w:sz="0" w:space="0" w:color="auto"/>
        <w:right w:val="none" w:sz="0" w:space="0" w:color="auto"/>
      </w:divBdr>
    </w:div>
    <w:div w:id="834807422">
      <w:bodyDiv w:val="1"/>
      <w:marLeft w:val="0"/>
      <w:marRight w:val="0"/>
      <w:marTop w:val="0"/>
      <w:marBottom w:val="0"/>
      <w:divBdr>
        <w:top w:val="none" w:sz="0" w:space="0" w:color="auto"/>
        <w:left w:val="none" w:sz="0" w:space="0" w:color="auto"/>
        <w:bottom w:val="none" w:sz="0" w:space="0" w:color="auto"/>
        <w:right w:val="none" w:sz="0" w:space="0" w:color="auto"/>
      </w:divBdr>
    </w:div>
    <w:div w:id="849442351">
      <w:bodyDiv w:val="1"/>
      <w:marLeft w:val="0"/>
      <w:marRight w:val="0"/>
      <w:marTop w:val="0"/>
      <w:marBottom w:val="0"/>
      <w:divBdr>
        <w:top w:val="none" w:sz="0" w:space="0" w:color="auto"/>
        <w:left w:val="none" w:sz="0" w:space="0" w:color="auto"/>
        <w:bottom w:val="none" w:sz="0" w:space="0" w:color="auto"/>
        <w:right w:val="none" w:sz="0" w:space="0" w:color="auto"/>
      </w:divBdr>
    </w:div>
    <w:div w:id="851410186">
      <w:bodyDiv w:val="1"/>
      <w:marLeft w:val="0"/>
      <w:marRight w:val="0"/>
      <w:marTop w:val="0"/>
      <w:marBottom w:val="0"/>
      <w:divBdr>
        <w:top w:val="none" w:sz="0" w:space="0" w:color="auto"/>
        <w:left w:val="none" w:sz="0" w:space="0" w:color="auto"/>
        <w:bottom w:val="none" w:sz="0" w:space="0" w:color="auto"/>
        <w:right w:val="none" w:sz="0" w:space="0" w:color="auto"/>
      </w:divBdr>
    </w:div>
    <w:div w:id="911547139">
      <w:bodyDiv w:val="1"/>
      <w:marLeft w:val="0"/>
      <w:marRight w:val="0"/>
      <w:marTop w:val="0"/>
      <w:marBottom w:val="0"/>
      <w:divBdr>
        <w:top w:val="none" w:sz="0" w:space="0" w:color="auto"/>
        <w:left w:val="none" w:sz="0" w:space="0" w:color="auto"/>
        <w:bottom w:val="none" w:sz="0" w:space="0" w:color="auto"/>
        <w:right w:val="none" w:sz="0" w:space="0" w:color="auto"/>
      </w:divBdr>
      <w:divsChild>
        <w:div w:id="6762324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8676271">
              <w:marLeft w:val="0"/>
              <w:marRight w:val="0"/>
              <w:marTop w:val="0"/>
              <w:marBottom w:val="0"/>
              <w:divBdr>
                <w:top w:val="none" w:sz="0" w:space="0" w:color="auto"/>
                <w:left w:val="none" w:sz="0" w:space="0" w:color="auto"/>
                <w:bottom w:val="none" w:sz="0" w:space="0" w:color="auto"/>
                <w:right w:val="none" w:sz="0" w:space="0" w:color="auto"/>
              </w:divBdr>
              <w:divsChild>
                <w:div w:id="1346712954">
                  <w:marLeft w:val="0"/>
                  <w:marRight w:val="0"/>
                  <w:marTop w:val="0"/>
                  <w:marBottom w:val="0"/>
                  <w:divBdr>
                    <w:top w:val="none" w:sz="0" w:space="0" w:color="auto"/>
                    <w:left w:val="none" w:sz="0" w:space="0" w:color="auto"/>
                    <w:bottom w:val="none" w:sz="0" w:space="0" w:color="auto"/>
                    <w:right w:val="none" w:sz="0" w:space="0" w:color="auto"/>
                  </w:divBdr>
                  <w:divsChild>
                    <w:div w:id="159497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427603">
      <w:bodyDiv w:val="1"/>
      <w:marLeft w:val="0"/>
      <w:marRight w:val="0"/>
      <w:marTop w:val="0"/>
      <w:marBottom w:val="0"/>
      <w:divBdr>
        <w:top w:val="none" w:sz="0" w:space="0" w:color="auto"/>
        <w:left w:val="none" w:sz="0" w:space="0" w:color="auto"/>
        <w:bottom w:val="none" w:sz="0" w:space="0" w:color="auto"/>
        <w:right w:val="none" w:sz="0" w:space="0" w:color="auto"/>
      </w:divBdr>
    </w:div>
    <w:div w:id="1104037247">
      <w:bodyDiv w:val="1"/>
      <w:marLeft w:val="0"/>
      <w:marRight w:val="0"/>
      <w:marTop w:val="0"/>
      <w:marBottom w:val="0"/>
      <w:divBdr>
        <w:top w:val="none" w:sz="0" w:space="0" w:color="auto"/>
        <w:left w:val="none" w:sz="0" w:space="0" w:color="auto"/>
        <w:bottom w:val="none" w:sz="0" w:space="0" w:color="auto"/>
        <w:right w:val="none" w:sz="0" w:space="0" w:color="auto"/>
      </w:divBdr>
    </w:div>
    <w:div w:id="1158301940">
      <w:bodyDiv w:val="1"/>
      <w:marLeft w:val="0"/>
      <w:marRight w:val="0"/>
      <w:marTop w:val="0"/>
      <w:marBottom w:val="0"/>
      <w:divBdr>
        <w:top w:val="none" w:sz="0" w:space="0" w:color="auto"/>
        <w:left w:val="none" w:sz="0" w:space="0" w:color="auto"/>
        <w:bottom w:val="none" w:sz="0" w:space="0" w:color="auto"/>
        <w:right w:val="none" w:sz="0" w:space="0" w:color="auto"/>
      </w:divBdr>
    </w:div>
    <w:div w:id="1232809077">
      <w:bodyDiv w:val="1"/>
      <w:marLeft w:val="0"/>
      <w:marRight w:val="0"/>
      <w:marTop w:val="0"/>
      <w:marBottom w:val="0"/>
      <w:divBdr>
        <w:top w:val="none" w:sz="0" w:space="0" w:color="auto"/>
        <w:left w:val="none" w:sz="0" w:space="0" w:color="auto"/>
        <w:bottom w:val="none" w:sz="0" w:space="0" w:color="auto"/>
        <w:right w:val="none" w:sz="0" w:space="0" w:color="auto"/>
      </w:divBdr>
    </w:div>
    <w:div w:id="1300766802">
      <w:bodyDiv w:val="1"/>
      <w:marLeft w:val="0"/>
      <w:marRight w:val="0"/>
      <w:marTop w:val="0"/>
      <w:marBottom w:val="0"/>
      <w:divBdr>
        <w:top w:val="none" w:sz="0" w:space="0" w:color="auto"/>
        <w:left w:val="none" w:sz="0" w:space="0" w:color="auto"/>
        <w:bottom w:val="none" w:sz="0" w:space="0" w:color="auto"/>
        <w:right w:val="none" w:sz="0" w:space="0" w:color="auto"/>
      </w:divBdr>
    </w:div>
    <w:div w:id="1367751711">
      <w:bodyDiv w:val="1"/>
      <w:marLeft w:val="0"/>
      <w:marRight w:val="0"/>
      <w:marTop w:val="0"/>
      <w:marBottom w:val="0"/>
      <w:divBdr>
        <w:top w:val="none" w:sz="0" w:space="0" w:color="auto"/>
        <w:left w:val="none" w:sz="0" w:space="0" w:color="auto"/>
        <w:bottom w:val="none" w:sz="0" w:space="0" w:color="auto"/>
        <w:right w:val="none" w:sz="0" w:space="0" w:color="auto"/>
      </w:divBdr>
      <w:divsChild>
        <w:div w:id="9350922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9311777">
              <w:marLeft w:val="0"/>
              <w:marRight w:val="0"/>
              <w:marTop w:val="0"/>
              <w:marBottom w:val="0"/>
              <w:divBdr>
                <w:top w:val="none" w:sz="0" w:space="0" w:color="auto"/>
                <w:left w:val="none" w:sz="0" w:space="0" w:color="auto"/>
                <w:bottom w:val="none" w:sz="0" w:space="0" w:color="auto"/>
                <w:right w:val="none" w:sz="0" w:space="0" w:color="auto"/>
              </w:divBdr>
              <w:divsChild>
                <w:div w:id="258373526">
                  <w:marLeft w:val="0"/>
                  <w:marRight w:val="0"/>
                  <w:marTop w:val="0"/>
                  <w:marBottom w:val="0"/>
                  <w:divBdr>
                    <w:top w:val="none" w:sz="0" w:space="0" w:color="auto"/>
                    <w:left w:val="none" w:sz="0" w:space="0" w:color="auto"/>
                    <w:bottom w:val="none" w:sz="0" w:space="0" w:color="auto"/>
                    <w:right w:val="none" w:sz="0" w:space="0" w:color="auto"/>
                  </w:divBdr>
                  <w:divsChild>
                    <w:div w:id="28358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693277">
      <w:bodyDiv w:val="1"/>
      <w:marLeft w:val="0"/>
      <w:marRight w:val="0"/>
      <w:marTop w:val="0"/>
      <w:marBottom w:val="0"/>
      <w:divBdr>
        <w:top w:val="none" w:sz="0" w:space="0" w:color="auto"/>
        <w:left w:val="none" w:sz="0" w:space="0" w:color="auto"/>
        <w:bottom w:val="none" w:sz="0" w:space="0" w:color="auto"/>
        <w:right w:val="none" w:sz="0" w:space="0" w:color="auto"/>
      </w:divBdr>
    </w:div>
    <w:div w:id="1449659414">
      <w:bodyDiv w:val="1"/>
      <w:marLeft w:val="0"/>
      <w:marRight w:val="0"/>
      <w:marTop w:val="0"/>
      <w:marBottom w:val="0"/>
      <w:divBdr>
        <w:top w:val="none" w:sz="0" w:space="0" w:color="auto"/>
        <w:left w:val="none" w:sz="0" w:space="0" w:color="auto"/>
        <w:bottom w:val="none" w:sz="0" w:space="0" w:color="auto"/>
        <w:right w:val="none" w:sz="0" w:space="0" w:color="auto"/>
      </w:divBdr>
    </w:div>
    <w:div w:id="1465151028">
      <w:bodyDiv w:val="1"/>
      <w:marLeft w:val="0"/>
      <w:marRight w:val="0"/>
      <w:marTop w:val="0"/>
      <w:marBottom w:val="0"/>
      <w:divBdr>
        <w:top w:val="none" w:sz="0" w:space="0" w:color="auto"/>
        <w:left w:val="none" w:sz="0" w:space="0" w:color="auto"/>
        <w:bottom w:val="none" w:sz="0" w:space="0" w:color="auto"/>
        <w:right w:val="none" w:sz="0" w:space="0" w:color="auto"/>
      </w:divBdr>
      <w:divsChild>
        <w:div w:id="20163714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9747961">
              <w:marLeft w:val="0"/>
              <w:marRight w:val="0"/>
              <w:marTop w:val="0"/>
              <w:marBottom w:val="0"/>
              <w:divBdr>
                <w:top w:val="none" w:sz="0" w:space="0" w:color="auto"/>
                <w:left w:val="none" w:sz="0" w:space="0" w:color="auto"/>
                <w:bottom w:val="none" w:sz="0" w:space="0" w:color="auto"/>
                <w:right w:val="none" w:sz="0" w:space="0" w:color="auto"/>
              </w:divBdr>
              <w:divsChild>
                <w:div w:id="1511526104">
                  <w:marLeft w:val="0"/>
                  <w:marRight w:val="0"/>
                  <w:marTop w:val="0"/>
                  <w:marBottom w:val="0"/>
                  <w:divBdr>
                    <w:top w:val="none" w:sz="0" w:space="0" w:color="auto"/>
                    <w:left w:val="none" w:sz="0" w:space="0" w:color="auto"/>
                    <w:bottom w:val="none" w:sz="0" w:space="0" w:color="auto"/>
                    <w:right w:val="none" w:sz="0" w:space="0" w:color="auto"/>
                  </w:divBdr>
                  <w:divsChild>
                    <w:div w:id="182763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182391">
      <w:bodyDiv w:val="1"/>
      <w:marLeft w:val="0"/>
      <w:marRight w:val="0"/>
      <w:marTop w:val="0"/>
      <w:marBottom w:val="0"/>
      <w:divBdr>
        <w:top w:val="none" w:sz="0" w:space="0" w:color="auto"/>
        <w:left w:val="none" w:sz="0" w:space="0" w:color="auto"/>
        <w:bottom w:val="none" w:sz="0" w:space="0" w:color="auto"/>
        <w:right w:val="none" w:sz="0" w:space="0" w:color="auto"/>
      </w:divBdr>
      <w:divsChild>
        <w:div w:id="16580245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3169363">
              <w:marLeft w:val="0"/>
              <w:marRight w:val="0"/>
              <w:marTop w:val="0"/>
              <w:marBottom w:val="0"/>
              <w:divBdr>
                <w:top w:val="none" w:sz="0" w:space="0" w:color="auto"/>
                <w:left w:val="none" w:sz="0" w:space="0" w:color="auto"/>
                <w:bottom w:val="none" w:sz="0" w:space="0" w:color="auto"/>
                <w:right w:val="none" w:sz="0" w:space="0" w:color="auto"/>
              </w:divBdr>
              <w:divsChild>
                <w:div w:id="2041280231">
                  <w:marLeft w:val="0"/>
                  <w:marRight w:val="0"/>
                  <w:marTop w:val="0"/>
                  <w:marBottom w:val="0"/>
                  <w:divBdr>
                    <w:top w:val="none" w:sz="0" w:space="0" w:color="auto"/>
                    <w:left w:val="none" w:sz="0" w:space="0" w:color="auto"/>
                    <w:bottom w:val="none" w:sz="0" w:space="0" w:color="auto"/>
                    <w:right w:val="none" w:sz="0" w:space="0" w:color="auto"/>
                  </w:divBdr>
                  <w:divsChild>
                    <w:div w:id="60164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721572">
      <w:bodyDiv w:val="1"/>
      <w:marLeft w:val="0"/>
      <w:marRight w:val="0"/>
      <w:marTop w:val="0"/>
      <w:marBottom w:val="0"/>
      <w:divBdr>
        <w:top w:val="none" w:sz="0" w:space="0" w:color="auto"/>
        <w:left w:val="none" w:sz="0" w:space="0" w:color="auto"/>
        <w:bottom w:val="none" w:sz="0" w:space="0" w:color="auto"/>
        <w:right w:val="none" w:sz="0" w:space="0" w:color="auto"/>
      </w:divBdr>
    </w:div>
    <w:div w:id="1784617408">
      <w:bodyDiv w:val="1"/>
      <w:marLeft w:val="0"/>
      <w:marRight w:val="0"/>
      <w:marTop w:val="0"/>
      <w:marBottom w:val="0"/>
      <w:divBdr>
        <w:top w:val="none" w:sz="0" w:space="0" w:color="auto"/>
        <w:left w:val="none" w:sz="0" w:space="0" w:color="auto"/>
        <w:bottom w:val="none" w:sz="0" w:space="0" w:color="auto"/>
        <w:right w:val="none" w:sz="0" w:space="0" w:color="auto"/>
      </w:divBdr>
    </w:div>
    <w:div w:id="208217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EA05A-BDB9-4080-A017-3BDCC429D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2500</Words>
  <Characters>13754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 Assureurs</dc:creator>
  <cp:keywords/>
  <dc:description/>
  <cp:lastModifiedBy>France Assureurs</cp:lastModifiedBy>
  <cp:revision>2</cp:revision>
  <cp:lastPrinted>2022-02-18T11:03:00Z</cp:lastPrinted>
  <dcterms:created xsi:type="dcterms:W3CDTF">2023-12-22T10:33:00Z</dcterms:created>
  <dcterms:modified xsi:type="dcterms:W3CDTF">2023-12-22T10:33:00Z</dcterms:modified>
</cp:coreProperties>
</file>