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7D0D1" w14:textId="77777777" w:rsidR="00BB5F8F" w:rsidRPr="008C74A3" w:rsidRDefault="00BB5F8F" w:rsidP="00DB1B70">
      <w:pPr>
        <w:pStyle w:val="ListParagraph"/>
        <w:ind w:left="880"/>
      </w:pPr>
    </w:p>
    <w:p w14:paraId="2A84FBDF" w14:textId="77777777" w:rsidR="00BB5F8F" w:rsidRPr="008C74A3" w:rsidRDefault="00BB5F8F" w:rsidP="00DB1B70">
      <w:pPr>
        <w:pStyle w:val="ListParagraph"/>
        <w:ind w:left="880"/>
      </w:pPr>
    </w:p>
    <w:p w14:paraId="38158560" w14:textId="2408EE4E" w:rsidR="00BB5F8F" w:rsidRPr="008C74A3" w:rsidRDefault="00BB5F8F" w:rsidP="00DB1B70">
      <w:pPr>
        <w:pStyle w:val="ListParagraph"/>
        <w:ind w:left="880"/>
      </w:pPr>
    </w:p>
    <w:p w14:paraId="07B1E3E2" w14:textId="77777777" w:rsidR="00BB5F8F" w:rsidRPr="008C74A3" w:rsidRDefault="00BB5F8F" w:rsidP="00DB1B70">
      <w:pPr>
        <w:pStyle w:val="ListParagraph"/>
        <w:ind w:left="880"/>
      </w:pPr>
    </w:p>
    <w:p w14:paraId="2134C32C" w14:textId="77777777" w:rsidR="00BB5F8F" w:rsidRPr="008C74A3" w:rsidRDefault="00BB5F8F" w:rsidP="00DB1B70">
      <w:pPr>
        <w:pStyle w:val="ListParagraph"/>
        <w:ind w:left="880"/>
      </w:pPr>
    </w:p>
    <w:p w14:paraId="54335D2E" w14:textId="77777777" w:rsidR="00BB5F8F" w:rsidRPr="008C74A3" w:rsidRDefault="00BB5F8F" w:rsidP="00DB1B70">
      <w:pPr>
        <w:pStyle w:val="ListParagraph"/>
        <w:ind w:left="880"/>
      </w:pPr>
    </w:p>
    <w:p w14:paraId="4DF74452" w14:textId="77777777" w:rsidR="00BB5F8F" w:rsidRPr="008C74A3" w:rsidRDefault="00BB5F8F" w:rsidP="00DB1B70">
      <w:pPr>
        <w:pStyle w:val="ListParagraph"/>
        <w:ind w:left="880"/>
      </w:pPr>
    </w:p>
    <w:p w14:paraId="2CEB4305" w14:textId="77777777" w:rsidR="00BB5F8F" w:rsidRPr="008C74A3" w:rsidRDefault="00BB5F8F" w:rsidP="00DB1B70">
      <w:pPr>
        <w:pStyle w:val="ListParagraph"/>
        <w:ind w:left="880"/>
      </w:pPr>
    </w:p>
    <w:p w14:paraId="46BE8B25" w14:textId="4ACF7D0B" w:rsidR="0036597C" w:rsidRPr="008C74A3" w:rsidRDefault="00BE55C8" w:rsidP="002B0724">
      <w:pPr>
        <w:pStyle w:val="ListParagraph"/>
        <w:ind w:leftChars="0" w:left="0"/>
        <w:jc w:val="center"/>
        <w:rPr>
          <w:rFonts w:ascii="Interstate" w:hAnsi="Interstate"/>
          <w:b/>
          <w:bCs/>
          <w:sz w:val="32"/>
          <w:szCs w:val="32"/>
        </w:rPr>
      </w:pPr>
      <w:r>
        <w:rPr>
          <w:rFonts w:ascii="Interstate" w:hAnsi="Interstate"/>
          <w:b/>
          <w:bCs/>
          <w:sz w:val="32"/>
          <w:szCs w:val="32"/>
        </w:rPr>
        <w:t>Consultation</w:t>
      </w:r>
      <w:r w:rsidR="0036597C" w:rsidRPr="008C74A3">
        <w:rPr>
          <w:rFonts w:ascii="Interstate" w:hAnsi="Interstate"/>
          <w:b/>
          <w:bCs/>
          <w:sz w:val="32"/>
          <w:szCs w:val="32"/>
        </w:rPr>
        <w:t xml:space="preserve"> Draft:</w:t>
      </w:r>
    </w:p>
    <w:p w14:paraId="20A729FB" w14:textId="6E1F9561" w:rsidR="00576769" w:rsidRPr="008C74A3" w:rsidRDefault="77B60092" w:rsidP="002B0724">
      <w:pPr>
        <w:pStyle w:val="ListParagraph"/>
        <w:ind w:leftChars="0" w:left="0"/>
        <w:jc w:val="center"/>
        <w:rPr>
          <w:rFonts w:ascii="Interstate" w:hAnsi="Interstate"/>
          <w:b/>
          <w:bCs/>
          <w:sz w:val="32"/>
          <w:szCs w:val="32"/>
        </w:rPr>
      </w:pPr>
      <w:r w:rsidRPr="008C74A3">
        <w:rPr>
          <w:rFonts w:ascii="Interstate" w:hAnsi="Interstate"/>
          <w:b/>
          <w:bCs/>
          <w:sz w:val="32"/>
          <w:szCs w:val="32"/>
        </w:rPr>
        <w:t xml:space="preserve">Impact Performance Reporting </w:t>
      </w:r>
      <w:r w:rsidR="00976BD9" w:rsidRPr="008C74A3">
        <w:rPr>
          <w:rFonts w:ascii="Interstate" w:hAnsi="Interstate"/>
          <w:b/>
          <w:bCs/>
          <w:sz w:val="32"/>
          <w:szCs w:val="32"/>
        </w:rPr>
        <w:t>Norms</w:t>
      </w:r>
    </w:p>
    <w:p w14:paraId="1BDE25E7" w14:textId="6781B419" w:rsidR="00BB5F8F" w:rsidRPr="008C74A3" w:rsidRDefault="00BB5F8F" w:rsidP="001F3DC0">
      <w:pPr>
        <w:pStyle w:val="ListParagraph"/>
        <w:ind w:left="880"/>
        <w:jc w:val="center"/>
        <w:rPr>
          <w:rFonts w:ascii="Interstate" w:hAnsi="Interstate"/>
          <w:sz w:val="32"/>
          <w:szCs w:val="32"/>
        </w:rPr>
      </w:pPr>
    </w:p>
    <w:p w14:paraId="071CB22B" w14:textId="752204D4" w:rsidR="00BB5F8F" w:rsidRPr="008C74A3" w:rsidRDefault="00D00491" w:rsidP="001F3DC0">
      <w:pPr>
        <w:pStyle w:val="ListParagraph"/>
        <w:ind w:leftChars="0" w:left="0"/>
        <w:jc w:val="center"/>
        <w:rPr>
          <w:rFonts w:ascii="Interstate" w:hAnsi="Interstate"/>
          <w:sz w:val="24"/>
          <w:szCs w:val="24"/>
        </w:rPr>
      </w:pPr>
      <w:r w:rsidRPr="008C74A3">
        <w:rPr>
          <w:rFonts w:ascii="Interstate" w:hAnsi="Interstate"/>
          <w:sz w:val="32"/>
          <w:szCs w:val="32"/>
        </w:rPr>
        <w:br/>
      </w:r>
      <w:r w:rsidR="77B60092" w:rsidRPr="008C74A3">
        <w:rPr>
          <w:rFonts w:ascii="Interstate" w:hAnsi="Interstate"/>
          <w:sz w:val="24"/>
          <w:szCs w:val="24"/>
        </w:rPr>
        <w:t xml:space="preserve">For </w:t>
      </w:r>
      <w:r w:rsidR="00976BD9" w:rsidRPr="008C74A3">
        <w:rPr>
          <w:rFonts w:ascii="Interstate" w:hAnsi="Interstate"/>
          <w:sz w:val="24"/>
          <w:szCs w:val="24"/>
        </w:rPr>
        <w:t>Investors</w:t>
      </w:r>
      <w:r w:rsidR="77B60092" w:rsidRPr="008C74A3">
        <w:rPr>
          <w:rFonts w:ascii="Interstate" w:hAnsi="Interstate"/>
          <w:sz w:val="24"/>
          <w:szCs w:val="24"/>
        </w:rPr>
        <w:t xml:space="preserve"> in Private Markets</w:t>
      </w:r>
    </w:p>
    <w:p w14:paraId="173B00B3" w14:textId="60D836AB" w:rsidR="00BB5F8F" w:rsidRPr="008C74A3" w:rsidRDefault="77B60092" w:rsidP="001F3DC0">
      <w:pPr>
        <w:jc w:val="center"/>
        <w:rPr>
          <w:rFonts w:ascii="Interstate" w:hAnsi="Interstate"/>
          <w:sz w:val="24"/>
          <w:szCs w:val="24"/>
        </w:rPr>
      </w:pPr>
      <w:r w:rsidRPr="008C74A3">
        <w:rPr>
          <w:rStyle w:val="normaltextrun"/>
          <w:rFonts w:ascii="Interstate" w:hAnsi="Interstate" w:cs="Calibri"/>
          <w:sz w:val="24"/>
          <w:szCs w:val="24"/>
        </w:rPr>
        <w:t xml:space="preserve">Draft </w:t>
      </w:r>
      <w:r w:rsidR="00543B21" w:rsidRPr="008C74A3">
        <w:rPr>
          <w:rStyle w:val="normaltextrun"/>
          <w:rFonts w:ascii="Interstate" w:hAnsi="Interstate" w:cs="Calibri"/>
          <w:sz w:val="24"/>
          <w:szCs w:val="24"/>
        </w:rPr>
        <w:t xml:space="preserve">October </w:t>
      </w:r>
      <w:r w:rsidRPr="008C74A3">
        <w:rPr>
          <w:rStyle w:val="normaltextrun"/>
          <w:rFonts w:ascii="Interstate" w:hAnsi="Interstate" w:cs="Calibri"/>
          <w:sz w:val="24"/>
          <w:szCs w:val="24"/>
        </w:rPr>
        <w:t>2023</w:t>
      </w:r>
    </w:p>
    <w:p w14:paraId="765745F9" w14:textId="77777777" w:rsidR="00B77C9B" w:rsidRPr="008C74A3" w:rsidRDefault="00B77C9B" w:rsidP="00DB1B70"/>
    <w:p w14:paraId="44AA05D6" w14:textId="77777777" w:rsidR="00B77C9B" w:rsidRPr="008C74A3" w:rsidRDefault="00B77C9B" w:rsidP="00DB1B70"/>
    <w:p w14:paraId="1058CE9A" w14:textId="77777777" w:rsidR="00B77C9B" w:rsidRPr="008C74A3" w:rsidRDefault="00B77C9B" w:rsidP="00DB1B70"/>
    <w:p w14:paraId="5FEBB918" w14:textId="77777777" w:rsidR="00B77C9B" w:rsidRPr="008C74A3" w:rsidRDefault="00B77C9B" w:rsidP="00DB1B70"/>
    <w:p w14:paraId="60208AAA" w14:textId="77777777" w:rsidR="00B77C9B" w:rsidRPr="008C74A3" w:rsidRDefault="00B77C9B" w:rsidP="00DB1B70"/>
    <w:p w14:paraId="22A72884" w14:textId="77777777" w:rsidR="00B77C9B" w:rsidRPr="008C74A3" w:rsidRDefault="00B77C9B" w:rsidP="00DB1B70"/>
    <w:p w14:paraId="55AD0247" w14:textId="400A2B2D" w:rsidR="00BB5F8F" w:rsidRPr="008C74A3" w:rsidRDefault="00BB5F8F" w:rsidP="001F3DC0">
      <w:pPr>
        <w:jc w:val="center"/>
      </w:pPr>
      <w:r w:rsidRPr="008C74A3">
        <w:rPr>
          <w:noProof/>
        </w:rPr>
        <w:drawing>
          <wp:inline distT="0" distB="0" distL="0" distR="0" wp14:anchorId="3513192A" wp14:editId="250C0D06">
            <wp:extent cx="1244600" cy="857901"/>
            <wp:effectExtent l="0" t="0" r="0" b="0"/>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cstate="screen">
                      <a:extLst>
                        <a:ext uri="{28A0092B-C50C-407E-A947-70E740481C1C}">
                          <a14:useLocalDpi xmlns:a14="http://schemas.microsoft.com/office/drawing/2010/main"/>
                        </a:ext>
                      </a:extLst>
                    </a:blip>
                    <a:stretch>
                      <a:fillRect/>
                    </a:stretch>
                  </pic:blipFill>
                  <pic:spPr>
                    <a:xfrm>
                      <a:off x="0" y="0"/>
                      <a:ext cx="1244600" cy="857901"/>
                    </a:xfrm>
                    <a:prstGeom prst="rect">
                      <a:avLst/>
                    </a:prstGeom>
                  </pic:spPr>
                </pic:pic>
              </a:graphicData>
            </a:graphic>
          </wp:inline>
        </w:drawing>
      </w:r>
    </w:p>
    <w:p w14:paraId="213C1AD3" w14:textId="77777777" w:rsidR="001F3DC0" w:rsidRPr="008C74A3" w:rsidRDefault="00B77C9B" w:rsidP="00DB1B70">
      <w:pPr>
        <w:pStyle w:val="TOCHeading"/>
      </w:pPr>
      <w:r w:rsidRPr="008C74A3">
        <w:br w:type="page"/>
      </w:r>
    </w:p>
    <w:sdt>
      <w:sdtPr>
        <w:rPr>
          <w:rFonts w:ascii="Corbel" w:hAnsi="Corbel"/>
          <w:b w:val="0"/>
          <w:bCs w:val="0"/>
          <w:color w:val="auto"/>
          <w:sz w:val="22"/>
          <w:szCs w:val="22"/>
        </w:rPr>
        <w:id w:val="1883132835"/>
        <w:docPartObj>
          <w:docPartGallery w:val="Table of Contents"/>
          <w:docPartUnique/>
        </w:docPartObj>
      </w:sdtPr>
      <w:sdtContent>
        <w:p w14:paraId="29518551" w14:textId="2888C00A" w:rsidR="00DF0644" w:rsidRPr="008C74A3" w:rsidRDefault="00DF0644" w:rsidP="00DB1B70">
          <w:pPr>
            <w:pStyle w:val="TOCHeading"/>
          </w:pPr>
          <w:r w:rsidRPr="008C74A3">
            <w:t>Contents</w:t>
          </w:r>
        </w:p>
        <w:p w14:paraId="5E3B6574" w14:textId="486898C1" w:rsidR="00FB124B" w:rsidRPr="008C74A3" w:rsidRDefault="00DF0644">
          <w:pPr>
            <w:pStyle w:val="TOC1"/>
            <w:rPr>
              <w:rFonts w:asciiTheme="minorHAnsi" w:eastAsiaTheme="minorEastAsia" w:hAnsiTheme="minorHAnsi" w:cstheme="minorBidi"/>
              <w:b w:val="0"/>
              <w:bCs w:val="0"/>
              <w:caps w:val="0"/>
              <w:kern w:val="2"/>
              <w:sz w:val="22"/>
              <w:szCs w:val="22"/>
              <w:lang w:eastAsia="en-US"/>
              <w14:ligatures w14:val="standardContextual"/>
            </w:rPr>
          </w:pPr>
          <w:r w:rsidRPr="008C74A3">
            <w:rPr>
              <w:color w:val="000000" w:themeColor="text1"/>
              <w:sz w:val="28"/>
              <w:szCs w:val="28"/>
            </w:rPr>
            <w:fldChar w:fldCharType="begin"/>
          </w:r>
          <w:r w:rsidRPr="008C74A3">
            <w:instrText xml:space="preserve"> TOC \o "1-3" \h \z \u </w:instrText>
          </w:r>
          <w:r w:rsidRPr="008C74A3">
            <w:rPr>
              <w:color w:val="000000" w:themeColor="text1"/>
              <w:sz w:val="28"/>
              <w:szCs w:val="28"/>
            </w:rPr>
            <w:fldChar w:fldCharType="separate"/>
          </w:r>
          <w:hyperlink w:anchor="_Toc148384171" w:history="1">
            <w:r w:rsidR="00FB124B" w:rsidRPr="008C74A3">
              <w:rPr>
                <w:rStyle w:val="Hyperlink"/>
              </w:rPr>
              <w:t>Executive Summary</w:t>
            </w:r>
            <w:r w:rsidR="00FB124B" w:rsidRPr="008C74A3">
              <w:rPr>
                <w:webHidden/>
              </w:rPr>
              <w:tab/>
            </w:r>
            <w:r w:rsidR="00FB124B" w:rsidRPr="008C74A3">
              <w:rPr>
                <w:webHidden/>
              </w:rPr>
              <w:fldChar w:fldCharType="begin"/>
            </w:r>
            <w:r w:rsidR="00FB124B" w:rsidRPr="008C74A3">
              <w:rPr>
                <w:webHidden/>
              </w:rPr>
              <w:instrText xml:space="preserve"> PAGEREF _Toc148384171 \h </w:instrText>
            </w:r>
            <w:r w:rsidR="00FB124B" w:rsidRPr="008C74A3">
              <w:rPr>
                <w:webHidden/>
              </w:rPr>
            </w:r>
            <w:r w:rsidR="00FB124B" w:rsidRPr="008C74A3">
              <w:rPr>
                <w:webHidden/>
              </w:rPr>
              <w:fldChar w:fldCharType="separate"/>
            </w:r>
            <w:r w:rsidR="003C06A1" w:rsidRPr="008C74A3">
              <w:rPr>
                <w:webHidden/>
              </w:rPr>
              <w:t>3</w:t>
            </w:r>
            <w:r w:rsidR="00FB124B" w:rsidRPr="008C74A3">
              <w:rPr>
                <w:webHidden/>
              </w:rPr>
              <w:fldChar w:fldCharType="end"/>
            </w:r>
          </w:hyperlink>
        </w:p>
        <w:p w14:paraId="27AFF7C5" w14:textId="5B2A2A78"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72" w:history="1">
            <w:r w:rsidR="00FB124B" w:rsidRPr="008C74A3">
              <w:rPr>
                <w:rStyle w:val="Hyperlink"/>
              </w:rPr>
              <w:t>Overview</w:t>
            </w:r>
            <w:r w:rsidR="00FB124B" w:rsidRPr="008C74A3">
              <w:rPr>
                <w:webHidden/>
              </w:rPr>
              <w:tab/>
            </w:r>
            <w:r w:rsidR="00FB124B" w:rsidRPr="008C74A3">
              <w:rPr>
                <w:webHidden/>
              </w:rPr>
              <w:fldChar w:fldCharType="begin"/>
            </w:r>
            <w:r w:rsidR="00FB124B" w:rsidRPr="008C74A3">
              <w:rPr>
                <w:webHidden/>
              </w:rPr>
              <w:instrText xml:space="preserve"> PAGEREF _Toc148384172 \h </w:instrText>
            </w:r>
            <w:r w:rsidR="00FB124B" w:rsidRPr="008C74A3">
              <w:rPr>
                <w:webHidden/>
              </w:rPr>
            </w:r>
            <w:r w:rsidR="00FB124B" w:rsidRPr="008C74A3">
              <w:rPr>
                <w:webHidden/>
              </w:rPr>
              <w:fldChar w:fldCharType="separate"/>
            </w:r>
            <w:r w:rsidR="003C06A1" w:rsidRPr="008C74A3">
              <w:rPr>
                <w:webHidden/>
              </w:rPr>
              <w:t>3</w:t>
            </w:r>
            <w:r w:rsidR="00FB124B" w:rsidRPr="008C74A3">
              <w:rPr>
                <w:webHidden/>
              </w:rPr>
              <w:fldChar w:fldCharType="end"/>
            </w:r>
          </w:hyperlink>
        </w:p>
        <w:p w14:paraId="24C1183C" w14:textId="3066570A"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73" w:history="1">
            <w:r w:rsidR="00FB124B" w:rsidRPr="008C74A3">
              <w:rPr>
                <w:rStyle w:val="Hyperlink"/>
              </w:rPr>
              <w:t>Consultation Process</w:t>
            </w:r>
            <w:r w:rsidR="00FB124B" w:rsidRPr="008C74A3">
              <w:rPr>
                <w:webHidden/>
              </w:rPr>
              <w:tab/>
            </w:r>
            <w:r w:rsidR="00FB124B" w:rsidRPr="008C74A3">
              <w:rPr>
                <w:webHidden/>
              </w:rPr>
              <w:fldChar w:fldCharType="begin"/>
            </w:r>
            <w:r w:rsidR="00FB124B" w:rsidRPr="008C74A3">
              <w:rPr>
                <w:webHidden/>
              </w:rPr>
              <w:instrText xml:space="preserve"> PAGEREF _Toc148384173 \h </w:instrText>
            </w:r>
            <w:r w:rsidR="00FB124B" w:rsidRPr="008C74A3">
              <w:rPr>
                <w:webHidden/>
              </w:rPr>
            </w:r>
            <w:r w:rsidR="00FB124B" w:rsidRPr="008C74A3">
              <w:rPr>
                <w:webHidden/>
              </w:rPr>
              <w:fldChar w:fldCharType="separate"/>
            </w:r>
            <w:r w:rsidR="003C06A1" w:rsidRPr="008C74A3">
              <w:rPr>
                <w:webHidden/>
              </w:rPr>
              <w:t>4</w:t>
            </w:r>
            <w:r w:rsidR="00FB124B" w:rsidRPr="008C74A3">
              <w:rPr>
                <w:webHidden/>
              </w:rPr>
              <w:fldChar w:fldCharType="end"/>
            </w:r>
          </w:hyperlink>
        </w:p>
        <w:p w14:paraId="1ECB7D35" w14:textId="466C16D4"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74" w:history="1">
            <w:r w:rsidR="00FB124B" w:rsidRPr="008C74A3">
              <w:rPr>
                <w:rStyle w:val="Hyperlink"/>
              </w:rPr>
              <w:t>Section 1: Foundations</w:t>
            </w:r>
            <w:r w:rsidR="00FB124B" w:rsidRPr="008C74A3">
              <w:rPr>
                <w:webHidden/>
              </w:rPr>
              <w:tab/>
            </w:r>
            <w:r w:rsidR="00FB124B" w:rsidRPr="008C74A3">
              <w:rPr>
                <w:webHidden/>
              </w:rPr>
              <w:fldChar w:fldCharType="begin"/>
            </w:r>
            <w:r w:rsidR="00FB124B" w:rsidRPr="008C74A3">
              <w:rPr>
                <w:webHidden/>
              </w:rPr>
              <w:instrText xml:space="preserve"> PAGEREF _Toc148384174 \h </w:instrText>
            </w:r>
            <w:r w:rsidR="00FB124B" w:rsidRPr="008C74A3">
              <w:rPr>
                <w:webHidden/>
              </w:rPr>
            </w:r>
            <w:r w:rsidR="00FB124B" w:rsidRPr="008C74A3">
              <w:rPr>
                <w:webHidden/>
              </w:rPr>
              <w:fldChar w:fldCharType="separate"/>
            </w:r>
            <w:r w:rsidR="003C06A1" w:rsidRPr="008C74A3">
              <w:rPr>
                <w:webHidden/>
              </w:rPr>
              <w:t>5</w:t>
            </w:r>
            <w:r w:rsidR="00FB124B" w:rsidRPr="008C74A3">
              <w:rPr>
                <w:webHidden/>
              </w:rPr>
              <w:fldChar w:fldCharType="end"/>
            </w:r>
          </w:hyperlink>
        </w:p>
        <w:p w14:paraId="7F8F11B3" w14:textId="6EE39FDB"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75" w:history="1">
            <w:r w:rsidR="00FB124B" w:rsidRPr="008C74A3">
              <w:rPr>
                <w:rStyle w:val="Hyperlink"/>
              </w:rPr>
              <w:t>1.    Users and Objectives</w:t>
            </w:r>
            <w:r w:rsidR="00FB124B" w:rsidRPr="008C74A3">
              <w:rPr>
                <w:webHidden/>
              </w:rPr>
              <w:tab/>
            </w:r>
            <w:r w:rsidR="00FB124B" w:rsidRPr="008C74A3">
              <w:rPr>
                <w:webHidden/>
              </w:rPr>
              <w:fldChar w:fldCharType="begin"/>
            </w:r>
            <w:r w:rsidR="00FB124B" w:rsidRPr="008C74A3">
              <w:rPr>
                <w:webHidden/>
              </w:rPr>
              <w:instrText xml:space="preserve"> PAGEREF _Toc148384175 \h </w:instrText>
            </w:r>
            <w:r w:rsidR="00FB124B" w:rsidRPr="008C74A3">
              <w:rPr>
                <w:webHidden/>
              </w:rPr>
            </w:r>
            <w:r w:rsidR="00FB124B" w:rsidRPr="008C74A3">
              <w:rPr>
                <w:webHidden/>
              </w:rPr>
              <w:fldChar w:fldCharType="separate"/>
            </w:r>
            <w:r w:rsidR="003C06A1" w:rsidRPr="008C74A3">
              <w:rPr>
                <w:webHidden/>
              </w:rPr>
              <w:t>5</w:t>
            </w:r>
            <w:r w:rsidR="00FB124B" w:rsidRPr="008C74A3">
              <w:rPr>
                <w:webHidden/>
              </w:rPr>
              <w:fldChar w:fldCharType="end"/>
            </w:r>
          </w:hyperlink>
        </w:p>
        <w:p w14:paraId="2EA6E9C1" w14:textId="616241A6"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76" w:history="1">
            <w:r w:rsidR="00FB124B" w:rsidRPr="008C74A3">
              <w:rPr>
                <w:rStyle w:val="Hyperlink"/>
              </w:rPr>
              <w:t>2.   Characteristics of Useful Information</w:t>
            </w:r>
            <w:r w:rsidR="00FB124B" w:rsidRPr="008C74A3">
              <w:rPr>
                <w:webHidden/>
              </w:rPr>
              <w:tab/>
            </w:r>
            <w:r w:rsidR="00FB124B" w:rsidRPr="008C74A3">
              <w:rPr>
                <w:webHidden/>
              </w:rPr>
              <w:fldChar w:fldCharType="begin"/>
            </w:r>
            <w:r w:rsidR="00FB124B" w:rsidRPr="008C74A3">
              <w:rPr>
                <w:webHidden/>
              </w:rPr>
              <w:instrText xml:space="preserve"> PAGEREF _Toc148384176 \h </w:instrText>
            </w:r>
            <w:r w:rsidR="00FB124B" w:rsidRPr="008C74A3">
              <w:rPr>
                <w:webHidden/>
              </w:rPr>
            </w:r>
            <w:r w:rsidR="00FB124B" w:rsidRPr="008C74A3">
              <w:rPr>
                <w:webHidden/>
              </w:rPr>
              <w:fldChar w:fldCharType="separate"/>
            </w:r>
            <w:r w:rsidR="003C06A1" w:rsidRPr="008C74A3">
              <w:rPr>
                <w:webHidden/>
              </w:rPr>
              <w:t>5</w:t>
            </w:r>
            <w:r w:rsidR="00FB124B" w:rsidRPr="008C74A3">
              <w:rPr>
                <w:webHidden/>
              </w:rPr>
              <w:fldChar w:fldCharType="end"/>
            </w:r>
          </w:hyperlink>
        </w:p>
        <w:p w14:paraId="54624FFA" w14:textId="1B3725F1"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77" w:history="1">
            <w:r w:rsidR="00FB124B" w:rsidRPr="008C74A3">
              <w:rPr>
                <w:rStyle w:val="Hyperlink"/>
              </w:rPr>
              <w:t>Section 2: Content and Structure</w:t>
            </w:r>
            <w:r w:rsidR="00FB124B" w:rsidRPr="008C74A3">
              <w:rPr>
                <w:webHidden/>
              </w:rPr>
              <w:tab/>
            </w:r>
            <w:r w:rsidR="00FB124B" w:rsidRPr="008C74A3">
              <w:rPr>
                <w:webHidden/>
              </w:rPr>
              <w:fldChar w:fldCharType="begin"/>
            </w:r>
            <w:r w:rsidR="00FB124B" w:rsidRPr="008C74A3">
              <w:rPr>
                <w:webHidden/>
              </w:rPr>
              <w:instrText xml:space="preserve"> PAGEREF _Toc148384177 \h </w:instrText>
            </w:r>
            <w:r w:rsidR="00FB124B" w:rsidRPr="008C74A3">
              <w:rPr>
                <w:webHidden/>
              </w:rPr>
            </w:r>
            <w:r w:rsidR="00FB124B" w:rsidRPr="008C74A3">
              <w:rPr>
                <w:webHidden/>
              </w:rPr>
              <w:fldChar w:fldCharType="separate"/>
            </w:r>
            <w:r w:rsidR="003C06A1" w:rsidRPr="008C74A3">
              <w:rPr>
                <w:webHidden/>
              </w:rPr>
              <w:t>6</w:t>
            </w:r>
            <w:r w:rsidR="00FB124B" w:rsidRPr="008C74A3">
              <w:rPr>
                <w:webHidden/>
              </w:rPr>
              <w:fldChar w:fldCharType="end"/>
            </w:r>
          </w:hyperlink>
        </w:p>
        <w:p w14:paraId="5AA312DE" w14:textId="3CDBBDD5"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78" w:history="1">
            <w:r w:rsidR="00FB124B" w:rsidRPr="008C74A3">
              <w:rPr>
                <w:rStyle w:val="Hyperlink"/>
              </w:rPr>
              <w:t>Visual Summary</w:t>
            </w:r>
            <w:r w:rsidR="00FB124B" w:rsidRPr="008C74A3">
              <w:rPr>
                <w:webHidden/>
              </w:rPr>
              <w:tab/>
            </w:r>
            <w:r w:rsidR="00FB124B" w:rsidRPr="008C74A3">
              <w:rPr>
                <w:webHidden/>
              </w:rPr>
              <w:fldChar w:fldCharType="begin"/>
            </w:r>
            <w:r w:rsidR="00FB124B" w:rsidRPr="008C74A3">
              <w:rPr>
                <w:webHidden/>
              </w:rPr>
              <w:instrText xml:space="preserve"> PAGEREF _Toc148384178 \h </w:instrText>
            </w:r>
            <w:r w:rsidR="00FB124B" w:rsidRPr="008C74A3">
              <w:rPr>
                <w:webHidden/>
              </w:rPr>
            </w:r>
            <w:r w:rsidR="00FB124B" w:rsidRPr="008C74A3">
              <w:rPr>
                <w:webHidden/>
              </w:rPr>
              <w:fldChar w:fldCharType="separate"/>
            </w:r>
            <w:r w:rsidR="003C06A1" w:rsidRPr="008C74A3">
              <w:rPr>
                <w:webHidden/>
              </w:rPr>
              <w:t>7</w:t>
            </w:r>
            <w:r w:rsidR="00FB124B" w:rsidRPr="008C74A3">
              <w:rPr>
                <w:webHidden/>
              </w:rPr>
              <w:fldChar w:fldCharType="end"/>
            </w:r>
          </w:hyperlink>
        </w:p>
        <w:p w14:paraId="3D17C1D0" w14:textId="1B08919C" w:rsidR="00FB124B" w:rsidRPr="008C74A3" w:rsidRDefault="00000000">
          <w:pPr>
            <w:pStyle w:val="TOC1"/>
            <w:rPr>
              <w:rFonts w:asciiTheme="minorHAnsi" w:eastAsiaTheme="minorEastAsia" w:hAnsiTheme="minorHAnsi" w:cstheme="minorBidi"/>
              <w:b w:val="0"/>
              <w:bCs w:val="0"/>
              <w:caps w:val="0"/>
              <w:kern w:val="2"/>
              <w:sz w:val="22"/>
              <w:szCs w:val="22"/>
              <w:lang w:eastAsia="en-US"/>
              <w14:ligatures w14:val="standardContextual"/>
            </w:rPr>
          </w:pPr>
          <w:hyperlink w:anchor="_Toc148384179" w:history="1">
            <w:r w:rsidR="00FB124B" w:rsidRPr="008C74A3">
              <w:rPr>
                <w:rStyle w:val="Hyperlink"/>
              </w:rPr>
              <w:t>Context, Benefits, and Next Steps</w:t>
            </w:r>
            <w:r w:rsidR="00FB124B" w:rsidRPr="008C74A3">
              <w:rPr>
                <w:webHidden/>
              </w:rPr>
              <w:tab/>
            </w:r>
            <w:r w:rsidR="00FB124B" w:rsidRPr="008C74A3">
              <w:rPr>
                <w:webHidden/>
              </w:rPr>
              <w:fldChar w:fldCharType="begin"/>
            </w:r>
            <w:r w:rsidR="00FB124B" w:rsidRPr="008C74A3">
              <w:rPr>
                <w:webHidden/>
              </w:rPr>
              <w:instrText xml:space="preserve"> PAGEREF _Toc148384179 \h </w:instrText>
            </w:r>
            <w:r w:rsidR="00FB124B" w:rsidRPr="008C74A3">
              <w:rPr>
                <w:webHidden/>
              </w:rPr>
            </w:r>
            <w:r w:rsidR="00FB124B" w:rsidRPr="008C74A3">
              <w:rPr>
                <w:webHidden/>
              </w:rPr>
              <w:fldChar w:fldCharType="separate"/>
            </w:r>
            <w:r w:rsidR="003C06A1" w:rsidRPr="008C74A3">
              <w:rPr>
                <w:webHidden/>
              </w:rPr>
              <w:t>8</w:t>
            </w:r>
            <w:r w:rsidR="00FB124B" w:rsidRPr="008C74A3">
              <w:rPr>
                <w:webHidden/>
              </w:rPr>
              <w:fldChar w:fldCharType="end"/>
            </w:r>
          </w:hyperlink>
        </w:p>
        <w:p w14:paraId="5373295E" w14:textId="3D7AABAF"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80" w:history="1">
            <w:r w:rsidR="00FB124B" w:rsidRPr="008C74A3">
              <w:rPr>
                <w:rStyle w:val="Hyperlink"/>
              </w:rPr>
              <w:t>Context: Sources and Interoperability</w:t>
            </w:r>
            <w:r w:rsidR="00FB124B" w:rsidRPr="008C74A3">
              <w:rPr>
                <w:webHidden/>
              </w:rPr>
              <w:tab/>
            </w:r>
            <w:r w:rsidR="00FB124B" w:rsidRPr="008C74A3">
              <w:rPr>
                <w:webHidden/>
              </w:rPr>
              <w:fldChar w:fldCharType="begin"/>
            </w:r>
            <w:r w:rsidR="00FB124B" w:rsidRPr="008C74A3">
              <w:rPr>
                <w:webHidden/>
              </w:rPr>
              <w:instrText xml:space="preserve"> PAGEREF _Toc148384180 \h </w:instrText>
            </w:r>
            <w:r w:rsidR="00FB124B" w:rsidRPr="008C74A3">
              <w:rPr>
                <w:webHidden/>
              </w:rPr>
            </w:r>
            <w:r w:rsidR="00FB124B" w:rsidRPr="008C74A3">
              <w:rPr>
                <w:webHidden/>
              </w:rPr>
              <w:fldChar w:fldCharType="separate"/>
            </w:r>
            <w:r w:rsidR="003C06A1" w:rsidRPr="008C74A3">
              <w:rPr>
                <w:webHidden/>
              </w:rPr>
              <w:t>8</w:t>
            </w:r>
            <w:r w:rsidR="00FB124B" w:rsidRPr="008C74A3">
              <w:rPr>
                <w:webHidden/>
              </w:rPr>
              <w:fldChar w:fldCharType="end"/>
            </w:r>
          </w:hyperlink>
        </w:p>
        <w:p w14:paraId="0406EF11" w14:textId="76F83299"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81" w:history="1">
            <w:r w:rsidR="00FB124B" w:rsidRPr="008C74A3">
              <w:rPr>
                <w:rStyle w:val="Hyperlink"/>
              </w:rPr>
              <w:t>Benefits</w:t>
            </w:r>
            <w:r w:rsidR="00FB124B" w:rsidRPr="008C74A3">
              <w:rPr>
                <w:webHidden/>
              </w:rPr>
              <w:tab/>
            </w:r>
            <w:r w:rsidR="00FB124B" w:rsidRPr="008C74A3">
              <w:rPr>
                <w:webHidden/>
              </w:rPr>
              <w:fldChar w:fldCharType="begin"/>
            </w:r>
            <w:r w:rsidR="00FB124B" w:rsidRPr="008C74A3">
              <w:rPr>
                <w:webHidden/>
              </w:rPr>
              <w:instrText xml:space="preserve"> PAGEREF _Toc148384181 \h </w:instrText>
            </w:r>
            <w:r w:rsidR="00FB124B" w:rsidRPr="008C74A3">
              <w:rPr>
                <w:webHidden/>
              </w:rPr>
            </w:r>
            <w:r w:rsidR="00FB124B" w:rsidRPr="008C74A3">
              <w:rPr>
                <w:webHidden/>
              </w:rPr>
              <w:fldChar w:fldCharType="separate"/>
            </w:r>
            <w:r w:rsidR="003C06A1" w:rsidRPr="008C74A3">
              <w:rPr>
                <w:webHidden/>
              </w:rPr>
              <w:t>9</w:t>
            </w:r>
            <w:r w:rsidR="00FB124B" w:rsidRPr="008C74A3">
              <w:rPr>
                <w:webHidden/>
              </w:rPr>
              <w:fldChar w:fldCharType="end"/>
            </w:r>
          </w:hyperlink>
        </w:p>
        <w:p w14:paraId="190E1294" w14:textId="1B082307"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82" w:history="1">
            <w:r w:rsidR="00FB124B" w:rsidRPr="008C74A3">
              <w:rPr>
                <w:rStyle w:val="Hyperlink"/>
              </w:rPr>
              <w:t>Next Steps: Implementing the Draft Reporting Norms</w:t>
            </w:r>
            <w:r w:rsidR="00FB124B" w:rsidRPr="008C74A3">
              <w:rPr>
                <w:webHidden/>
              </w:rPr>
              <w:tab/>
            </w:r>
            <w:r w:rsidR="00FB124B" w:rsidRPr="008C74A3">
              <w:rPr>
                <w:webHidden/>
              </w:rPr>
              <w:fldChar w:fldCharType="begin"/>
            </w:r>
            <w:r w:rsidR="00FB124B" w:rsidRPr="008C74A3">
              <w:rPr>
                <w:webHidden/>
              </w:rPr>
              <w:instrText xml:space="preserve"> PAGEREF _Toc148384182 \h </w:instrText>
            </w:r>
            <w:r w:rsidR="00FB124B" w:rsidRPr="008C74A3">
              <w:rPr>
                <w:webHidden/>
              </w:rPr>
            </w:r>
            <w:r w:rsidR="00FB124B" w:rsidRPr="008C74A3">
              <w:rPr>
                <w:webHidden/>
              </w:rPr>
              <w:fldChar w:fldCharType="separate"/>
            </w:r>
            <w:r w:rsidR="003C06A1" w:rsidRPr="008C74A3">
              <w:rPr>
                <w:webHidden/>
              </w:rPr>
              <w:t>10</w:t>
            </w:r>
            <w:r w:rsidR="00FB124B" w:rsidRPr="008C74A3">
              <w:rPr>
                <w:webHidden/>
              </w:rPr>
              <w:fldChar w:fldCharType="end"/>
            </w:r>
          </w:hyperlink>
        </w:p>
        <w:p w14:paraId="4BEB8278" w14:textId="23FFA7FF" w:rsidR="00FB124B" w:rsidRPr="008C74A3" w:rsidRDefault="00000000">
          <w:pPr>
            <w:pStyle w:val="TOC1"/>
            <w:rPr>
              <w:rFonts w:asciiTheme="minorHAnsi" w:eastAsiaTheme="minorEastAsia" w:hAnsiTheme="minorHAnsi" w:cstheme="minorBidi"/>
              <w:b w:val="0"/>
              <w:bCs w:val="0"/>
              <w:caps w:val="0"/>
              <w:kern w:val="2"/>
              <w:sz w:val="22"/>
              <w:szCs w:val="22"/>
              <w:lang w:eastAsia="en-US"/>
              <w14:ligatures w14:val="standardContextual"/>
            </w:rPr>
          </w:pPr>
          <w:hyperlink w:anchor="_Toc148384183" w:history="1">
            <w:r w:rsidR="00FB124B" w:rsidRPr="008C74A3">
              <w:rPr>
                <w:rStyle w:val="Hyperlink"/>
              </w:rPr>
              <w:t>Terms and Definitions</w:t>
            </w:r>
            <w:r w:rsidR="00FB124B" w:rsidRPr="008C74A3">
              <w:rPr>
                <w:webHidden/>
              </w:rPr>
              <w:tab/>
            </w:r>
            <w:r w:rsidR="00FB124B" w:rsidRPr="008C74A3">
              <w:rPr>
                <w:webHidden/>
              </w:rPr>
              <w:fldChar w:fldCharType="begin"/>
            </w:r>
            <w:r w:rsidR="00FB124B" w:rsidRPr="008C74A3">
              <w:rPr>
                <w:webHidden/>
              </w:rPr>
              <w:instrText xml:space="preserve"> PAGEREF _Toc148384183 \h </w:instrText>
            </w:r>
            <w:r w:rsidR="00FB124B" w:rsidRPr="008C74A3">
              <w:rPr>
                <w:webHidden/>
              </w:rPr>
            </w:r>
            <w:r w:rsidR="00FB124B" w:rsidRPr="008C74A3">
              <w:rPr>
                <w:webHidden/>
              </w:rPr>
              <w:fldChar w:fldCharType="separate"/>
            </w:r>
            <w:r w:rsidR="003C06A1" w:rsidRPr="008C74A3">
              <w:rPr>
                <w:webHidden/>
              </w:rPr>
              <w:t>12</w:t>
            </w:r>
            <w:r w:rsidR="00FB124B" w:rsidRPr="008C74A3">
              <w:rPr>
                <w:webHidden/>
              </w:rPr>
              <w:fldChar w:fldCharType="end"/>
            </w:r>
          </w:hyperlink>
        </w:p>
        <w:p w14:paraId="24F9131B" w14:textId="5EA5410E" w:rsidR="00FB124B" w:rsidRPr="008C74A3" w:rsidRDefault="00000000">
          <w:pPr>
            <w:pStyle w:val="TOC1"/>
            <w:rPr>
              <w:rFonts w:asciiTheme="minorHAnsi" w:eastAsiaTheme="minorEastAsia" w:hAnsiTheme="minorHAnsi" w:cstheme="minorBidi"/>
              <w:b w:val="0"/>
              <w:bCs w:val="0"/>
              <w:caps w:val="0"/>
              <w:kern w:val="2"/>
              <w:sz w:val="22"/>
              <w:szCs w:val="22"/>
              <w:lang w:eastAsia="en-US"/>
              <w14:ligatures w14:val="standardContextual"/>
            </w:rPr>
          </w:pPr>
          <w:hyperlink w:anchor="_Toc148384184" w:history="1">
            <w:r w:rsidR="00FB124B" w:rsidRPr="008C74A3">
              <w:rPr>
                <w:rStyle w:val="Hyperlink"/>
              </w:rPr>
              <w:t>Draft Impact Performance Reporting Norms</w:t>
            </w:r>
            <w:r w:rsidR="00FB124B" w:rsidRPr="008C74A3">
              <w:rPr>
                <w:webHidden/>
              </w:rPr>
              <w:tab/>
            </w:r>
            <w:r w:rsidR="00FB124B" w:rsidRPr="008C74A3">
              <w:rPr>
                <w:webHidden/>
              </w:rPr>
              <w:fldChar w:fldCharType="begin"/>
            </w:r>
            <w:r w:rsidR="00FB124B" w:rsidRPr="008C74A3">
              <w:rPr>
                <w:webHidden/>
              </w:rPr>
              <w:instrText xml:space="preserve"> PAGEREF _Toc148384184 \h </w:instrText>
            </w:r>
            <w:r w:rsidR="00FB124B" w:rsidRPr="008C74A3">
              <w:rPr>
                <w:webHidden/>
              </w:rPr>
            </w:r>
            <w:r w:rsidR="00FB124B" w:rsidRPr="008C74A3">
              <w:rPr>
                <w:webHidden/>
              </w:rPr>
              <w:fldChar w:fldCharType="separate"/>
            </w:r>
            <w:r w:rsidR="003C06A1" w:rsidRPr="008C74A3">
              <w:rPr>
                <w:webHidden/>
              </w:rPr>
              <w:t>18</w:t>
            </w:r>
            <w:r w:rsidR="00FB124B" w:rsidRPr="008C74A3">
              <w:rPr>
                <w:webHidden/>
              </w:rPr>
              <w:fldChar w:fldCharType="end"/>
            </w:r>
          </w:hyperlink>
        </w:p>
        <w:p w14:paraId="025EC0AA" w14:textId="4C62EB2C"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85" w:history="1">
            <w:r w:rsidR="00FB124B" w:rsidRPr="008C74A3">
              <w:rPr>
                <w:rStyle w:val="Hyperlink"/>
              </w:rPr>
              <w:t>Section 1: Foundations</w:t>
            </w:r>
            <w:r w:rsidR="00FB124B" w:rsidRPr="008C74A3">
              <w:rPr>
                <w:webHidden/>
              </w:rPr>
              <w:tab/>
            </w:r>
            <w:r w:rsidR="00FB124B" w:rsidRPr="008C74A3">
              <w:rPr>
                <w:webHidden/>
              </w:rPr>
              <w:fldChar w:fldCharType="begin"/>
            </w:r>
            <w:r w:rsidR="00FB124B" w:rsidRPr="008C74A3">
              <w:rPr>
                <w:webHidden/>
              </w:rPr>
              <w:instrText xml:space="preserve"> PAGEREF _Toc148384185 \h </w:instrText>
            </w:r>
            <w:r w:rsidR="00FB124B" w:rsidRPr="008C74A3">
              <w:rPr>
                <w:webHidden/>
              </w:rPr>
            </w:r>
            <w:r w:rsidR="00FB124B" w:rsidRPr="008C74A3">
              <w:rPr>
                <w:webHidden/>
              </w:rPr>
              <w:fldChar w:fldCharType="separate"/>
            </w:r>
            <w:r w:rsidR="003C06A1" w:rsidRPr="008C74A3">
              <w:rPr>
                <w:webHidden/>
              </w:rPr>
              <w:t>19</w:t>
            </w:r>
            <w:r w:rsidR="00FB124B" w:rsidRPr="008C74A3">
              <w:rPr>
                <w:webHidden/>
              </w:rPr>
              <w:fldChar w:fldCharType="end"/>
            </w:r>
          </w:hyperlink>
        </w:p>
        <w:p w14:paraId="0811E2AC" w14:textId="6B7730B2"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86" w:history="1">
            <w:r w:rsidR="00FB124B" w:rsidRPr="008C74A3">
              <w:rPr>
                <w:rStyle w:val="Hyperlink"/>
              </w:rPr>
              <w:t>1.</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Users and Objectives of Impact Performance Reports</w:t>
            </w:r>
            <w:r w:rsidR="00FB124B" w:rsidRPr="008C74A3">
              <w:rPr>
                <w:webHidden/>
              </w:rPr>
              <w:tab/>
            </w:r>
            <w:r w:rsidR="00FB124B" w:rsidRPr="008C74A3">
              <w:rPr>
                <w:webHidden/>
              </w:rPr>
              <w:fldChar w:fldCharType="begin"/>
            </w:r>
            <w:r w:rsidR="00FB124B" w:rsidRPr="008C74A3">
              <w:rPr>
                <w:webHidden/>
              </w:rPr>
              <w:instrText xml:space="preserve"> PAGEREF _Toc148384186 \h </w:instrText>
            </w:r>
            <w:r w:rsidR="00FB124B" w:rsidRPr="008C74A3">
              <w:rPr>
                <w:webHidden/>
              </w:rPr>
            </w:r>
            <w:r w:rsidR="00FB124B" w:rsidRPr="008C74A3">
              <w:rPr>
                <w:webHidden/>
              </w:rPr>
              <w:fldChar w:fldCharType="separate"/>
            </w:r>
            <w:r w:rsidR="003C06A1" w:rsidRPr="008C74A3">
              <w:rPr>
                <w:webHidden/>
              </w:rPr>
              <w:t>19</w:t>
            </w:r>
            <w:r w:rsidR="00FB124B" w:rsidRPr="008C74A3">
              <w:rPr>
                <w:webHidden/>
              </w:rPr>
              <w:fldChar w:fldCharType="end"/>
            </w:r>
          </w:hyperlink>
        </w:p>
        <w:p w14:paraId="31319AB5" w14:textId="13AAA61E"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87" w:history="1">
            <w:r w:rsidR="00FB124B" w:rsidRPr="008C74A3">
              <w:rPr>
                <w:rStyle w:val="Hyperlink"/>
              </w:rPr>
              <w:t>2.</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Characteristics of Useful Information</w:t>
            </w:r>
            <w:r w:rsidR="00FB124B" w:rsidRPr="008C74A3">
              <w:rPr>
                <w:webHidden/>
              </w:rPr>
              <w:tab/>
            </w:r>
            <w:r w:rsidR="00FB124B" w:rsidRPr="008C74A3">
              <w:rPr>
                <w:webHidden/>
              </w:rPr>
              <w:fldChar w:fldCharType="begin"/>
            </w:r>
            <w:r w:rsidR="00FB124B" w:rsidRPr="008C74A3">
              <w:rPr>
                <w:webHidden/>
              </w:rPr>
              <w:instrText xml:space="preserve"> PAGEREF _Toc148384187 \h </w:instrText>
            </w:r>
            <w:r w:rsidR="00FB124B" w:rsidRPr="008C74A3">
              <w:rPr>
                <w:webHidden/>
              </w:rPr>
            </w:r>
            <w:r w:rsidR="00FB124B" w:rsidRPr="008C74A3">
              <w:rPr>
                <w:webHidden/>
              </w:rPr>
              <w:fldChar w:fldCharType="separate"/>
            </w:r>
            <w:r w:rsidR="003C06A1" w:rsidRPr="008C74A3">
              <w:rPr>
                <w:webHidden/>
              </w:rPr>
              <w:t>21</w:t>
            </w:r>
            <w:r w:rsidR="00FB124B" w:rsidRPr="008C74A3">
              <w:rPr>
                <w:webHidden/>
              </w:rPr>
              <w:fldChar w:fldCharType="end"/>
            </w:r>
          </w:hyperlink>
        </w:p>
        <w:p w14:paraId="5708E164" w14:textId="1F7A1AA8"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88" w:history="1">
            <w:r w:rsidR="00FB124B" w:rsidRPr="008C74A3">
              <w:rPr>
                <w:rStyle w:val="Hyperlink"/>
              </w:rPr>
              <w:t>Section 2: Content and Structure</w:t>
            </w:r>
            <w:r w:rsidR="00FB124B" w:rsidRPr="008C74A3">
              <w:rPr>
                <w:webHidden/>
              </w:rPr>
              <w:tab/>
            </w:r>
            <w:r w:rsidR="00FB124B" w:rsidRPr="008C74A3">
              <w:rPr>
                <w:webHidden/>
              </w:rPr>
              <w:fldChar w:fldCharType="begin"/>
            </w:r>
            <w:r w:rsidR="00FB124B" w:rsidRPr="008C74A3">
              <w:rPr>
                <w:webHidden/>
              </w:rPr>
              <w:instrText xml:space="preserve"> PAGEREF _Toc148384188 \h </w:instrText>
            </w:r>
            <w:r w:rsidR="00FB124B" w:rsidRPr="008C74A3">
              <w:rPr>
                <w:webHidden/>
              </w:rPr>
            </w:r>
            <w:r w:rsidR="00FB124B" w:rsidRPr="008C74A3">
              <w:rPr>
                <w:webHidden/>
              </w:rPr>
              <w:fldChar w:fldCharType="separate"/>
            </w:r>
            <w:r w:rsidR="003C06A1" w:rsidRPr="008C74A3">
              <w:rPr>
                <w:webHidden/>
              </w:rPr>
              <w:t>33</w:t>
            </w:r>
            <w:r w:rsidR="00FB124B" w:rsidRPr="008C74A3">
              <w:rPr>
                <w:webHidden/>
              </w:rPr>
              <w:fldChar w:fldCharType="end"/>
            </w:r>
          </w:hyperlink>
        </w:p>
        <w:p w14:paraId="0ABBAD82" w14:textId="10423D49"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89" w:history="1">
            <w:r w:rsidR="00FB124B" w:rsidRPr="008C74A3">
              <w:rPr>
                <w:rStyle w:val="Hyperlink"/>
              </w:rPr>
              <w:t>1.</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Entity Overview and Impact Thesis</w:t>
            </w:r>
            <w:r w:rsidR="00FB124B" w:rsidRPr="008C74A3">
              <w:rPr>
                <w:webHidden/>
              </w:rPr>
              <w:tab/>
            </w:r>
            <w:r w:rsidR="00FB124B" w:rsidRPr="008C74A3">
              <w:rPr>
                <w:webHidden/>
              </w:rPr>
              <w:fldChar w:fldCharType="begin"/>
            </w:r>
            <w:r w:rsidR="00FB124B" w:rsidRPr="008C74A3">
              <w:rPr>
                <w:webHidden/>
              </w:rPr>
              <w:instrText xml:space="preserve"> PAGEREF _Toc148384189 \h </w:instrText>
            </w:r>
            <w:r w:rsidR="00FB124B" w:rsidRPr="008C74A3">
              <w:rPr>
                <w:webHidden/>
              </w:rPr>
            </w:r>
            <w:r w:rsidR="00FB124B" w:rsidRPr="008C74A3">
              <w:rPr>
                <w:webHidden/>
              </w:rPr>
              <w:fldChar w:fldCharType="separate"/>
            </w:r>
            <w:r w:rsidR="003C06A1" w:rsidRPr="008C74A3">
              <w:rPr>
                <w:webHidden/>
              </w:rPr>
              <w:t>34</w:t>
            </w:r>
            <w:r w:rsidR="00FB124B" w:rsidRPr="008C74A3">
              <w:rPr>
                <w:webHidden/>
              </w:rPr>
              <w:fldChar w:fldCharType="end"/>
            </w:r>
          </w:hyperlink>
        </w:p>
        <w:p w14:paraId="5CFC0CDF" w14:textId="323BB70D"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90" w:history="1">
            <w:r w:rsidR="00FB124B" w:rsidRPr="008C74A3">
              <w:rPr>
                <w:rStyle w:val="Hyperlink"/>
              </w:rPr>
              <w:t>2.</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Impact Management Framework, Process, and Systems</w:t>
            </w:r>
            <w:r w:rsidR="00FB124B" w:rsidRPr="008C74A3">
              <w:rPr>
                <w:webHidden/>
              </w:rPr>
              <w:tab/>
            </w:r>
            <w:r w:rsidR="00FB124B" w:rsidRPr="008C74A3">
              <w:rPr>
                <w:webHidden/>
              </w:rPr>
              <w:fldChar w:fldCharType="begin"/>
            </w:r>
            <w:r w:rsidR="00FB124B" w:rsidRPr="008C74A3">
              <w:rPr>
                <w:webHidden/>
              </w:rPr>
              <w:instrText xml:space="preserve"> PAGEREF _Toc148384190 \h </w:instrText>
            </w:r>
            <w:r w:rsidR="00FB124B" w:rsidRPr="008C74A3">
              <w:rPr>
                <w:webHidden/>
              </w:rPr>
            </w:r>
            <w:r w:rsidR="00FB124B" w:rsidRPr="008C74A3">
              <w:rPr>
                <w:webHidden/>
              </w:rPr>
              <w:fldChar w:fldCharType="separate"/>
            </w:r>
            <w:r w:rsidR="003C06A1" w:rsidRPr="008C74A3">
              <w:rPr>
                <w:webHidden/>
              </w:rPr>
              <w:t>35</w:t>
            </w:r>
            <w:r w:rsidR="00FB124B" w:rsidRPr="008C74A3">
              <w:rPr>
                <w:webHidden/>
              </w:rPr>
              <w:fldChar w:fldCharType="end"/>
            </w:r>
          </w:hyperlink>
        </w:p>
        <w:p w14:paraId="4C86AD23" w14:textId="5F858440"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91" w:history="1">
            <w:r w:rsidR="00FB124B" w:rsidRPr="008C74A3">
              <w:rPr>
                <w:rStyle w:val="Hyperlink"/>
              </w:rPr>
              <w:t>3.</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Impact Performance</w:t>
            </w:r>
            <w:r w:rsidR="00FB124B" w:rsidRPr="008C74A3">
              <w:rPr>
                <w:webHidden/>
              </w:rPr>
              <w:tab/>
            </w:r>
            <w:r w:rsidR="00FB124B" w:rsidRPr="008C74A3">
              <w:rPr>
                <w:webHidden/>
              </w:rPr>
              <w:fldChar w:fldCharType="begin"/>
            </w:r>
            <w:r w:rsidR="00FB124B" w:rsidRPr="008C74A3">
              <w:rPr>
                <w:webHidden/>
              </w:rPr>
              <w:instrText xml:space="preserve"> PAGEREF _Toc148384191 \h </w:instrText>
            </w:r>
            <w:r w:rsidR="00FB124B" w:rsidRPr="008C74A3">
              <w:rPr>
                <w:webHidden/>
              </w:rPr>
            </w:r>
            <w:r w:rsidR="00FB124B" w:rsidRPr="008C74A3">
              <w:rPr>
                <w:webHidden/>
              </w:rPr>
              <w:fldChar w:fldCharType="separate"/>
            </w:r>
            <w:r w:rsidR="003C06A1" w:rsidRPr="008C74A3">
              <w:rPr>
                <w:webHidden/>
              </w:rPr>
              <w:t>36</w:t>
            </w:r>
            <w:r w:rsidR="00FB124B" w:rsidRPr="008C74A3">
              <w:rPr>
                <w:webHidden/>
              </w:rPr>
              <w:fldChar w:fldCharType="end"/>
            </w:r>
          </w:hyperlink>
        </w:p>
        <w:p w14:paraId="65AD07A8" w14:textId="2F18F125"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92" w:history="1">
            <w:r w:rsidR="00FB124B" w:rsidRPr="008C74A3">
              <w:rPr>
                <w:rStyle w:val="Hyperlink"/>
              </w:rPr>
              <w:t>4.</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Governance (Optional)</w:t>
            </w:r>
            <w:r w:rsidR="00FB124B" w:rsidRPr="008C74A3">
              <w:rPr>
                <w:webHidden/>
              </w:rPr>
              <w:tab/>
            </w:r>
            <w:r w:rsidR="00FB124B" w:rsidRPr="008C74A3">
              <w:rPr>
                <w:webHidden/>
              </w:rPr>
              <w:fldChar w:fldCharType="begin"/>
            </w:r>
            <w:r w:rsidR="00FB124B" w:rsidRPr="008C74A3">
              <w:rPr>
                <w:webHidden/>
              </w:rPr>
              <w:instrText xml:space="preserve"> PAGEREF _Toc148384192 \h </w:instrText>
            </w:r>
            <w:r w:rsidR="00FB124B" w:rsidRPr="008C74A3">
              <w:rPr>
                <w:webHidden/>
              </w:rPr>
            </w:r>
            <w:r w:rsidR="00FB124B" w:rsidRPr="008C74A3">
              <w:rPr>
                <w:webHidden/>
              </w:rPr>
              <w:fldChar w:fldCharType="separate"/>
            </w:r>
            <w:r w:rsidR="003C06A1" w:rsidRPr="008C74A3">
              <w:rPr>
                <w:webHidden/>
              </w:rPr>
              <w:t>40</w:t>
            </w:r>
            <w:r w:rsidR="00FB124B" w:rsidRPr="008C74A3">
              <w:rPr>
                <w:webHidden/>
              </w:rPr>
              <w:fldChar w:fldCharType="end"/>
            </w:r>
          </w:hyperlink>
        </w:p>
        <w:p w14:paraId="3A0BA01B" w14:textId="096BCD9C"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93" w:history="1">
            <w:r w:rsidR="00FB124B" w:rsidRPr="008C74A3">
              <w:rPr>
                <w:rStyle w:val="Hyperlink"/>
              </w:rPr>
              <w:t>5.</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Case Study (Optional)</w:t>
            </w:r>
            <w:r w:rsidR="00FB124B" w:rsidRPr="008C74A3">
              <w:rPr>
                <w:webHidden/>
              </w:rPr>
              <w:tab/>
            </w:r>
            <w:r w:rsidR="00FB124B" w:rsidRPr="008C74A3">
              <w:rPr>
                <w:webHidden/>
              </w:rPr>
              <w:fldChar w:fldCharType="begin"/>
            </w:r>
            <w:r w:rsidR="00FB124B" w:rsidRPr="008C74A3">
              <w:rPr>
                <w:webHidden/>
              </w:rPr>
              <w:instrText xml:space="preserve"> PAGEREF _Toc148384193 \h </w:instrText>
            </w:r>
            <w:r w:rsidR="00FB124B" w:rsidRPr="008C74A3">
              <w:rPr>
                <w:webHidden/>
              </w:rPr>
            </w:r>
            <w:r w:rsidR="00FB124B" w:rsidRPr="008C74A3">
              <w:rPr>
                <w:webHidden/>
              </w:rPr>
              <w:fldChar w:fldCharType="separate"/>
            </w:r>
            <w:r w:rsidR="003C06A1" w:rsidRPr="008C74A3">
              <w:rPr>
                <w:webHidden/>
              </w:rPr>
              <w:t>41</w:t>
            </w:r>
            <w:r w:rsidR="00FB124B" w:rsidRPr="008C74A3">
              <w:rPr>
                <w:webHidden/>
              </w:rPr>
              <w:fldChar w:fldCharType="end"/>
            </w:r>
          </w:hyperlink>
        </w:p>
        <w:p w14:paraId="6B0A111C" w14:textId="3A90BF26" w:rsidR="00FB124B" w:rsidRPr="008C74A3" w:rsidRDefault="00000000">
          <w:pPr>
            <w:pStyle w:val="TOC3"/>
            <w:rPr>
              <w:rFonts w:asciiTheme="minorHAnsi" w:eastAsiaTheme="minorEastAsia" w:hAnsiTheme="minorHAnsi" w:cstheme="minorBidi"/>
              <w:i w:val="0"/>
              <w:iCs w:val="0"/>
              <w:kern w:val="2"/>
              <w:sz w:val="22"/>
              <w:szCs w:val="22"/>
              <w:lang w:eastAsia="en-US"/>
              <w14:ligatures w14:val="standardContextual"/>
            </w:rPr>
          </w:pPr>
          <w:hyperlink w:anchor="_Toc148384194" w:history="1">
            <w:r w:rsidR="00FB124B" w:rsidRPr="008C74A3">
              <w:rPr>
                <w:rStyle w:val="Hyperlink"/>
              </w:rPr>
              <w:t>6.</w:t>
            </w:r>
            <w:r w:rsidR="00FB124B" w:rsidRPr="008C74A3">
              <w:rPr>
                <w:rFonts w:asciiTheme="minorHAnsi" w:eastAsiaTheme="minorEastAsia" w:hAnsiTheme="minorHAnsi" w:cstheme="minorBidi"/>
                <w:i w:val="0"/>
                <w:iCs w:val="0"/>
                <w:kern w:val="2"/>
                <w:sz w:val="22"/>
                <w:szCs w:val="22"/>
                <w:lang w:eastAsia="en-US"/>
                <w14:ligatures w14:val="standardContextual"/>
              </w:rPr>
              <w:tab/>
            </w:r>
            <w:r w:rsidR="00FB124B" w:rsidRPr="008C74A3">
              <w:rPr>
                <w:rStyle w:val="Hyperlink"/>
              </w:rPr>
              <w:t>Independent Review (Optional)</w:t>
            </w:r>
            <w:r w:rsidR="00FB124B" w:rsidRPr="008C74A3">
              <w:rPr>
                <w:webHidden/>
              </w:rPr>
              <w:tab/>
            </w:r>
            <w:r w:rsidR="00FB124B" w:rsidRPr="008C74A3">
              <w:rPr>
                <w:webHidden/>
              </w:rPr>
              <w:fldChar w:fldCharType="begin"/>
            </w:r>
            <w:r w:rsidR="00FB124B" w:rsidRPr="008C74A3">
              <w:rPr>
                <w:webHidden/>
              </w:rPr>
              <w:instrText xml:space="preserve"> PAGEREF _Toc148384194 \h </w:instrText>
            </w:r>
            <w:r w:rsidR="00FB124B" w:rsidRPr="008C74A3">
              <w:rPr>
                <w:webHidden/>
              </w:rPr>
            </w:r>
            <w:r w:rsidR="00FB124B" w:rsidRPr="008C74A3">
              <w:rPr>
                <w:webHidden/>
              </w:rPr>
              <w:fldChar w:fldCharType="separate"/>
            </w:r>
            <w:r w:rsidR="003C06A1" w:rsidRPr="008C74A3">
              <w:rPr>
                <w:webHidden/>
              </w:rPr>
              <w:t>42</w:t>
            </w:r>
            <w:r w:rsidR="00FB124B" w:rsidRPr="008C74A3">
              <w:rPr>
                <w:webHidden/>
              </w:rPr>
              <w:fldChar w:fldCharType="end"/>
            </w:r>
          </w:hyperlink>
        </w:p>
        <w:p w14:paraId="7C3F4F30" w14:textId="7F9832E7"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95" w:history="1">
            <w:r w:rsidR="00FB124B" w:rsidRPr="008C74A3">
              <w:rPr>
                <w:rStyle w:val="Hyperlink"/>
              </w:rPr>
              <w:t>Frequently Asked Questions</w:t>
            </w:r>
            <w:r w:rsidR="00FB124B" w:rsidRPr="008C74A3">
              <w:rPr>
                <w:webHidden/>
              </w:rPr>
              <w:tab/>
            </w:r>
            <w:r w:rsidR="00FB124B" w:rsidRPr="008C74A3">
              <w:rPr>
                <w:webHidden/>
              </w:rPr>
              <w:fldChar w:fldCharType="begin"/>
            </w:r>
            <w:r w:rsidR="00FB124B" w:rsidRPr="008C74A3">
              <w:rPr>
                <w:webHidden/>
              </w:rPr>
              <w:instrText xml:space="preserve"> PAGEREF _Toc148384195 \h </w:instrText>
            </w:r>
            <w:r w:rsidR="00FB124B" w:rsidRPr="008C74A3">
              <w:rPr>
                <w:webHidden/>
              </w:rPr>
            </w:r>
            <w:r w:rsidR="00FB124B" w:rsidRPr="008C74A3">
              <w:rPr>
                <w:webHidden/>
              </w:rPr>
              <w:fldChar w:fldCharType="separate"/>
            </w:r>
            <w:r w:rsidR="003C06A1" w:rsidRPr="008C74A3">
              <w:rPr>
                <w:webHidden/>
              </w:rPr>
              <w:t>43</w:t>
            </w:r>
            <w:r w:rsidR="00FB124B" w:rsidRPr="008C74A3">
              <w:rPr>
                <w:webHidden/>
              </w:rPr>
              <w:fldChar w:fldCharType="end"/>
            </w:r>
          </w:hyperlink>
        </w:p>
        <w:p w14:paraId="23CDD38F" w14:textId="225A5987"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96" w:history="1">
            <w:r w:rsidR="00FB124B" w:rsidRPr="008C74A3">
              <w:rPr>
                <w:rStyle w:val="Hyperlink"/>
              </w:rPr>
              <w:t>Resources Referenced</w:t>
            </w:r>
            <w:r w:rsidR="00FB124B" w:rsidRPr="008C74A3">
              <w:rPr>
                <w:webHidden/>
              </w:rPr>
              <w:tab/>
            </w:r>
            <w:r w:rsidR="00FB124B" w:rsidRPr="008C74A3">
              <w:rPr>
                <w:webHidden/>
              </w:rPr>
              <w:fldChar w:fldCharType="begin"/>
            </w:r>
            <w:r w:rsidR="00FB124B" w:rsidRPr="008C74A3">
              <w:rPr>
                <w:webHidden/>
              </w:rPr>
              <w:instrText xml:space="preserve"> PAGEREF _Toc148384196 \h </w:instrText>
            </w:r>
            <w:r w:rsidR="00FB124B" w:rsidRPr="008C74A3">
              <w:rPr>
                <w:webHidden/>
              </w:rPr>
            </w:r>
            <w:r w:rsidR="00FB124B" w:rsidRPr="008C74A3">
              <w:rPr>
                <w:webHidden/>
              </w:rPr>
              <w:fldChar w:fldCharType="separate"/>
            </w:r>
            <w:r w:rsidR="003C06A1" w:rsidRPr="008C74A3">
              <w:rPr>
                <w:webHidden/>
              </w:rPr>
              <w:t>46</w:t>
            </w:r>
            <w:r w:rsidR="00FB124B" w:rsidRPr="008C74A3">
              <w:rPr>
                <w:webHidden/>
              </w:rPr>
              <w:fldChar w:fldCharType="end"/>
            </w:r>
          </w:hyperlink>
        </w:p>
        <w:p w14:paraId="2A39D6D0" w14:textId="2556E7D2" w:rsidR="00FB124B" w:rsidRPr="008C74A3" w:rsidRDefault="00000000">
          <w:pPr>
            <w:pStyle w:val="TOC1"/>
            <w:rPr>
              <w:rFonts w:asciiTheme="minorHAnsi" w:eastAsiaTheme="minorEastAsia" w:hAnsiTheme="minorHAnsi" w:cstheme="minorBidi"/>
              <w:b w:val="0"/>
              <w:bCs w:val="0"/>
              <w:caps w:val="0"/>
              <w:kern w:val="2"/>
              <w:sz w:val="22"/>
              <w:szCs w:val="22"/>
              <w:lang w:eastAsia="en-US"/>
              <w14:ligatures w14:val="standardContextual"/>
            </w:rPr>
          </w:pPr>
          <w:hyperlink w:anchor="_Toc148384197" w:history="1">
            <w:r w:rsidR="00FB124B" w:rsidRPr="008C74A3">
              <w:rPr>
                <w:rStyle w:val="Hyperlink"/>
              </w:rPr>
              <w:t>Appendices</w:t>
            </w:r>
            <w:r w:rsidR="00FB124B" w:rsidRPr="008C74A3">
              <w:rPr>
                <w:webHidden/>
              </w:rPr>
              <w:tab/>
            </w:r>
            <w:r w:rsidR="00FB124B" w:rsidRPr="008C74A3">
              <w:rPr>
                <w:webHidden/>
              </w:rPr>
              <w:fldChar w:fldCharType="begin"/>
            </w:r>
            <w:r w:rsidR="00FB124B" w:rsidRPr="008C74A3">
              <w:rPr>
                <w:webHidden/>
              </w:rPr>
              <w:instrText xml:space="preserve"> PAGEREF _Toc148384197 \h </w:instrText>
            </w:r>
            <w:r w:rsidR="00FB124B" w:rsidRPr="008C74A3">
              <w:rPr>
                <w:webHidden/>
              </w:rPr>
            </w:r>
            <w:r w:rsidR="00FB124B" w:rsidRPr="008C74A3">
              <w:rPr>
                <w:webHidden/>
              </w:rPr>
              <w:fldChar w:fldCharType="separate"/>
            </w:r>
            <w:r w:rsidR="003C06A1" w:rsidRPr="008C74A3">
              <w:rPr>
                <w:webHidden/>
              </w:rPr>
              <w:t>48</w:t>
            </w:r>
            <w:r w:rsidR="00FB124B" w:rsidRPr="008C74A3">
              <w:rPr>
                <w:webHidden/>
              </w:rPr>
              <w:fldChar w:fldCharType="end"/>
            </w:r>
          </w:hyperlink>
        </w:p>
        <w:p w14:paraId="07F2B671" w14:textId="06285E72"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98" w:history="1">
            <w:r w:rsidR="00FB124B" w:rsidRPr="008C74A3">
              <w:rPr>
                <w:rStyle w:val="Hyperlink"/>
              </w:rPr>
              <w:t>Appendix A: Consultation Process To-Date</w:t>
            </w:r>
            <w:r w:rsidR="00FB124B" w:rsidRPr="008C74A3">
              <w:rPr>
                <w:webHidden/>
              </w:rPr>
              <w:tab/>
            </w:r>
            <w:r w:rsidR="00FB124B" w:rsidRPr="008C74A3">
              <w:rPr>
                <w:webHidden/>
              </w:rPr>
              <w:fldChar w:fldCharType="begin"/>
            </w:r>
            <w:r w:rsidR="00FB124B" w:rsidRPr="008C74A3">
              <w:rPr>
                <w:webHidden/>
              </w:rPr>
              <w:instrText xml:space="preserve"> PAGEREF _Toc148384198 \h </w:instrText>
            </w:r>
            <w:r w:rsidR="00FB124B" w:rsidRPr="008C74A3">
              <w:rPr>
                <w:webHidden/>
              </w:rPr>
            </w:r>
            <w:r w:rsidR="00FB124B" w:rsidRPr="008C74A3">
              <w:rPr>
                <w:webHidden/>
              </w:rPr>
              <w:fldChar w:fldCharType="separate"/>
            </w:r>
            <w:r w:rsidR="003C06A1" w:rsidRPr="008C74A3">
              <w:rPr>
                <w:webHidden/>
              </w:rPr>
              <w:t>48</w:t>
            </w:r>
            <w:r w:rsidR="00FB124B" w:rsidRPr="008C74A3">
              <w:rPr>
                <w:webHidden/>
              </w:rPr>
              <w:fldChar w:fldCharType="end"/>
            </w:r>
          </w:hyperlink>
        </w:p>
        <w:p w14:paraId="054DCE78" w14:textId="143B384E"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199" w:history="1">
            <w:r w:rsidR="00FB124B" w:rsidRPr="008C74A3">
              <w:rPr>
                <w:rStyle w:val="Hyperlink"/>
              </w:rPr>
              <w:t>Appendix B: Acknowledgments</w:t>
            </w:r>
            <w:r w:rsidR="00FB124B" w:rsidRPr="008C74A3">
              <w:rPr>
                <w:webHidden/>
              </w:rPr>
              <w:tab/>
            </w:r>
            <w:r w:rsidR="00FB124B" w:rsidRPr="008C74A3">
              <w:rPr>
                <w:webHidden/>
              </w:rPr>
              <w:fldChar w:fldCharType="begin"/>
            </w:r>
            <w:r w:rsidR="00FB124B" w:rsidRPr="008C74A3">
              <w:rPr>
                <w:webHidden/>
              </w:rPr>
              <w:instrText xml:space="preserve"> PAGEREF _Toc148384199 \h </w:instrText>
            </w:r>
            <w:r w:rsidR="00FB124B" w:rsidRPr="008C74A3">
              <w:rPr>
                <w:webHidden/>
              </w:rPr>
            </w:r>
            <w:r w:rsidR="00FB124B" w:rsidRPr="008C74A3">
              <w:rPr>
                <w:webHidden/>
              </w:rPr>
              <w:fldChar w:fldCharType="separate"/>
            </w:r>
            <w:r w:rsidR="003C06A1" w:rsidRPr="008C74A3">
              <w:rPr>
                <w:webHidden/>
              </w:rPr>
              <w:t>49</w:t>
            </w:r>
            <w:r w:rsidR="00FB124B" w:rsidRPr="008C74A3">
              <w:rPr>
                <w:webHidden/>
              </w:rPr>
              <w:fldChar w:fldCharType="end"/>
            </w:r>
          </w:hyperlink>
        </w:p>
        <w:p w14:paraId="14F674AA" w14:textId="3A95ED44"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0" w:history="1">
            <w:r w:rsidR="00FB124B" w:rsidRPr="008C74A3">
              <w:rPr>
                <w:rStyle w:val="Hyperlink"/>
              </w:rPr>
              <w:t>Appendix C: Standards and Resources Consulted on Reporting and Assurance</w:t>
            </w:r>
            <w:r w:rsidR="00FB124B" w:rsidRPr="008C74A3">
              <w:rPr>
                <w:webHidden/>
              </w:rPr>
              <w:tab/>
            </w:r>
            <w:r w:rsidR="00FB124B" w:rsidRPr="008C74A3">
              <w:rPr>
                <w:webHidden/>
              </w:rPr>
              <w:fldChar w:fldCharType="begin"/>
            </w:r>
            <w:r w:rsidR="00FB124B" w:rsidRPr="008C74A3">
              <w:rPr>
                <w:webHidden/>
              </w:rPr>
              <w:instrText xml:space="preserve"> PAGEREF _Toc148384200 \h </w:instrText>
            </w:r>
            <w:r w:rsidR="00FB124B" w:rsidRPr="008C74A3">
              <w:rPr>
                <w:webHidden/>
              </w:rPr>
            </w:r>
            <w:r w:rsidR="00FB124B" w:rsidRPr="008C74A3">
              <w:rPr>
                <w:webHidden/>
              </w:rPr>
              <w:fldChar w:fldCharType="separate"/>
            </w:r>
            <w:r w:rsidR="003C06A1" w:rsidRPr="008C74A3">
              <w:rPr>
                <w:webHidden/>
              </w:rPr>
              <w:t>50</w:t>
            </w:r>
            <w:r w:rsidR="00FB124B" w:rsidRPr="008C74A3">
              <w:rPr>
                <w:webHidden/>
              </w:rPr>
              <w:fldChar w:fldCharType="end"/>
            </w:r>
          </w:hyperlink>
        </w:p>
        <w:p w14:paraId="4DE65188" w14:textId="367EF43A"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1" w:history="1">
            <w:r w:rsidR="00FB124B" w:rsidRPr="008C74A3">
              <w:rPr>
                <w:rStyle w:val="Hyperlink"/>
                <w:shd w:val="clear" w:color="auto" w:fill="FFFFFF"/>
              </w:rPr>
              <w:t>Appendix D: System Map for Investors and Financial Institutions</w:t>
            </w:r>
            <w:r w:rsidR="00FB124B" w:rsidRPr="008C74A3">
              <w:rPr>
                <w:webHidden/>
              </w:rPr>
              <w:tab/>
            </w:r>
            <w:r w:rsidR="00FB124B" w:rsidRPr="008C74A3">
              <w:rPr>
                <w:webHidden/>
              </w:rPr>
              <w:fldChar w:fldCharType="begin"/>
            </w:r>
            <w:r w:rsidR="00FB124B" w:rsidRPr="008C74A3">
              <w:rPr>
                <w:webHidden/>
              </w:rPr>
              <w:instrText xml:space="preserve"> PAGEREF _Toc148384201 \h </w:instrText>
            </w:r>
            <w:r w:rsidR="00FB124B" w:rsidRPr="008C74A3">
              <w:rPr>
                <w:webHidden/>
              </w:rPr>
            </w:r>
            <w:r w:rsidR="00FB124B" w:rsidRPr="008C74A3">
              <w:rPr>
                <w:webHidden/>
              </w:rPr>
              <w:fldChar w:fldCharType="separate"/>
            </w:r>
            <w:r w:rsidR="003C06A1" w:rsidRPr="008C74A3">
              <w:rPr>
                <w:webHidden/>
              </w:rPr>
              <w:t>51</w:t>
            </w:r>
            <w:r w:rsidR="00FB124B" w:rsidRPr="008C74A3">
              <w:rPr>
                <w:webHidden/>
              </w:rPr>
              <w:fldChar w:fldCharType="end"/>
            </w:r>
          </w:hyperlink>
        </w:p>
        <w:p w14:paraId="17D2BBF4" w14:textId="562F287E"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2" w:history="1">
            <w:r w:rsidR="00FB124B" w:rsidRPr="008C74A3">
              <w:rPr>
                <w:rStyle w:val="Hyperlink"/>
              </w:rPr>
              <w:t>Appendix E: Materiality Definitions by Major Frameworks and Standards</w:t>
            </w:r>
            <w:r w:rsidR="00FB124B" w:rsidRPr="008C74A3">
              <w:rPr>
                <w:webHidden/>
              </w:rPr>
              <w:tab/>
            </w:r>
            <w:r w:rsidR="00FB124B" w:rsidRPr="008C74A3">
              <w:rPr>
                <w:webHidden/>
              </w:rPr>
              <w:fldChar w:fldCharType="begin"/>
            </w:r>
            <w:r w:rsidR="00FB124B" w:rsidRPr="008C74A3">
              <w:rPr>
                <w:webHidden/>
              </w:rPr>
              <w:instrText xml:space="preserve"> PAGEREF _Toc148384202 \h </w:instrText>
            </w:r>
            <w:r w:rsidR="00FB124B" w:rsidRPr="008C74A3">
              <w:rPr>
                <w:webHidden/>
              </w:rPr>
            </w:r>
            <w:r w:rsidR="00FB124B" w:rsidRPr="008C74A3">
              <w:rPr>
                <w:webHidden/>
              </w:rPr>
              <w:fldChar w:fldCharType="separate"/>
            </w:r>
            <w:r w:rsidR="003C06A1" w:rsidRPr="008C74A3">
              <w:rPr>
                <w:webHidden/>
              </w:rPr>
              <w:t>52</w:t>
            </w:r>
            <w:r w:rsidR="00FB124B" w:rsidRPr="008C74A3">
              <w:rPr>
                <w:webHidden/>
              </w:rPr>
              <w:fldChar w:fldCharType="end"/>
            </w:r>
          </w:hyperlink>
        </w:p>
        <w:p w14:paraId="0A81488D" w14:textId="29E96099"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3" w:history="1">
            <w:r w:rsidR="00FB124B" w:rsidRPr="008C74A3">
              <w:rPr>
                <w:rStyle w:val="Hyperlink"/>
              </w:rPr>
              <w:t>Appendix F: Applying the Fundamental Qualitative Characteristics</w:t>
            </w:r>
            <w:r w:rsidR="00FB124B" w:rsidRPr="008C74A3">
              <w:rPr>
                <w:webHidden/>
              </w:rPr>
              <w:tab/>
            </w:r>
            <w:r w:rsidR="00FB124B" w:rsidRPr="008C74A3">
              <w:rPr>
                <w:webHidden/>
              </w:rPr>
              <w:fldChar w:fldCharType="begin"/>
            </w:r>
            <w:r w:rsidR="00FB124B" w:rsidRPr="008C74A3">
              <w:rPr>
                <w:webHidden/>
              </w:rPr>
              <w:instrText xml:space="preserve"> PAGEREF _Toc148384203 \h </w:instrText>
            </w:r>
            <w:r w:rsidR="00FB124B" w:rsidRPr="008C74A3">
              <w:rPr>
                <w:webHidden/>
              </w:rPr>
            </w:r>
            <w:r w:rsidR="00FB124B" w:rsidRPr="008C74A3">
              <w:rPr>
                <w:webHidden/>
              </w:rPr>
              <w:fldChar w:fldCharType="separate"/>
            </w:r>
            <w:r w:rsidR="003C06A1" w:rsidRPr="008C74A3">
              <w:rPr>
                <w:webHidden/>
              </w:rPr>
              <w:t>56</w:t>
            </w:r>
            <w:r w:rsidR="00FB124B" w:rsidRPr="008C74A3">
              <w:rPr>
                <w:webHidden/>
              </w:rPr>
              <w:fldChar w:fldCharType="end"/>
            </w:r>
          </w:hyperlink>
        </w:p>
        <w:p w14:paraId="1CC8F296" w14:textId="62D32913"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4" w:history="1">
            <w:r w:rsidR="00FB124B" w:rsidRPr="008C74A3">
              <w:rPr>
                <w:rStyle w:val="Hyperlink"/>
              </w:rPr>
              <w:t>Appendix G: Guidance on Stakeholder Engagement</w:t>
            </w:r>
            <w:r w:rsidR="00FB124B" w:rsidRPr="008C74A3">
              <w:rPr>
                <w:webHidden/>
              </w:rPr>
              <w:tab/>
            </w:r>
            <w:r w:rsidR="00FB124B" w:rsidRPr="008C74A3">
              <w:rPr>
                <w:webHidden/>
              </w:rPr>
              <w:fldChar w:fldCharType="begin"/>
            </w:r>
            <w:r w:rsidR="00FB124B" w:rsidRPr="008C74A3">
              <w:rPr>
                <w:webHidden/>
              </w:rPr>
              <w:instrText xml:space="preserve"> PAGEREF _Toc148384204 \h </w:instrText>
            </w:r>
            <w:r w:rsidR="00FB124B" w:rsidRPr="008C74A3">
              <w:rPr>
                <w:webHidden/>
              </w:rPr>
            </w:r>
            <w:r w:rsidR="00FB124B" w:rsidRPr="008C74A3">
              <w:rPr>
                <w:webHidden/>
              </w:rPr>
              <w:fldChar w:fldCharType="separate"/>
            </w:r>
            <w:r w:rsidR="003C06A1" w:rsidRPr="008C74A3">
              <w:rPr>
                <w:webHidden/>
              </w:rPr>
              <w:t>58</w:t>
            </w:r>
            <w:r w:rsidR="00FB124B" w:rsidRPr="008C74A3">
              <w:rPr>
                <w:webHidden/>
              </w:rPr>
              <w:fldChar w:fldCharType="end"/>
            </w:r>
          </w:hyperlink>
        </w:p>
        <w:p w14:paraId="640F2228" w14:textId="34518205"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5" w:history="1">
            <w:r w:rsidR="00FB124B" w:rsidRPr="008C74A3">
              <w:rPr>
                <w:rStyle w:val="Hyperlink"/>
              </w:rPr>
              <w:t>Appendix H: Materiality at fund impact thesis level and portfolio company level</w:t>
            </w:r>
            <w:r w:rsidR="00FB124B" w:rsidRPr="008C74A3">
              <w:rPr>
                <w:webHidden/>
              </w:rPr>
              <w:tab/>
            </w:r>
            <w:r w:rsidR="00FB124B" w:rsidRPr="008C74A3">
              <w:rPr>
                <w:webHidden/>
              </w:rPr>
              <w:fldChar w:fldCharType="begin"/>
            </w:r>
            <w:r w:rsidR="00FB124B" w:rsidRPr="008C74A3">
              <w:rPr>
                <w:webHidden/>
              </w:rPr>
              <w:instrText xml:space="preserve"> PAGEREF _Toc148384205 \h </w:instrText>
            </w:r>
            <w:r w:rsidR="00FB124B" w:rsidRPr="008C74A3">
              <w:rPr>
                <w:webHidden/>
              </w:rPr>
            </w:r>
            <w:r w:rsidR="00FB124B" w:rsidRPr="008C74A3">
              <w:rPr>
                <w:webHidden/>
              </w:rPr>
              <w:fldChar w:fldCharType="separate"/>
            </w:r>
            <w:r w:rsidR="003C06A1" w:rsidRPr="008C74A3">
              <w:rPr>
                <w:webHidden/>
              </w:rPr>
              <w:t>60</w:t>
            </w:r>
            <w:r w:rsidR="00FB124B" w:rsidRPr="008C74A3">
              <w:rPr>
                <w:webHidden/>
              </w:rPr>
              <w:fldChar w:fldCharType="end"/>
            </w:r>
          </w:hyperlink>
        </w:p>
        <w:p w14:paraId="339E452E" w14:textId="2EAE15B3"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6" w:history="1">
            <w:r w:rsidR="00FB124B" w:rsidRPr="008C74A3">
              <w:rPr>
                <w:rStyle w:val="Hyperlink"/>
              </w:rPr>
              <w:t>Appendix I: Examples of tables for portfolio-wide and investment-by-investment reporting</w:t>
            </w:r>
            <w:r w:rsidR="00FB124B" w:rsidRPr="008C74A3">
              <w:rPr>
                <w:webHidden/>
              </w:rPr>
              <w:tab/>
            </w:r>
            <w:r w:rsidR="00FB124B" w:rsidRPr="008C74A3">
              <w:rPr>
                <w:webHidden/>
              </w:rPr>
              <w:fldChar w:fldCharType="begin"/>
            </w:r>
            <w:r w:rsidR="00FB124B" w:rsidRPr="008C74A3">
              <w:rPr>
                <w:webHidden/>
              </w:rPr>
              <w:instrText xml:space="preserve"> PAGEREF _Toc148384206 \h </w:instrText>
            </w:r>
            <w:r w:rsidR="00FB124B" w:rsidRPr="008C74A3">
              <w:rPr>
                <w:webHidden/>
              </w:rPr>
            </w:r>
            <w:r w:rsidR="00FB124B" w:rsidRPr="008C74A3">
              <w:rPr>
                <w:webHidden/>
              </w:rPr>
              <w:fldChar w:fldCharType="separate"/>
            </w:r>
            <w:r w:rsidR="003C06A1" w:rsidRPr="008C74A3">
              <w:rPr>
                <w:webHidden/>
              </w:rPr>
              <w:t>61</w:t>
            </w:r>
            <w:r w:rsidR="00FB124B" w:rsidRPr="008C74A3">
              <w:rPr>
                <w:webHidden/>
              </w:rPr>
              <w:fldChar w:fldCharType="end"/>
            </w:r>
          </w:hyperlink>
        </w:p>
        <w:p w14:paraId="59D0B7B9" w14:textId="7D9EE98F"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7" w:history="1">
            <w:r w:rsidR="00FB124B" w:rsidRPr="008C74A3">
              <w:rPr>
                <w:rStyle w:val="Hyperlink"/>
              </w:rPr>
              <w:t>Appendix J: Examples of Portfolio-level Metrics</w:t>
            </w:r>
            <w:r w:rsidR="00FB124B" w:rsidRPr="008C74A3">
              <w:rPr>
                <w:webHidden/>
              </w:rPr>
              <w:tab/>
            </w:r>
            <w:r w:rsidR="00FB124B" w:rsidRPr="008C74A3">
              <w:rPr>
                <w:webHidden/>
              </w:rPr>
              <w:fldChar w:fldCharType="begin"/>
            </w:r>
            <w:r w:rsidR="00FB124B" w:rsidRPr="008C74A3">
              <w:rPr>
                <w:webHidden/>
              </w:rPr>
              <w:instrText xml:space="preserve"> PAGEREF _Toc148384207 \h </w:instrText>
            </w:r>
            <w:r w:rsidR="00FB124B" w:rsidRPr="008C74A3">
              <w:rPr>
                <w:webHidden/>
              </w:rPr>
            </w:r>
            <w:r w:rsidR="00FB124B" w:rsidRPr="008C74A3">
              <w:rPr>
                <w:webHidden/>
              </w:rPr>
              <w:fldChar w:fldCharType="separate"/>
            </w:r>
            <w:r w:rsidR="003C06A1" w:rsidRPr="008C74A3">
              <w:rPr>
                <w:webHidden/>
              </w:rPr>
              <w:t>62</w:t>
            </w:r>
            <w:r w:rsidR="00FB124B" w:rsidRPr="008C74A3">
              <w:rPr>
                <w:webHidden/>
              </w:rPr>
              <w:fldChar w:fldCharType="end"/>
            </w:r>
          </w:hyperlink>
        </w:p>
        <w:p w14:paraId="37250F05" w14:textId="1275B794"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8" w:history="1">
            <w:r w:rsidR="00FB124B" w:rsidRPr="008C74A3">
              <w:rPr>
                <w:rStyle w:val="Hyperlink"/>
                <w:rFonts w:eastAsiaTheme="majorEastAsia" w:cstheme="majorBidi"/>
              </w:rPr>
              <w:t>Appendix K: Effectiveness Criteria For Non-Judicial Grievance Mechanisms</w:t>
            </w:r>
            <w:r w:rsidR="00FB124B" w:rsidRPr="008C74A3">
              <w:rPr>
                <w:webHidden/>
              </w:rPr>
              <w:tab/>
            </w:r>
            <w:r w:rsidR="00FB124B" w:rsidRPr="008C74A3">
              <w:rPr>
                <w:webHidden/>
              </w:rPr>
              <w:fldChar w:fldCharType="begin"/>
            </w:r>
            <w:r w:rsidR="00FB124B" w:rsidRPr="008C74A3">
              <w:rPr>
                <w:webHidden/>
              </w:rPr>
              <w:instrText xml:space="preserve"> PAGEREF _Toc148384208 \h </w:instrText>
            </w:r>
            <w:r w:rsidR="00FB124B" w:rsidRPr="008C74A3">
              <w:rPr>
                <w:webHidden/>
              </w:rPr>
            </w:r>
            <w:r w:rsidR="00FB124B" w:rsidRPr="008C74A3">
              <w:rPr>
                <w:webHidden/>
              </w:rPr>
              <w:fldChar w:fldCharType="separate"/>
            </w:r>
            <w:r w:rsidR="003C06A1" w:rsidRPr="008C74A3">
              <w:rPr>
                <w:webHidden/>
              </w:rPr>
              <w:t>63</w:t>
            </w:r>
            <w:r w:rsidR="00FB124B" w:rsidRPr="008C74A3">
              <w:rPr>
                <w:webHidden/>
              </w:rPr>
              <w:fldChar w:fldCharType="end"/>
            </w:r>
          </w:hyperlink>
        </w:p>
        <w:p w14:paraId="23BE125A" w14:textId="62279EE9" w:rsidR="00FB124B" w:rsidRPr="008C74A3" w:rsidRDefault="00000000">
          <w:pPr>
            <w:pStyle w:val="TOC2"/>
            <w:rPr>
              <w:rFonts w:asciiTheme="minorHAnsi" w:eastAsiaTheme="minorEastAsia" w:hAnsiTheme="minorHAnsi" w:cstheme="minorBidi"/>
              <w:smallCaps w:val="0"/>
              <w:kern w:val="2"/>
              <w:sz w:val="22"/>
              <w:szCs w:val="22"/>
              <w:lang w:eastAsia="en-US"/>
              <w14:ligatures w14:val="standardContextual"/>
            </w:rPr>
          </w:pPr>
          <w:hyperlink w:anchor="_Toc148384209" w:history="1">
            <w:r w:rsidR="00FB124B" w:rsidRPr="008C74A3">
              <w:rPr>
                <w:rStyle w:val="Hyperlink"/>
                <w:shd w:val="clear" w:color="auto" w:fill="FFFFFF"/>
              </w:rPr>
              <w:t>Appendix L: Introduction to Independent Review</w:t>
            </w:r>
            <w:r w:rsidR="00FB124B" w:rsidRPr="008C74A3">
              <w:rPr>
                <w:webHidden/>
              </w:rPr>
              <w:tab/>
            </w:r>
            <w:r w:rsidR="00FB124B" w:rsidRPr="008C74A3">
              <w:rPr>
                <w:webHidden/>
              </w:rPr>
              <w:fldChar w:fldCharType="begin"/>
            </w:r>
            <w:r w:rsidR="00FB124B" w:rsidRPr="008C74A3">
              <w:rPr>
                <w:webHidden/>
              </w:rPr>
              <w:instrText xml:space="preserve"> PAGEREF _Toc148384209 \h </w:instrText>
            </w:r>
            <w:r w:rsidR="00FB124B" w:rsidRPr="008C74A3">
              <w:rPr>
                <w:webHidden/>
              </w:rPr>
            </w:r>
            <w:r w:rsidR="00FB124B" w:rsidRPr="008C74A3">
              <w:rPr>
                <w:webHidden/>
              </w:rPr>
              <w:fldChar w:fldCharType="separate"/>
            </w:r>
            <w:r w:rsidR="003C06A1" w:rsidRPr="008C74A3">
              <w:rPr>
                <w:webHidden/>
              </w:rPr>
              <w:t>64</w:t>
            </w:r>
            <w:r w:rsidR="00FB124B" w:rsidRPr="008C74A3">
              <w:rPr>
                <w:webHidden/>
              </w:rPr>
              <w:fldChar w:fldCharType="end"/>
            </w:r>
          </w:hyperlink>
        </w:p>
        <w:p w14:paraId="50164D6C" w14:textId="4DD2D0E0" w:rsidR="004222A0" w:rsidRPr="008C74A3" w:rsidRDefault="00DF0644" w:rsidP="00DB1B70">
          <w:r w:rsidRPr="008C74A3">
            <w:rPr>
              <w:b/>
              <w:bCs/>
            </w:rPr>
            <w:fldChar w:fldCharType="end"/>
          </w:r>
        </w:p>
      </w:sdtContent>
    </w:sdt>
    <w:p w14:paraId="52A1AEEC" w14:textId="1FF689EF" w:rsidR="00F659C0" w:rsidRPr="008C74A3" w:rsidRDefault="009F2631" w:rsidP="00DB1B70">
      <w:r w:rsidRPr="008C74A3">
        <w:br w:type="page"/>
      </w:r>
    </w:p>
    <w:p w14:paraId="307AB13C" w14:textId="77777777" w:rsidR="00F84E0F" w:rsidRPr="008C74A3" w:rsidRDefault="00F84E0F" w:rsidP="00DB1B70">
      <w:pPr>
        <w:pStyle w:val="Heading1"/>
      </w:pPr>
      <w:bookmarkStart w:id="0" w:name="_Toc146213849"/>
      <w:bookmarkStart w:id="1" w:name="_Toc148384171"/>
      <w:bookmarkStart w:id="2" w:name="_Hlk146620694"/>
      <w:r w:rsidRPr="008C74A3">
        <w:lastRenderedPageBreak/>
        <w:t>Executive Summary</w:t>
      </w:r>
      <w:bookmarkEnd w:id="0"/>
      <w:bookmarkEnd w:id="1"/>
    </w:p>
    <w:p w14:paraId="7E845D9E" w14:textId="432069ED" w:rsidR="004432E8" w:rsidRPr="008C74A3" w:rsidRDefault="004432E8" w:rsidP="001F3DC0">
      <w:pPr>
        <w:pStyle w:val="Heading2"/>
      </w:pPr>
      <w:bookmarkStart w:id="3" w:name="_Toc148384172"/>
      <w:r w:rsidRPr="008C74A3">
        <w:t>Overview</w:t>
      </w:r>
      <w:bookmarkEnd w:id="3"/>
    </w:p>
    <w:p w14:paraId="107246C5" w14:textId="1582C2B5" w:rsidR="008559CF" w:rsidRPr="008C74A3" w:rsidRDefault="007D7E73" w:rsidP="00AB556D">
      <w:pPr>
        <w:spacing w:after="120"/>
        <w:rPr>
          <w:rStyle w:val="normaltextrun"/>
        </w:rPr>
      </w:pPr>
      <w:r w:rsidRPr="008C74A3">
        <w:t xml:space="preserve">We propose and invite feedback on the draft Impact Performance Reporting Norms below. </w:t>
      </w:r>
      <w:r w:rsidR="00DB1B70" w:rsidRPr="008C74A3">
        <w:rPr>
          <w:rStyle w:val="normaltextrun"/>
        </w:rPr>
        <w:t>Th</w:t>
      </w:r>
      <w:r w:rsidR="008559CF" w:rsidRPr="008C74A3">
        <w:rPr>
          <w:rStyle w:val="normaltextrun"/>
        </w:rPr>
        <w:t xml:space="preserve">e goals of this </w:t>
      </w:r>
      <w:r w:rsidRPr="008C74A3">
        <w:rPr>
          <w:rStyle w:val="normaltextrun"/>
        </w:rPr>
        <w:t xml:space="preserve">public consultation </w:t>
      </w:r>
      <w:r w:rsidR="008559CF" w:rsidRPr="008C74A3">
        <w:rPr>
          <w:rStyle w:val="normaltextrun"/>
        </w:rPr>
        <w:t>are as follows:</w:t>
      </w:r>
    </w:p>
    <w:p w14:paraId="3C68FA4E" w14:textId="1ADDC781" w:rsidR="008559CF" w:rsidRPr="008C74A3" w:rsidRDefault="008559CF" w:rsidP="002D5795">
      <w:pPr>
        <w:pStyle w:val="ListParagraph"/>
        <w:numPr>
          <w:ilvl w:val="0"/>
          <w:numId w:val="81"/>
        </w:numPr>
        <w:spacing w:after="120"/>
        <w:ind w:leftChars="0"/>
        <w:rPr>
          <w:rStyle w:val="normaltextrun"/>
        </w:rPr>
      </w:pPr>
      <w:r w:rsidRPr="008C74A3">
        <w:rPr>
          <w:rStyle w:val="normaltextrun"/>
        </w:rPr>
        <w:t xml:space="preserve">To make impact performance reporting </w:t>
      </w:r>
      <w:r w:rsidR="00B824FD" w:rsidRPr="008C74A3">
        <w:rPr>
          <w:rStyle w:val="normaltextrun"/>
        </w:rPr>
        <w:t xml:space="preserve">simultaneously </w:t>
      </w:r>
      <w:r w:rsidRPr="008C74A3">
        <w:rPr>
          <w:rStyle w:val="normaltextrun"/>
        </w:rPr>
        <w:t>less onerous for report preparers and more useful for report users;</w:t>
      </w:r>
    </w:p>
    <w:p w14:paraId="2F162723" w14:textId="74019A30" w:rsidR="008559CF" w:rsidRPr="008C74A3" w:rsidRDefault="008559CF" w:rsidP="002D5795">
      <w:pPr>
        <w:pStyle w:val="ListParagraph"/>
        <w:numPr>
          <w:ilvl w:val="0"/>
          <w:numId w:val="81"/>
        </w:numPr>
        <w:spacing w:after="120"/>
        <w:ind w:leftChars="0"/>
        <w:rPr>
          <w:rStyle w:val="normaltextrun"/>
        </w:rPr>
      </w:pPr>
      <w:r w:rsidRPr="008C74A3">
        <w:rPr>
          <w:rStyle w:val="normaltextrun"/>
        </w:rPr>
        <w:t>To facilitate the flow of impact information within and across investment organizations</w:t>
      </w:r>
      <w:r w:rsidR="00B824FD" w:rsidRPr="008C74A3">
        <w:rPr>
          <w:rStyle w:val="normaltextrun"/>
        </w:rPr>
        <w:t xml:space="preserve"> so that </w:t>
      </w:r>
      <w:r w:rsidR="00F519C1" w:rsidRPr="008C74A3">
        <w:rPr>
          <w:rStyle w:val="normaltextrun"/>
        </w:rPr>
        <w:t>it</w:t>
      </w:r>
      <w:r w:rsidR="00B824FD" w:rsidRPr="008C74A3">
        <w:rPr>
          <w:rStyle w:val="normaltextrun"/>
        </w:rPr>
        <w:t xml:space="preserve"> can inform decisions about investment and engagement</w:t>
      </w:r>
      <w:r w:rsidRPr="008C74A3">
        <w:rPr>
          <w:rStyle w:val="normaltextrun"/>
        </w:rPr>
        <w:t>;</w:t>
      </w:r>
    </w:p>
    <w:p w14:paraId="1631346D" w14:textId="0DD3FC17" w:rsidR="008559CF" w:rsidRPr="008C74A3" w:rsidRDefault="008559CF" w:rsidP="002D5795">
      <w:pPr>
        <w:pStyle w:val="ListParagraph"/>
        <w:numPr>
          <w:ilvl w:val="0"/>
          <w:numId w:val="81"/>
        </w:numPr>
        <w:spacing w:after="120"/>
        <w:ind w:leftChars="0"/>
        <w:rPr>
          <w:rStyle w:val="normaltextrun"/>
        </w:rPr>
      </w:pPr>
      <w:r w:rsidRPr="008C74A3">
        <w:rPr>
          <w:rStyle w:val="normaltextrun"/>
        </w:rPr>
        <w:t>To provide</w:t>
      </w:r>
      <w:r w:rsidR="00F519C1" w:rsidRPr="008C74A3">
        <w:rPr>
          <w:rStyle w:val="normaltextrun"/>
        </w:rPr>
        <w:t xml:space="preserve"> a shared set of open-access, </w:t>
      </w:r>
      <w:r w:rsidR="00D15F47" w:rsidRPr="008C74A3">
        <w:rPr>
          <w:rStyle w:val="normaltextrun"/>
        </w:rPr>
        <w:t>non-proprietary</w:t>
      </w:r>
      <w:r w:rsidR="00F519C1" w:rsidRPr="008C74A3">
        <w:rPr>
          <w:rStyle w:val="normaltextrun"/>
        </w:rPr>
        <w:t xml:space="preserve"> criteria </w:t>
      </w:r>
      <w:r w:rsidR="00CA723E" w:rsidRPr="008C74A3">
        <w:rPr>
          <w:rStyle w:val="normaltextrun"/>
        </w:rPr>
        <w:t>against</w:t>
      </w:r>
      <w:r w:rsidR="00F519C1" w:rsidRPr="008C74A3">
        <w:rPr>
          <w:rStyle w:val="normaltextrun"/>
        </w:rPr>
        <w:t xml:space="preserve"> which </w:t>
      </w:r>
      <w:r w:rsidRPr="008C74A3">
        <w:rPr>
          <w:rStyle w:val="normaltextrun"/>
        </w:rPr>
        <w:t xml:space="preserve">independent reviewers </w:t>
      </w:r>
      <w:r w:rsidR="00F519C1" w:rsidRPr="008C74A3">
        <w:rPr>
          <w:rStyle w:val="normaltextrun"/>
        </w:rPr>
        <w:t xml:space="preserve">may assure, evaluate, or verify impact performance reports, </w:t>
      </w:r>
      <w:r w:rsidR="00D15F47" w:rsidRPr="008C74A3">
        <w:rPr>
          <w:rStyle w:val="normaltextrun"/>
        </w:rPr>
        <w:t>enhancing appropriate consistency across</w:t>
      </w:r>
      <w:r w:rsidRPr="008C74A3">
        <w:rPr>
          <w:rStyle w:val="normaltextrun"/>
        </w:rPr>
        <w:t xml:space="preserve"> independent reviewers;</w:t>
      </w:r>
      <w:r w:rsidR="00B824FD" w:rsidRPr="008C74A3">
        <w:rPr>
          <w:rStyle w:val="normaltextrun"/>
        </w:rPr>
        <w:t xml:space="preserve"> and</w:t>
      </w:r>
    </w:p>
    <w:p w14:paraId="3B69DFEE" w14:textId="0F5321A1" w:rsidR="008559CF" w:rsidRPr="008C74A3" w:rsidRDefault="008559CF" w:rsidP="002D5795">
      <w:pPr>
        <w:pStyle w:val="ListParagraph"/>
        <w:numPr>
          <w:ilvl w:val="0"/>
          <w:numId w:val="81"/>
        </w:numPr>
        <w:spacing w:after="120"/>
        <w:ind w:leftChars="0"/>
        <w:rPr>
          <w:rStyle w:val="normaltextrun"/>
        </w:rPr>
      </w:pPr>
      <w:r w:rsidRPr="008C74A3">
        <w:rPr>
          <w:rStyle w:val="normaltextrun"/>
        </w:rPr>
        <w:t xml:space="preserve">To offer a </w:t>
      </w:r>
      <w:r w:rsidR="00D15F47" w:rsidRPr="008C74A3">
        <w:rPr>
          <w:rStyle w:val="normaltextrun"/>
        </w:rPr>
        <w:t>market-</w:t>
      </w:r>
      <w:r w:rsidR="00CA723E" w:rsidRPr="008C74A3">
        <w:rPr>
          <w:rStyle w:val="normaltextrun"/>
        </w:rPr>
        <w:t xml:space="preserve">tested </w:t>
      </w:r>
      <w:r w:rsidRPr="008C74A3">
        <w:rPr>
          <w:rStyle w:val="normaltextrun"/>
        </w:rPr>
        <w:t xml:space="preserve">prototype </w:t>
      </w:r>
      <w:r w:rsidR="00B824FD" w:rsidRPr="008C74A3">
        <w:rPr>
          <w:rStyle w:val="normaltextrun"/>
        </w:rPr>
        <w:t xml:space="preserve">for future impact performance </w:t>
      </w:r>
      <w:r w:rsidR="00F519C1" w:rsidRPr="008C74A3">
        <w:rPr>
          <w:rStyle w:val="normaltextrun"/>
        </w:rPr>
        <w:t xml:space="preserve">disclosure </w:t>
      </w:r>
      <w:r w:rsidR="00B824FD" w:rsidRPr="008C74A3">
        <w:rPr>
          <w:rStyle w:val="normaltextrun"/>
        </w:rPr>
        <w:t xml:space="preserve">standards by voluntary standard-setters and </w:t>
      </w:r>
      <w:r w:rsidR="00F519C1" w:rsidRPr="008C74A3">
        <w:rPr>
          <w:rStyle w:val="normaltextrun"/>
        </w:rPr>
        <w:t xml:space="preserve">national </w:t>
      </w:r>
      <w:r w:rsidR="00B824FD" w:rsidRPr="008C74A3">
        <w:rPr>
          <w:rStyle w:val="normaltextrun"/>
        </w:rPr>
        <w:t>regulators.</w:t>
      </w:r>
    </w:p>
    <w:p w14:paraId="1CFCED40" w14:textId="7D5E4270" w:rsidR="007D7E73" w:rsidRPr="008C74A3" w:rsidRDefault="70D0A764" w:rsidP="00AB556D">
      <w:pPr>
        <w:spacing w:after="120"/>
      </w:pPr>
      <w:r w:rsidRPr="008C74A3">
        <w:t>The</w:t>
      </w:r>
      <w:r w:rsidR="00B308B7" w:rsidRPr="008C74A3">
        <w:t xml:space="preserve"> </w:t>
      </w:r>
      <w:r w:rsidR="00EB101C" w:rsidRPr="008C74A3">
        <w:t>d</w:t>
      </w:r>
      <w:r w:rsidR="00B308B7" w:rsidRPr="008C74A3">
        <w:t>raft</w:t>
      </w:r>
      <w:r w:rsidRPr="008C74A3">
        <w:t xml:space="preserve"> Norms are designed to support investors in </w:t>
      </w:r>
      <w:r w:rsidR="00BF01CE" w:rsidRPr="008C74A3">
        <w:t>reducing the risk of</w:t>
      </w:r>
      <w:r w:rsidRPr="008C74A3">
        <w:t xml:space="preserve"> </w:t>
      </w:r>
      <w:r w:rsidR="00037A30" w:rsidRPr="008C74A3">
        <w:t>“</w:t>
      </w:r>
      <w:r w:rsidRPr="008C74A3">
        <w:t>impact-washing</w:t>
      </w:r>
      <w:r w:rsidR="00037A30" w:rsidRPr="008C74A3">
        <w:t>”</w:t>
      </w:r>
      <w:r w:rsidRPr="008C74A3">
        <w:t xml:space="preserve"> and </w:t>
      </w:r>
      <w:r w:rsidR="00037A30" w:rsidRPr="008C74A3">
        <w:t>“</w:t>
      </w:r>
      <w:r w:rsidRPr="008C74A3">
        <w:t>cherry-picking,</w:t>
      </w:r>
      <w:r w:rsidR="00037A30" w:rsidRPr="008C74A3">
        <w:t>”</w:t>
      </w:r>
      <w:r w:rsidRPr="008C74A3">
        <w:t xml:space="preserve"> which are commonly expressed concerns</w:t>
      </w:r>
      <w:r w:rsidR="00F519C1" w:rsidRPr="008C74A3">
        <w:t xml:space="preserve">, by </w:t>
      </w:r>
      <w:r w:rsidRPr="008C74A3">
        <w:t>identify</w:t>
      </w:r>
      <w:r w:rsidR="00F519C1" w:rsidRPr="008C74A3">
        <w:t>ing the</w:t>
      </w:r>
      <w:r w:rsidRPr="008C74A3">
        <w:t xml:space="preserve"> </w:t>
      </w:r>
      <w:r w:rsidR="00D15F47" w:rsidRPr="008C74A3">
        <w:t xml:space="preserve">suggested </w:t>
      </w:r>
      <w:r w:rsidRPr="008C74A3">
        <w:t xml:space="preserve">content that would be included </w:t>
      </w:r>
      <w:r w:rsidR="00D15F47" w:rsidRPr="008C74A3">
        <w:t xml:space="preserve">(and not included) </w:t>
      </w:r>
      <w:r w:rsidRPr="008C74A3">
        <w:t xml:space="preserve">in a report, as well as </w:t>
      </w:r>
      <w:r w:rsidR="00F519C1" w:rsidRPr="008C74A3">
        <w:t>the</w:t>
      </w:r>
      <w:r w:rsidRPr="008C74A3">
        <w:t xml:space="preserve"> general structure </w:t>
      </w:r>
      <w:r w:rsidR="00F519C1" w:rsidRPr="008C74A3">
        <w:t>and format of</w:t>
      </w:r>
      <w:r w:rsidRPr="008C74A3">
        <w:t xml:space="preserve"> that content. </w:t>
      </w:r>
    </w:p>
    <w:p w14:paraId="4934EA85" w14:textId="79CDB376" w:rsidR="007D7E73" w:rsidRPr="008C74A3" w:rsidRDefault="007D7E73" w:rsidP="00AB556D">
      <w:pPr>
        <w:spacing w:after="120"/>
      </w:pPr>
      <w:r w:rsidRPr="008C74A3">
        <w:t xml:space="preserve">Towards this end, the draft Norms combine elements of </w:t>
      </w:r>
      <w:r w:rsidR="00D15F47" w:rsidRPr="008C74A3">
        <w:t xml:space="preserve">existing </w:t>
      </w:r>
      <w:r w:rsidRPr="008C74A3">
        <w:t>impact management practice with the “Qualitative Characterist</w:t>
      </w:r>
      <w:r w:rsidR="00787F70" w:rsidRPr="008C74A3">
        <w:t>i</w:t>
      </w:r>
      <w:r w:rsidRPr="008C74A3">
        <w:t xml:space="preserve">cs of Useful </w:t>
      </w:r>
      <w:r w:rsidR="008C74A3" w:rsidRPr="008C74A3">
        <w:t>Information” from</w:t>
      </w:r>
      <w:r w:rsidRPr="008C74A3">
        <w:t xml:space="preserve"> the Conceptual Framework for Financial Reporting (Conceptual Framework) of the International Financial Reporting Standards (IFRS) Foundation. Impact performance reports that follow these Norms would be </w:t>
      </w:r>
      <w:r w:rsidR="00A9542C" w:rsidRPr="008C74A3">
        <w:t xml:space="preserve">more </w:t>
      </w:r>
      <w:r w:rsidRPr="008C74A3">
        <w:t>akin to annual financial disclosures provided privately to asset owners and allocators</w:t>
      </w:r>
      <w:r w:rsidR="00A9542C" w:rsidRPr="008C74A3">
        <w:t xml:space="preserve"> than to impact reports that are produced primarily for marketing, </w:t>
      </w:r>
      <w:r w:rsidR="008C74A3" w:rsidRPr="008C74A3">
        <w:t>communications,</w:t>
      </w:r>
      <w:r w:rsidR="00A9542C" w:rsidRPr="008C74A3">
        <w:t xml:space="preserve"> and </w:t>
      </w:r>
      <w:r w:rsidR="00061BC9" w:rsidRPr="008C74A3">
        <w:t>fundraising</w:t>
      </w:r>
      <w:r w:rsidR="00A9542C" w:rsidRPr="008C74A3">
        <w:t xml:space="preserve"> purposes. </w:t>
      </w:r>
      <w:r w:rsidR="008C74A3" w:rsidRPr="008C74A3">
        <w:t>Ideally,</w:t>
      </w:r>
      <w:r w:rsidR="00A9542C" w:rsidRPr="008C74A3">
        <w:t xml:space="preserve"> they</w:t>
      </w:r>
      <w:r w:rsidRPr="008C74A3">
        <w:t xml:space="preserve"> </w:t>
      </w:r>
      <w:r w:rsidR="00A9542C" w:rsidRPr="008C74A3">
        <w:t>can</w:t>
      </w:r>
      <w:r w:rsidRPr="008C74A3">
        <w:t xml:space="preserve"> replace and improve on, rather than add to, existing </w:t>
      </w:r>
      <w:r w:rsidR="00A9542C" w:rsidRPr="008C74A3">
        <w:t xml:space="preserve">annual </w:t>
      </w:r>
      <w:r w:rsidRPr="008C74A3">
        <w:t>impact performance reporting</w:t>
      </w:r>
      <w:r w:rsidR="00A9542C" w:rsidRPr="008C74A3">
        <w:t xml:space="preserve">, </w:t>
      </w:r>
      <w:r w:rsidR="00D15F47" w:rsidRPr="008C74A3">
        <w:t>and exist</w:t>
      </w:r>
      <w:r w:rsidR="00A9542C" w:rsidRPr="008C74A3">
        <w:t xml:space="preserve"> alongside documents produced for marketing, comm</w:t>
      </w:r>
      <w:r w:rsidR="00787F70" w:rsidRPr="008C74A3">
        <w:t>u</w:t>
      </w:r>
      <w:r w:rsidR="00A9542C" w:rsidRPr="008C74A3">
        <w:t>nications, and fundraising</w:t>
      </w:r>
      <w:r w:rsidRPr="008C74A3">
        <w:t xml:space="preserve">. </w:t>
      </w:r>
    </w:p>
    <w:p w14:paraId="7B453E4F" w14:textId="2C6118E8" w:rsidR="00D15F47" w:rsidRPr="008C74A3" w:rsidRDefault="70D0A764" w:rsidP="00AB556D">
      <w:pPr>
        <w:spacing w:after="120"/>
      </w:pPr>
      <w:r w:rsidRPr="008C74A3">
        <w:t>The</w:t>
      </w:r>
      <w:r w:rsidR="00061BC9" w:rsidRPr="008C74A3">
        <w:t xml:space="preserve"> draft Norms</w:t>
      </w:r>
      <w:r w:rsidRPr="008C74A3">
        <w:t xml:space="preserve"> are intentionally aspirational. Few investors will be able to provide </w:t>
      </w:r>
      <w:proofErr w:type="gramStart"/>
      <w:r w:rsidRPr="008C74A3">
        <w:t>all o</w:t>
      </w:r>
      <w:r w:rsidR="00CA723E" w:rsidRPr="008C74A3">
        <w:t>f</w:t>
      </w:r>
      <w:proofErr w:type="gramEnd"/>
      <w:r w:rsidR="00CA723E" w:rsidRPr="008C74A3">
        <w:t xml:space="preserve"> </w:t>
      </w:r>
      <w:r w:rsidRPr="008C74A3">
        <w:t>the suggested content at first. At the same time, they are designed so that most investors will immediately be able to use the structure and format to provide much of the content</w:t>
      </w:r>
      <w:r w:rsidR="00CA723E" w:rsidRPr="008C74A3">
        <w:t>,</w:t>
      </w:r>
      <w:r w:rsidRPr="008C74A3">
        <w:t xml:space="preserve"> and then fill in </w:t>
      </w:r>
      <w:r w:rsidR="00D15F47" w:rsidRPr="008C74A3">
        <w:t xml:space="preserve">remaining </w:t>
      </w:r>
      <w:r w:rsidRPr="008C74A3">
        <w:t>gaps over time.</w:t>
      </w:r>
      <w:r w:rsidR="00D15F47" w:rsidRPr="008C74A3">
        <w:t xml:space="preserve"> </w:t>
      </w:r>
      <w:r w:rsidRPr="008C74A3">
        <w:t>Given that impact reporting is at an earlier stage tha</w:t>
      </w:r>
      <w:r w:rsidR="0052768C" w:rsidRPr="008C74A3">
        <w:t>n</w:t>
      </w:r>
      <w:r w:rsidRPr="008C74A3">
        <w:t xml:space="preserve"> financial reporting and information is not always available, preparers are encouraged to follow a </w:t>
      </w:r>
      <w:r w:rsidR="00037A30" w:rsidRPr="008C74A3">
        <w:t>“</w:t>
      </w:r>
      <w:r w:rsidRPr="008C74A3">
        <w:t>disclose-or-explain</w:t>
      </w:r>
      <w:r w:rsidR="00037A30" w:rsidRPr="008C74A3">
        <w:t>”</w:t>
      </w:r>
      <w:r w:rsidRPr="008C74A3">
        <w:t xml:space="preserve"> approach to the suggested content. </w:t>
      </w:r>
    </w:p>
    <w:p w14:paraId="690D590B" w14:textId="1CDE4878" w:rsidR="00E145FF" w:rsidRPr="008C74A3" w:rsidRDefault="70D0A764" w:rsidP="00AB556D">
      <w:pPr>
        <w:spacing w:after="120"/>
      </w:pPr>
      <w:r w:rsidRPr="008C74A3">
        <w:t xml:space="preserve">The </w:t>
      </w:r>
      <w:r w:rsidR="00EB101C" w:rsidRPr="008C74A3">
        <w:t xml:space="preserve">draft </w:t>
      </w:r>
      <w:r w:rsidRPr="008C74A3">
        <w:t xml:space="preserve">Norms leave discretion to the preparer as to the exact format and presentation of information. </w:t>
      </w:r>
      <w:r w:rsidR="00CA723E" w:rsidRPr="008C74A3">
        <w:t xml:space="preserve">The boundaries of preparer discretion are set in general terms by </w:t>
      </w:r>
      <w:r w:rsidRPr="008C74A3">
        <w:t>the six characteristics of useful information</w:t>
      </w:r>
      <w:r w:rsidR="00CA723E" w:rsidRPr="008C74A3">
        <w:t>, which are</w:t>
      </w:r>
      <w:r w:rsidRPr="008C74A3">
        <w:t xml:space="preserve"> adapted from the Conceptual Framework. </w:t>
      </w:r>
      <w:r w:rsidR="00CA723E" w:rsidRPr="008C74A3">
        <w:t xml:space="preserve">This approach is intended to strike a suitable balance between standardization and flexibility in impact performance </w:t>
      </w:r>
      <w:r w:rsidR="008C74A3" w:rsidRPr="008C74A3">
        <w:t>reporting. The</w:t>
      </w:r>
      <w:r w:rsidR="009437FF" w:rsidRPr="008C74A3">
        <w:t xml:space="preserve"> </w:t>
      </w:r>
      <w:r w:rsidR="00EB101C" w:rsidRPr="008C74A3">
        <w:t xml:space="preserve">draft </w:t>
      </w:r>
      <w:r w:rsidR="00E145FF" w:rsidRPr="008C74A3">
        <w:t>Norms</w:t>
      </w:r>
      <w:r w:rsidR="009437FF" w:rsidRPr="008C74A3">
        <w:t xml:space="preserve"> </w:t>
      </w:r>
      <w:r w:rsidR="00E45E2F" w:rsidRPr="008C74A3">
        <w:t>recommend</w:t>
      </w:r>
      <w:r w:rsidR="00E145FF" w:rsidRPr="008C74A3">
        <w:t xml:space="preserve"> </w:t>
      </w:r>
      <w:r w:rsidR="009437FF" w:rsidRPr="008C74A3">
        <w:t>a</w:t>
      </w:r>
      <w:r w:rsidR="00E145FF" w:rsidRPr="008C74A3">
        <w:t xml:space="preserve"> </w:t>
      </w:r>
      <w:r w:rsidR="00E45E2F" w:rsidRPr="008C74A3">
        <w:t xml:space="preserve">visually </w:t>
      </w:r>
      <w:r w:rsidR="00E145FF" w:rsidRPr="008C74A3">
        <w:t>sparse</w:t>
      </w:r>
      <w:r w:rsidR="009437FF" w:rsidRPr="008C74A3">
        <w:t xml:space="preserve"> format</w:t>
      </w:r>
      <w:r w:rsidR="00E145FF" w:rsidRPr="008C74A3">
        <w:t xml:space="preserve"> without</w:t>
      </w:r>
      <w:r w:rsidR="009437FF" w:rsidRPr="008C74A3">
        <w:t xml:space="preserve"> </w:t>
      </w:r>
      <w:r w:rsidR="00FB09AA" w:rsidRPr="008C74A3">
        <w:t>photos</w:t>
      </w:r>
      <w:r w:rsidR="009437FF" w:rsidRPr="008C74A3">
        <w:t xml:space="preserve">, icons, or colors, thus reducing production time and cost </w:t>
      </w:r>
      <w:r w:rsidR="00E145FF" w:rsidRPr="008C74A3">
        <w:t xml:space="preserve">for preparers </w:t>
      </w:r>
      <w:r w:rsidR="009437FF" w:rsidRPr="008C74A3">
        <w:t>while enhancing relevance and faithful representation</w:t>
      </w:r>
      <w:r w:rsidR="00E145FF" w:rsidRPr="008C74A3">
        <w:t xml:space="preserve"> for report users</w:t>
      </w:r>
      <w:r w:rsidR="009437FF" w:rsidRPr="008C74A3">
        <w:t xml:space="preserve">. </w:t>
      </w:r>
      <w:r w:rsidR="00E145FF" w:rsidRPr="008C74A3">
        <w:t xml:space="preserve">The baseline assumption is that impact performance reports would be prepared annually, not quarterly, though this </w:t>
      </w:r>
      <w:r w:rsidR="00A970FC" w:rsidRPr="008C74A3">
        <w:t xml:space="preserve">also </w:t>
      </w:r>
      <w:r w:rsidR="00E145FF" w:rsidRPr="008C74A3">
        <w:t xml:space="preserve">is left to the preparer’s discretion. </w:t>
      </w:r>
    </w:p>
    <w:p w14:paraId="0781143D" w14:textId="0EB2D89D" w:rsidR="00D712A0" w:rsidRPr="008C74A3" w:rsidRDefault="34403E77" w:rsidP="00AB556D">
      <w:pPr>
        <w:spacing w:after="120"/>
      </w:pPr>
      <w:r w:rsidRPr="008C74A3">
        <w:lastRenderedPageBreak/>
        <w:t xml:space="preserve">The presumption is that impact performance reports would only be shared privately with </w:t>
      </w:r>
      <w:r w:rsidR="007D4720" w:rsidRPr="008C74A3">
        <w:t>capital providers</w:t>
      </w:r>
      <w:r w:rsidRPr="008C74A3">
        <w:t xml:space="preserve">, not publicly. However, </w:t>
      </w:r>
      <w:r w:rsidR="008C74A3" w:rsidRPr="008C74A3">
        <w:t>publicly funded</w:t>
      </w:r>
      <w:r w:rsidRPr="008C74A3">
        <w:t xml:space="preserve"> entities such as international organizations and </w:t>
      </w:r>
      <w:r w:rsidR="00E81959" w:rsidRPr="008C74A3">
        <w:t>foundations</w:t>
      </w:r>
      <w:r w:rsidR="00CA723E" w:rsidRPr="008C74A3">
        <w:t>, as well as privately-held organizations wishing to lead in the transition towards greater transparency,</w:t>
      </w:r>
      <w:r w:rsidRPr="008C74A3">
        <w:t xml:space="preserve"> may </w:t>
      </w:r>
      <w:r w:rsidR="007D4720" w:rsidRPr="008C74A3">
        <w:t xml:space="preserve">wish </w:t>
      </w:r>
      <w:r w:rsidRPr="008C74A3">
        <w:t xml:space="preserve">to make their impact performance reports publicly available. </w:t>
      </w:r>
    </w:p>
    <w:p w14:paraId="1A18DBCE" w14:textId="2C013014" w:rsidR="005C3B87" w:rsidRPr="008C74A3" w:rsidRDefault="00D712A0" w:rsidP="00AB556D">
      <w:pPr>
        <w:spacing w:after="120"/>
      </w:pPr>
      <w:bookmarkStart w:id="4" w:name="_Hlk147849624"/>
      <w:r w:rsidRPr="008C74A3">
        <w:t>The</w:t>
      </w:r>
      <w:r w:rsidR="004E612C" w:rsidRPr="008C74A3">
        <w:t xml:space="preserve"> </w:t>
      </w:r>
      <w:r w:rsidR="00391314" w:rsidRPr="008C74A3">
        <w:t>d</w:t>
      </w:r>
      <w:r w:rsidR="00B308B7" w:rsidRPr="008C74A3">
        <w:t xml:space="preserve">raft </w:t>
      </w:r>
      <w:r w:rsidR="004E612C" w:rsidRPr="008C74A3">
        <w:t>N</w:t>
      </w:r>
      <w:r w:rsidRPr="008C74A3">
        <w:t xml:space="preserve">orms </w:t>
      </w:r>
      <w:r w:rsidR="00CA723E" w:rsidRPr="008C74A3">
        <w:t>do not duplicate or compete with existing standards, frameworks, and guidance</w:t>
      </w:r>
      <w:r w:rsidR="00BF01CE" w:rsidRPr="008C74A3">
        <w:t>. R</w:t>
      </w:r>
      <w:r w:rsidR="00CA723E" w:rsidRPr="008C74A3">
        <w:t>ather</w:t>
      </w:r>
      <w:r w:rsidR="00BF01CE" w:rsidRPr="008C74A3">
        <w:t>, they</w:t>
      </w:r>
      <w:r w:rsidR="00CA723E" w:rsidRPr="008C74A3">
        <w:t xml:space="preserve"> </w:t>
      </w:r>
      <w:r w:rsidRPr="008C74A3">
        <w:t>fill a gap in the landscap</w:t>
      </w:r>
      <w:r w:rsidR="00CA723E" w:rsidRPr="008C74A3">
        <w:t>e</w:t>
      </w:r>
      <w:r w:rsidR="009714E7" w:rsidRPr="008C74A3">
        <w:t xml:space="preserve">: </w:t>
      </w:r>
      <w:r w:rsidR="00BF01CE" w:rsidRPr="008C74A3">
        <w:t>impact disclosure standards for investors</w:t>
      </w:r>
      <w:r w:rsidR="009714E7" w:rsidRPr="008C74A3">
        <w:t xml:space="preserve"> in private markets</w:t>
      </w:r>
      <w:r w:rsidR="00A9542C" w:rsidRPr="008C74A3">
        <w:t xml:space="preserve"> (see Appendix D)</w:t>
      </w:r>
      <w:r w:rsidRPr="008C74A3">
        <w:t>. They can be used in complementary fashion with the primary impact standards, frameworks, and guidance that investors already use.</w:t>
      </w:r>
      <w:r w:rsidR="004E612C" w:rsidRPr="008C74A3">
        <w:t xml:space="preserve"> They can be used either for standalone impact </w:t>
      </w:r>
      <w:r w:rsidR="000F5298" w:rsidRPr="008C74A3">
        <w:t xml:space="preserve">performance </w:t>
      </w:r>
      <w:r w:rsidR="004E612C" w:rsidRPr="008C74A3">
        <w:t xml:space="preserve">reports or integrated impact and financial reports. </w:t>
      </w:r>
    </w:p>
    <w:p w14:paraId="75C02AD9" w14:textId="449E3A92" w:rsidR="00FA0265" w:rsidRPr="008C74A3" w:rsidRDefault="00FA0265" w:rsidP="00AB556D">
      <w:pPr>
        <w:spacing w:after="120"/>
      </w:pPr>
      <w:bookmarkStart w:id="5" w:name="_Hlk147849734"/>
      <w:r w:rsidRPr="008C74A3">
        <w:t xml:space="preserve">Impact management in general, and impact reporting specifically, is a rapidly evolving field. While no standard currently guides the content and structure of impact reports by investors, there are several emerging standards that pertain to impact management practices (e.g., </w:t>
      </w:r>
      <w:r w:rsidR="007552F8" w:rsidRPr="008C74A3">
        <w:t xml:space="preserve">Gold Standard Fund Requirements, Impact Principles, </w:t>
      </w:r>
      <w:r w:rsidRPr="008C74A3">
        <w:t>SDG Impact Standards) and/or impact accounting (e.g.,</w:t>
      </w:r>
      <w:r w:rsidR="007D7E73" w:rsidRPr="008C74A3">
        <w:t xml:space="preserve"> Capitals Coalition,</w:t>
      </w:r>
      <w:r w:rsidRPr="008C74A3">
        <w:t xml:space="preserve"> International Foundation for Valuing Impacts</w:t>
      </w:r>
      <w:r w:rsidR="007D7E73" w:rsidRPr="008C74A3">
        <w:t>, and Social Value International</w:t>
      </w:r>
      <w:r w:rsidRPr="008C74A3">
        <w:t>)</w:t>
      </w:r>
      <w:r w:rsidR="007552F8" w:rsidRPr="008C74A3">
        <w:t xml:space="preserve">. Each of these standards aims to </w:t>
      </w:r>
      <w:r w:rsidR="00037A30" w:rsidRPr="008C74A3">
        <w:t>“</w:t>
      </w:r>
      <w:r w:rsidR="007552F8" w:rsidRPr="008C74A3">
        <w:t>raise the bar</w:t>
      </w:r>
      <w:r w:rsidR="00037A30" w:rsidRPr="008C74A3">
        <w:t>”</w:t>
      </w:r>
      <w:r w:rsidR="007552F8" w:rsidRPr="008C74A3">
        <w:t xml:space="preserve"> in various ways and to various degrees. These Norms are calibrated to represent an achievable stepping</w:t>
      </w:r>
      <w:r w:rsidR="00DB310C" w:rsidRPr="008C74A3">
        <w:t xml:space="preserve"> </w:t>
      </w:r>
      <w:r w:rsidR="007552F8" w:rsidRPr="008C74A3">
        <w:t>stone that exceeds much existing practice</w:t>
      </w:r>
      <w:r w:rsidR="009714E7" w:rsidRPr="008C74A3">
        <w:t xml:space="preserve">, while leaving ample opportunity for investors that wish to go further. Some of these opportunities are noted in the footnotes. As market practices change, the </w:t>
      </w:r>
      <w:r w:rsidR="00FA7C2C" w:rsidRPr="008C74A3">
        <w:t xml:space="preserve">draft Reporting </w:t>
      </w:r>
      <w:r w:rsidR="009714E7" w:rsidRPr="008C74A3">
        <w:t xml:space="preserve">Norms will evolve, and practices that seem exceptional today may become more common. </w:t>
      </w:r>
    </w:p>
    <w:bookmarkEnd w:id="4"/>
    <w:bookmarkEnd w:id="5"/>
    <w:p w14:paraId="32F018AF" w14:textId="599D2582" w:rsidR="004E612C" w:rsidRPr="008C74A3" w:rsidRDefault="10054760" w:rsidP="00AB556D">
      <w:pPr>
        <w:spacing w:after="120"/>
      </w:pPr>
      <w:r w:rsidRPr="008C74A3">
        <w:t>The Norms may be implemented in whole or in part</w:t>
      </w:r>
      <w:r w:rsidR="00A970FC" w:rsidRPr="008C74A3">
        <w:t xml:space="preserve">, </w:t>
      </w:r>
      <w:r w:rsidRPr="008C74A3">
        <w:t xml:space="preserve">and at any pace, at the discretion of the report preparer. </w:t>
      </w:r>
      <w:r w:rsidR="00A970FC" w:rsidRPr="008C74A3">
        <w:t xml:space="preserve">If implemented in part, reports should </w:t>
      </w:r>
      <w:r w:rsidR="00EF0903" w:rsidRPr="008C74A3">
        <w:t xml:space="preserve">at a minimum </w:t>
      </w:r>
      <w:r w:rsidR="00A970FC" w:rsidRPr="008C74A3">
        <w:t xml:space="preserve">include </w:t>
      </w:r>
      <w:r w:rsidR="00E95751" w:rsidRPr="008C74A3">
        <w:t>“</w:t>
      </w:r>
      <w:r w:rsidR="00A970FC" w:rsidRPr="008C74A3">
        <w:t>1</w:t>
      </w:r>
      <w:r w:rsidR="00E95751" w:rsidRPr="008C74A3">
        <w:t>.</w:t>
      </w:r>
      <w:r w:rsidR="00D50E08" w:rsidRPr="008C74A3">
        <w:t xml:space="preserve"> </w:t>
      </w:r>
      <w:r w:rsidR="00A970FC" w:rsidRPr="008C74A3">
        <w:t xml:space="preserve">Investor Overview and Impact Thesis” and </w:t>
      </w:r>
      <w:r w:rsidR="00DD661A" w:rsidRPr="008C74A3">
        <w:t>“</w:t>
      </w:r>
      <w:r w:rsidR="00A970FC" w:rsidRPr="008C74A3">
        <w:t>3</w:t>
      </w:r>
      <w:r w:rsidR="00E95751" w:rsidRPr="008C74A3">
        <w:t>.</w:t>
      </w:r>
      <w:r w:rsidR="00D50E08" w:rsidRPr="008C74A3">
        <w:t xml:space="preserve"> </w:t>
      </w:r>
      <w:r w:rsidR="00A970FC" w:rsidRPr="008C74A3">
        <w:t xml:space="preserve">Impact Performance”. </w:t>
      </w:r>
      <w:r w:rsidRPr="008C74A3">
        <w:t xml:space="preserve">Expectations of the depth of implementation, along with the length of the report, should be commensurate with fund size, to avoid disadvantaging smaller and/or emerging fund managers. Differing levels of data availability in reporting entities’ context should also be </w:t>
      </w:r>
      <w:proofErr w:type="gramStart"/>
      <w:r w:rsidRPr="008C74A3">
        <w:t>taken into account</w:t>
      </w:r>
      <w:proofErr w:type="gramEnd"/>
      <w:r w:rsidR="00EF0903" w:rsidRPr="008C74A3">
        <w:t xml:space="preserve"> by report users</w:t>
      </w:r>
      <w:r w:rsidRPr="008C74A3">
        <w:t>.</w:t>
      </w:r>
    </w:p>
    <w:p w14:paraId="439A99E2" w14:textId="0539BB93" w:rsidR="00EF0903" w:rsidRPr="008C74A3" w:rsidRDefault="00EF028C" w:rsidP="00AB556D">
      <w:pPr>
        <w:spacing w:after="120"/>
      </w:pPr>
      <w:r w:rsidRPr="008C74A3">
        <w:t xml:space="preserve">Improved impact performance reporting is not a </w:t>
      </w:r>
      <w:r w:rsidR="007D4720" w:rsidRPr="008C74A3">
        <w:t>panacea</w:t>
      </w:r>
      <w:r w:rsidRPr="008C74A3">
        <w:t xml:space="preserve">, but it is a leverage point. Complementary changes in decision-making processes, criteria, and incentives – and more broadly, the goals of the various actors and the rules and constraints within which they operate – will all amplify the effect of improvements in reporting, and vice versa. </w:t>
      </w:r>
    </w:p>
    <w:p w14:paraId="1A2DECFF" w14:textId="00A84C3C" w:rsidR="00D712A0" w:rsidRPr="008C74A3" w:rsidRDefault="00D712A0" w:rsidP="00AB556D">
      <w:pPr>
        <w:spacing w:after="120"/>
      </w:pPr>
      <w:r w:rsidRPr="008C74A3">
        <w:t xml:space="preserve">Over time, these Norms will increase the ability of report preparers and users to benchmark impact performance against comparable peers, enable capital to be allocated to impact more efficiently and effectively, and increase the confidence of the market </w:t>
      </w:r>
      <w:proofErr w:type="gramStart"/>
      <w:r w:rsidRPr="008C74A3">
        <w:t>as a whole in</w:t>
      </w:r>
      <w:proofErr w:type="gramEnd"/>
      <w:r w:rsidRPr="008C74A3">
        <w:t xml:space="preserve"> the impact of impact investing.</w:t>
      </w:r>
      <w:r w:rsidR="0096421F" w:rsidRPr="008C74A3">
        <w:t xml:space="preserve"> Eventually, the Norms may </w:t>
      </w:r>
      <w:r w:rsidR="00C35349" w:rsidRPr="008C74A3">
        <w:t>serve as</w:t>
      </w:r>
      <w:r w:rsidR="0096421F" w:rsidRPr="008C74A3">
        <w:t xml:space="preserve"> a reference for regulators considering disclosure and labelling requirements for impact investments.</w:t>
      </w:r>
    </w:p>
    <w:p w14:paraId="58A26D95" w14:textId="37E61C4E" w:rsidR="00D712A0" w:rsidRPr="008C74A3" w:rsidRDefault="004E612C" w:rsidP="001F3DC0">
      <w:pPr>
        <w:pStyle w:val="Heading2"/>
      </w:pPr>
      <w:bookmarkStart w:id="6" w:name="_Toc148384173"/>
      <w:r w:rsidRPr="008C74A3">
        <w:t xml:space="preserve">Consultation </w:t>
      </w:r>
      <w:r w:rsidR="004432E8" w:rsidRPr="008C74A3">
        <w:t>Process</w:t>
      </w:r>
      <w:bookmarkEnd w:id="6"/>
    </w:p>
    <w:p w14:paraId="12577FDB" w14:textId="060D3926" w:rsidR="00AB68CC" w:rsidRPr="008C74A3" w:rsidRDefault="004432E8" w:rsidP="00FB09AA">
      <w:pPr>
        <w:rPr>
          <w:rFonts w:ascii="Interstate" w:hAnsi="Interstate"/>
          <w:b/>
          <w:bCs/>
          <w:color w:val="000000" w:themeColor="text1"/>
          <w:sz w:val="28"/>
          <w:szCs w:val="28"/>
        </w:rPr>
      </w:pPr>
      <w:r w:rsidRPr="008C74A3">
        <w:t xml:space="preserve">In </w:t>
      </w:r>
      <w:r w:rsidR="00D712A0" w:rsidRPr="008C74A3">
        <w:t xml:space="preserve">Q4 </w:t>
      </w:r>
      <w:r w:rsidRPr="008C74A3">
        <w:t>2023</w:t>
      </w:r>
      <w:r w:rsidR="007B2B4A" w:rsidRPr="008C74A3">
        <w:t>,</w:t>
      </w:r>
      <w:r w:rsidRPr="008C74A3">
        <w:t xml:space="preserve"> Impact Frontiers </w:t>
      </w:r>
      <w:r w:rsidR="004A38D7" w:rsidRPr="008C74A3">
        <w:t>is</w:t>
      </w:r>
      <w:r w:rsidRPr="008C74A3">
        <w:t xml:space="preserve"> hold</w:t>
      </w:r>
      <w:r w:rsidR="004A38D7" w:rsidRPr="008C74A3">
        <w:t>ing</w:t>
      </w:r>
      <w:r w:rsidRPr="008C74A3">
        <w:t xml:space="preserve"> </w:t>
      </w:r>
      <w:r w:rsidR="007B2B4A" w:rsidRPr="008C74A3">
        <w:t xml:space="preserve">a </w:t>
      </w:r>
      <w:r w:rsidRPr="008C74A3">
        <w:t xml:space="preserve">public consultation on the </w:t>
      </w:r>
      <w:r w:rsidR="008619D6" w:rsidRPr="008C74A3">
        <w:t>d</w:t>
      </w:r>
      <w:r w:rsidRPr="008C74A3">
        <w:t xml:space="preserve">raft Impact </w:t>
      </w:r>
      <w:r w:rsidR="00520AE1" w:rsidRPr="008C74A3">
        <w:t xml:space="preserve">Performance </w:t>
      </w:r>
      <w:r w:rsidRPr="008C74A3">
        <w:t>Reporting Norm</w:t>
      </w:r>
      <w:r w:rsidR="00D712A0" w:rsidRPr="008C74A3">
        <w:t xml:space="preserve">s, as well as </w:t>
      </w:r>
      <w:r w:rsidR="00DB310C" w:rsidRPr="008C74A3">
        <w:t xml:space="preserve">a </w:t>
      </w:r>
      <w:r w:rsidR="00D712A0" w:rsidRPr="008C74A3">
        <w:t xml:space="preserve">supplementary resource for third-party reviewers such as assurance providers, </w:t>
      </w:r>
      <w:r w:rsidR="008C74A3" w:rsidRPr="008C74A3">
        <w:t>evaluators,</w:t>
      </w:r>
      <w:r w:rsidR="00D712A0" w:rsidRPr="008C74A3">
        <w:t xml:space="preserve"> and verifiers. Feedback will be sought via written submission as well as participation in webinars and </w:t>
      </w:r>
      <w:hyperlink r:id="rId12" w:history="1">
        <w:r w:rsidR="00D712A0" w:rsidRPr="008C74A3">
          <w:rPr>
            <w:rStyle w:val="Hyperlink"/>
          </w:rPr>
          <w:t>online discussion boards</w:t>
        </w:r>
      </w:hyperlink>
      <w:r w:rsidR="00D712A0" w:rsidRPr="008C74A3">
        <w:t>.</w:t>
      </w:r>
      <w:r w:rsidR="00520AE1" w:rsidRPr="008C74A3">
        <w:t xml:space="preserve"> </w:t>
      </w:r>
      <w:r w:rsidR="00D712A0" w:rsidRPr="008C74A3">
        <w:t xml:space="preserve">In Q1 2024 Impact Frontiers will </w:t>
      </w:r>
      <w:r w:rsidR="00520AE1" w:rsidRPr="008C74A3">
        <w:t xml:space="preserve">revise the Norms based on </w:t>
      </w:r>
      <w:r w:rsidR="008C74A3" w:rsidRPr="008C74A3">
        <w:t>feedback and</w:t>
      </w:r>
      <w:r w:rsidR="00520AE1" w:rsidRPr="008C74A3">
        <w:t xml:space="preserve"> publish version 1.0 in Q2 2024. </w:t>
      </w:r>
      <w:r w:rsidR="008F6174" w:rsidRPr="008C74A3">
        <w:t>See Appendix A for a summary of the process to-date.</w:t>
      </w:r>
      <w:r w:rsidR="00AB68CC" w:rsidRPr="008C74A3">
        <w:br w:type="page"/>
      </w:r>
    </w:p>
    <w:p w14:paraId="72AA5958" w14:textId="7E796653" w:rsidR="004432E8" w:rsidRPr="008C74A3" w:rsidRDefault="004432E8" w:rsidP="001A58CA">
      <w:pPr>
        <w:pStyle w:val="Heading2"/>
        <w:ind w:left="0" w:firstLine="0"/>
      </w:pPr>
      <w:bookmarkStart w:id="7" w:name="_Toc148384174"/>
      <w:r w:rsidRPr="008C74A3">
        <w:lastRenderedPageBreak/>
        <w:t>Section 1: Foundations</w:t>
      </w:r>
      <w:bookmarkEnd w:id="7"/>
    </w:p>
    <w:p w14:paraId="30CCBB6E" w14:textId="66E0A604" w:rsidR="00097299" w:rsidRPr="008C74A3" w:rsidRDefault="004432E8" w:rsidP="00097299">
      <w:r w:rsidRPr="008C74A3">
        <w:t xml:space="preserve">Section 1 proposes a shared understanding of the </w:t>
      </w:r>
      <w:r w:rsidR="004222A0" w:rsidRPr="008C74A3">
        <w:t xml:space="preserve">primary </w:t>
      </w:r>
      <w:r w:rsidRPr="008C74A3">
        <w:t xml:space="preserve">users </w:t>
      </w:r>
      <w:r w:rsidR="004222A0" w:rsidRPr="008C74A3">
        <w:t xml:space="preserve">and objectives </w:t>
      </w:r>
      <w:r w:rsidRPr="008C74A3">
        <w:t xml:space="preserve">of impact performance </w:t>
      </w:r>
      <w:r w:rsidR="00061BC9" w:rsidRPr="008C74A3">
        <w:t>reports and</w:t>
      </w:r>
      <w:r w:rsidR="00520AE1" w:rsidRPr="008C74A3">
        <w:t xml:space="preserve"> interprets</w:t>
      </w:r>
      <w:r w:rsidRPr="008C74A3">
        <w:t xml:space="preserve"> the Conceptual Framework’s six qualitative characteristics of useful information in the context of impact performance reports.</w:t>
      </w:r>
    </w:p>
    <w:p w14:paraId="47127518" w14:textId="43511756" w:rsidR="004432E8" w:rsidRPr="008C74A3" w:rsidRDefault="00F75D3B" w:rsidP="001F3DC0">
      <w:pPr>
        <w:pStyle w:val="Heading3"/>
        <w:numPr>
          <w:ilvl w:val="0"/>
          <w:numId w:val="0"/>
        </w:numPr>
      </w:pPr>
      <w:bookmarkStart w:id="8" w:name="_Toc148384175"/>
      <w:r w:rsidRPr="008C74A3">
        <w:t>1</w:t>
      </w:r>
      <w:r w:rsidR="00A33249" w:rsidRPr="008C74A3">
        <w:t>.</w:t>
      </w:r>
      <w:r w:rsidRPr="008C74A3">
        <w:t xml:space="preserve"> </w:t>
      </w:r>
      <w:r w:rsidR="00CE5777" w:rsidRPr="008C74A3">
        <w:t xml:space="preserve">  </w:t>
      </w:r>
      <w:r w:rsidR="001E4D5A" w:rsidRPr="008C74A3">
        <w:t xml:space="preserve"> </w:t>
      </w:r>
      <w:r w:rsidR="004222A0" w:rsidRPr="008C74A3">
        <w:t>Users and Objectives</w:t>
      </w:r>
      <w:bookmarkEnd w:id="8"/>
    </w:p>
    <w:p w14:paraId="1A17646D" w14:textId="36CF4B43" w:rsidR="004432E8" w:rsidRPr="008C74A3" w:rsidRDefault="004432E8" w:rsidP="00DB1B70">
      <w:r w:rsidRPr="008C74A3">
        <w:t xml:space="preserve">The primary users of an </w:t>
      </w:r>
      <w:r w:rsidR="007D6D4A" w:rsidRPr="008C74A3">
        <w:t>entity’s</w:t>
      </w:r>
      <w:r w:rsidRPr="008C74A3">
        <w:t xml:space="preserve"> impact</w:t>
      </w:r>
      <w:r w:rsidR="004222A0" w:rsidRPr="008C74A3">
        <w:t xml:space="preserve"> performance</w:t>
      </w:r>
      <w:r w:rsidRPr="008C74A3">
        <w:t xml:space="preserve"> report are assumed to be its providers of capital, though there are many other users as well. </w:t>
      </w:r>
      <w:r w:rsidR="00E84D70" w:rsidRPr="008C74A3">
        <w:t>A reporting entity can be a</w:t>
      </w:r>
      <w:r w:rsidR="00AD2FD8" w:rsidRPr="008C74A3">
        <w:t xml:space="preserve"> for-profit or non-profit</w:t>
      </w:r>
      <w:r w:rsidR="00E84D70" w:rsidRPr="008C74A3">
        <w:t xml:space="preserve"> corporation or government agency, a subsidiary thereof, a fund, or a special purpose vehicle. </w:t>
      </w:r>
      <w:r w:rsidRPr="008C74A3">
        <w:t xml:space="preserve">The objective of the report is assumed to be to provide information about the impact of the </w:t>
      </w:r>
      <w:r w:rsidR="007D6D4A" w:rsidRPr="008C74A3">
        <w:t xml:space="preserve">entity </w:t>
      </w:r>
      <w:r w:rsidRPr="008C74A3">
        <w:t>and its investees on the stakeholders and/or aspects of the natural environment experiencing the impact</w:t>
      </w:r>
      <w:r w:rsidR="004E612C" w:rsidRPr="008C74A3">
        <w:t>,</w:t>
      </w:r>
      <w:r w:rsidRPr="008C74A3">
        <w:t xml:space="preserve"> s</w:t>
      </w:r>
      <w:r w:rsidR="004E612C" w:rsidRPr="008C74A3">
        <w:t>o</w:t>
      </w:r>
      <w:r w:rsidRPr="008C74A3">
        <w:t xml:space="preserve"> that asset owners and allocators can make decisions </w:t>
      </w:r>
      <w:r w:rsidR="004A38D7" w:rsidRPr="008C74A3">
        <w:t xml:space="preserve">about whether and how to provide or withdraw capital and/or non-financial engagement to the entity </w:t>
      </w:r>
      <w:r w:rsidR="004E612C" w:rsidRPr="008C74A3">
        <w:t xml:space="preserve">that are informed by the interests and experiences of </w:t>
      </w:r>
      <w:r w:rsidR="00734B44" w:rsidRPr="008C74A3">
        <w:t>stakeholder</w:t>
      </w:r>
      <w:r w:rsidR="004E612C" w:rsidRPr="008C74A3">
        <w:t>s and the natural environment</w:t>
      </w:r>
      <w:r w:rsidRPr="008C74A3">
        <w:t xml:space="preserve">. </w:t>
      </w:r>
    </w:p>
    <w:p w14:paraId="221208D8" w14:textId="61B3EB0C" w:rsidR="004432E8" w:rsidRPr="008C74A3" w:rsidRDefault="00F75D3B" w:rsidP="001F3DC0">
      <w:pPr>
        <w:pStyle w:val="Heading3"/>
        <w:numPr>
          <w:ilvl w:val="0"/>
          <w:numId w:val="0"/>
        </w:numPr>
      </w:pPr>
      <w:bookmarkStart w:id="9" w:name="_Toc148384176"/>
      <w:r w:rsidRPr="008C74A3">
        <w:t>2</w:t>
      </w:r>
      <w:r w:rsidR="00A33249" w:rsidRPr="008C74A3">
        <w:t>.</w:t>
      </w:r>
      <w:r w:rsidRPr="008C74A3">
        <w:t xml:space="preserve"> </w:t>
      </w:r>
      <w:r w:rsidR="00CE5777" w:rsidRPr="008C74A3">
        <w:t xml:space="preserve">  </w:t>
      </w:r>
      <w:r w:rsidR="004432E8" w:rsidRPr="008C74A3">
        <w:t>Characteristics of Useful Information</w:t>
      </w:r>
      <w:bookmarkEnd w:id="9"/>
    </w:p>
    <w:p w14:paraId="670FE665" w14:textId="1284DE4F" w:rsidR="001E4D5A" w:rsidRPr="008C74A3" w:rsidRDefault="001E4D5A" w:rsidP="001E4D5A">
      <w:r w:rsidRPr="008C74A3">
        <w:t>The characteristics of useful information, along with the suggested content and structure below, define the boundaries within which report preparers may exercise discretion and flexibility:</w:t>
      </w:r>
    </w:p>
    <w:p w14:paraId="28E9FCB8" w14:textId="534DE2EF" w:rsidR="004432E8" w:rsidRPr="008C74A3" w:rsidRDefault="7F832371" w:rsidP="002D5795">
      <w:pPr>
        <w:pStyle w:val="ListParagraph"/>
        <w:numPr>
          <w:ilvl w:val="0"/>
          <w:numId w:val="28"/>
        </w:numPr>
        <w:spacing w:after="120"/>
        <w:ind w:leftChars="0"/>
      </w:pPr>
      <w:r w:rsidRPr="008C74A3">
        <w:rPr>
          <w:b/>
          <w:bCs/>
        </w:rPr>
        <w:t>Relevance</w:t>
      </w:r>
      <w:r w:rsidRPr="008C74A3">
        <w:t xml:space="preserve"> defines information that is important enough to affect the decisions of users, and the concept of materiality defines what information should and should not be included in a report. </w:t>
      </w:r>
      <w:r w:rsidR="00CA4DE2" w:rsidRPr="008C74A3">
        <w:t>Relevance and m</w:t>
      </w:r>
      <w:r w:rsidRPr="008C74A3">
        <w:t xml:space="preserve">ateriality should be defined from the perspective of the </w:t>
      </w:r>
      <w:r w:rsidR="00734B44" w:rsidRPr="008C74A3">
        <w:t>stakeholder</w:t>
      </w:r>
      <w:r w:rsidRPr="008C74A3">
        <w:t xml:space="preserve">s and aspects of the natural environment experiencing the impact, under the assumption that </w:t>
      </w:r>
      <w:r w:rsidR="00061BC9" w:rsidRPr="008C74A3">
        <w:t xml:space="preserve">the </w:t>
      </w:r>
      <w:r w:rsidRPr="008C74A3">
        <w:t xml:space="preserve">information could, in principle, influence the decisions of asset owners and allocators. </w:t>
      </w:r>
      <w:r w:rsidR="00D55D63" w:rsidRPr="008C74A3">
        <w:t>I</w:t>
      </w:r>
      <w:r w:rsidRPr="008C74A3">
        <w:t xml:space="preserve">nformation relevant to estimation of enterprise value, financial risk, and return </w:t>
      </w:r>
      <w:r w:rsidR="00D55D63" w:rsidRPr="008C74A3">
        <w:t>c</w:t>
      </w:r>
      <w:r w:rsidRPr="008C74A3">
        <w:t>ould additionally be considered material (i.e., “double materiality”).</w:t>
      </w:r>
    </w:p>
    <w:p w14:paraId="58CCC3D6" w14:textId="07F4A529" w:rsidR="004432E8" w:rsidRPr="008C74A3" w:rsidRDefault="004432E8" w:rsidP="002D5795">
      <w:pPr>
        <w:pStyle w:val="ListParagraph"/>
        <w:numPr>
          <w:ilvl w:val="0"/>
          <w:numId w:val="28"/>
        </w:numPr>
        <w:spacing w:after="120"/>
        <w:ind w:leftChars="0"/>
      </w:pPr>
      <w:r w:rsidRPr="008C74A3">
        <w:rPr>
          <w:b/>
          <w:bCs/>
        </w:rPr>
        <w:t>Faithful Representation</w:t>
      </w:r>
      <w:r w:rsidRPr="008C74A3">
        <w:t xml:space="preserve"> means that information is complete, neutral, and accurate. A complete depiction of impact performance</w:t>
      </w:r>
      <w:r w:rsidR="001E4D5A" w:rsidRPr="008C74A3">
        <w:t xml:space="preserve"> would</w:t>
      </w:r>
      <w:r w:rsidRPr="008C74A3">
        <w:t xml:space="preserve"> include all material outcomes and impacts that are known or could reasonably be expected to be known. Neutral means there is no bias in which information is selected or in the way that information is presented</w:t>
      </w:r>
      <w:r w:rsidR="00E47101" w:rsidRPr="008C74A3">
        <w:t>. In the context of</w:t>
      </w:r>
      <w:r w:rsidR="001E4D5A" w:rsidRPr="008C74A3">
        <w:t xml:space="preserve"> financial</w:t>
      </w:r>
      <w:r w:rsidR="00E47101" w:rsidRPr="008C74A3">
        <w:t xml:space="preserve"> accounting and reporting, the term bias refers to slanting, weighting, emphasizing, deemphasizing</w:t>
      </w:r>
      <w:r w:rsidR="00DB310C" w:rsidRPr="008C74A3">
        <w:t>,</w:t>
      </w:r>
      <w:r w:rsidR="00E47101" w:rsidRPr="008C74A3">
        <w:t xml:space="preserve"> or otherwise manipulating the information in the report to make it more likely that users of the report will receive the information positively or negatively.</w:t>
      </w:r>
      <w:r w:rsidRPr="008C74A3">
        <w:t xml:space="preserve"> Accurate information need not be perfectly precise, but it does need to be free of material misstatement. Preparers will likely struggle to achieve all three characteristics. </w:t>
      </w:r>
      <w:r w:rsidR="001E4D5A" w:rsidRPr="008C74A3">
        <w:t>S</w:t>
      </w:r>
      <w:r w:rsidRPr="008C74A3">
        <w:t xml:space="preserve">takeholder engagement and </w:t>
      </w:r>
      <w:r w:rsidR="00E47101" w:rsidRPr="008C74A3">
        <w:t>independent review</w:t>
      </w:r>
      <w:r w:rsidRPr="008C74A3">
        <w:t xml:space="preserve"> can increase users’ confidence in reports’ faithful representation.</w:t>
      </w:r>
    </w:p>
    <w:p w14:paraId="0768DBED" w14:textId="21DE8422" w:rsidR="004432E8" w:rsidRPr="008C74A3" w:rsidRDefault="004432E8" w:rsidP="002D5795">
      <w:pPr>
        <w:pStyle w:val="ListParagraph"/>
        <w:numPr>
          <w:ilvl w:val="0"/>
          <w:numId w:val="28"/>
        </w:numPr>
        <w:spacing w:after="120"/>
        <w:ind w:leftChars="0"/>
      </w:pPr>
      <w:r w:rsidRPr="008C74A3">
        <w:rPr>
          <w:b/>
          <w:bCs/>
        </w:rPr>
        <w:t>Verifiability</w:t>
      </w:r>
      <w:r w:rsidRPr="008C74A3">
        <w:t xml:space="preserve"> means information</w:t>
      </w:r>
      <w:r w:rsidR="00E47101" w:rsidRPr="008C74A3">
        <w:t xml:space="preserve"> </w:t>
      </w:r>
      <w:r w:rsidRPr="008C74A3">
        <w:t xml:space="preserve">can be checked and confirmed. </w:t>
      </w:r>
    </w:p>
    <w:p w14:paraId="2DABF86A" w14:textId="6731EB7D" w:rsidR="004432E8" w:rsidRPr="008C74A3" w:rsidRDefault="004432E8" w:rsidP="002D5795">
      <w:pPr>
        <w:pStyle w:val="ListParagraph"/>
        <w:numPr>
          <w:ilvl w:val="0"/>
          <w:numId w:val="28"/>
        </w:numPr>
        <w:spacing w:after="120"/>
        <w:ind w:leftChars="0"/>
      </w:pPr>
      <w:r w:rsidRPr="008C74A3">
        <w:rPr>
          <w:b/>
          <w:bCs/>
        </w:rPr>
        <w:t>Timeliness</w:t>
      </w:r>
      <w:r w:rsidRPr="008C74A3">
        <w:t xml:space="preserve"> means information is available in time to influence users’ decisions. </w:t>
      </w:r>
    </w:p>
    <w:p w14:paraId="46851D5F" w14:textId="3B29A609" w:rsidR="004432E8" w:rsidRPr="008C74A3" w:rsidRDefault="004432E8" w:rsidP="002D5795">
      <w:pPr>
        <w:pStyle w:val="ListParagraph"/>
        <w:numPr>
          <w:ilvl w:val="0"/>
          <w:numId w:val="28"/>
        </w:numPr>
        <w:spacing w:after="120"/>
        <w:ind w:leftChars="0"/>
        <w:rPr>
          <w:color w:val="000000" w:themeColor="text1"/>
        </w:rPr>
      </w:pPr>
      <w:r w:rsidRPr="008C74A3">
        <w:rPr>
          <w:b/>
          <w:bCs/>
          <w:color w:val="000000" w:themeColor="text1"/>
        </w:rPr>
        <w:t>Comparability</w:t>
      </w:r>
      <w:r w:rsidRPr="008C74A3">
        <w:rPr>
          <w:color w:val="000000" w:themeColor="text1"/>
        </w:rPr>
        <w:t xml:space="preserve"> enables comparison of information between different entities or between different periods for the same entity. </w:t>
      </w:r>
      <w:r w:rsidR="00E47101" w:rsidRPr="008C74A3">
        <w:t xml:space="preserve">Consistency </w:t>
      </w:r>
      <w:r w:rsidR="001E4D5A" w:rsidRPr="008C74A3">
        <w:t>of</w:t>
      </w:r>
      <w:r w:rsidR="00E47101" w:rsidRPr="008C74A3">
        <w:t xml:space="preserve"> concepts being measured (e.g., goal-based or thematic taxonomies, </w:t>
      </w:r>
      <w:r w:rsidR="006445A9" w:rsidRPr="008C74A3">
        <w:t xml:space="preserve">five </w:t>
      </w:r>
      <w:r w:rsidR="00E47101" w:rsidRPr="008C74A3">
        <w:t>dimensions of impact);</w:t>
      </w:r>
      <w:r w:rsidR="001E4D5A" w:rsidRPr="008C74A3">
        <w:t xml:space="preserve"> of</w:t>
      </w:r>
      <w:r w:rsidR="00E47101" w:rsidRPr="008C74A3">
        <w:t xml:space="preserve"> the structure and format of reports; and </w:t>
      </w:r>
      <w:r w:rsidR="001E4D5A" w:rsidRPr="008C74A3">
        <w:t xml:space="preserve">of </w:t>
      </w:r>
      <w:r w:rsidR="00E47101" w:rsidRPr="008C74A3">
        <w:t>metrics</w:t>
      </w:r>
      <w:r w:rsidR="001E4D5A" w:rsidRPr="008C74A3">
        <w:t xml:space="preserve">, as appropriate, </w:t>
      </w:r>
      <w:r w:rsidR="00E47101" w:rsidRPr="008C74A3">
        <w:t>can all enhance comparability for report users.</w:t>
      </w:r>
      <w:r w:rsidRPr="008C74A3">
        <w:t xml:space="preserve"> </w:t>
      </w:r>
      <w:r w:rsidR="001E4D5A" w:rsidRPr="008C74A3">
        <w:t xml:space="preserve">As the Conceptual </w:t>
      </w:r>
      <w:r w:rsidR="001E4D5A" w:rsidRPr="008C74A3">
        <w:lastRenderedPageBreak/>
        <w:t>Framework states, “Comparability is not uniformity. For information to be comparable, like things must look alike and different things must look different.”</w:t>
      </w:r>
      <w:r w:rsidR="00E84D70" w:rsidRPr="008C74A3">
        <w:t xml:space="preserve"> </w:t>
      </w:r>
    </w:p>
    <w:p w14:paraId="09B96452" w14:textId="45DDB77B" w:rsidR="004432E8" w:rsidRPr="008C74A3" w:rsidRDefault="004432E8" w:rsidP="002D5795">
      <w:pPr>
        <w:pStyle w:val="ListParagraph"/>
        <w:numPr>
          <w:ilvl w:val="0"/>
          <w:numId w:val="28"/>
        </w:numPr>
        <w:spacing w:after="120"/>
        <w:ind w:leftChars="0"/>
      </w:pPr>
      <w:r w:rsidRPr="008C74A3">
        <w:rPr>
          <w:b/>
          <w:bCs/>
        </w:rPr>
        <w:t>Understandability</w:t>
      </w:r>
      <w:r w:rsidRPr="008C74A3">
        <w:t xml:space="preserve"> means information is presented clearly and concisely in a way that users with reasonable knowledge can understand. For instance, impact performance reports can avoid generic or duplicative information while still presenting a complete picture.</w:t>
      </w:r>
      <w:r w:rsidR="00E47101" w:rsidRPr="008C74A3">
        <w:t xml:space="preserve"> </w:t>
      </w:r>
      <w:r w:rsidR="00F57227" w:rsidRPr="008C74A3">
        <w:t xml:space="preserve">Information that is intrinsically complex or difficult to understand should still be included if omission would compromise relevance or faithful representation. </w:t>
      </w:r>
      <w:r w:rsidR="00E47101" w:rsidRPr="008C74A3">
        <w:t xml:space="preserve">Users may wish to engage specialist third parties to aid in the </w:t>
      </w:r>
      <w:r w:rsidR="00F57227" w:rsidRPr="008C74A3">
        <w:t xml:space="preserve">interpretation of reports or in their </w:t>
      </w:r>
      <w:r w:rsidR="00E47101" w:rsidRPr="008C74A3">
        <w:t>assurance, evaluation, or verificatio</w:t>
      </w:r>
      <w:r w:rsidR="00F57227" w:rsidRPr="008C74A3">
        <w:t>n</w:t>
      </w:r>
      <w:r w:rsidR="00E47101" w:rsidRPr="008C74A3">
        <w:t>.</w:t>
      </w:r>
    </w:p>
    <w:p w14:paraId="7BAD41BF" w14:textId="6DC19DF8" w:rsidR="004432E8" w:rsidRPr="008C74A3" w:rsidRDefault="004432E8" w:rsidP="001F3DC0">
      <w:pPr>
        <w:pStyle w:val="Heading2"/>
      </w:pPr>
      <w:bookmarkStart w:id="10" w:name="_Toc148384177"/>
      <w:r w:rsidRPr="008C74A3">
        <w:t>Section 2: Content</w:t>
      </w:r>
      <w:r w:rsidR="000F5298" w:rsidRPr="008C74A3">
        <w:t xml:space="preserve"> and </w:t>
      </w:r>
      <w:r w:rsidRPr="008C74A3">
        <w:t>Structure</w:t>
      </w:r>
      <w:bookmarkEnd w:id="10"/>
    </w:p>
    <w:p w14:paraId="27C4D6EB" w14:textId="7F387531" w:rsidR="004432E8" w:rsidRPr="008C74A3" w:rsidRDefault="004432E8" w:rsidP="00AB556D">
      <w:pPr>
        <w:spacing w:after="120"/>
      </w:pPr>
      <w:r w:rsidRPr="008C74A3">
        <w:t>Section 2 proposes a shared expectation for the content</w:t>
      </w:r>
      <w:r w:rsidR="000F5298" w:rsidRPr="008C74A3">
        <w:t xml:space="preserve"> and</w:t>
      </w:r>
      <w:r w:rsidRPr="008C74A3">
        <w:t xml:space="preserve"> structure of impact</w:t>
      </w:r>
      <w:r w:rsidR="000F5298" w:rsidRPr="008C74A3">
        <w:t xml:space="preserve"> performance</w:t>
      </w:r>
      <w:r w:rsidRPr="008C74A3">
        <w:t xml:space="preserve"> reports:</w:t>
      </w:r>
    </w:p>
    <w:p w14:paraId="4FF4E652" w14:textId="40B872B1" w:rsidR="004432E8" w:rsidRPr="008C74A3" w:rsidRDefault="004432E8" w:rsidP="002D5795">
      <w:pPr>
        <w:pStyle w:val="ListParagraph"/>
        <w:numPr>
          <w:ilvl w:val="0"/>
          <w:numId w:val="6"/>
        </w:numPr>
        <w:spacing w:after="120"/>
        <w:ind w:leftChars="0"/>
        <w:rPr>
          <w:color w:val="000000" w:themeColor="text1"/>
        </w:rPr>
      </w:pPr>
      <w:r w:rsidRPr="008C74A3">
        <w:rPr>
          <w:b/>
          <w:bCs/>
        </w:rPr>
        <w:t>Investor Overview and Impact Thesis</w:t>
      </w:r>
      <w:r w:rsidRPr="008C74A3">
        <w:t xml:space="preserve">: </w:t>
      </w:r>
      <w:r w:rsidR="005B2245" w:rsidRPr="008C74A3">
        <w:t>The reporting e</w:t>
      </w:r>
      <w:r w:rsidR="00621F44" w:rsidRPr="008C74A3">
        <w:t xml:space="preserve">ntity’s </w:t>
      </w:r>
      <w:r w:rsidR="00E47101" w:rsidRPr="008C74A3">
        <w:t xml:space="preserve">purpose </w:t>
      </w:r>
      <w:r w:rsidRPr="008C74A3">
        <w:t xml:space="preserve">and vision; impact thesis; </w:t>
      </w:r>
      <w:r w:rsidR="00E47101" w:rsidRPr="008C74A3">
        <w:t>portfolio-level stakeholder and materiality analysis</w:t>
      </w:r>
      <w:r w:rsidRPr="008C74A3">
        <w:t xml:space="preserve">; and for </w:t>
      </w:r>
      <w:r w:rsidR="005B2245" w:rsidRPr="008C74A3">
        <w:t>organizations</w:t>
      </w:r>
      <w:r w:rsidR="00CB5C92" w:rsidRPr="008C74A3">
        <w:t xml:space="preserve"> </w:t>
      </w:r>
      <w:r w:rsidRPr="008C74A3">
        <w:t xml:space="preserve">managing multiple funds, the scope of the assets covered in the report and how </w:t>
      </w:r>
      <w:r w:rsidR="007F18EF" w:rsidRPr="008C74A3">
        <w:t>they</w:t>
      </w:r>
      <w:r w:rsidRPr="008C74A3">
        <w:t xml:space="preserve"> fit into the </w:t>
      </w:r>
      <w:r w:rsidR="005B2245" w:rsidRPr="008C74A3">
        <w:t>organization’s</w:t>
      </w:r>
      <w:r w:rsidR="00CB5C92" w:rsidRPr="008C74A3">
        <w:t xml:space="preserve"> </w:t>
      </w:r>
      <w:r w:rsidRPr="008C74A3">
        <w:t>strategy.</w:t>
      </w:r>
    </w:p>
    <w:p w14:paraId="0134ADD0" w14:textId="6E07D1D9" w:rsidR="004432E8" w:rsidRPr="008C74A3" w:rsidRDefault="004432E8" w:rsidP="002D5795">
      <w:pPr>
        <w:pStyle w:val="ListParagraph"/>
        <w:numPr>
          <w:ilvl w:val="0"/>
          <w:numId w:val="6"/>
        </w:numPr>
        <w:spacing w:after="120"/>
        <w:ind w:leftChars="0"/>
        <w:rPr>
          <w:color w:val="000000" w:themeColor="text1"/>
        </w:rPr>
      </w:pPr>
      <w:r w:rsidRPr="008C74A3">
        <w:rPr>
          <w:b/>
          <w:bCs/>
        </w:rPr>
        <w:t>Impact Management Framework, Process, and Systems</w:t>
      </w:r>
      <w:r w:rsidRPr="008C74A3">
        <w:t>:</w:t>
      </w:r>
      <w:r w:rsidR="00AB592A" w:rsidRPr="008C74A3">
        <w:rPr>
          <w:rStyle w:val="FootnoteReference"/>
        </w:rPr>
        <w:footnoteReference w:id="2"/>
      </w:r>
      <w:r w:rsidRPr="008C74A3">
        <w:t xml:space="preserve"> How impact influences decision-making </w:t>
      </w:r>
      <w:r w:rsidR="00AB592A" w:rsidRPr="008C74A3">
        <w:t>throughout</w:t>
      </w:r>
      <w:r w:rsidRPr="008C74A3">
        <w:t xml:space="preserve"> the investment process; frameworks or tools; and </w:t>
      </w:r>
      <w:r w:rsidR="00AB592A" w:rsidRPr="008C74A3">
        <w:t>management of</w:t>
      </w:r>
      <w:r w:rsidRPr="008C74A3">
        <w:t xml:space="preserve"> impact data.</w:t>
      </w:r>
    </w:p>
    <w:p w14:paraId="5CFCA5C1" w14:textId="2AAB153B" w:rsidR="004432E8" w:rsidRPr="008C74A3" w:rsidRDefault="004432E8" w:rsidP="002D5795">
      <w:pPr>
        <w:pStyle w:val="ListParagraph"/>
        <w:numPr>
          <w:ilvl w:val="0"/>
          <w:numId w:val="6"/>
        </w:numPr>
        <w:spacing w:after="120"/>
        <w:ind w:leftChars="0"/>
        <w:rPr>
          <w:color w:val="000000" w:themeColor="text1"/>
        </w:rPr>
      </w:pPr>
      <w:r w:rsidRPr="008C74A3">
        <w:rPr>
          <w:b/>
          <w:bCs/>
        </w:rPr>
        <w:t>Impact Performance</w:t>
      </w:r>
      <w:r w:rsidRPr="008C74A3">
        <w:t xml:space="preserve">: </w:t>
      </w:r>
      <w:r w:rsidR="006C04C6" w:rsidRPr="008C74A3">
        <w:t>R</w:t>
      </w:r>
      <w:r w:rsidRPr="008C74A3">
        <w:t xml:space="preserve">eporting on </w:t>
      </w:r>
      <w:r w:rsidR="00976BD9" w:rsidRPr="008C74A3">
        <w:t xml:space="preserve">positive and negative / unintended </w:t>
      </w:r>
      <w:r w:rsidRPr="008C74A3">
        <w:t>impact,</w:t>
      </w:r>
      <w:r w:rsidR="00C60E3A" w:rsidRPr="008C74A3">
        <w:t xml:space="preserve"> based on measurements as far down the impact pathway</w:t>
      </w:r>
      <w:r w:rsidR="001A58CA" w:rsidRPr="008C74A3">
        <w:t xml:space="preserve"> (i.e., towards outcomes and impacts)</w:t>
      </w:r>
      <w:r w:rsidR="00C60E3A" w:rsidRPr="008C74A3">
        <w:t xml:space="preserve"> as possible,</w:t>
      </w:r>
      <w:r w:rsidRPr="008C74A3">
        <w:t xml:space="preserve"> including (as relevant) measurement over time, against targets, </w:t>
      </w:r>
      <w:r w:rsidR="00976BD9" w:rsidRPr="008C74A3">
        <w:t xml:space="preserve">relative to goal- or </w:t>
      </w:r>
      <w:r w:rsidR="00061BC9" w:rsidRPr="008C74A3">
        <w:t>theme</w:t>
      </w:r>
      <w:r w:rsidR="00976BD9" w:rsidRPr="008C74A3">
        <w:t xml:space="preserve">-based taxonomies, </w:t>
      </w:r>
      <w:r w:rsidRPr="008C74A3">
        <w:t>and against the data categories within the five dimensions of impact</w:t>
      </w:r>
      <w:r w:rsidR="00976BD9" w:rsidRPr="008C74A3">
        <w:t>, including investor contribution</w:t>
      </w:r>
      <w:r w:rsidRPr="008C74A3">
        <w:t xml:space="preserve">. </w:t>
      </w:r>
      <w:r w:rsidR="001A58CA" w:rsidRPr="008C74A3">
        <w:t xml:space="preserve">A combination of qualitative and quantitative information is recommended, with neither being intrinsically preferable to the other. </w:t>
      </w:r>
      <w:r w:rsidR="00976BD9" w:rsidRPr="008C74A3">
        <w:t>Discretion is left to the preparer as to the formatting and organization of the Impact Performance section, as well as the metrics, analytical methods, targets, and thresholds used</w:t>
      </w:r>
      <w:r w:rsidR="001A58CA" w:rsidRPr="008C74A3">
        <w:t>. T</w:t>
      </w:r>
      <w:r w:rsidR="00976BD9" w:rsidRPr="008C74A3">
        <w:t xml:space="preserve">he preparer should disclose what approach they are taking, along with their rationale. Preparers are encouraged to report on every portfolio company or asset individually, but the largest entities may need to synthesize results across the portfolio. </w:t>
      </w:r>
    </w:p>
    <w:p w14:paraId="636FC8DC" w14:textId="116C7E54" w:rsidR="004432E8" w:rsidRPr="008C74A3" w:rsidRDefault="004432E8" w:rsidP="002D5795">
      <w:pPr>
        <w:pStyle w:val="ListParagraph"/>
        <w:numPr>
          <w:ilvl w:val="0"/>
          <w:numId w:val="6"/>
        </w:numPr>
        <w:spacing w:after="120"/>
        <w:ind w:leftChars="0"/>
        <w:rPr>
          <w:color w:val="000000" w:themeColor="text1"/>
        </w:rPr>
      </w:pPr>
      <w:r w:rsidRPr="008C74A3">
        <w:rPr>
          <w:b/>
          <w:bCs/>
        </w:rPr>
        <w:t>Governance (Optional)</w:t>
      </w:r>
      <w:r w:rsidRPr="008C74A3">
        <w:t xml:space="preserve">: </w:t>
      </w:r>
      <w:r w:rsidR="00061BC9" w:rsidRPr="008C74A3">
        <w:t>H</w:t>
      </w:r>
      <w:r w:rsidRPr="008C74A3">
        <w:t>ow the impact is reflected in the governance of the fund.</w:t>
      </w:r>
      <w:r w:rsidR="00E848B3" w:rsidRPr="008C74A3">
        <w:rPr>
          <w:rStyle w:val="FootnoteReference"/>
        </w:rPr>
        <w:footnoteReference w:id="3"/>
      </w:r>
    </w:p>
    <w:p w14:paraId="53E4C923" w14:textId="3E228853" w:rsidR="00AB592A" w:rsidRPr="008C74A3" w:rsidRDefault="004432E8" w:rsidP="002D5795">
      <w:pPr>
        <w:pStyle w:val="ListParagraph"/>
        <w:numPr>
          <w:ilvl w:val="0"/>
          <w:numId w:val="6"/>
        </w:numPr>
        <w:spacing w:after="120"/>
        <w:ind w:leftChars="0"/>
      </w:pPr>
      <w:r w:rsidRPr="008C74A3">
        <w:rPr>
          <w:b/>
          <w:bCs/>
        </w:rPr>
        <w:t>Case Study (Optional)</w:t>
      </w:r>
      <w:r w:rsidRPr="008C74A3">
        <w:t xml:space="preserve">: </w:t>
      </w:r>
      <w:r w:rsidR="00AB592A" w:rsidRPr="008C74A3">
        <w:t xml:space="preserve">Cases should be labeled as exemplary-positive, exemplary-negative, disconfirming (e.g., of a hypothesis or theory of change), or typical. Preparers should not include only exemplary-positive cases. Exemplary-positive cases are recommended to be paired with contrasting cases (e.g., composite exemplary-negative cases, disconfirming cases, or typical cases). </w:t>
      </w:r>
    </w:p>
    <w:p w14:paraId="53438316" w14:textId="4F70C327" w:rsidR="00CE5777" w:rsidRPr="008C74A3" w:rsidRDefault="00976BD9" w:rsidP="002D5795">
      <w:pPr>
        <w:pStyle w:val="ListParagraph"/>
        <w:numPr>
          <w:ilvl w:val="0"/>
          <w:numId w:val="6"/>
        </w:numPr>
        <w:spacing w:after="120"/>
        <w:ind w:leftChars="0"/>
      </w:pPr>
      <w:r w:rsidRPr="008C74A3">
        <w:rPr>
          <w:b/>
          <w:bCs/>
        </w:rPr>
        <w:t xml:space="preserve">Independent Review </w:t>
      </w:r>
      <w:r w:rsidR="004432E8" w:rsidRPr="008C74A3">
        <w:rPr>
          <w:b/>
          <w:bCs/>
        </w:rPr>
        <w:t>(Optional)</w:t>
      </w:r>
      <w:r w:rsidR="004432E8" w:rsidRPr="008C74A3">
        <w:t>:</w:t>
      </w:r>
      <w:r w:rsidR="005B247D" w:rsidRPr="008C74A3">
        <w:t xml:space="preserve"> C</w:t>
      </w:r>
      <w:r w:rsidR="004432E8" w:rsidRPr="008C74A3">
        <w:t xml:space="preserve">onclusion of </w:t>
      </w:r>
      <w:r w:rsidR="00FA7C2C" w:rsidRPr="008C74A3">
        <w:t>independent</w:t>
      </w:r>
      <w:r w:rsidR="00AB592A" w:rsidRPr="008C74A3">
        <w:t xml:space="preserve"> reviewers</w:t>
      </w:r>
      <w:r w:rsidR="004432E8" w:rsidRPr="008C74A3">
        <w:t xml:space="preserve">. </w:t>
      </w:r>
    </w:p>
    <w:p w14:paraId="77BE2AC8" w14:textId="5DC676E3" w:rsidR="00AB556D" w:rsidRPr="008C74A3" w:rsidRDefault="00AB68CC" w:rsidP="00AB68CC">
      <w:r w:rsidRPr="008C74A3">
        <w:br/>
        <w:t xml:space="preserve">Note: </w:t>
      </w:r>
      <w:r w:rsidR="00976BD9" w:rsidRPr="008C74A3">
        <w:t xml:space="preserve">A separate </w:t>
      </w:r>
      <w:r w:rsidR="004432E8" w:rsidRPr="008C74A3">
        <w:t xml:space="preserve">document provides a set of suggested questions that </w:t>
      </w:r>
      <w:r w:rsidR="00976BD9" w:rsidRPr="008C74A3">
        <w:t>independent reviewers</w:t>
      </w:r>
      <w:r w:rsidR="004432E8" w:rsidRPr="008C74A3">
        <w:t xml:space="preserve"> can use to </w:t>
      </w:r>
      <w:r w:rsidR="005B247D" w:rsidRPr="008C74A3">
        <w:t>assess</w:t>
      </w:r>
      <w:r w:rsidR="004432E8" w:rsidRPr="008C74A3">
        <w:t xml:space="preserve"> impact performance reports against the </w:t>
      </w:r>
      <w:r w:rsidR="008619D6" w:rsidRPr="008C74A3">
        <w:t>d</w:t>
      </w:r>
      <w:r w:rsidR="004432E8" w:rsidRPr="008C74A3">
        <w:t xml:space="preserve">raft Reporting Norms. </w:t>
      </w:r>
      <w:r w:rsidR="00AB556D" w:rsidRPr="008C74A3">
        <w:rPr>
          <w:sz w:val="32"/>
          <w:szCs w:val="32"/>
        </w:rPr>
        <w:br w:type="page"/>
      </w:r>
    </w:p>
    <w:p w14:paraId="127BF1CC" w14:textId="71722476" w:rsidR="00D45640" w:rsidRPr="008C74A3" w:rsidRDefault="00D45640" w:rsidP="001F3DC0">
      <w:pPr>
        <w:pStyle w:val="Heading2"/>
        <w:jc w:val="center"/>
        <w:rPr>
          <w:sz w:val="32"/>
          <w:szCs w:val="32"/>
        </w:rPr>
      </w:pPr>
      <w:bookmarkStart w:id="11" w:name="_Toc148384178"/>
      <w:r w:rsidRPr="008C74A3">
        <w:rPr>
          <w:sz w:val="32"/>
          <w:szCs w:val="32"/>
        </w:rPr>
        <w:lastRenderedPageBreak/>
        <w:t>Visual Summary</w:t>
      </w:r>
      <w:bookmarkEnd w:id="11"/>
    </w:p>
    <w:bookmarkEnd w:id="2"/>
    <w:p w14:paraId="46B01727" w14:textId="0B81335B" w:rsidR="00F84E0F" w:rsidRPr="008C74A3" w:rsidRDefault="005536F5" w:rsidP="00DB1B70">
      <w:r w:rsidRPr="008C74A3">
        <w:rPr>
          <w:noProof/>
        </w:rPr>
        <w:drawing>
          <wp:inline distT="0" distB="0" distL="0" distR="0" wp14:anchorId="0B5F3D65" wp14:editId="64402888">
            <wp:extent cx="5943600" cy="7511970"/>
            <wp:effectExtent l="0" t="0" r="0" b="0"/>
            <wp:docPr id="696573940" name="Picture 1" descr="A screen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573940" name="Picture 1" descr="A screenshot of a diagram&#10;&#10;Description automatically generated"/>
                    <pic:cNvPicPr/>
                  </pic:nvPicPr>
                  <pic:blipFill rotWithShape="1">
                    <a:blip r:embed="rId13" cstate="screen">
                      <a:extLst>
                        <a:ext uri="{28A0092B-C50C-407E-A947-70E740481C1C}">
                          <a14:useLocalDpi xmlns:a14="http://schemas.microsoft.com/office/drawing/2010/main"/>
                        </a:ext>
                      </a:extLst>
                    </a:blip>
                    <a:srcRect b="2939"/>
                    <a:stretch/>
                  </pic:blipFill>
                  <pic:spPr bwMode="auto">
                    <a:xfrm>
                      <a:off x="0" y="0"/>
                      <a:ext cx="5943600" cy="7511970"/>
                    </a:xfrm>
                    <a:prstGeom prst="rect">
                      <a:avLst/>
                    </a:prstGeom>
                    <a:ln>
                      <a:noFill/>
                    </a:ln>
                    <a:extLst>
                      <a:ext uri="{53640926-AAD7-44D8-BBD7-CCE9431645EC}">
                        <a14:shadowObscured xmlns:a14="http://schemas.microsoft.com/office/drawing/2010/main"/>
                      </a:ext>
                    </a:extLst>
                  </pic:spPr>
                </pic:pic>
              </a:graphicData>
            </a:graphic>
          </wp:inline>
        </w:drawing>
      </w:r>
      <w:r w:rsidR="00F84E0F" w:rsidRPr="008C74A3">
        <w:rPr>
          <w:highlight w:val="lightGray"/>
        </w:rPr>
        <w:br w:type="page"/>
      </w:r>
    </w:p>
    <w:p w14:paraId="418C5EBE" w14:textId="3A95475F" w:rsidR="00B95E17" w:rsidRPr="008C74A3" w:rsidRDefault="00A26E8B" w:rsidP="00DB1B70">
      <w:pPr>
        <w:pStyle w:val="Heading1"/>
        <w:rPr>
          <w:highlight w:val="yellow"/>
        </w:rPr>
      </w:pPr>
      <w:bookmarkStart w:id="12" w:name="_Toc146213850"/>
      <w:bookmarkStart w:id="13" w:name="_Toc148384179"/>
      <w:r w:rsidRPr="008C74A3">
        <w:lastRenderedPageBreak/>
        <w:t>Context, Benefits, and Next Steps</w:t>
      </w:r>
      <w:bookmarkEnd w:id="12"/>
      <w:bookmarkEnd w:id="13"/>
      <w:r w:rsidR="4FFC2BD4" w:rsidRPr="008C74A3">
        <w:t xml:space="preserve">  </w:t>
      </w:r>
    </w:p>
    <w:p w14:paraId="12F51875" w14:textId="6866B9D4" w:rsidR="007D037C" w:rsidRPr="008C74A3" w:rsidRDefault="00A26E8B" w:rsidP="00DB1B70">
      <w:pPr>
        <w:pStyle w:val="Heading2"/>
      </w:pPr>
      <w:bookmarkStart w:id="14" w:name="_Toc141449354"/>
      <w:bookmarkStart w:id="15" w:name="_Toc141449641"/>
      <w:bookmarkStart w:id="16" w:name="_Toc146213851"/>
      <w:bookmarkStart w:id="17" w:name="_Toc148384180"/>
      <w:r w:rsidRPr="008C74A3">
        <w:t xml:space="preserve">Context: </w:t>
      </w:r>
      <w:r w:rsidR="007D037C" w:rsidRPr="008C74A3">
        <w:t>Sources and Interoperability</w:t>
      </w:r>
      <w:bookmarkEnd w:id="14"/>
      <w:bookmarkEnd w:id="15"/>
      <w:bookmarkEnd w:id="16"/>
      <w:bookmarkEnd w:id="17"/>
    </w:p>
    <w:p w14:paraId="21FD3E2A" w14:textId="5AE16943" w:rsidR="00FB71C5" w:rsidRPr="008C74A3" w:rsidRDefault="00FB71C5" w:rsidP="00FB71C5">
      <w:r w:rsidRPr="008C74A3">
        <w:t xml:space="preserve">Following the establishment of the </w:t>
      </w:r>
      <w:hyperlink r:id="rId14" w:history="1">
        <w:r w:rsidRPr="008C74A3">
          <w:rPr>
            <w:rStyle w:val="Hyperlink"/>
          </w:rPr>
          <w:t>Impact Principles</w:t>
        </w:r>
      </w:hyperlink>
      <w:r w:rsidRPr="008C74A3">
        <w:t xml:space="preserve"> in 2019, significant progress has been made in investor reporting of impact management practices. The next step is the disclosure of actual impact performance. </w:t>
      </w:r>
      <w:r w:rsidRPr="008C74A3">
        <w:rPr>
          <w:color w:val="000000" w:themeColor="text1"/>
        </w:rPr>
        <w:t xml:space="preserve">At present, </w:t>
      </w:r>
      <w:r w:rsidRPr="008C74A3">
        <w:t xml:space="preserve">impact performance reports vary in the quality and scope of information provided, limiting the usefulness of those reports to asset owners seeking to allocate capital for impact. </w:t>
      </w:r>
    </w:p>
    <w:p w14:paraId="024A7F57" w14:textId="2476A5A1" w:rsidR="00A20926" w:rsidRPr="008C74A3" w:rsidRDefault="00623823" w:rsidP="00DB1B70">
      <w:r w:rsidRPr="008C74A3">
        <w:t xml:space="preserve">The </w:t>
      </w:r>
      <w:r w:rsidR="00FA7C2C" w:rsidRPr="008C74A3">
        <w:t>d</w:t>
      </w:r>
      <w:r w:rsidR="001A17EF" w:rsidRPr="008C74A3">
        <w:t xml:space="preserve">raft </w:t>
      </w:r>
      <w:r w:rsidR="003D5340" w:rsidRPr="008C74A3">
        <w:t xml:space="preserve">Impact Performance </w:t>
      </w:r>
      <w:r w:rsidR="00A72C0A" w:rsidRPr="008C74A3">
        <w:t xml:space="preserve">Reporting </w:t>
      </w:r>
      <w:r w:rsidR="001A17EF" w:rsidRPr="008C74A3">
        <w:t xml:space="preserve">Norms </w:t>
      </w:r>
      <w:r w:rsidRPr="008C74A3">
        <w:t>bring together</w:t>
      </w:r>
      <w:r w:rsidR="007D037C" w:rsidRPr="008C74A3">
        <w:t xml:space="preserve"> </w:t>
      </w:r>
      <w:r w:rsidR="00DE5C22" w:rsidRPr="008C74A3">
        <w:t xml:space="preserve">relevant aspects of </w:t>
      </w:r>
      <w:r w:rsidR="00616274" w:rsidRPr="008C74A3">
        <w:t>various pre</w:t>
      </w:r>
      <w:r w:rsidR="00DE5C22" w:rsidRPr="008C74A3">
        <w:t xml:space="preserve">existing concepts, frameworks, </w:t>
      </w:r>
      <w:r w:rsidR="00AB556D" w:rsidRPr="008C74A3">
        <w:t xml:space="preserve">guidance, </w:t>
      </w:r>
      <w:r w:rsidR="00DE5C22" w:rsidRPr="008C74A3">
        <w:t>and standards into a</w:t>
      </w:r>
      <w:r w:rsidR="00AB556D" w:rsidRPr="008C74A3">
        <w:t>n</w:t>
      </w:r>
      <w:r w:rsidR="00A72C0A" w:rsidRPr="008C74A3">
        <w:t xml:space="preserve"> </w:t>
      </w:r>
      <w:r w:rsidR="00DE5C22" w:rsidRPr="008C74A3">
        <w:t>integrated package</w:t>
      </w:r>
      <w:r w:rsidR="00A72C0A" w:rsidRPr="008C74A3">
        <w:t>, adding</w:t>
      </w:r>
      <w:r w:rsidR="006E3608" w:rsidRPr="008C74A3">
        <w:t xml:space="preserve"> or changing</w:t>
      </w:r>
      <w:r w:rsidR="00A72C0A" w:rsidRPr="008C74A3">
        <w:t xml:space="preserve"> only what is necessary to customize </w:t>
      </w:r>
      <w:r w:rsidR="007D037C" w:rsidRPr="008C74A3">
        <w:t xml:space="preserve">for </w:t>
      </w:r>
      <w:r w:rsidR="00AB556D" w:rsidRPr="008C74A3">
        <w:t>the use-case of impact performance reporting</w:t>
      </w:r>
      <w:r w:rsidR="007D037C" w:rsidRPr="008C74A3">
        <w:t xml:space="preserve"> by </w:t>
      </w:r>
      <w:r w:rsidR="00AB556D" w:rsidRPr="008C74A3">
        <w:t>investors</w:t>
      </w:r>
      <w:r w:rsidR="007D037C" w:rsidRPr="008C74A3">
        <w:t>.</w:t>
      </w:r>
      <w:r w:rsidR="002F1DDC" w:rsidRPr="008C74A3">
        <w:t xml:space="preserve"> </w:t>
      </w:r>
    </w:p>
    <w:p w14:paraId="4887E590" w14:textId="76BCD512" w:rsidR="00A20926" w:rsidRPr="008C74A3" w:rsidRDefault="006E3608" w:rsidP="00DB1B70">
      <w:r w:rsidRPr="008C74A3">
        <w:t xml:space="preserve">Investors </w:t>
      </w:r>
      <w:r w:rsidR="00F439B3" w:rsidRPr="008C74A3">
        <w:t>acquainted</w:t>
      </w:r>
      <w:r w:rsidRPr="008C74A3">
        <w:t xml:space="preserve"> with the Conceptual Framework on Financial Reporting of the International Accounting Standards Board will find </w:t>
      </w:r>
      <w:r w:rsidR="00CA4DE2" w:rsidRPr="008C74A3">
        <w:t>the characteristics of useful information</w:t>
      </w:r>
      <w:r w:rsidRPr="008C74A3">
        <w:t xml:space="preserve"> </w:t>
      </w:r>
      <w:r w:rsidR="00F439B3" w:rsidRPr="008C74A3">
        <w:t xml:space="preserve">familiar. </w:t>
      </w:r>
      <w:r w:rsidR="00616274" w:rsidRPr="008C74A3">
        <w:t xml:space="preserve">For investors already </w:t>
      </w:r>
      <w:r w:rsidR="00A20926" w:rsidRPr="008C74A3">
        <w:t>disclosing aspects of their impact management practices or performance following other standards</w:t>
      </w:r>
      <w:r w:rsidR="003F3326" w:rsidRPr="008C74A3">
        <w:t xml:space="preserve">, </w:t>
      </w:r>
      <w:r w:rsidR="00011054" w:rsidRPr="008C74A3">
        <w:t xml:space="preserve">the </w:t>
      </w:r>
      <w:r w:rsidR="008619D6" w:rsidRPr="008C74A3">
        <w:t>d</w:t>
      </w:r>
      <w:r w:rsidR="00011054" w:rsidRPr="008C74A3">
        <w:t xml:space="preserve">raft Reporting Norms indicate where investors may simply refer to their existing disclosures. </w:t>
      </w:r>
      <w:r w:rsidR="00616274" w:rsidRPr="008C74A3">
        <w:t xml:space="preserve">References to </w:t>
      </w:r>
      <w:r w:rsidR="00951FAF" w:rsidRPr="008C74A3">
        <w:t xml:space="preserve">existing </w:t>
      </w:r>
      <w:r w:rsidR="00616274" w:rsidRPr="008C74A3">
        <w:t xml:space="preserve">standards are cited throughout </w:t>
      </w:r>
      <w:r w:rsidR="003075D4" w:rsidRPr="008C74A3">
        <w:t>for easy review by readers</w:t>
      </w:r>
      <w:r w:rsidR="00616274" w:rsidRPr="008C74A3">
        <w:t>.</w:t>
      </w:r>
    </w:p>
    <w:p w14:paraId="0ACBCF29" w14:textId="45470D99" w:rsidR="00AC692D" w:rsidRPr="008C74A3" w:rsidRDefault="00AC692D" w:rsidP="00DB1B70">
      <w:r w:rsidRPr="008C74A3">
        <w:t xml:space="preserve">The </w:t>
      </w:r>
      <w:r w:rsidR="00304951" w:rsidRPr="008C74A3">
        <w:t>“</w:t>
      </w:r>
      <w:r w:rsidRPr="008C74A3">
        <w:t>gap</w:t>
      </w:r>
      <w:r w:rsidR="00304951" w:rsidRPr="008C74A3">
        <w:t>”</w:t>
      </w:r>
      <w:r w:rsidRPr="008C74A3">
        <w:t xml:space="preserve"> in standards, frameworks, and guidance that the Norms are intended to fill is illustrated by the </w:t>
      </w:r>
      <w:hyperlink r:id="rId15" w:history="1">
        <w:r w:rsidR="00AB556D" w:rsidRPr="008C74A3">
          <w:rPr>
            <w:rStyle w:val="Hyperlink"/>
          </w:rPr>
          <w:t>System Map for Investors and Financial Institutions</w:t>
        </w:r>
      </w:hyperlink>
      <w:r w:rsidRPr="008C74A3">
        <w:t xml:space="preserve"> created by the </w:t>
      </w:r>
      <w:hyperlink r:id="rId16" w:history="1">
        <w:r w:rsidRPr="008C74A3">
          <w:rPr>
            <w:rStyle w:val="Hyperlink"/>
          </w:rPr>
          <w:t>Impact Management Platform</w:t>
        </w:r>
      </w:hyperlink>
      <w:r w:rsidRPr="008C74A3">
        <w:t>.</w:t>
      </w:r>
      <w:r w:rsidR="00AB556D" w:rsidRPr="008C74A3">
        <w:rPr>
          <w:rStyle w:val="FootnoteReference"/>
        </w:rPr>
        <w:footnoteReference w:id="4"/>
      </w:r>
      <w:r w:rsidRPr="008C74A3">
        <w:t xml:space="preserve"> For context, the System Map “provides a visual representation of the international public good resources for investors and financial institutions to manage their sustainability impacts” and is agreed-upon by the relevant standard-setters. It maps out the uses and intended users of applicable standards and guidance, frameworks and tools, indicators and metrics, and databases. While many areas of the System Map are crowded with resources, the area corresponding to disclosures </w:t>
      </w:r>
      <w:r w:rsidR="00AB556D" w:rsidRPr="008C74A3">
        <w:t xml:space="preserve">of impact performance </w:t>
      </w:r>
      <w:r w:rsidRPr="008C74A3">
        <w:t xml:space="preserve">by investors is almost entirely blank, with the PRI Reporting </w:t>
      </w:r>
      <w:r w:rsidR="00297254" w:rsidRPr="008C74A3">
        <w:t xml:space="preserve">and Assessment Framework being the only resource cited. This is the gap that the Norms aspire to fill. (See Appendix </w:t>
      </w:r>
      <w:r w:rsidR="00740A3E" w:rsidRPr="008C74A3">
        <w:t>D</w:t>
      </w:r>
      <w:r w:rsidR="00297254" w:rsidRPr="008C74A3">
        <w:t xml:space="preserve"> for a version of the Systems Map with the </w:t>
      </w:r>
      <w:r w:rsidR="00FA7C2C" w:rsidRPr="008C74A3">
        <w:t xml:space="preserve">drat Reporting </w:t>
      </w:r>
      <w:r w:rsidR="00297254" w:rsidRPr="008C74A3">
        <w:t>Norms overlaid.)</w:t>
      </w:r>
    </w:p>
    <w:p w14:paraId="08F0E3B7" w14:textId="4E4E89B6" w:rsidR="00AC692D" w:rsidRPr="008C74A3" w:rsidRDefault="00011054" w:rsidP="00DB1B70">
      <w:pPr>
        <w:rPr>
          <w:rFonts w:ascii="Interstate" w:hAnsi="Interstate"/>
          <w:color w:val="000000" w:themeColor="text1"/>
          <w:sz w:val="28"/>
          <w:szCs w:val="28"/>
        </w:rPr>
      </w:pPr>
      <w:r w:rsidRPr="008C74A3">
        <w:t>For independent reviewers, the Norms are designed to serve as suitable criteria against which impact performance reports may be assured</w:t>
      </w:r>
      <w:r w:rsidR="00572A6D" w:rsidRPr="008C74A3">
        <w:t>, evaluated, or</w:t>
      </w:r>
      <w:r w:rsidRPr="008C74A3">
        <w:t xml:space="preserve"> verified. </w:t>
      </w:r>
      <w:r w:rsidR="00572A6D" w:rsidRPr="008C74A3">
        <w:t>A companion document,</w:t>
      </w:r>
      <w:r w:rsidR="002F1DDC" w:rsidRPr="008C74A3">
        <w:t xml:space="preserve"> </w:t>
      </w:r>
      <w:hyperlink r:id="rId17" w:history="1">
        <w:r w:rsidR="005A4F72" w:rsidRPr="008C74A3">
          <w:rPr>
            <w:rStyle w:val="Hyperlink"/>
          </w:rPr>
          <w:t>Supplement on Independent Review of Impact Performance Reports</w:t>
        </w:r>
      </w:hyperlink>
      <w:r w:rsidR="00572A6D" w:rsidRPr="008C74A3">
        <w:t xml:space="preserve">, is </w:t>
      </w:r>
      <w:r w:rsidR="002F1DDC" w:rsidRPr="008C74A3">
        <w:t>designed to be interoperable with</w:t>
      </w:r>
      <w:r w:rsidRPr="008C74A3">
        <w:t xml:space="preserve"> the assurance standards of the International Auditing and Assurance Standards Board (IAASB), notably </w:t>
      </w:r>
      <w:hyperlink r:id="rId18" w:history="1">
        <w:r w:rsidRPr="008C74A3">
          <w:rPr>
            <w:rStyle w:val="Hyperlink"/>
          </w:rPr>
          <w:t>Assurance and Engagements Other Than Audits or Reviews of Historical Information</w:t>
        </w:r>
      </w:hyperlink>
      <w:r w:rsidRPr="008C74A3">
        <w:t xml:space="preserve"> (ISAE3000 (Revised)),</w:t>
      </w:r>
      <w:r w:rsidRPr="008C74A3">
        <w:rPr>
          <w:rStyle w:val="FootnoteReference"/>
        </w:rPr>
        <w:footnoteReference w:id="5"/>
      </w:r>
      <w:r w:rsidRPr="008C74A3">
        <w:t xml:space="preserve"> </w:t>
      </w:r>
      <w:hyperlink r:id="rId19" w:history="1">
        <w:r w:rsidRPr="008C74A3">
          <w:rPr>
            <w:rStyle w:val="Hyperlink"/>
          </w:rPr>
          <w:t>Non-Authoritative Guidance on Applying ISAE3000 (Revised) to Sustainability and Other Extended Reporting Engagements</w:t>
        </w:r>
      </w:hyperlink>
      <w:r w:rsidRPr="008C74A3">
        <w:rPr>
          <w:rStyle w:val="Hyperlink"/>
        </w:rPr>
        <w:t>,</w:t>
      </w:r>
      <w:r w:rsidRPr="008C74A3">
        <w:t xml:space="preserve"> and the ISSA 5000 standard now in public consultation. The </w:t>
      </w:r>
      <w:r w:rsidR="005A4F72" w:rsidRPr="008C74A3">
        <w:t>Supplement on Independent Review is</w:t>
      </w:r>
      <w:r w:rsidRPr="008C74A3">
        <w:t xml:space="preserve"> equally designed to be interoperable with the </w:t>
      </w:r>
      <w:hyperlink r:id="rId20" w:history="1">
        <w:r w:rsidR="00B53752" w:rsidRPr="008C74A3">
          <w:rPr>
            <w:rStyle w:val="Hyperlink"/>
          </w:rPr>
          <w:t>AA1000</w:t>
        </w:r>
        <w:r w:rsidR="003075D4" w:rsidRPr="008C74A3">
          <w:rPr>
            <w:rStyle w:val="Hyperlink"/>
          </w:rPr>
          <w:t xml:space="preserve"> </w:t>
        </w:r>
        <w:r w:rsidR="003075D4" w:rsidRPr="008C74A3">
          <w:rPr>
            <w:rStyle w:val="Hyperlink"/>
          </w:rPr>
          <w:lastRenderedPageBreak/>
          <w:t>Assurance Standard</w:t>
        </w:r>
      </w:hyperlink>
      <w:r w:rsidR="00B53752" w:rsidRPr="008C74A3">
        <w:t xml:space="preserve"> by AccountAbility.</w:t>
      </w:r>
      <w:r w:rsidR="00AC692D" w:rsidRPr="008C74A3">
        <w:t xml:space="preserve"> </w:t>
      </w:r>
      <w:r w:rsidR="0000507C" w:rsidRPr="008C74A3">
        <w:t>We are also exploring interoperability with</w:t>
      </w:r>
      <w:r w:rsidR="0098584E" w:rsidRPr="008C74A3">
        <w:t xml:space="preserve"> ISO 17021,</w:t>
      </w:r>
      <w:r w:rsidR="0000507C" w:rsidRPr="008C74A3">
        <w:t xml:space="preserve"> </w:t>
      </w:r>
      <w:r w:rsidR="0098584E" w:rsidRPr="008C74A3">
        <w:t xml:space="preserve">ISO 17029, and </w:t>
      </w:r>
      <w:r w:rsidR="0000507C" w:rsidRPr="008C74A3">
        <w:t>the forthcoming ISO 14019-1.</w:t>
      </w:r>
    </w:p>
    <w:p w14:paraId="7C4100F8" w14:textId="00083EBC" w:rsidR="003C2345" w:rsidRPr="008C74A3" w:rsidRDefault="003C2345" w:rsidP="00DB1B70">
      <w:pPr>
        <w:pStyle w:val="Heading2"/>
      </w:pPr>
      <w:bookmarkStart w:id="18" w:name="_Toc141449355"/>
      <w:bookmarkStart w:id="19" w:name="_Toc141449642"/>
      <w:bookmarkStart w:id="20" w:name="_Toc146213852"/>
      <w:bookmarkStart w:id="21" w:name="_Toc148384181"/>
      <w:r w:rsidRPr="008C74A3">
        <w:t>Benefits</w:t>
      </w:r>
      <w:bookmarkEnd w:id="18"/>
      <w:bookmarkEnd w:id="19"/>
      <w:bookmarkEnd w:id="20"/>
      <w:bookmarkEnd w:id="21"/>
    </w:p>
    <w:p w14:paraId="29077D7E" w14:textId="0F859BAB" w:rsidR="00892D37" w:rsidRPr="008C74A3" w:rsidRDefault="00F117D2" w:rsidP="00DB1B70">
      <w:r w:rsidRPr="008C74A3">
        <w:t xml:space="preserve">Broad uptake of </w:t>
      </w:r>
      <w:r w:rsidR="00D32459" w:rsidRPr="008C74A3">
        <w:t xml:space="preserve">the </w:t>
      </w:r>
      <w:r w:rsidR="005860AF" w:rsidRPr="008C74A3">
        <w:t>Norms</w:t>
      </w:r>
      <w:r w:rsidR="00181AAA" w:rsidRPr="008C74A3">
        <w:t xml:space="preserve"> </w:t>
      </w:r>
      <w:r w:rsidRPr="008C74A3">
        <w:t>can</w:t>
      </w:r>
      <w:r w:rsidR="00432DCE" w:rsidRPr="008C74A3">
        <w:t xml:space="preserve"> </w:t>
      </w:r>
      <w:r w:rsidR="00B21BE8" w:rsidRPr="008C74A3">
        <w:t>establish</w:t>
      </w:r>
      <w:r w:rsidRPr="008C74A3">
        <w:t xml:space="preserve"> a </w:t>
      </w:r>
      <w:r w:rsidR="00BA184A" w:rsidRPr="008C74A3">
        <w:t>shared</w:t>
      </w:r>
      <w:r w:rsidR="00432DCE" w:rsidRPr="008C74A3">
        <w:t xml:space="preserve"> foundation </w:t>
      </w:r>
      <w:r w:rsidRPr="008C74A3">
        <w:t xml:space="preserve">for </w:t>
      </w:r>
      <w:r w:rsidR="00572A6D" w:rsidRPr="008C74A3">
        <w:t xml:space="preserve">comparability, </w:t>
      </w:r>
      <w:r w:rsidRPr="008C74A3">
        <w:t>consistency</w:t>
      </w:r>
      <w:r w:rsidR="00700419" w:rsidRPr="008C74A3">
        <w:t>,</w:t>
      </w:r>
      <w:r w:rsidR="00C50C5D" w:rsidRPr="008C74A3">
        <w:t xml:space="preserve"> integrity</w:t>
      </w:r>
      <w:r w:rsidR="00572A6D" w:rsidRPr="008C74A3">
        <w:t>, and quality</w:t>
      </w:r>
      <w:r w:rsidR="00700419" w:rsidRPr="008C74A3">
        <w:t xml:space="preserve"> </w:t>
      </w:r>
      <w:r w:rsidRPr="008C74A3">
        <w:t>in</w:t>
      </w:r>
      <w:r w:rsidR="00FE454C" w:rsidRPr="008C74A3">
        <w:t xml:space="preserve"> impact performance reporting</w:t>
      </w:r>
      <w:r w:rsidR="00432DCE" w:rsidRPr="008C74A3">
        <w:t>.</w:t>
      </w:r>
      <w:r w:rsidR="00FE454C" w:rsidRPr="008C74A3">
        <w:t xml:space="preserve"> </w:t>
      </w:r>
      <w:r w:rsidR="00181AAA" w:rsidRPr="008C74A3">
        <w:t xml:space="preserve">It </w:t>
      </w:r>
      <w:r w:rsidR="00700419" w:rsidRPr="008C74A3">
        <w:t>can reduce the time</w:t>
      </w:r>
      <w:r w:rsidR="005B32A0" w:rsidRPr="008C74A3">
        <w:t xml:space="preserve"> and cost</w:t>
      </w:r>
      <w:r w:rsidR="00700419" w:rsidRPr="008C74A3">
        <w:t xml:space="preserve"> </w:t>
      </w:r>
      <w:r w:rsidR="005B32A0" w:rsidRPr="008C74A3">
        <w:t xml:space="preserve">incurred </w:t>
      </w:r>
      <w:r w:rsidR="00700419" w:rsidRPr="008C74A3">
        <w:t xml:space="preserve">by </w:t>
      </w:r>
      <w:r w:rsidR="00181AAA" w:rsidRPr="008C74A3">
        <w:t>report preparers</w:t>
      </w:r>
      <w:r w:rsidR="00892D37" w:rsidRPr="008C74A3">
        <w:t xml:space="preserve"> </w:t>
      </w:r>
      <w:r w:rsidR="00700419" w:rsidRPr="008C74A3">
        <w:t xml:space="preserve">while </w:t>
      </w:r>
      <w:r w:rsidR="00892D37" w:rsidRPr="008C74A3">
        <w:t xml:space="preserve">increasing the usefulness of reports </w:t>
      </w:r>
      <w:r w:rsidR="00181AAA" w:rsidRPr="008C74A3">
        <w:t>for users</w:t>
      </w:r>
      <w:r w:rsidR="00892D37" w:rsidRPr="008C74A3">
        <w:t>.</w:t>
      </w:r>
    </w:p>
    <w:p w14:paraId="64C54857" w14:textId="6EFE1A2A" w:rsidR="003C2345" w:rsidRPr="008C74A3" w:rsidRDefault="00B21BE8" w:rsidP="00DB1B70">
      <w:pPr>
        <w:rPr>
          <w:b/>
          <w:bCs/>
        </w:rPr>
      </w:pPr>
      <w:r w:rsidRPr="008C74A3">
        <w:rPr>
          <w:b/>
          <w:bCs/>
        </w:rPr>
        <w:t xml:space="preserve">Benefits </w:t>
      </w:r>
      <w:r w:rsidR="00F34DBB" w:rsidRPr="008C74A3">
        <w:rPr>
          <w:b/>
          <w:bCs/>
        </w:rPr>
        <w:t>For</w:t>
      </w:r>
      <w:r w:rsidR="003C2345" w:rsidRPr="008C74A3">
        <w:rPr>
          <w:b/>
          <w:bCs/>
        </w:rPr>
        <w:t xml:space="preserve"> </w:t>
      </w:r>
      <w:r w:rsidR="00572A6D" w:rsidRPr="008C74A3">
        <w:rPr>
          <w:b/>
          <w:bCs/>
        </w:rPr>
        <w:t>Report Preparers</w:t>
      </w:r>
    </w:p>
    <w:p w14:paraId="54E7E522" w14:textId="5D16B35A" w:rsidR="00B71C66" w:rsidRPr="008C74A3" w:rsidRDefault="00572A6D" w:rsidP="00DB1B70">
      <w:r w:rsidRPr="008C74A3">
        <w:t>Report preparers</w:t>
      </w:r>
      <w:r w:rsidR="00892D37" w:rsidRPr="008C74A3">
        <w:t xml:space="preserve"> will benefit from </w:t>
      </w:r>
      <w:r w:rsidRPr="008C74A3">
        <w:t xml:space="preserve">a </w:t>
      </w:r>
      <w:r w:rsidR="00AE54FF" w:rsidRPr="008C74A3">
        <w:t>generally accepted</w:t>
      </w:r>
      <w:r w:rsidRPr="008C74A3">
        <w:t xml:space="preserve"> </w:t>
      </w:r>
      <w:r w:rsidR="00892D37" w:rsidRPr="008C74A3">
        <w:t xml:space="preserve">consensus </w:t>
      </w:r>
      <w:r w:rsidR="00B21BE8" w:rsidRPr="008C74A3">
        <w:t xml:space="preserve">on </w:t>
      </w:r>
      <w:r w:rsidRPr="008C74A3">
        <w:t>the content, structure, and format of</w:t>
      </w:r>
      <w:r w:rsidR="00B21BE8" w:rsidRPr="008C74A3">
        <w:t xml:space="preserve"> impact performance report</w:t>
      </w:r>
      <w:r w:rsidRPr="008C74A3">
        <w:t xml:space="preserve">s, rather than </w:t>
      </w:r>
      <w:r w:rsidR="00AE54FF" w:rsidRPr="008C74A3">
        <w:t>having to</w:t>
      </w:r>
      <w:r w:rsidRPr="008C74A3">
        <w:t xml:space="preserve"> develop their own approach from scratch. They will also benefit from guidance about the characteristics that make reports </w:t>
      </w:r>
      <w:r w:rsidR="00892D37" w:rsidRPr="008C74A3">
        <w:t>use</w:t>
      </w:r>
      <w:r w:rsidRPr="008C74A3">
        <w:t xml:space="preserve">ful to </w:t>
      </w:r>
      <w:r w:rsidR="00892D37" w:rsidRPr="008C74A3">
        <w:t>users</w:t>
      </w:r>
      <w:r w:rsidR="00B21BE8" w:rsidRPr="008C74A3">
        <w:t>.</w:t>
      </w:r>
      <w:r w:rsidRPr="008C74A3">
        <w:t xml:space="preserve"> Improved reporting</w:t>
      </w:r>
      <w:r w:rsidR="00B21BE8" w:rsidRPr="008C74A3">
        <w:t xml:space="preserve"> </w:t>
      </w:r>
      <w:r w:rsidR="00B71C66" w:rsidRPr="008C74A3">
        <w:t xml:space="preserve">can </w:t>
      </w:r>
      <w:r w:rsidR="00892D37" w:rsidRPr="008C74A3">
        <w:t>enhance</w:t>
      </w:r>
      <w:r w:rsidR="00B71C66" w:rsidRPr="008C74A3">
        <w:t xml:space="preserve"> </w:t>
      </w:r>
      <w:r w:rsidR="00892D37" w:rsidRPr="008C74A3">
        <w:t>the confidence of</w:t>
      </w:r>
      <w:r w:rsidR="003075D4" w:rsidRPr="008C74A3">
        <w:t xml:space="preserve"> </w:t>
      </w:r>
      <w:r w:rsidRPr="008C74A3">
        <w:t>preparers’</w:t>
      </w:r>
      <w:r w:rsidR="00892D37" w:rsidRPr="008C74A3">
        <w:t xml:space="preserve"> existing </w:t>
      </w:r>
      <w:r w:rsidRPr="008C74A3">
        <w:t>capital providers</w:t>
      </w:r>
      <w:r w:rsidR="00B71C66" w:rsidRPr="008C74A3">
        <w:t xml:space="preserve"> and help attract future </w:t>
      </w:r>
      <w:r w:rsidR="00892D37" w:rsidRPr="008C74A3">
        <w:t>ones</w:t>
      </w:r>
      <w:r w:rsidR="00B71C66" w:rsidRPr="008C74A3">
        <w:t xml:space="preserve">. </w:t>
      </w:r>
      <w:r w:rsidR="00A45BBB" w:rsidRPr="008C74A3">
        <w:t>Over successive years</w:t>
      </w:r>
      <w:r w:rsidR="00304C8A" w:rsidRPr="008C74A3">
        <w:t xml:space="preserve"> of reporting</w:t>
      </w:r>
      <w:r w:rsidR="00A45BBB" w:rsidRPr="008C74A3">
        <w:t xml:space="preserve">, </w:t>
      </w:r>
      <w:r w:rsidRPr="008C74A3">
        <w:t>report preparers</w:t>
      </w:r>
      <w:r w:rsidR="00A45BBB" w:rsidRPr="008C74A3">
        <w:t xml:space="preserve"> will be able to consistently </w:t>
      </w:r>
      <w:r w:rsidR="00304C8A" w:rsidRPr="008C74A3">
        <w:t>assess their impact performance, learn from experience, improve</w:t>
      </w:r>
      <w:r w:rsidR="003075D4" w:rsidRPr="008C74A3">
        <w:t>, and demonstrate that improvement to asset owners and allocators.</w:t>
      </w:r>
    </w:p>
    <w:p w14:paraId="2DEC79FB" w14:textId="456BC793" w:rsidR="003C2345" w:rsidRPr="008C74A3" w:rsidRDefault="00572A6D" w:rsidP="00DB1B70">
      <w:r w:rsidRPr="008C74A3">
        <w:t xml:space="preserve">To the extent that capital providers align their expectations on the </w:t>
      </w:r>
      <w:r w:rsidR="00FA7C2C" w:rsidRPr="008C74A3">
        <w:t xml:space="preserve">draft </w:t>
      </w:r>
      <w:r w:rsidRPr="008C74A3">
        <w:t>Norms, report preparers</w:t>
      </w:r>
      <w:r w:rsidR="00892D37" w:rsidRPr="008C74A3">
        <w:t xml:space="preserve"> will also benefit from reduced</w:t>
      </w:r>
      <w:r w:rsidR="00BA1C50" w:rsidRPr="008C74A3">
        <w:t xml:space="preserve"> </w:t>
      </w:r>
      <w:r w:rsidR="00DA5428" w:rsidRPr="008C74A3">
        <w:t>bespoke reporting</w:t>
      </w:r>
      <w:r w:rsidRPr="008C74A3">
        <w:t xml:space="preserve"> needs of individual capital providers</w:t>
      </w:r>
      <w:r w:rsidR="005860AF" w:rsidRPr="008C74A3">
        <w:t>.</w:t>
      </w:r>
      <w:r w:rsidR="00A45BBB" w:rsidRPr="008C74A3">
        <w:t xml:space="preserve"> </w:t>
      </w:r>
      <w:r w:rsidRPr="008C74A3">
        <w:t>Report preparers</w:t>
      </w:r>
      <w:r w:rsidR="00A45BBB" w:rsidRPr="008C74A3">
        <w:t xml:space="preserve"> newer to impact performance reporting can use the guidelines as an aspirational roadmap to follow as they </w:t>
      </w:r>
      <w:r w:rsidR="00DA5428" w:rsidRPr="008C74A3">
        <w:t>build</w:t>
      </w:r>
      <w:r w:rsidR="003075D4" w:rsidRPr="008C74A3">
        <w:t xml:space="preserve"> their reporting practice</w:t>
      </w:r>
      <w:r w:rsidR="00A45BBB" w:rsidRPr="008C74A3">
        <w:t xml:space="preserve">. </w:t>
      </w:r>
      <w:r w:rsidR="00951FAF" w:rsidRPr="008C74A3">
        <w:t>T</w:t>
      </w:r>
      <w:r w:rsidR="00DF7B15" w:rsidRPr="008C74A3">
        <w:t xml:space="preserve">o the extent that reports are shared publicly, </w:t>
      </w:r>
      <w:r w:rsidR="00B03C16" w:rsidRPr="008C74A3">
        <w:t xml:space="preserve">preparers </w:t>
      </w:r>
      <w:r w:rsidR="00304C8A" w:rsidRPr="008C74A3">
        <w:t>will</w:t>
      </w:r>
      <w:r w:rsidR="003C5B30" w:rsidRPr="008C74A3">
        <w:t xml:space="preserve"> be able to </w:t>
      </w:r>
      <w:r w:rsidR="00304C8A" w:rsidRPr="008C74A3">
        <w:t xml:space="preserve">benchmark </w:t>
      </w:r>
      <w:r w:rsidR="00EA5A4E" w:rsidRPr="008C74A3">
        <w:t xml:space="preserve">their </w:t>
      </w:r>
      <w:r w:rsidR="00B03C16" w:rsidRPr="008C74A3">
        <w:t>performance</w:t>
      </w:r>
      <w:r w:rsidR="00304C8A" w:rsidRPr="008C74A3">
        <w:t xml:space="preserve"> </w:t>
      </w:r>
      <w:r w:rsidR="009C1860" w:rsidRPr="008C74A3">
        <w:t>against</w:t>
      </w:r>
      <w:r w:rsidR="00304C8A" w:rsidRPr="008C74A3">
        <w:t xml:space="preserve"> peers,</w:t>
      </w:r>
      <w:r w:rsidR="00BA1C50" w:rsidRPr="008C74A3">
        <w:t xml:space="preserve"> </w:t>
      </w:r>
      <w:r w:rsidR="00304C8A" w:rsidRPr="008C74A3">
        <w:t xml:space="preserve">contextualize their performance in the broader market, and </w:t>
      </w:r>
      <w:r w:rsidR="00363613" w:rsidRPr="008C74A3">
        <w:t xml:space="preserve">benefit from learnings </w:t>
      </w:r>
      <w:r w:rsidR="00304C8A" w:rsidRPr="008C74A3">
        <w:t>from</w:t>
      </w:r>
      <w:r w:rsidR="00363613" w:rsidRPr="008C74A3">
        <w:t xml:space="preserve"> other successful strategies</w:t>
      </w:r>
      <w:r w:rsidR="00BA1C50" w:rsidRPr="008C74A3">
        <w:t xml:space="preserve">.  </w:t>
      </w:r>
    </w:p>
    <w:p w14:paraId="339008A7" w14:textId="2F3476A8" w:rsidR="003C2345" w:rsidRPr="008C74A3" w:rsidRDefault="00B21BE8" w:rsidP="00DB1B70">
      <w:pPr>
        <w:rPr>
          <w:b/>
          <w:bCs/>
        </w:rPr>
      </w:pPr>
      <w:r w:rsidRPr="008C74A3">
        <w:rPr>
          <w:b/>
          <w:bCs/>
        </w:rPr>
        <w:t xml:space="preserve">Benefits </w:t>
      </w:r>
      <w:r w:rsidR="00F34DBB" w:rsidRPr="008C74A3">
        <w:rPr>
          <w:b/>
          <w:bCs/>
        </w:rPr>
        <w:t>For</w:t>
      </w:r>
      <w:r w:rsidR="003C2345" w:rsidRPr="008C74A3">
        <w:rPr>
          <w:b/>
          <w:bCs/>
        </w:rPr>
        <w:t xml:space="preserve"> </w:t>
      </w:r>
      <w:r w:rsidR="00B03C16" w:rsidRPr="008C74A3">
        <w:rPr>
          <w:b/>
          <w:bCs/>
        </w:rPr>
        <w:t>Report Users</w:t>
      </w:r>
    </w:p>
    <w:p w14:paraId="662853FA" w14:textId="31AC2CF2" w:rsidR="003C2345" w:rsidRPr="008C74A3" w:rsidRDefault="00B03C16" w:rsidP="00DB1B70">
      <w:r w:rsidRPr="008C74A3">
        <w:t>Report users</w:t>
      </w:r>
      <w:r w:rsidR="003C5B30" w:rsidRPr="008C74A3">
        <w:t xml:space="preserve"> can </w:t>
      </w:r>
      <w:r w:rsidR="007A513C" w:rsidRPr="008C74A3">
        <w:t xml:space="preserve">expect greater clarity, completeness, and comparability of reports. Nearly as importantly, </w:t>
      </w:r>
      <w:r w:rsidRPr="008C74A3">
        <w:t>users</w:t>
      </w:r>
      <w:r w:rsidR="007A513C" w:rsidRPr="008C74A3">
        <w:t xml:space="preserve"> can expect a reduction in </w:t>
      </w:r>
      <w:r w:rsidR="00951FAF" w:rsidRPr="008C74A3">
        <w:t>non-relevant</w:t>
      </w:r>
      <w:r w:rsidR="007A513C" w:rsidRPr="008C74A3">
        <w:t xml:space="preserve"> information</w:t>
      </w:r>
      <w:r w:rsidR="00181AAA" w:rsidRPr="008C74A3">
        <w:t xml:space="preserve"> and</w:t>
      </w:r>
      <w:r w:rsidR="007A513C" w:rsidRPr="008C74A3">
        <w:t xml:space="preserve"> reduced bias in the selection and presentation of information.</w:t>
      </w:r>
      <w:r w:rsidR="003C5B30" w:rsidRPr="008C74A3">
        <w:t xml:space="preserve"> </w:t>
      </w:r>
      <w:r w:rsidRPr="008C74A3">
        <w:t>Report users</w:t>
      </w:r>
      <w:r w:rsidR="00FA61E7" w:rsidRPr="008C74A3">
        <w:t xml:space="preserve"> will be able to follow the evolution of </w:t>
      </w:r>
      <w:r w:rsidRPr="008C74A3">
        <w:t>preparers’</w:t>
      </w:r>
      <w:r w:rsidR="00FA61E7" w:rsidRPr="008C74A3">
        <w:t xml:space="preserve"> impact performance over time and identify </w:t>
      </w:r>
      <w:r w:rsidRPr="008C74A3">
        <w:t>entities</w:t>
      </w:r>
      <w:r w:rsidR="00FA61E7" w:rsidRPr="008C74A3">
        <w:t xml:space="preserve"> with strong current performance as well as </w:t>
      </w:r>
      <w:r w:rsidRPr="008C74A3">
        <w:t>entities</w:t>
      </w:r>
      <w:r w:rsidR="00FA61E7" w:rsidRPr="008C74A3">
        <w:t xml:space="preserve"> on a trajectory for </w:t>
      </w:r>
      <w:r w:rsidR="009C1860" w:rsidRPr="008C74A3">
        <w:t xml:space="preserve">strong </w:t>
      </w:r>
      <w:r w:rsidR="00FA61E7" w:rsidRPr="008C74A3">
        <w:t xml:space="preserve">future impact performance. Impact performance reports prepared according to these </w:t>
      </w:r>
      <w:r w:rsidR="00FA7C2C" w:rsidRPr="008C74A3">
        <w:t xml:space="preserve">draft </w:t>
      </w:r>
      <w:r w:rsidR="00EA5A4E" w:rsidRPr="008C74A3">
        <w:t>N</w:t>
      </w:r>
      <w:r w:rsidR="00D617D1" w:rsidRPr="008C74A3">
        <w:t xml:space="preserve">orms </w:t>
      </w:r>
      <w:r w:rsidR="00FA61E7" w:rsidRPr="008C74A3">
        <w:t xml:space="preserve">will provide an excellent basis for deeper engagement and discussion of impact with </w:t>
      </w:r>
      <w:r w:rsidRPr="008C74A3">
        <w:t>report prepare</w:t>
      </w:r>
      <w:r w:rsidR="00FA61E7" w:rsidRPr="008C74A3">
        <w:t>rs.</w:t>
      </w:r>
      <w:r w:rsidR="00181AAA" w:rsidRPr="008C74A3">
        <w:t xml:space="preserve"> </w:t>
      </w:r>
      <w:r w:rsidR="00FA61E7" w:rsidRPr="008C74A3">
        <w:t>Finally, a</w:t>
      </w:r>
      <w:r w:rsidR="007A513C" w:rsidRPr="008C74A3">
        <w:t xml:space="preserve">s uptake increases, </w:t>
      </w:r>
      <w:r w:rsidRPr="008C74A3">
        <w:t>report users</w:t>
      </w:r>
      <w:r w:rsidR="007A513C" w:rsidRPr="008C74A3">
        <w:t xml:space="preserve"> will increasingly be able to benchmark </w:t>
      </w:r>
      <w:r w:rsidRPr="008C74A3">
        <w:t>reporting entities’</w:t>
      </w:r>
      <w:r w:rsidR="00FA61E7" w:rsidRPr="008C74A3">
        <w:t xml:space="preserve"> performance against comparable peers and contextualize </w:t>
      </w:r>
      <w:r w:rsidRPr="008C74A3">
        <w:t>entities’</w:t>
      </w:r>
      <w:r w:rsidR="00FA61E7" w:rsidRPr="008C74A3">
        <w:t xml:space="preserve"> performance within </w:t>
      </w:r>
      <w:r w:rsidRPr="008C74A3">
        <w:t>the report user’s</w:t>
      </w:r>
      <w:r w:rsidR="00FA61E7" w:rsidRPr="008C74A3">
        <w:t xml:space="preserve"> </w:t>
      </w:r>
      <w:r w:rsidR="007B2B4A" w:rsidRPr="008C74A3">
        <w:t>portfolio</w:t>
      </w:r>
      <w:r w:rsidR="00FA61E7" w:rsidRPr="008C74A3">
        <w:t>.</w:t>
      </w:r>
      <w:r w:rsidRPr="008C74A3">
        <w:t xml:space="preserve"> To realize these benefits, report users may need to enhance their own </w:t>
      </w:r>
      <w:r w:rsidR="00951FAF" w:rsidRPr="008C74A3">
        <w:t>ability to interpret and critically evaluate impact performance reports</w:t>
      </w:r>
      <w:r w:rsidRPr="008C74A3">
        <w:t>.</w:t>
      </w:r>
    </w:p>
    <w:p w14:paraId="72DDB543" w14:textId="1EC6ED5E" w:rsidR="003C2345" w:rsidRPr="008C74A3" w:rsidRDefault="00B21BE8" w:rsidP="00DB1B70">
      <w:pPr>
        <w:rPr>
          <w:b/>
          <w:bCs/>
        </w:rPr>
      </w:pPr>
      <w:r w:rsidRPr="008C74A3">
        <w:rPr>
          <w:b/>
          <w:bCs/>
        </w:rPr>
        <w:t xml:space="preserve">Benefits </w:t>
      </w:r>
      <w:r w:rsidR="00F34DBB" w:rsidRPr="008C74A3">
        <w:rPr>
          <w:b/>
          <w:bCs/>
        </w:rPr>
        <w:t>For</w:t>
      </w:r>
      <w:r w:rsidR="003C2345" w:rsidRPr="008C74A3">
        <w:rPr>
          <w:b/>
          <w:bCs/>
        </w:rPr>
        <w:t xml:space="preserve"> </w:t>
      </w:r>
      <w:r w:rsidR="00181AAA" w:rsidRPr="008C74A3">
        <w:rPr>
          <w:b/>
          <w:bCs/>
        </w:rPr>
        <w:t>Independent Reviewers</w:t>
      </w:r>
      <w:r w:rsidR="003C2345" w:rsidRPr="008C74A3">
        <w:rPr>
          <w:b/>
          <w:bCs/>
        </w:rPr>
        <w:t xml:space="preserve"> </w:t>
      </w:r>
    </w:p>
    <w:p w14:paraId="69942A6F" w14:textId="02527022" w:rsidR="007E013B" w:rsidRPr="008C74A3" w:rsidRDefault="00B03C16" w:rsidP="00DB1B70">
      <w:r w:rsidRPr="008C74A3">
        <w:t>Independent reviewers – including assurance, evaluation, and verification</w:t>
      </w:r>
      <w:r w:rsidR="00DB310C" w:rsidRPr="008C74A3">
        <w:t xml:space="preserve"> providers</w:t>
      </w:r>
      <w:r w:rsidRPr="008C74A3">
        <w:t xml:space="preserve"> –</w:t>
      </w:r>
      <w:r w:rsidR="00157C31" w:rsidRPr="008C74A3">
        <w:t xml:space="preserve"> will benefit from having </w:t>
      </w:r>
      <w:r w:rsidR="0090125B" w:rsidRPr="008C74A3">
        <w:t xml:space="preserve">a </w:t>
      </w:r>
      <w:r w:rsidR="009C1860" w:rsidRPr="008C74A3">
        <w:t>generally accepted</w:t>
      </w:r>
      <w:r w:rsidR="0090125B" w:rsidRPr="008C74A3">
        <w:t xml:space="preserve"> set of </w:t>
      </w:r>
      <w:r w:rsidR="00157C31" w:rsidRPr="008C74A3">
        <w:t>suitable criteria</w:t>
      </w:r>
      <w:r w:rsidR="00DA5428" w:rsidRPr="008C74A3">
        <w:t xml:space="preserve"> (i.e., Norms)</w:t>
      </w:r>
      <w:r w:rsidR="00157C31" w:rsidRPr="008C74A3">
        <w:t xml:space="preserve"> </w:t>
      </w:r>
      <w:r w:rsidR="002044E3" w:rsidRPr="008C74A3">
        <w:t xml:space="preserve">against which to assess investors’ impact performance reports, that were </w:t>
      </w:r>
      <w:r w:rsidR="00157C31" w:rsidRPr="008C74A3">
        <w:t xml:space="preserve">developed through a process of public consultation by a non-profit organization with relevant subject expertise. </w:t>
      </w:r>
      <w:r w:rsidRPr="008C74A3">
        <w:t>Independent reviewers</w:t>
      </w:r>
      <w:r w:rsidR="0090125B" w:rsidRPr="008C74A3">
        <w:t xml:space="preserve"> will inevitably develop their own internal interpretations</w:t>
      </w:r>
      <w:r w:rsidR="009C1860" w:rsidRPr="008C74A3">
        <w:t>,</w:t>
      </w:r>
      <w:r w:rsidR="0090125B" w:rsidRPr="008C74A3">
        <w:t xml:space="preserve"> but the</w:t>
      </w:r>
      <w:r w:rsidR="00FA7C2C" w:rsidRPr="008C74A3">
        <w:t xml:space="preserve"> draft Reporting</w:t>
      </w:r>
      <w:r w:rsidR="00CD3524" w:rsidRPr="008C74A3">
        <w:t xml:space="preserve"> </w:t>
      </w:r>
      <w:r w:rsidR="00181AAA" w:rsidRPr="008C74A3">
        <w:t xml:space="preserve">Norms, along with the </w:t>
      </w:r>
      <w:r w:rsidR="005A4F72" w:rsidRPr="008C74A3">
        <w:t>Supplement on Independent Review</w:t>
      </w:r>
      <w:r w:rsidR="00181AAA" w:rsidRPr="008C74A3">
        <w:t>,</w:t>
      </w:r>
      <w:r w:rsidR="0090125B" w:rsidRPr="008C74A3">
        <w:t xml:space="preserve"> provide</w:t>
      </w:r>
      <w:r w:rsidR="009A2527" w:rsidRPr="008C74A3">
        <w:t xml:space="preserve"> extensive</w:t>
      </w:r>
      <w:r w:rsidR="0090125B" w:rsidRPr="008C74A3">
        <w:t xml:space="preserve"> common groun</w:t>
      </w:r>
      <w:r w:rsidR="009A2527" w:rsidRPr="008C74A3">
        <w:t xml:space="preserve">d. This will ensure a high baseline level of </w:t>
      </w:r>
      <w:r w:rsidR="009A2527" w:rsidRPr="008C74A3">
        <w:lastRenderedPageBreak/>
        <w:t xml:space="preserve">consistency across providers that will enhance market confidence and </w:t>
      </w:r>
      <w:r w:rsidR="00C50C5D" w:rsidRPr="008C74A3">
        <w:t xml:space="preserve">help </w:t>
      </w:r>
      <w:r w:rsidRPr="008C74A3">
        <w:t>forestall</w:t>
      </w:r>
      <w:r w:rsidR="00C50C5D" w:rsidRPr="008C74A3">
        <w:t xml:space="preserve"> the proliferation of inconsistent frameworks with opaque criteria from disparate providers</w:t>
      </w:r>
      <w:r w:rsidR="007E013B" w:rsidRPr="008C74A3">
        <w:t xml:space="preserve">. </w:t>
      </w:r>
    </w:p>
    <w:p w14:paraId="5B8DB6EE" w14:textId="2CD93C50" w:rsidR="009A2527" w:rsidRPr="008C74A3" w:rsidRDefault="009A2527" w:rsidP="00DB1B70">
      <w:r w:rsidRPr="008C74A3">
        <w:t xml:space="preserve">Widespread uptake may lead to greater understanding by investors of types and levels of </w:t>
      </w:r>
      <w:r w:rsidR="00181AAA" w:rsidRPr="008C74A3">
        <w:t xml:space="preserve">independent review </w:t>
      </w:r>
      <w:r w:rsidRPr="008C74A3">
        <w:t xml:space="preserve">available, the process, standards, and criteria by which an investor’s impact performance report will be assessed, and the expected qualifications of </w:t>
      </w:r>
      <w:r w:rsidR="00181AAA" w:rsidRPr="008C74A3">
        <w:t>reviewers</w:t>
      </w:r>
      <w:r w:rsidRPr="008C74A3">
        <w:t xml:space="preserve">. That said, the </w:t>
      </w:r>
      <w:r w:rsidR="00DA5428" w:rsidRPr="008C74A3">
        <w:t xml:space="preserve">Norms </w:t>
      </w:r>
      <w:r w:rsidRPr="008C74A3">
        <w:t xml:space="preserve">recognize that </w:t>
      </w:r>
      <w:r w:rsidR="00DA5428" w:rsidRPr="008C74A3">
        <w:t xml:space="preserve">individual </w:t>
      </w:r>
      <w:r w:rsidRPr="008C74A3">
        <w:t>decision</w:t>
      </w:r>
      <w:r w:rsidR="00DA5428" w:rsidRPr="008C74A3">
        <w:t>s</w:t>
      </w:r>
      <w:r w:rsidRPr="008C74A3">
        <w:t xml:space="preserve"> to seek </w:t>
      </w:r>
      <w:r w:rsidR="002044E3" w:rsidRPr="008C74A3">
        <w:t xml:space="preserve">independent review </w:t>
      </w:r>
      <w:r w:rsidRPr="008C74A3">
        <w:t xml:space="preserve">or not </w:t>
      </w:r>
      <w:r w:rsidR="007B2B4A" w:rsidRPr="008C74A3">
        <w:t>are</w:t>
      </w:r>
      <w:r w:rsidRPr="008C74A3">
        <w:t xml:space="preserve"> best left to </w:t>
      </w:r>
      <w:r w:rsidR="002044E3" w:rsidRPr="008C74A3">
        <w:t>report preparers</w:t>
      </w:r>
      <w:r w:rsidRPr="008C74A3">
        <w:t xml:space="preserve"> in consultation with </w:t>
      </w:r>
      <w:r w:rsidR="002044E3" w:rsidRPr="008C74A3">
        <w:t>report users</w:t>
      </w:r>
      <w:r w:rsidRPr="008C74A3">
        <w:t xml:space="preserve"> and other external stakeholders. </w:t>
      </w:r>
    </w:p>
    <w:p w14:paraId="3C667128" w14:textId="6C09EE5C" w:rsidR="00565A11" w:rsidRPr="008C74A3" w:rsidRDefault="00A26E8B" w:rsidP="00DB1B70">
      <w:pPr>
        <w:pStyle w:val="Heading2"/>
      </w:pPr>
      <w:bookmarkStart w:id="22" w:name="_Toc146213853"/>
      <w:bookmarkStart w:id="23" w:name="_Toc148384182"/>
      <w:bookmarkStart w:id="24" w:name="_Toc141449356"/>
      <w:bookmarkStart w:id="25" w:name="_Toc141449643"/>
      <w:r w:rsidRPr="008C74A3">
        <w:t xml:space="preserve">Next Steps: </w:t>
      </w:r>
      <w:r w:rsidR="00565A11" w:rsidRPr="008C74A3">
        <w:t xml:space="preserve">Implementing </w:t>
      </w:r>
      <w:r w:rsidRPr="008C74A3">
        <w:t xml:space="preserve">the </w:t>
      </w:r>
      <w:r w:rsidR="00883942" w:rsidRPr="008C74A3">
        <w:t xml:space="preserve">Draft Reporting </w:t>
      </w:r>
      <w:r w:rsidR="00925288" w:rsidRPr="008C74A3">
        <w:t>Norms</w:t>
      </w:r>
      <w:bookmarkEnd w:id="22"/>
      <w:bookmarkEnd w:id="23"/>
      <w:r w:rsidR="00925288" w:rsidRPr="008C74A3">
        <w:t xml:space="preserve"> </w:t>
      </w:r>
      <w:bookmarkEnd w:id="24"/>
      <w:bookmarkEnd w:id="25"/>
    </w:p>
    <w:p w14:paraId="153C4A2F" w14:textId="09957D9D" w:rsidR="003F3B8B" w:rsidRPr="008C74A3" w:rsidRDefault="00B516BE" w:rsidP="00DB1B70">
      <w:r w:rsidRPr="008C74A3">
        <w:t xml:space="preserve">The </w:t>
      </w:r>
      <w:r w:rsidR="008619D6" w:rsidRPr="008C74A3">
        <w:t>d</w:t>
      </w:r>
      <w:r w:rsidR="005B60C7" w:rsidRPr="008C74A3">
        <w:t xml:space="preserve">raft </w:t>
      </w:r>
      <w:r w:rsidR="00DA5428" w:rsidRPr="008C74A3">
        <w:t xml:space="preserve">Reporting </w:t>
      </w:r>
      <w:r w:rsidR="005B60C7" w:rsidRPr="008C74A3">
        <w:t>Norms</w:t>
      </w:r>
      <w:r w:rsidRPr="008C74A3">
        <w:t xml:space="preserve"> are intentionally aspirational. Few investors will </w:t>
      </w:r>
      <w:r w:rsidR="006904BB" w:rsidRPr="008C74A3">
        <w:t>be able</w:t>
      </w:r>
      <w:r w:rsidRPr="008C74A3">
        <w:t xml:space="preserve"> to </w:t>
      </w:r>
      <w:r w:rsidR="00966FDF" w:rsidRPr="008C74A3">
        <w:t xml:space="preserve">provide </w:t>
      </w:r>
      <w:proofErr w:type="gramStart"/>
      <w:r w:rsidR="00966FDF" w:rsidRPr="008C74A3">
        <w:t>all of</w:t>
      </w:r>
      <w:proofErr w:type="gramEnd"/>
      <w:r w:rsidR="00966FDF" w:rsidRPr="008C74A3">
        <w:t xml:space="preserve"> the suggested content</w:t>
      </w:r>
      <w:r w:rsidR="00D25D58" w:rsidRPr="008C74A3">
        <w:t xml:space="preserve"> </w:t>
      </w:r>
      <w:r w:rsidRPr="008C74A3">
        <w:t xml:space="preserve">at first. </w:t>
      </w:r>
      <w:r w:rsidR="00966FDF" w:rsidRPr="008C74A3">
        <w:t>At the same time, they are designed so that most investors will immediately be able to use the structure and format to provide much of the content</w:t>
      </w:r>
      <w:r w:rsidR="00B03C16" w:rsidRPr="008C74A3">
        <w:t>,</w:t>
      </w:r>
      <w:r w:rsidR="00966FDF" w:rsidRPr="008C74A3">
        <w:t xml:space="preserve"> and then fill in </w:t>
      </w:r>
      <w:r w:rsidR="002044E3" w:rsidRPr="008C74A3">
        <w:t xml:space="preserve">remaining </w:t>
      </w:r>
      <w:r w:rsidR="00966FDF" w:rsidRPr="008C74A3">
        <w:t>gaps over time.</w:t>
      </w:r>
      <w:r w:rsidR="003F3B8B" w:rsidRPr="008C74A3">
        <w:t xml:space="preserve"> </w:t>
      </w:r>
    </w:p>
    <w:p w14:paraId="2EE3931C" w14:textId="17006092" w:rsidR="00B03C16" w:rsidRPr="008C74A3" w:rsidRDefault="00181AAA" w:rsidP="00DB1B70">
      <w:r w:rsidRPr="008C74A3">
        <w:t xml:space="preserve">Report preparers are encouraged </w:t>
      </w:r>
      <w:r w:rsidR="003F3B8B" w:rsidRPr="008C74A3">
        <w:t xml:space="preserve">to </w:t>
      </w:r>
      <w:r w:rsidR="00D25D58" w:rsidRPr="008C74A3">
        <w:t>take a phased approach to implementation</w:t>
      </w:r>
      <w:r w:rsidRPr="008C74A3">
        <w:t>, and to</w:t>
      </w:r>
      <w:r w:rsidR="00F77360" w:rsidRPr="008C74A3">
        <w:t xml:space="preserve"> communicate transparently with </w:t>
      </w:r>
      <w:r w:rsidR="00B03C16" w:rsidRPr="008C74A3">
        <w:t xml:space="preserve">their </w:t>
      </w:r>
      <w:r w:rsidRPr="008C74A3">
        <w:t>report users</w:t>
      </w:r>
      <w:r w:rsidR="00F77360" w:rsidRPr="008C74A3">
        <w:t xml:space="preserve"> about the extent to which they follow the</w:t>
      </w:r>
      <w:r w:rsidR="00FA7C2C" w:rsidRPr="008C74A3">
        <w:t xml:space="preserve"> draft</w:t>
      </w:r>
      <w:r w:rsidR="00F77360" w:rsidRPr="008C74A3">
        <w:t xml:space="preserve"> </w:t>
      </w:r>
      <w:r w:rsidR="00B03C16" w:rsidRPr="008C74A3">
        <w:t>N</w:t>
      </w:r>
      <w:r w:rsidR="00DA5428" w:rsidRPr="008C74A3">
        <w:t>orms</w:t>
      </w:r>
      <w:r w:rsidR="00F77360" w:rsidRPr="008C74A3">
        <w:t>.</w:t>
      </w:r>
      <w:r w:rsidRPr="008C74A3">
        <w:t xml:space="preserve"> </w:t>
      </w:r>
      <w:r w:rsidR="003F3B8B" w:rsidRPr="008C74A3">
        <w:t xml:space="preserve">During the implementation process, preparers might include a note to the effect that “we are beginning adoption of the Norms as of [year] and anticipate being aligned with them by [year].” </w:t>
      </w:r>
    </w:p>
    <w:p w14:paraId="5645DA9B" w14:textId="24EB89CD" w:rsidR="00832AD7" w:rsidRPr="008C74A3" w:rsidRDefault="00832AD7" w:rsidP="00B03C16">
      <w:pPr>
        <w:spacing w:after="120"/>
      </w:pPr>
      <w:r w:rsidRPr="008C74A3">
        <w:t xml:space="preserve">As noted </w:t>
      </w:r>
      <w:r w:rsidR="003F3B8B" w:rsidRPr="008C74A3">
        <w:t>in the Executive Summary</w:t>
      </w:r>
      <w:r w:rsidRPr="008C74A3">
        <w:t xml:space="preserve">, the </w:t>
      </w:r>
      <w:r w:rsidR="00FA7C2C" w:rsidRPr="008C74A3">
        <w:t xml:space="preserve">draft </w:t>
      </w:r>
      <w:r w:rsidRPr="008C74A3">
        <w:t xml:space="preserve">Norms may be implemented in whole or in part, and at any pace, at the discretion of the report preparer. </w:t>
      </w:r>
      <w:r w:rsidR="00B03C16" w:rsidRPr="008C74A3">
        <w:t xml:space="preserve">If implemented in part, reports should at a minimum </w:t>
      </w:r>
      <w:r w:rsidR="00EA5A4E" w:rsidRPr="008C74A3">
        <w:t>include “</w:t>
      </w:r>
      <w:r w:rsidR="00B03C16" w:rsidRPr="008C74A3">
        <w:t>1</w:t>
      </w:r>
      <w:r w:rsidR="00F10F3B" w:rsidRPr="008C74A3">
        <w:t xml:space="preserve">. </w:t>
      </w:r>
      <w:r w:rsidR="00B03C16" w:rsidRPr="008C74A3">
        <w:t>Investor Overview and Impact Thesis</w:t>
      </w:r>
      <w:r w:rsidR="00F10F3B" w:rsidRPr="008C74A3">
        <w:t>”</w:t>
      </w:r>
      <w:r w:rsidR="00B03C16" w:rsidRPr="008C74A3">
        <w:t xml:space="preserve"> and </w:t>
      </w:r>
      <w:r w:rsidR="00F10F3B" w:rsidRPr="008C74A3">
        <w:t>“</w:t>
      </w:r>
      <w:r w:rsidR="00B03C16" w:rsidRPr="008C74A3">
        <w:t>3</w:t>
      </w:r>
      <w:r w:rsidR="00F10F3B" w:rsidRPr="008C74A3">
        <w:t>.</w:t>
      </w:r>
      <w:r w:rsidR="00B03C16" w:rsidRPr="008C74A3">
        <w:t xml:space="preserve"> Impact Performance</w:t>
      </w:r>
      <w:r w:rsidR="00F10F3B" w:rsidRPr="008C74A3">
        <w:t>.</w:t>
      </w:r>
      <w:r w:rsidR="00B03C16" w:rsidRPr="008C74A3">
        <w:t xml:space="preserve">” Expectations of the depth of implementation, along with the length of the report, should be commensurate with fund size to avoid disadvantaging smaller and/or emerging fund managers. Differing levels of data availability in reporting entities’ context should also be </w:t>
      </w:r>
      <w:proofErr w:type="gramStart"/>
      <w:r w:rsidR="00B03C16" w:rsidRPr="008C74A3">
        <w:t>taken into account</w:t>
      </w:r>
      <w:proofErr w:type="gramEnd"/>
      <w:r w:rsidR="00B03C16" w:rsidRPr="008C74A3">
        <w:t xml:space="preserve"> by report users.</w:t>
      </w:r>
    </w:p>
    <w:p w14:paraId="2A1AAC02" w14:textId="7B1254E9" w:rsidR="00674305" w:rsidRPr="008C74A3" w:rsidRDefault="00D25D58" w:rsidP="00DB1B70">
      <w:r w:rsidRPr="008C74A3">
        <w:t>There are many possible ways to sequence the implementation process</w:t>
      </w:r>
      <w:r w:rsidR="00405D77" w:rsidRPr="008C74A3">
        <w:t>. P</w:t>
      </w:r>
      <w:r w:rsidRPr="008C74A3">
        <w:t>reparers have flexibility to design a process that will fit their goals and needs. Illustrative examples include:</w:t>
      </w:r>
    </w:p>
    <w:p w14:paraId="1F41D404" w14:textId="6D93EE55" w:rsidR="00D25D58" w:rsidRPr="008C74A3" w:rsidRDefault="00D25D58" w:rsidP="002D5795">
      <w:pPr>
        <w:pStyle w:val="ListParagraph"/>
        <w:numPr>
          <w:ilvl w:val="0"/>
          <w:numId w:val="40"/>
        </w:numPr>
        <w:ind w:leftChars="0"/>
      </w:pPr>
      <w:r w:rsidRPr="008C74A3">
        <w:t xml:space="preserve">Drafting </w:t>
      </w:r>
      <w:r w:rsidR="00860445" w:rsidRPr="008C74A3">
        <w:t>“</w:t>
      </w:r>
      <w:r w:rsidRPr="008C74A3">
        <w:t>1</w:t>
      </w:r>
      <w:r w:rsidR="00860445" w:rsidRPr="008C74A3">
        <w:t xml:space="preserve">. </w:t>
      </w:r>
      <w:r w:rsidR="003B2831" w:rsidRPr="008C74A3">
        <w:t xml:space="preserve">Investor </w:t>
      </w:r>
      <w:r w:rsidRPr="008C74A3">
        <w:t xml:space="preserve">Overview and </w:t>
      </w:r>
      <w:r w:rsidR="000479C0" w:rsidRPr="008C74A3">
        <w:t>I</w:t>
      </w:r>
      <w:r w:rsidRPr="008C74A3">
        <w:t xml:space="preserve">mpact </w:t>
      </w:r>
      <w:r w:rsidR="000479C0" w:rsidRPr="008C74A3">
        <w:t>T</w:t>
      </w:r>
      <w:r w:rsidRPr="008C74A3">
        <w:t>hesis</w:t>
      </w:r>
      <w:r w:rsidR="00860445" w:rsidRPr="008C74A3">
        <w:t>”</w:t>
      </w:r>
      <w:r w:rsidRPr="008C74A3">
        <w:t xml:space="preserve"> and </w:t>
      </w:r>
      <w:r w:rsidR="00860445" w:rsidRPr="008C74A3">
        <w:t>“</w:t>
      </w:r>
      <w:r w:rsidRPr="008C74A3">
        <w:t>2</w:t>
      </w:r>
      <w:r w:rsidR="00860445" w:rsidRPr="008C74A3">
        <w:t>.</w:t>
      </w:r>
      <w:r w:rsidR="00EA5A4E" w:rsidRPr="008C74A3">
        <w:t xml:space="preserve"> </w:t>
      </w:r>
      <w:r w:rsidRPr="008C74A3">
        <w:t xml:space="preserve">Impact </w:t>
      </w:r>
      <w:r w:rsidR="00860445" w:rsidRPr="008C74A3">
        <w:t>M</w:t>
      </w:r>
      <w:r w:rsidRPr="008C74A3">
        <w:t xml:space="preserve">anagement </w:t>
      </w:r>
      <w:r w:rsidR="003B2831" w:rsidRPr="008C74A3">
        <w:t xml:space="preserve">Framework, </w:t>
      </w:r>
      <w:r w:rsidR="00860445" w:rsidRPr="008C74A3">
        <w:t>P</w:t>
      </w:r>
      <w:r w:rsidRPr="008C74A3">
        <w:t>rocess</w:t>
      </w:r>
      <w:r w:rsidR="003B2831" w:rsidRPr="008C74A3">
        <w:t>, and Systems</w:t>
      </w:r>
      <w:r w:rsidR="00860445" w:rsidRPr="008C74A3">
        <w:t>”</w:t>
      </w:r>
      <w:r w:rsidRPr="008C74A3">
        <w:t xml:space="preserve"> in the first year of implementation; </w:t>
      </w:r>
      <w:r w:rsidR="003641AA" w:rsidRPr="008C74A3">
        <w:t>“</w:t>
      </w:r>
      <w:r w:rsidRPr="008C74A3">
        <w:t>3</w:t>
      </w:r>
      <w:r w:rsidR="003641AA" w:rsidRPr="008C74A3">
        <w:t xml:space="preserve">. </w:t>
      </w:r>
      <w:r w:rsidRPr="008C74A3">
        <w:t>Impact Performance</w:t>
      </w:r>
      <w:r w:rsidR="003641AA" w:rsidRPr="008C74A3">
        <w:t>”</w:t>
      </w:r>
      <w:r w:rsidRPr="008C74A3">
        <w:t xml:space="preserve"> in the second year; and optional 4</w:t>
      </w:r>
      <w:r w:rsidR="003641AA" w:rsidRPr="008C74A3">
        <w:t>.</w:t>
      </w:r>
      <w:r w:rsidRPr="008C74A3">
        <w:t>-6</w:t>
      </w:r>
      <w:r w:rsidR="003641AA" w:rsidRPr="008C74A3">
        <w:t>.</w:t>
      </w:r>
      <w:r w:rsidRPr="008C74A3">
        <w:t xml:space="preserve"> in the third year and beyond</w:t>
      </w:r>
      <w:r w:rsidR="003F3B8B" w:rsidRPr="008C74A3">
        <w:t>.</w:t>
      </w:r>
    </w:p>
    <w:p w14:paraId="216C0BE8" w14:textId="32FE0DB2" w:rsidR="00D25D58" w:rsidRPr="008C74A3" w:rsidRDefault="00D25D58" w:rsidP="002D5795">
      <w:pPr>
        <w:pStyle w:val="ListParagraph"/>
        <w:numPr>
          <w:ilvl w:val="0"/>
          <w:numId w:val="40"/>
        </w:numPr>
        <w:ind w:leftChars="0"/>
      </w:pPr>
      <w:r w:rsidRPr="008C74A3">
        <w:t>Completing a</w:t>
      </w:r>
      <w:r w:rsidR="003F3B8B" w:rsidRPr="008C74A3">
        <w:t xml:space="preserve"> first</w:t>
      </w:r>
      <w:r w:rsidRPr="008C74A3">
        <w:t xml:space="preserve"> rough draft of 1</w:t>
      </w:r>
      <w:r w:rsidR="003641AA" w:rsidRPr="008C74A3">
        <w:t>.</w:t>
      </w:r>
      <w:r w:rsidRPr="008C74A3">
        <w:t>-3</w:t>
      </w:r>
      <w:r w:rsidR="003641AA" w:rsidRPr="008C74A3">
        <w:t>.</w:t>
      </w:r>
      <w:r w:rsidRPr="008C74A3">
        <w:t xml:space="preserve"> in the first year; revising in the second year to </w:t>
      </w:r>
      <w:r w:rsidR="003F3B8B" w:rsidRPr="008C74A3">
        <w:t xml:space="preserve">enhance </w:t>
      </w:r>
      <w:r w:rsidRPr="008C74A3">
        <w:t>align</w:t>
      </w:r>
      <w:r w:rsidR="003F3B8B" w:rsidRPr="008C74A3">
        <w:t>ment</w:t>
      </w:r>
      <w:r w:rsidRPr="008C74A3">
        <w:t xml:space="preserve"> with the characteristics of useful information; and seeking independent review in the third year</w:t>
      </w:r>
      <w:r w:rsidR="003F3B8B" w:rsidRPr="008C74A3">
        <w:t>.</w:t>
      </w:r>
    </w:p>
    <w:p w14:paraId="2453DF6C" w14:textId="43D5F16F" w:rsidR="00D25D58" w:rsidRPr="008C74A3" w:rsidRDefault="00AF4DC7" w:rsidP="00DB1B70">
      <w:r w:rsidRPr="008C74A3">
        <w:t xml:space="preserve">The most important thing that </w:t>
      </w:r>
      <w:r w:rsidR="003F3B8B" w:rsidRPr="008C74A3">
        <w:t>report users such as asset owners and allocators</w:t>
      </w:r>
      <w:r w:rsidR="003F511D" w:rsidRPr="008C74A3">
        <w:t xml:space="preserve"> </w:t>
      </w:r>
      <w:r w:rsidRPr="008C74A3">
        <w:t>can do is</w:t>
      </w:r>
      <w:r w:rsidR="003F511D" w:rsidRPr="008C74A3">
        <w:t xml:space="preserve"> to</w:t>
      </w:r>
      <w:r w:rsidRPr="008C74A3">
        <w:t xml:space="preserve"> consider commit</w:t>
      </w:r>
      <w:r w:rsidR="003F511D" w:rsidRPr="008C74A3">
        <w:t>ting</w:t>
      </w:r>
      <w:r w:rsidRPr="008C74A3">
        <w:t xml:space="preserve"> to the</w:t>
      </w:r>
      <w:r w:rsidR="00FA7C2C" w:rsidRPr="008C74A3">
        <w:t xml:space="preserve"> draft</w:t>
      </w:r>
      <w:r w:rsidRPr="008C74A3">
        <w:t xml:space="preserve"> Norms</w:t>
      </w:r>
      <w:r w:rsidR="00E128B4" w:rsidRPr="008C74A3">
        <w:t>, once finalized,</w:t>
      </w:r>
      <w:r w:rsidRPr="008C74A3">
        <w:t xml:space="preserve"> as their preferred or primary format for receiving annual impact performance reports</w:t>
      </w:r>
      <w:r w:rsidR="003F3B8B" w:rsidRPr="008C74A3">
        <w:t xml:space="preserve"> from the funds or other intermediaries in which they invest</w:t>
      </w:r>
      <w:r w:rsidRPr="008C74A3">
        <w:t xml:space="preserve">. If a plurality </w:t>
      </w:r>
      <w:r w:rsidR="003F3B8B" w:rsidRPr="008C74A3">
        <w:t xml:space="preserve">of users </w:t>
      </w:r>
      <w:r w:rsidRPr="008C74A3">
        <w:t xml:space="preserve">can commit to the Norms as a shared baseline </w:t>
      </w:r>
      <w:r w:rsidR="003F511D" w:rsidRPr="008C74A3">
        <w:t xml:space="preserve">expectation for reporting, this will significantly reduce the burden for </w:t>
      </w:r>
      <w:r w:rsidR="003F3B8B" w:rsidRPr="008C74A3">
        <w:t>report preparers</w:t>
      </w:r>
      <w:r w:rsidR="003F511D" w:rsidRPr="008C74A3">
        <w:t xml:space="preserve"> of providing </w:t>
      </w:r>
      <w:r w:rsidR="003F3B8B" w:rsidRPr="008C74A3">
        <w:t>bespoke</w:t>
      </w:r>
      <w:r w:rsidR="003F511D" w:rsidRPr="008C74A3">
        <w:t xml:space="preserve"> customized reports</w:t>
      </w:r>
      <w:r w:rsidR="003F3B8B" w:rsidRPr="008C74A3">
        <w:t xml:space="preserve"> for individual users.</w:t>
      </w:r>
    </w:p>
    <w:p w14:paraId="44B1C53F" w14:textId="1BD953F1" w:rsidR="00DA5428" w:rsidRPr="008C74A3" w:rsidRDefault="003F3B8B" w:rsidP="00DB1B70">
      <w:pPr>
        <w:rPr>
          <w:b/>
          <w:bCs/>
        </w:rPr>
      </w:pPr>
      <w:r w:rsidRPr="008C74A3">
        <w:rPr>
          <w:b/>
          <w:bCs/>
        </w:rPr>
        <w:t>Proposal:</w:t>
      </w:r>
      <w:r w:rsidR="00DA5428" w:rsidRPr="008C74A3">
        <w:rPr>
          <w:b/>
          <w:bCs/>
        </w:rPr>
        <w:t xml:space="preserve"> Transition Period</w:t>
      </w:r>
    </w:p>
    <w:p w14:paraId="1F864262" w14:textId="15E0AF23" w:rsidR="001119A3" w:rsidRPr="008C74A3" w:rsidRDefault="009679B5" w:rsidP="00FB09AA">
      <w:pPr>
        <w:spacing w:after="120"/>
      </w:pPr>
      <w:r w:rsidRPr="008C74A3">
        <w:lastRenderedPageBreak/>
        <w:t xml:space="preserve">One proposal on which we invite feedback is </w:t>
      </w:r>
      <w:r w:rsidR="00B54A66" w:rsidRPr="008C74A3">
        <w:t>a</w:t>
      </w:r>
      <w:r w:rsidR="00697BA3" w:rsidRPr="008C74A3">
        <w:t xml:space="preserve"> “Transition Period” </w:t>
      </w:r>
      <w:r w:rsidR="00181AAA" w:rsidRPr="008C74A3">
        <w:t>spann</w:t>
      </w:r>
      <w:r w:rsidR="00F03835" w:rsidRPr="008C74A3">
        <w:t>ing three</w:t>
      </w:r>
      <w:r w:rsidR="00512150" w:rsidRPr="008C74A3">
        <w:t xml:space="preserve"> years from when </w:t>
      </w:r>
      <w:r w:rsidR="00140A38" w:rsidRPr="008C74A3">
        <w:t>t</w:t>
      </w:r>
      <w:r w:rsidR="00512150" w:rsidRPr="008C74A3">
        <w:t xml:space="preserve">he </w:t>
      </w:r>
      <w:r w:rsidR="00140A38" w:rsidRPr="008C74A3">
        <w:t xml:space="preserve">report </w:t>
      </w:r>
      <w:r w:rsidR="00512150" w:rsidRPr="008C74A3">
        <w:t xml:space="preserve">preparer decided to </w:t>
      </w:r>
      <w:r w:rsidR="00405D77" w:rsidRPr="008C74A3">
        <w:t xml:space="preserve">align with </w:t>
      </w:r>
      <w:r w:rsidR="000479C0" w:rsidRPr="008C74A3">
        <w:t xml:space="preserve">the </w:t>
      </w:r>
      <w:r w:rsidR="008619D6" w:rsidRPr="008C74A3">
        <w:t>d</w:t>
      </w:r>
      <w:r w:rsidR="00512150" w:rsidRPr="008C74A3">
        <w:t>raft Reporting Norms</w:t>
      </w:r>
      <w:r w:rsidR="00181AAA" w:rsidRPr="008C74A3">
        <w:t xml:space="preserve">. During the </w:t>
      </w:r>
      <w:r w:rsidR="003F3B8B" w:rsidRPr="008C74A3">
        <w:t>transition</w:t>
      </w:r>
      <w:r w:rsidR="00181AAA" w:rsidRPr="008C74A3">
        <w:t xml:space="preserve"> period, report preparers </w:t>
      </w:r>
      <w:r w:rsidR="003F2988" w:rsidRPr="008C74A3">
        <w:t xml:space="preserve">would strive to </w:t>
      </w:r>
      <w:r w:rsidR="00405D77" w:rsidRPr="008C74A3">
        <w:t>follow</w:t>
      </w:r>
      <w:r w:rsidR="003F2988" w:rsidRPr="008C74A3">
        <w:t xml:space="preserve"> </w:t>
      </w:r>
      <w:r w:rsidR="00D25D58" w:rsidRPr="008C74A3">
        <w:t>the</w:t>
      </w:r>
      <w:r w:rsidR="003F2988" w:rsidRPr="008C74A3">
        <w:t xml:space="preserve"> Norms to the best of their ability. For their part, </w:t>
      </w:r>
      <w:r w:rsidR="003F3B8B" w:rsidRPr="008C74A3">
        <w:t>report users</w:t>
      </w:r>
      <w:r w:rsidR="003F2988" w:rsidRPr="008C74A3">
        <w:t xml:space="preserve"> would agree to review the resulting reports with a forgiving eye</w:t>
      </w:r>
      <w:r w:rsidR="00F026F4" w:rsidRPr="008C74A3">
        <w:t xml:space="preserve">. </w:t>
      </w:r>
      <w:r w:rsidR="003F511D" w:rsidRPr="008C74A3">
        <w:t xml:space="preserve">Moving the market towards more candor in reporting will require that the first movers towards transparency be rewarded, not penalized, for their efforts. </w:t>
      </w:r>
      <w:r w:rsidR="00F026F4" w:rsidRPr="008C74A3">
        <w:t xml:space="preserve">The </w:t>
      </w:r>
      <w:r w:rsidR="003F3B8B" w:rsidRPr="008C74A3">
        <w:t>transition period</w:t>
      </w:r>
      <w:r w:rsidR="001119A3" w:rsidRPr="008C74A3">
        <w:t xml:space="preserve"> </w:t>
      </w:r>
      <w:r w:rsidR="00F026F4" w:rsidRPr="008C74A3">
        <w:t>can also be an opportunity</w:t>
      </w:r>
      <w:r w:rsidR="001119A3" w:rsidRPr="008C74A3">
        <w:t xml:space="preserve"> to share the report with </w:t>
      </w:r>
      <w:r w:rsidR="00181AAA" w:rsidRPr="008C74A3">
        <w:t xml:space="preserve">other </w:t>
      </w:r>
      <w:r w:rsidR="001119A3" w:rsidRPr="008C74A3">
        <w:t xml:space="preserve">stakeholders </w:t>
      </w:r>
      <w:r w:rsidR="008F1B2C" w:rsidRPr="008C74A3">
        <w:t xml:space="preserve">such as investees and </w:t>
      </w:r>
      <w:r w:rsidR="00734B44" w:rsidRPr="008C74A3">
        <w:t>local communities</w:t>
      </w:r>
      <w:r w:rsidR="008F1B2C" w:rsidRPr="008C74A3">
        <w:t xml:space="preserve">, to enhance the degree to which reports represent </w:t>
      </w:r>
      <w:r w:rsidR="003F3B8B" w:rsidRPr="008C74A3">
        <w:t>the</w:t>
      </w:r>
      <w:r w:rsidR="008F1B2C" w:rsidRPr="008C74A3">
        <w:t xml:space="preserve"> interests and experiences</w:t>
      </w:r>
      <w:r w:rsidR="003F3B8B" w:rsidRPr="008C74A3">
        <w:t xml:space="preserve"> of the stakeholders and aspects of the natural environment experiencing the impact</w:t>
      </w:r>
      <w:r w:rsidR="00EA5A4E" w:rsidRPr="008C74A3">
        <w:t>.</w:t>
      </w:r>
      <w:r w:rsidR="00F026F4" w:rsidRPr="008C74A3">
        <w:t xml:space="preserve"> </w:t>
      </w:r>
    </w:p>
    <w:p w14:paraId="6105A2EE" w14:textId="24E50149" w:rsidR="00697BA3" w:rsidRPr="008C74A3" w:rsidRDefault="003F3B8B" w:rsidP="00FB09AA">
      <w:pPr>
        <w:spacing w:after="120"/>
        <w:rPr>
          <w:b/>
          <w:bCs/>
        </w:rPr>
      </w:pPr>
      <w:r w:rsidRPr="008C74A3">
        <w:rPr>
          <w:b/>
          <w:bCs/>
        </w:rPr>
        <w:t xml:space="preserve">Proposal: </w:t>
      </w:r>
      <w:r w:rsidR="008F1B2C" w:rsidRPr="008C74A3">
        <w:rPr>
          <w:b/>
          <w:bCs/>
        </w:rPr>
        <w:t>Pilot Program</w:t>
      </w:r>
    </w:p>
    <w:p w14:paraId="6FC34D97" w14:textId="588C7171" w:rsidR="00AD26D8" w:rsidRPr="008C74A3" w:rsidRDefault="008F1B2C" w:rsidP="00FB09AA">
      <w:pPr>
        <w:spacing w:after="120"/>
      </w:pPr>
      <w:r w:rsidRPr="008C74A3">
        <w:t>Another proposal on which we invite feedback is that of a pilot program in which</w:t>
      </w:r>
      <w:r w:rsidR="003F2988" w:rsidRPr="008C74A3">
        <w:t xml:space="preserve"> </w:t>
      </w:r>
      <w:r w:rsidR="00AD26D8" w:rsidRPr="008C74A3">
        <w:t>asset managers</w:t>
      </w:r>
      <w:r w:rsidRPr="008C74A3">
        <w:t xml:space="preserve">, asset owners and allocators, and independent reviewers would individually and collectively pilot the Norms, share learnings, and provide feedback to further improve the Norms. Participants would have a </w:t>
      </w:r>
      <w:r w:rsidR="00AD26D8" w:rsidRPr="008C74A3">
        <w:t xml:space="preserve">shared goal of publishing their </w:t>
      </w:r>
      <w:r w:rsidRPr="008C74A3">
        <w:t xml:space="preserve">first Norms-aligned </w:t>
      </w:r>
      <w:r w:rsidR="00AD26D8" w:rsidRPr="008C74A3">
        <w:t xml:space="preserve">impact performance reports in 2025. </w:t>
      </w:r>
      <w:r w:rsidRPr="008C74A3">
        <w:t xml:space="preserve">Towards this goal, participants would receive capacity-building support and facilitated interactions with peers. </w:t>
      </w:r>
      <w:r w:rsidR="00F75ED4" w:rsidRPr="008C74A3">
        <w:t xml:space="preserve">Online Zoom “office hours” could be held to offer support to early adopters, share early learnings, and address questions and challenges that have arisen. </w:t>
      </w:r>
      <w:r w:rsidRPr="008C74A3">
        <w:t xml:space="preserve">Successful </w:t>
      </w:r>
      <w:r w:rsidR="003F3B8B" w:rsidRPr="008C74A3">
        <w:t xml:space="preserve">pilot </w:t>
      </w:r>
      <w:r w:rsidRPr="008C74A3">
        <w:t xml:space="preserve">participants would be well-positioned as leaders in the movement toward greater </w:t>
      </w:r>
      <w:r w:rsidR="003F3B8B" w:rsidRPr="008C74A3">
        <w:t xml:space="preserve">transparency and </w:t>
      </w:r>
      <w:r w:rsidRPr="008C74A3">
        <w:t>integrity in impact performance reporting.</w:t>
      </w:r>
    </w:p>
    <w:p w14:paraId="6AFC009E" w14:textId="11BDB7BA" w:rsidR="00E67A89" w:rsidRPr="008C74A3" w:rsidRDefault="00DC63A2" w:rsidP="00FB09AA">
      <w:pPr>
        <w:spacing w:after="120"/>
        <w:rPr>
          <w:b/>
          <w:bCs/>
        </w:rPr>
      </w:pPr>
      <w:r w:rsidRPr="008C74A3">
        <w:rPr>
          <w:b/>
          <w:bCs/>
        </w:rPr>
        <w:t xml:space="preserve">Proposal: </w:t>
      </w:r>
      <w:r w:rsidR="2767A726" w:rsidRPr="008C74A3">
        <w:rPr>
          <w:b/>
          <w:bCs/>
        </w:rPr>
        <w:t xml:space="preserve">Optional </w:t>
      </w:r>
      <w:r w:rsidR="00DC0313" w:rsidRPr="008C74A3">
        <w:rPr>
          <w:b/>
          <w:bCs/>
        </w:rPr>
        <w:t>Preparer</w:t>
      </w:r>
      <w:r w:rsidR="2767A726" w:rsidRPr="008C74A3">
        <w:rPr>
          <w:b/>
          <w:bCs/>
        </w:rPr>
        <w:t xml:space="preserve"> Statement</w:t>
      </w:r>
    </w:p>
    <w:p w14:paraId="39D65808" w14:textId="46D7E757" w:rsidR="003F54D7" w:rsidRPr="008C74A3" w:rsidRDefault="003F54D7" w:rsidP="00FB09AA">
      <w:pPr>
        <w:spacing w:after="120"/>
      </w:pPr>
      <w:r w:rsidRPr="008C74A3">
        <w:t>Lastly, we invite feedback on the idea of including an optional statement</w:t>
      </w:r>
      <w:r w:rsidR="00DC0313" w:rsidRPr="008C74A3">
        <w:t xml:space="preserve"> at the end of reports</w:t>
      </w:r>
      <w:r w:rsidRPr="008C74A3">
        <w:t xml:space="preserve"> that could be signed by the relevant </w:t>
      </w:r>
      <w:r w:rsidR="00DC63A2" w:rsidRPr="008C74A3">
        <w:t xml:space="preserve">preparer </w:t>
      </w:r>
      <w:r w:rsidRPr="008C74A3">
        <w:t>team members responsible for impact</w:t>
      </w:r>
      <w:r w:rsidR="00DC63A2" w:rsidRPr="008C74A3">
        <w:t>,</w:t>
      </w:r>
      <w:r w:rsidR="00DC0313" w:rsidRPr="008C74A3">
        <w:t xml:space="preserve"> as well as an executive or Board-level sponsor</w:t>
      </w:r>
      <w:r w:rsidRPr="008C74A3">
        <w:t xml:space="preserve">. </w:t>
      </w:r>
    </w:p>
    <w:p w14:paraId="2A8D822F" w14:textId="6DD4F896" w:rsidR="003F54D7" w:rsidRPr="008C74A3" w:rsidRDefault="00DC63A2" w:rsidP="00FB09AA">
      <w:pPr>
        <w:spacing w:after="120"/>
      </w:pPr>
      <w:r w:rsidRPr="008C74A3">
        <w:t>As an example, t</w:t>
      </w:r>
      <w:r w:rsidR="2767A726" w:rsidRPr="008C74A3">
        <w:t>he statement could say</w:t>
      </w:r>
      <w:r w:rsidRPr="008C74A3">
        <w:t xml:space="preserve"> of each signer </w:t>
      </w:r>
      <w:r w:rsidR="2767A726" w:rsidRPr="008C74A3">
        <w:t>that:</w:t>
      </w:r>
    </w:p>
    <w:p w14:paraId="0EB75F21" w14:textId="77777777" w:rsidR="00796FCB" w:rsidRPr="008C74A3" w:rsidRDefault="003F54D7" w:rsidP="00FB09AA">
      <w:pPr>
        <w:pStyle w:val="ListParagraph"/>
        <w:numPr>
          <w:ilvl w:val="0"/>
          <w:numId w:val="42"/>
        </w:numPr>
        <w:spacing w:after="120"/>
        <w:ind w:leftChars="0"/>
      </w:pPr>
      <w:r w:rsidRPr="008C74A3">
        <w:t>“</w:t>
      </w:r>
      <w:r w:rsidR="0027663F" w:rsidRPr="008C74A3">
        <w:t>For the periods presented in t</w:t>
      </w:r>
      <w:r w:rsidR="00796FCB" w:rsidRPr="008C74A3">
        <w:t>he report,</w:t>
      </w:r>
    </w:p>
    <w:p w14:paraId="5EAE3291" w14:textId="483AB17A" w:rsidR="003F54D7" w:rsidRPr="008C74A3" w:rsidRDefault="003F54D7" w:rsidP="00FB09AA">
      <w:pPr>
        <w:pStyle w:val="ListParagraph"/>
        <w:numPr>
          <w:ilvl w:val="0"/>
          <w:numId w:val="42"/>
        </w:numPr>
        <w:spacing w:after="120"/>
        <w:ind w:leftChars="0"/>
      </w:pPr>
      <w:r w:rsidRPr="008C74A3">
        <w:t>He or she has reviewed the report;</w:t>
      </w:r>
    </w:p>
    <w:p w14:paraId="2F43EACF" w14:textId="67AB8D35" w:rsidR="003F54D7" w:rsidRPr="008C74A3" w:rsidRDefault="4C41AA1C" w:rsidP="00FB09AA">
      <w:pPr>
        <w:pStyle w:val="ListParagraph"/>
        <w:numPr>
          <w:ilvl w:val="0"/>
          <w:numId w:val="42"/>
        </w:numPr>
        <w:spacing w:after="120"/>
        <w:ind w:leftChars="0"/>
      </w:pPr>
      <w:r w:rsidRPr="008C74A3">
        <w:t>Based on his or her knowledge, the report does not contain any untrue statement of material</w:t>
      </w:r>
      <w:r w:rsidR="00146F83" w:rsidRPr="008C74A3">
        <w:t xml:space="preserve"> information</w:t>
      </w:r>
      <w:r w:rsidRPr="008C74A3">
        <w:t xml:space="preserve"> or omit to state material </w:t>
      </w:r>
      <w:r w:rsidR="00146F83" w:rsidRPr="008C74A3">
        <w:t>informatio</w:t>
      </w:r>
      <w:r w:rsidR="00F459EF" w:rsidRPr="008C74A3">
        <w:t>n</w:t>
      </w:r>
      <w:r w:rsidRPr="008C74A3">
        <w:t xml:space="preserve"> necessary </w:t>
      </w:r>
      <w:proofErr w:type="gramStart"/>
      <w:r w:rsidRPr="008C74A3">
        <w:t>in order to</w:t>
      </w:r>
      <w:proofErr w:type="gramEnd"/>
      <w:r w:rsidRPr="008C74A3">
        <w:t xml:space="preserve"> make the statements made, in light of the circumstances, not misleading; </w:t>
      </w:r>
    </w:p>
    <w:p w14:paraId="1B083881" w14:textId="682F6A02" w:rsidR="00FF537E" w:rsidRPr="008C74A3" w:rsidRDefault="003F54D7" w:rsidP="00FB09AA">
      <w:pPr>
        <w:pStyle w:val="ListParagraph"/>
        <w:numPr>
          <w:ilvl w:val="0"/>
          <w:numId w:val="42"/>
        </w:numPr>
        <w:spacing w:after="120"/>
        <w:ind w:leftChars="0"/>
      </w:pPr>
      <w:r w:rsidRPr="008C74A3">
        <w:t>Based on his or her knowledge, the impact performance report fairly presents, in all material respects, the impacts of the entity and its investee</w:t>
      </w:r>
      <w:r w:rsidR="00D50E08" w:rsidRPr="008C74A3">
        <w:t>s; and</w:t>
      </w:r>
    </w:p>
    <w:p w14:paraId="5EB9F974" w14:textId="30286DE1" w:rsidR="003F54D7" w:rsidRPr="008C74A3" w:rsidRDefault="00D50E08" w:rsidP="00FB09AA">
      <w:pPr>
        <w:pStyle w:val="ListParagraph"/>
        <w:numPr>
          <w:ilvl w:val="0"/>
          <w:numId w:val="42"/>
        </w:numPr>
        <w:spacing w:after="120"/>
        <w:ind w:leftChars="0"/>
      </w:pPr>
      <w:r w:rsidRPr="008C74A3">
        <w:t>P</w:t>
      </w:r>
      <w:r w:rsidR="00852EAC" w:rsidRPr="008C74A3">
        <w:t xml:space="preserve">rocedures </w:t>
      </w:r>
      <w:r w:rsidRPr="008C74A3">
        <w:t xml:space="preserve">are in place </w:t>
      </w:r>
      <w:r w:rsidR="00852EAC" w:rsidRPr="008C74A3">
        <w:t>to ensure that material information is made known to them,</w:t>
      </w:r>
      <w:r w:rsidR="00AF1CD2" w:rsidRPr="008C74A3">
        <w:t xml:space="preserve"> particularly during the period in which the report is being prepared</w:t>
      </w:r>
      <w:r w:rsidRPr="008C74A3">
        <w:t>.</w:t>
      </w:r>
      <w:r w:rsidR="003F54D7" w:rsidRPr="008C74A3">
        <w:t>”</w:t>
      </w:r>
      <w:r w:rsidR="003F54D7" w:rsidRPr="008C74A3">
        <w:rPr>
          <w:rStyle w:val="FootnoteReference"/>
        </w:rPr>
        <w:footnoteReference w:id="6"/>
      </w:r>
    </w:p>
    <w:p w14:paraId="63ED06BA" w14:textId="275F98C3" w:rsidR="003F54D7" w:rsidRPr="008C74A3" w:rsidRDefault="003F54D7" w:rsidP="00FB09AA">
      <w:pPr>
        <w:spacing w:after="120"/>
        <w:sectPr w:rsidR="003F54D7" w:rsidRPr="008C74A3" w:rsidSect="00BD285C">
          <w:footerReference w:type="even" r:id="rId21"/>
          <w:footerReference w:type="default" r:id="rId22"/>
          <w:pgSz w:w="12240" w:h="15840" w:code="1"/>
          <w:pgMar w:top="1440" w:right="1440" w:bottom="1440" w:left="1440" w:header="720" w:footer="720" w:gutter="0"/>
          <w:lnNumType w:countBy="1" w:restart="continuous"/>
          <w:cols w:space="720"/>
          <w:docGrid w:linePitch="360"/>
        </w:sectPr>
      </w:pPr>
      <w:r w:rsidRPr="008C74A3">
        <w:t>This would be an optional inclusion,</w:t>
      </w:r>
      <w:r w:rsidR="00DC0313" w:rsidRPr="008C74A3">
        <w:t xml:space="preserve"> would not be legally binding,</w:t>
      </w:r>
      <w:r w:rsidRPr="008C74A3">
        <w:t xml:space="preserve"> and would not be expected </w:t>
      </w:r>
      <w:r w:rsidR="00DC0313" w:rsidRPr="008C74A3">
        <w:t xml:space="preserve">until the third year </w:t>
      </w:r>
      <w:r w:rsidR="005860AF" w:rsidRPr="008C74A3">
        <w:t xml:space="preserve">of </w:t>
      </w:r>
      <w:r w:rsidR="00DC63A2" w:rsidRPr="008C74A3">
        <w:t xml:space="preserve">Norms-aligned </w:t>
      </w:r>
      <w:r w:rsidR="00DC0313" w:rsidRPr="008C74A3">
        <w:t xml:space="preserve">reporting at the very earliest. </w:t>
      </w:r>
      <w:r w:rsidR="00DC63A2" w:rsidRPr="008C74A3">
        <w:t xml:space="preserve">A signed statement such as this would </w:t>
      </w:r>
      <w:r w:rsidR="00D50E08" w:rsidRPr="008C74A3">
        <w:t>signify a high</w:t>
      </w:r>
      <w:r w:rsidR="00FD5BF4" w:rsidRPr="008C74A3">
        <w:t xml:space="preserve"> </w:t>
      </w:r>
      <w:r w:rsidR="00DC63A2" w:rsidRPr="008C74A3">
        <w:t>degree of alignment with the Norms.</w:t>
      </w:r>
    </w:p>
    <w:p w14:paraId="495443DB" w14:textId="0AB930D1" w:rsidR="00C52ECC" w:rsidRPr="008C74A3" w:rsidRDefault="00323EB6" w:rsidP="00DB1B70">
      <w:pPr>
        <w:pStyle w:val="Heading1"/>
      </w:pPr>
      <w:bookmarkStart w:id="26" w:name="_Toc146213854"/>
      <w:bookmarkStart w:id="27" w:name="_Toc148384183"/>
      <w:r w:rsidRPr="008C74A3">
        <w:lastRenderedPageBreak/>
        <w:t>Terms and Definitions</w:t>
      </w:r>
      <w:bookmarkEnd w:id="26"/>
      <w:bookmarkEnd w:id="27"/>
    </w:p>
    <w:p w14:paraId="0FAC9DDA" w14:textId="79EE62E1" w:rsidR="00323EB6" w:rsidRPr="008C74A3" w:rsidRDefault="00323EB6" w:rsidP="00332702">
      <w:pPr>
        <w:spacing w:after="120"/>
      </w:pPr>
      <w:r w:rsidRPr="008C74A3">
        <w:t>For the purposes of this document, the following terms and definitions apply:</w:t>
      </w:r>
    </w:p>
    <w:p w14:paraId="5A7A7937" w14:textId="10F03C1A" w:rsidR="00223482" w:rsidRPr="008C74A3" w:rsidRDefault="00223482" w:rsidP="002D5795">
      <w:pPr>
        <w:pStyle w:val="ListParagraph"/>
        <w:numPr>
          <w:ilvl w:val="0"/>
          <w:numId w:val="3"/>
        </w:numPr>
        <w:spacing w:after="120"/>
        <w:ind w:leftChars="0"/>
      </w:pPr>
      <w:r w:rsidRPr="008C74A3">
        <w:rPr>
          <w:b/>
          <w:bCs/>
        </w:rPr>
        <w:t xml:space="preserve">Agreed-Upon Procedures: </w:t>
      </w:r>
      <w:r w:rsidRPr="008C74A3">
        <w:t>An engagement in which the practitioner performs the procedures that have been agreed upon by the practitioner and the preparer, where the preparer has acknowledged that the procedures performed are appropriate for the purpose of engagement. The practitioner communicated the agreed-upon procedures performed and the related findings in the agreed-upon procedures report.</w:t>
      </w:r>
      <w:r w:rsidR="00853030" w:rsidRPr="008C74A3">
        <w:rPr>
          <w:rStyle w:val="FootnoteReference"/>
        </w:rPr>
        <w:t xml:space="preserve"> </w:t>
      </w:r>
      <w:r w:rsidR="00853030" w:rsidRPr="008C74A3">
        <w:rPr>
          <w:rStyle w:val="FootnoteReference"/>
        </w:rPr>
        <w:footnoteReference w:id="7"/>
      </w:r>
      <w:r w:rsidRPr="008C74A3">
        <w:rPr>
          <w:b/>
          <w:bCs/>
        </w:rPr>
        <w:t xml:space="preserve"> </w:t>
      </w:r>
    </w:p>
    <w:p w14:paraId="0667B448" w14:textId="09C80BD4" w:rsidR="00621F44" w:rsidRPr="008C74A3" w:rsidRDefault="00621F44" w:rsidP="002D5795">
      <w:pPr>
        <w:pStyle w:val="ListParagraph"/>
        <w:numPr>
          <w:ilvl w:val="0"/>
          <w:numId w:val="3"/>
        </w:numPr>
        <w:spacing w:after="120"/>
        <w:ind w:leftChars="0"/>
      </w:pPr>
      <w:r w:rsidRPr="008C74A3">
        <w:rPr>
          <w:b/>
          <w:bCs/>
        </w:rPr>
        <w:t>Asset Manager:</w:t>
      </w:r>
      <w:r w:rsidRPr="008C74A3">
        <w:t xml:space="preserve"> An entity acting on behalf of clients (i.e., asset owners</w:t>
      </w:r>
      <w:r w:rsidR="002925A8" w:rsidRPr="008C74A3">
        <w:t xml:space="preserve">, </w:t>
      </w:r>
      <w:r w:rsidRPr="008C74A3">
        <w:t>allocators</w:t>
      </w:r>
      <w:r w:rsidR="002925A8" w:rsidRPr="008C74A3">
        <w:t>, and other capital providers</w:t>
      </w:r>
      <w:r w:rsidRPr="008C74A3">
        <w:t xml:space="preserve">) to manage assets via accounts and/or funds and to make investment decisions. The Norms assume asset managers are the </w:t>
      </w:r>
      <w:r w:rsidRPr="008C74A3">
        <w:rPr>
          <w:b/>
          <w:bCs/>
          <w:u w:val="single"/>
        </w:rPr>
        <w:t>preparers</w:t>
      </w:r>
      <w:r w:rsidRPr="008C74A3">
        <w:t xml:space="preserve"> of impact performance reports.</w:t>
      </w:r>
      <w:r w:rsidRPr="008C74A3">
        <w:rPr>
          <w:rStyle w:val="FootnoteReference"/>
        </w:rPr>
        <w:footnoteReference w:id="8"/>
      </w:r>
    </w:p>
    <w:p w14:paraId="537BF2F1" w14:textId="0D2A9C74" w:rsidR="00621F44" w:rsidRPr="008C74A3" w:rsidRDefault="00621F44" w:rsidP="002D5795">
      <w:pPr>
        <w:pStyle w:val="ListParagraph"/>
        <w:numPr>
          <w:ilvl w:val="0"/>
          <w:numId w:val="3"/>
        </w:numPr>
        <w:spacing w:after="120"/>
        <w:ind w:leftChars="0"/>
      </w:pPr>
      <w:r w:rsidRPr="008C74A3">
        <w:rPr>
          <w:b/>
          <w:bCs/>
        </w:rPr>
        <w:t>Asset Owners and Allocators:</w:t>
      </w:r>
      <w:r w:rsidRPr="008C74A3">
        <w:t xml:space="preserve"> Entities that allocate capital to asset managers, who in turn invest that capital in companies, projects, and real assets. They may hold legal title to the assets or may advise those that do. Examples include endowments, family offices, insurance companies, investment consultants, outsourced chief investment officers, pensions, sovereign wealth funds, and wealth management firms. The Norms group together asset owners</w:t>
      </w:r>
      <w:r w:rsidR="00A86E31" w:rsidRPr="008C74A3">
        <w:t xml:space="preserve">, </w:t>
      </w:r>
      <w:r w:rsidRPr="008C74A3">
        <w:t>asset allocators</w:t>
      </w:r>
      <w:r w:rsidR="00A86E31" w:rsidRPr="008C74A3">
        <w:t>, and any other capital providers</w:t>
      </w:r>
      <w:r w:rsidRPr="008C74A3">
        <w:t xml:space="preserve"> as </w:t>
      </w:r>
      <w:r w:rsidRPr="008C74A3">
        <w:rPr>
          <w:b/>
          <w:bCs/>
          <w:u w:val="single"/>
        </w:rPr>
        <w:t>users</w:t>
      </w:r>
      <w:r w:rsidRPr="008C74A3">
        <w:t xml:space="preserve"> of impact performance reports. Note that an organization may include multiple entities (e.g., funds, divisions, etc.), some of which function as asset managers, and others of which function as asset owners and allocators. </w:t>
      </w:r>
      <w:r w:rsidR="00A86E31" w:rsidRPr="008C74A3">
        <w:t>Funds</w:t>
      </w:r>
      <w:r w:rsidR="004057C4" w:rsidRPr="008C74A3">
        <w:t>-</w:t>
      </w:r>
      <w:r w:rsidR="00A86E31" w:rsidRPr="008C74A3">
        <w:t>of</w:t>
      </w:r>
      <w:r w:rsidR="004057C4" w:rsidRPr="008C74A3">
        <w:t>-</w:t>
      </w:r>
      <w:r w:rsidR="00A86E31" w:rsidRPr="008C74A3">
        <w:t>funds may function as both preparers and users of impact reports.</w:t>
      </w:r>
    </w:p>
    <w:p w14:paraId="5523D7A6" w14:textId="4A457296" w:rsidR="00621F44" w:rsidRPr="008C74A3" w:rsidRDefault="00621F44" w:rsidP="002D5795">
      <w:pPr>
        <w:pStyle w:val="ListParagraph"/>
        <w:numPr>
          <w:ilvl w:val="0"/>
          <w:numId w:val="3"/>
        </w:numPr>
        <w:spacing w:after="120"/>
        <w:ind w:leftChars="0"/>
      </w:pPr>
      <w:r w:rsidRPr="008C74A3">
        <w:rPr>
          <w:b/>
          <w:bCs/>
        </w:rPr>
        <w:t>Assurance:</w:t>
      </w:r>
      <w:r w:rsidRPr="008C74A3">
        <w:t xml:space="preserve"> An engagement in which a</w:t>
      </w:r>
      <w:r w:rsidR="00A86E31" w:rsidRPr="008C74A3">
        <w:t>n</w:t>
      </w:r>
      <w:r w:rsidRPr="008C74A3">
        <w:t xml:space="preserve"> </w:t>
      </w:r>
      <w:r w:rsidR="00A86E31" w:rsidRPr="008C74A3">
        <w:t xml:space="preserve">assurance </w:t>
      </w:r>
      <w:r w:rsidRPr="008C74A3">
        <w:t xml:space="preserve">practitioner aims to obtain sufficient and appropriate evidence </w:t>
      </w:r>
      <w:proofErr w:type="gramStart"/>
      <w:r w:rsidRPr="008C74A3">
        <w:t>in order to</w:t>
      </w:r>
      <w:proofErr w:type="gramEnd"/>
      <w:r w:rsidRPr="008C74A3">
        <w:t xml:space="preserve"> express a conclusion designed to enhance the degree of confidence of intended users other than the </w:t>
      </w:r>
      <w:r w:rsidR="00A86E31" w:rsidRPr="008C74A3">
        <w:t>report</w:t>
      </w:r>
      <w:r w:rsidRPr="008C74A3">
        <w:t xml:space="preserve"> preparer about the subject matter.</w:t>
      </w:r>
      <w:r w:rsidRPr="008C74A3">
        <w:rPr>
          <w:rStyle w:val="FootnoteReference"/>
        </w:rPr>
        <w:footnoteReference w:id="9"/>
      </w:r>
      <w:r w:rsidRPr="008C74A3">
        <w:t xml:space="preserve"> </w:t>
      </w:r>
    </w:p>
    <w:p w14:paraId="50A20831" w14:textId="2934644A" w:rsidR="00621F44" w:rsidRPr="008C74A3" w:rsidRDefault="00621F44" w:rsidP="002D5795">
      <w:pPr>
        <w:pStyle w:val="ListParagraph"/>
        <w:numPr>
          <w:ilvl w:val="0"/>
          <w:numId w:val="3"/>
        </w:numPr>
        <w:spacing w:after="120"/>
        <w:ind w:leftChars="0"/>
      </w:pPr>
      <w:r w:rsidRPr="008C74A3">
        <w:rPr>
          <w:b/>
          <w:bCs/>
        </w:rPr>
        <w:t>Entity</w:t>
      </w:r>
      <w:r w:rsidRPr="008C74A3">
        <w:t xml:space="preserve">: A clearly defined economic unit that isolates the accounting of certain transactions from other subdivisions or accounting entities. An entity can be a corporation </w:t>
      </w:r>
      <w:r w:rsidR="009001B5" w:rsidRPr="008C74A3">
        <w:t>or government agency,</w:t>
      </w:r>
      <w:r w:rsidRPr="008C74A3">
        <w:t xml:space="preserve"> as well as a subsidiary within a corporation, a fund, or a special purpose vehicle. The accounting entity must have a separate set of records detailing its assets and liabilities from those of the owner.</w:t>
      </w:r>
    </w:p>
    <w:p w14:paraId="73212F5E" w14:textId="1CA6E998" w:rsidR="00621F44" w:rsidRPr="008C74A3" w:rsidRDefault="00621F44" w:rsidP="002D5795">
      <w:pPr>
        <w:pStyle w:val="ListParagraph"/>
        <w:numPr>
          <w:ilvl w:val="0"/>
          <w:numId w:val="3"/>
        </w:numPr>
        <w:spacing w:after="120"/>
        <w:ind w:leftChars="0"/>
      </w:pPr>
      <w:r w:rsidRPr="008C74A3">
        <w:rPr>
          <w:b/>
          <w:bCs/>
        </w:rPr>
        <w:t>Evaluation:</w:t>
      </w:r>
      <w:r w:rsidRPr="008C74A3">
        <w:t xml:space="preserve"> A systematic process to determine merit, worth, value or significance.</w:t>
      </w:r>
      <w:r w:rsidRPr="008C74A3">
        <w:rPr>
          <w:rStyle w:val="FootnoteReference"/>
        </w:rPr>
        <w:footnoteReference w:id="10"/>
      </w:r>
      <w:r w:rsidRPr="008C74A3">
        <w:t xml:space="preserve"> In the context of impact evaluations, this may refer more specifically to a systematic effort to measure the net change in outcomes amongst a particular group, or groups, of people</w:t>
      </w:r>
      <w:r w:rsidR="003941AB" w:rsidRPr="008C74A3">
        <w:t>, or aspects of the natural environment,</w:t>
      </w:r>
      <w:r w:rsidRPr="008C74A3">
        <w:t xml:space="preserve"> that can be attributed to a specific program.</w:t>
      </w:r>
      <w:r w:rsidRPr="008C74A3">
        <w:rPr>
          <w:rStyle w:val="FootnoteReference"/>
        </w:rPr>
        <w:footnoteReference w:id="11"/>
      </w:r>
      <w:r w:rsidRPr="008C74A3">
        <w:t xml:space="preserve"> (In this context, attribution refers to </w:t>
      </w:r>
      <w:r w:rsidRPr="008C74A3">
        <w:lastRenderedPageBreak/>
        <w:t>whether the change in outcome would likely have occurred in the absence of the program, not to the proportion of the change associated with the program.)</w:t>
      </w:r>
    </w:p>
    <w:p w14:paraId="5B2314BE" w14:textId="5B55A7B8" w:rsidR="00621F44" w:rsidRPr="008C74A3" w:rsidRDefault="00621F44" w:rsidP="002D5795">
      <w:pPr>
        <w:pStyle w:val="ListParagraph"/>
        <w:numPr>
          <w:ilvl w:val="0"/>
          <w:numId w:val="3"/>
        </w:numPr>
        <w:spacing w:after="120"/>
        <w:ind w:leftChars="0"/>
      </w:pPr>
      <w:r w:rsidRPr="008C74A3">
        <w:rPr>
          <w:b/>
          <w:bCs/>
        </w:rPr>
        <w:t>Fund:</w:t>
      </w:r>
      <w:r w:rsidRPr="008C74A3">
        <w:t xml:space="preserve"> Shorthand for a pooled investment vehicle that an </w:t>
      </w:r>
      <w:r w:rsidR="003941AB" w:rsidRPr="008C74A3">
        <w:t>entity</w:t>
      </w:r>
      <w:r w:rsidRPr="008C74A3">
        <w:t xml:space="preserve"> creates to pool money from multiple investors.</w:t>
      </w:r>
      <w:r w:rsidRPr="008C74A3">
        <w:rPr>
          <w:rStyle w:val="FootnoteReference"/>
        </w:rPr>
        <w:footnoteReference w:id="12"/>
      </w:r>
    </w:p>
    <w:p w14:paraId="6BDFB6EE" w14:textId="1B048541" w:rsidR="00621F44" w:rsidRPr="008C74A3" w:rsidRDefault="00621F44" w:rsidP="002D5795">
      <w:pPr>
        <w:pStyle w:val="ListParagraph"/>
        <w:numPr>
          <w:ilvl w:val="0"/>
          <w:numId w:val="3"/>
        </w:numPr>
        <w:spacing w:after="120"/>
        <w:ind w:leftChars="0"/>
      </w:pPr>
      <w:r w:rsidRPr="008C74A3">
        <w:rPr>
          <w:b/>
          <w:bCs/>
        </w:rPr>
        <w:t>Fund</w:t>
      </w:r>
      <w:r w:rsidR="004057C4" w:rsidRPr="008C74A3">
        <w:rPr>
          <w:b/>
          <w:bCs/>
        </w:rPr>
        <w:t>-</w:t>
      </w:r>
      <w:r w:rsidR="00304951" w:rsidRPr="008C74A3">
        <w:rPr>
          <w:b/>
          <w:bCs/>
        </w:rPr>
        <w:t>of</w:t>
      </w:r>
      <w:r w:rsidR="004057C4" w:rsidRPr="008C74A3">
        <w:rPr>
          <w:b/>
          <w:bCs/>
        </w:rPr>
        <w:t>-</w:t>
      </w:r>
      <w:r w:rsidR="00304951" w:rsidRPr="008C74A3">
        <w:rPr>
          <w:b/>
          <w:bCs/>
        </w:rPr>
        <w:t>F</w:t>
      </w:r>
      <w:r w:rsidRPr="008C74A3">
        <w:rPr>
          <w:b/>
          <w:bCs/>
        </w:rPr>
        <w:t>unds:</w:t>
      </w:r>
      <w:r w:rsidRPr="008C74A3">
        <w:t xml:space="preserve"> A pooled investment fund that invests in other types of funds. Funds</w:t>
      </w:r>
      <w:r w:rsidR="00304951" w:rsidRPr="008C74A3">
        <w:t xml:space="preserve"> </w:t>
      </w:r>
      <w:r w:rsidRPr="008C74A3">
        <w:t>of</w:t>
      </w:r>
      <w:r w:rsidR="00304951" w:rsidRPr="008C74A3">
        <w:t xml:space="preserve"> </w:t>
      </w:r>
      <w:r w:rsidRPr="008C74A3">
        <w:t xml:space="preserve">funds </w:t>
      </w:r>
      <w:r w:rsidR="003941AB" w:rsidRPr="008C74A3">
        <w:t>may be report preparers, report users, or both</w:t>
      </w:r>
      <w:r w:rsidRPr="008C74A3">
        <w:t xml:space="preserve">. </w:t>
      </w:r>
      <w:r w:rsidR="009F1F79" w:rsidRPr="008C74A3">
        <w:t>T</w:t>
      </w:r>
      <w:r w:rsidRPr="008C74A3">
        <w:t>he</w:t>
      </w:r>
      <w:r w:rsidR="001F5F35" w:rsidRPr="008C74A3">
        <w:t xml:space="preserve"> dr</w:t>
      </w:r>
      <w:r w:rsidR="00C075DE" w:rsidRPr="008C74A3">
        <w:t xml:space="preserve">aft </w:t>
      </w:r>
      <w:r w:rsidRPr="008C74A3">
        <w:t xml:space="preserve">Norms were designed primarily to guide impact performance reporting by </w:t>
      </w:r>
      <w:r w:rsidR="009F1F79" w:rsidRPr="008C74A3">
        <w:t>entities that invest in operating companies and assets rather than in financial intermediaries, hence may not be sufficient for use by funds</w:t>
      </w:r>
      <w:r w:rsidR="00304951" w:rsidRPr="008C74A3">
        <w:t xml:space="preserve"> </w:t>
      </w:r>
      <w:r w:rsidR="009F1F79" w:rsidRPr="008C74A3">
        <w:t>of</w:t>
      </w:r>
      <w:r w:rsidR="00304951" w:rsidRPr="008C74A3">
        <w:t xml:space="preserve"> </w:t>
      </w:r>
      <w:r w:rsidR="009F1F79" w:rsidRPr="008C74A3">
        <w:t>funds.</w:t>
      </w:r>
    </w:p>
    <w:p w14:paraId="0079B69C" w14:textId="376A9157" w:rsidR="00621F44" w:rsidRPr="008C74A3" w:rsidRDefault="00621F44" w:rsidP="002D5795">
      <w:pPr>
        <w:pStyle w:val="ListParagraph"/>
        <w:numPr>
          <w:ilvl w:val="0"/>
          <w:numId w:val="3"/>
        </w:numPr>
        <w:spacing w:after="120"/>
        <w:ind w:leftChars="0"/>
      </w:pPr>
      <w:r w:rsidRPr="008C74A3">
        <w:rPr>
          <w:b/>
          <w:bCs/>
        </w:rPr>
        <w:t>Impact:</w:t>
      </w:r>
      <w:r w:rsidRPr="008C74A3">
        <w:t xml:space="preserve"> The effect of </w:t>
      </w:r>
      <w:r w:rsidR="007D6D4A" w:rsidRPr="008C74A3">
        <w:t>entities’</w:t>
      </w:r>
      <w:r w:rsidRPr="008C74A3">
        <w:t xml:space="preserve"> actions on people and/or the natural environment</w:t>
      </w:r>
      <w:r w:rsidR="00484E04" w:rsidRPr="008C74A3">
        <w:t xml:space="preserve"> over the short-, medium-, and long-term</w:t>
      </w:r>
      <w:r w:rsidR="009F1F79" w:rsidRPr="008C74A3">
        <w:t>.</w:t>
      </w:r>
      <w:r w:rsidRPr="008C74A3">
        <w:rPr>
          <w:rStyle w:val="FootnoteReference"/>
        </w:rPr>
        <w:footnoteReference w:id="13"/>
      </w:r>
      <w:r w:rsidRPr="008C74A3">
        <w:t xml:space="preserve"> </w:t>
      </w:r>
      <w:r w:rsidR="009F1F79" w:rsidRPr="008C74A3">
        <w:t xml:space="preserve">For avoidance of doubt, in the Norms, the term </w:t>
      </w:r>
      <w:r w:rsidR="00784551" w:rsidRPr="008C74A3">
        <w:t>“</w:t>
      </w:r>
      <w:r w:rsidR="009F1F79" w:rsidRPr="008C74A3">
        <w:t>impact</w:t>
      </w:r>
      <w:r w:rsidR="00784551" w:rsidRPr="008C74A3">
        <w:t>”</w:t>
      </w:r>
      <w:r w:rsidR="009F1F79" w:rsidRPr="008C74A3">
        <w:t xml:space="preserve"> implies a change in outcomes caused by an entity. </w:t>
      </w:r>
      <w:r w:rsidRPr="008C74A3">
        <w:t>In contrast, an outcome is a level of well-being</w:t>
      </w:r>
      <w:r w:rsidR="009F1F79" w:rsidRPr="008C74A3">
        <w:rPr>
          <w:rStyle w:val="FootnoteReference"/>
        </w:rPr>
        <w:footnoteReference w:id="14"/>
      </w:r>
      <w:r w:rsidRPr="008C74A3">
        <w:t xml:space="preserve"> experienced by people and/or the condition of the natural environment, which may or may not be caused by factors other than the </w:t>
      </w:r>
      <w:r w:rsidR="007D6D4A" w:rsidRPr="008C74A3">
        <w:t>entity</w:t>
      </w:r>
      <w:r w:rsidRPr="008C74A3">
        <w:t>.</w:t>
      </w:r>
    </w:p>
    <w:p w14:paraId="585F3299" w14:textId="1C089D09" w:rsidR="00621F44" w:rsidRPr="008C74A3" w:rsidRDefault="00621F44" w:rsidP="002D5795">
      <w:pPr>
        <w:pStyle w:val="ListParagraph"/>
        <w:numPr>
          <w:ilvl w:val="0"/>
          <w:numId w:val="3"/>
        </w:numPr>
        <w:spacing w:after="120"/>
        <w:ind w:leftChars="0"/>
      </w:pPr>
      <w:r w:rsidRPr="008C74A3">
        <w:rPr>
          <w:b/>
          <w:bCs/>
        </w:rPr>
        <w:t>Impact Pathway:</w:t>
      </w:r>
      <w:r w:rsidRPr="008C74A3">
        <w:t xml:space="preserve"> The impact pathway describes the link between </w:t>
      </w:r>
      <w:r w:rsidR="007D6D4A" w:rsidRPr="008C74A3">
        <w:t>entities’</w:t>
      </w:r>
      <w:r w:rsidRPr="008C74A3">
        <w:t xml:space="preserve"> inputs, activities</w:t>
      </w:r>
      <w:r w:rsidR="009F1F79" w:rsidRPr="008C74A3">
        <w:t>,</w:t>
      </w:r>
      <w:r w:rsidRPr="008C74A3">
        <w:t xml:space="preserve"> and outputs with their effects on people and the natural environment</w:t>
      </w:r>
      <w:r w:rsidR="00166498" w:rsidRPr="008C74A3">
        <w:t xml:space="preserve"> – that is, their</w:t>
      </w:r>
      <w:r w:rsidRPr="008C74A3">
        <w:t xml:space="preserve"> outcomes and impact</w:t>
      </w:r>
      <w:r w:rsidR="00166498" w:rsidRPr="008C74A3">
        <w:t>s</w:t>
      </w:r>
      <w:r w:rsidRPr="008C74A3">
        <w:t>.</w:t>
      </w:r>
      <w:r w:rsidRPr="008C74A3">
        <w:rPr>
          <w:rStyle w:val="FootnoteReference"/>
        </w:rPr>
        <w:footnoteReference w:id="15"/>
      </w:r>
      <w:r w:rsidRPr="008C74A3">
        <w:t xml:space="preserve"> </w:t>
      </w:r>
      <w:r w:rsidR="00166498" w:rsidRPr="008C74A3">
        <w:t>The impact pathway</w:t>
      </w:r>
      <w:r w:rsidRPr="008C74A3">
        <w:t xml:space="preserve"> may also be referred to as the “chain of outcomes,” “logic model,” “outcomes chain,” “results chain,” or “theory of change.”</w:t>
      </w:r>
      <w:r w:rsidRPr="008C74A3" w:rsidDel="00180A06">
        <w:t xml:space="preserve"> </w:t>
      </w:r>
      <w:r w:rsidRPr="008C74A3">
        <w:t>As a shorthand, this document sometimes uses the phrase “as far down the impact pathway as possible.</w:t>
      </w:r>
      <w:r w:rsidR="009F1F79" w:rsidRPr="008C74A3">
        <w:t>”</w:t>
      </w:r>
      <w:r w:rsidRPr="008C74A3">
        <w:t xml:space="preserve"> This means as far as possible down the sequence leading </w:t>
      </w:r>
      <w:r w:rsidR="00784551" w:rsidRPr="008C74A3">
        <w:t>from inputs, activities, and outputs</w:t>
      </w:r>
      <w:r w:rsidRPr="008C74A3">
        <w:t xml:space="preserve"> </w:t>
      </w:r>
      <w:r w:rsidR="009F1F79" w:rsidRPr="008C74A3">
        <w:t>to</w:t>
      </w:r>
      <w:r w:rsidRPr="008C74A3">
        <w:t xml:space="preserve"> outcomes</w:t>
      </w:r>
      <w:r w:rsidR="009F1F79" w:rsidRPr="008C74A3">
        <w:t xml:space="preserve"> and </w:t>
      </w:r>
      <w:r w:rsidRPr="008C74A3">
        <w:t>impacts.</w:t>
      </w:r>
    </w:p>
    <w:p w14:paraId="5724ECB3" w14:textId="756CF7CE" w:rsidR="00621F44" w:rsidRPr="008C74A3" w:rsidRDefault="00621F44" w:rsidP="002D5795">
      <w:pPr>
        <w:pStyle w:val="ListParagraph"/>
        <w:numPr>
          <w:ilvl w:val="0"/>
          <w:numId w:val="3"/>
        </w:numPr>
        <w:spacing w:after="120"/>
        <w:ind w:leftChars="0"/>
      </w:pPr>
      <w:r w:rsidRPr="008C74A3">
        <w:rPr>
          <w:b/>
          <w:bCs/>
        </w:rPr>
        <w:t>Impact Performance Report:</w:t>
      </w:r>
      <w:r w:rsidRPr="008C74A3">
        <w:t xml:space="preserve"> A report on the impacts of an entity. It may also include information about relevant goals, practices, and other contextual information. </w:t>
      </w:r>
    </w:p>
    <w:p w14:paraId="3E998185" w14:textId="1244354B" w:rsidR="00621F44" w:rsidRPr="008C74A3" w:rsidRDefault="00621F44" w:rsidP="002D5795">
      <w:pPr>
        <w:pStyle w:val="ListParagraph"/>
        <w:numPr>
          <w:ilvl w:val="0"/>
          <w:numId w:val="3"/>
        </w:numPr>
        <w:spacing w:after="120"/>
        <w:ind w:leftChars="0"/>
      </w:pPr>
      <w:r w:rsidRPr="008C74A3">
        <w:rPr>
          <w:b/>
          <w:bCs/>
        </w:rPr>
        <w:t>Impact Thesis:</w:t>
      </w:r>
      <w:r w:rsidRPr="008C74A3">
        <w:t xml:space="preserve"> An entity’s strategy for delivering on one or a range of impact objectives for an investment or a portfolio of investments. An investor</w:t>
      </w:r>
      <w:r w:rsidR="00C075DE" w:rsidRPr="008C74A3">
        <w:t>’</w:t>
      </w:r>
      <w:r w:rsidRPr="008C74A3">
        <w:t>s impact thesis should include both the desired enterprise impacts on people and the natural environment and the investor</w:t>
      </w:r>
      <w:r w:rsidR="00C075DE" w:rsidRPr="008C74A3">
        <w:t>’</w:t>
      </w:r>
      <w:r w:rsidRPr="008C74A3">
        <w:t xml:space="preserve">s contribution to that impact. Implicit </w:t>
      </w:r>
      <w:r w:rsidR="00166498" w:rsidRPr="008C74A3">
        <w:t xml:space="preserve">in a portfolio-level impact thesis </w:t>
      </w:r>
      <w:r w:rsidR="00CC6D06" w:rsidRPr="008C74A3">
        <w:t>i</w:t>
      </w:r>
      <w:r w:rsidRPr="008C74A3">
        <w:t>s</w:t>
      </w:r>
      <w:r w:rsidR="00CC6D06" w:rsidRPr="008C74A3">
        <w:t xml:space="preserve"> that</w:t>
      </w:r>
      <w:r w:rsidRPr="008C74A3">
        <w:t xml:space="preserve"> the investor has discretion on the portfolio construction, investment selection, and engagement process for that impact strategy, and that the impact thesis applies to </w:t>
      </w:r>
      <w:proofErr w:type="gramStart"/>
      <w:r w:rsidRPr="008C74A3">
        <w:t>all of</w:t>
      </w:r>
      <w:proofErr w:type="gramEnd"/>
      <w:r w:rsidRPr="008C74A3">
        <w:t xml:space="preserve"> the investments in the </w:t>
      </w:r>
      <w:r w:rsidR="00166498" w:rsidRPr="008C74A3">
        <w:t>portfolio</w:t>
      </w:r>
      <w:r w:rsidRPr="008C74A3">
        <w:t xml:space="preserve"> rather than a subset.</w:t>
      </w:r>
    </w:p>
    <w:p w14:paraId="3069FC9F" w14:textId="117D3272" w:rsidR="00332702" w:rsidRPr="008C74A3" w:rsidRDefault="00332702" w:rsidP="002D5795">
      <w:pPr>
        <w:pStyle w:val="ListParagraph"/>
        <w:numPr>
          <w:ilvl w:val="0"/>
          <w:numId w:val="3"/>
        </w:numPr>
        <w:spacing w:after="120"/>
        <w:ind w:leftChars="0"/>
      </w:pPr>
      <w:r w:rsidRPr="008C74A3">
        <w:rPr>
          <w:b/>
          <w:bCs/>
        </w:rPr>
        <w:t xml:space="preserve">Independent </w:t>
      </w:r>
      <w:r w:rsidR="00784551" w:rsidRPr="008C74A3">
        <w:rPr>
          <w:b/>
          <w:bCs/>
        </w:rPr>
        <w:t>R</w:t>
      </w:r>
      <w:r w:rsidRPr="008C74A3">
        <w:rPr>
          <w:b/>
          <w:bCs/>
        </w:rPr>
        <w:t>eviewers:</w:t>
      </w:r>
      <w:r w:rsidRPr="008C74A3">
        <w:t xml:space="preserve"> An individual or a group independent of the report preparer that is engaged in increasing the confidence of the user in the reported information. </w:t>
      </w:r>
    </w:p>
    <w:p w14:paraId="220A93C6" w14:textId="77777777" w:rsidR="00621F44" w:rsidRPr="008C74A3" w:rsidRDefault="00621F44" w:rsidP="002D5795">
      <w:pPr>
        <w:pStyle w:val="ListParagraph"/>
        <w:numPr>
          <w:ilvl w:val="0"/>
          <w:numId w:val="3"/>
        </w:numPr>
        <w:spacing w:after="120"/>
        <w:ind w:leftChars="0"/>
      </w:pPr>
      <w:r w:rsidRPr="008C74A3">
        <w:rPr>
          <w:b/>
          <w:bCs/>
        </w:rPr>
        <w:t>Input:</w:t>
      </w:r>
      <w:r w:rsidRPr="008C74A3">
        <w:t xml:space="preserve"> The resources and relationships that entities draw upon for their business activities, as well as the contextual elements that define their business activities.</w:t>
      </w:r>
      <w:r w:rsidRPr="008C74A3">
        <w:rPr>
          <w:rStyle w:val="FootnoteReference"/>
        </w:rPr>
        <w:footnoteReference w:id="16"/>
      </w:r>
      <w:r w:rsidRPr="008C74A3">
        <w:t xml:space="preserve"> </w:t>
      </w:r>
    </w:p>
    <w:p w14:paraId="0AD3DF36" w14:textId="0B050088" w:rsidR="00621F44" w:rsidRPr="008C74A3" w:rsidRDefault="00621F44" w:rsidP="002D5795">
      <w:pPr>
        <w:pStyle w:val="ListParagraph"/>
        <w:numPr>
          <w:ilvl w:val="0"/>
          <w:numId w:val="3"/>
        </w:numPr>
        <w:spacing w:after="120"/>
        <w:ind w:leftChars="0"/>
      </w:pPr>
      <w:r w:rsidRPr="008C74A3">
        <w:rPr>
          <w:b/>
          <w:bCs/>
        </w:rPr>
        <w:lastRenderedPageBreak/>
        <w:t>Investee:</w:t>
      </w:r>
      <w:r w:rsidRPr="008C74A3">
        <w:t xml:space="preserve"> The project, company, real asset, or fund receiving capital to finance its business activities (e.g., operations and design, production, and sales of products or services).</w:t>
      </w:r>
      <w:r w:rsidRPr="008C74A3">
        <w:rPr>
          <w:rStyle w:val="FootnoteReference"/>
        </w:rPr>
        <w:footnoteReference w:id="17"/>
      </w:r>
      <w:r w:rsidRPr="008C74A3">
        <w:t xml:space="preserve"> </w:t>
      </w:r>
    </w:p>
    <w:p w14:paraId="7D26CAA5" w14:textId="619B3724" w:rsidR="00621F44" w:rsidRPr="008C74A3" w:rsidRDefault="00621F44" w:rsidP="002D5795">
      <w:pPr>
        <w:pStyle w:val="ListParagraph"/>
        <w:numPr>
          <w:ilvl w:val="0"/>
          <w:numId w:val="3"/>
        </w:numPr>
        <w:spacing w:after="120"/>
        <w:ind w:leftChars="0"/>
      </w:pPr>
      <w:r w:rsidRPr="008C74A3">
        <w:rPr>
          <w:b/>
          <w:bCs/>
        </w:rPr>
        <w:t>Investor:</w:t>
      </w:r>
      <w:r w:rsidRPr="008C74A3">
        <w:t xml:space="preserve"> A person, </w:t>
      </w:r>
      <w:r w:rsidR="007D6D4A" w:rsidRPr="008C74A3">
        <w:t>entity</w:t>
      </w:r>
      <w:r w:rsidRPr="008C74A3">
        <w:t>, or government that puts money into a</w:t>
      </w:r>
      <w:r w:rsidR="009001B5" w:rsidRPr="008C74A3">
        <w:t>n</w:t>
      </w:r>
      <w:r w:rsidRPr="008C74A3">
        <w:t xml:space="preserve">other </w:t>
      </w:r>
      <w:r w:rsidR="007D6D4A" w:rsidRPr="008C74A3">
        <w:t>entity</w:t>
      </w:r>
      <w:r w:rsidRPr="008C74A3">
        <w:t>.</w:t>
      </w:r>
      <w:r w:rsidRPr="008C74A3">
        <w:rPr>
          <w:rStyle w:val="FootnoteReference"/>
        </w:rPr>
        <w:footnoteReference w:id="18"/>
      </w:r>
      <w:r w:rsidRPr="008C74A3">
        <w:t xml:space="preserve">  In t</w:t>
      </w:r>
      <w:r w:rsidR="009001B5" w:rsidRPr="008C74A3">
        <w:t xml:space="preserve">he </w:t>
      </w:r>
      <w:r w:rsidR="00C075DE" w:rsidRPr="008C74A3">
        <w:t xml:space="preserve">draft </w:t>
      </w:r>
      <w:r w:rsidR="009001B5" w:rsidRPr="008C74A3">
        <w:t>Norms</w:t>
      </w:r>
      <w:r w:rsidRPr="008C74A3">
        <w:t>, the term investor refers to both asset managers (across asset classes) as well as asset owners.</w:t>
      </w:r>
    </w:p>
    <w:p w14:paraId="54390657" w14:textId="4B23D467" w:rsidR="00621F44" w:rsidRPr="008C74A3" w:rsidRDefault="00621F44" w:rsidP="002D5795">
      <w:pPr>
        <w:pStyle w:val="ListParagraph"/>
        <w:numPr>
          <w:ilvl w:val="0"/>
          <w:numId w:val="3"/>
        </w:numPr>
        <w:spacing w:after="120"/>
        <w:ind w:leftChars="0"/>
      </w:pPr>
      <w:r w:rsidRPr="008C74A3">
        <w:rPr>
          <w:b/>
          <w:bCs/>
        </w:rPr>
        <w:t>Limited Assurance:</w:t>
      </w:r>
      <w:r w:rsidRPr="008C74A3">
        <w:t xml:space="preserve"> An assurance engagement that is less intensive and less costly than reasonable assurance</w:t>
      </w:r>
      <w:r w:rsidR="00A0293B" w:rsidRPr="008C74A3">
        <w:t xml:space="preserve"> (see below)</w:t>
      </w:r>
      <w:r w:rsidRPr="008C74A3">
        <w:t>, but that also results in a lower level of confidence in the resulting conclusion. For a limited assurance engagement, the conclusion is worded so that instead of reading “in my opinion, this report is X”, it reads “during the course of my work I have found nothing to suggest that this report is not X”.</w:t>
      </w:r>
      <w:r w:rsidRPr="008C74A3">
        <w:rPr>
          <w:rStyle w:val="FootnoteReference"/>
        </w:rPr>
        <w:footnoteReference w:id="19"/>
      </w:r>
      <w:r w:rsidRPr="008C74A3">
        <w:t xml:space="preserve"> </w:t>
      </w:r>
    </w:p>
    <w:p w14:paraId="2AB50EC0" w14:textId="77777777" w:rsidR="00621F44" w:rsidRPr="008C74A3" w:rsidRDefault="00621F44" w:rsidP="002D5795">
      <w:pPr>
        <w:pStyle w:val="ListParagraph"/>
        <w:numPr>
          <w:ilvl w:val="0"/>
          <w:numId w:val="3"/>
        </w:numPr>
        <w:spacing w:after="120"/>
        <w:ind w:leftChars="0"/>
      </w:pPr>
      <w:r w:rsidRPr="008C74A3">
        <w:rPr>
          <w:b/>
          <w:bCs/>
        </w:rPr>
        <w:t>Logic Model:</w:t>
      </w:r>
      <w:r w:rsidRPr="008C74A3">
        <w:t xml:space="preserve"> A structured table that links inputs and activities to measurable outputs and outcomes.</w:t>
      </w:r>
      <w:r w:rsidRPr="008C74A3">
        <w:rPr>
          <w:rStyle w:val="FootnoteReference"/>
        </w:rPr>
        <w:footnoteReference w:id="20"/>
      </w:r>
      <w:r w:rsidRPr="008C74A3">
        <w:t xml:space="preserve"> Can be a tool to represent an impact pathway, impact thesis, or theory of change.</w:t>
      </w:r>
    </w:p>
    <w:p w14:paraId="7F0398BD" w14:textId="50B0C9BB" w:rsidR="00621F44" w:rsidRPr="008C74A3" w:rsidRDefault="00621F44" w:rsidP="002D5795">
      <w:pPr>
        <w:pStyle w:val="ListParagraph"/>
        <w:numPr>
          <w:ilvl w:val="0"/>
          <w:numId w:val="3"/>
        </w:numPr>
        <w:spacing w:after="120"/>
        <w:ind w:leftChars="0"/>
      </w:pPr>
      <w:r w:rsidRPr="008C74A3">
        <w:rPr>
          <w:b/>
          <w:bCs/>
        </w:rPr>
        <w:t>Material:</w:t>
      </w:r>
      <w:r w:rsidRPr="008C74A3">
        <w:t xml:space="preserve"> Information is considered material if omitting, misstating, or obscuring it could reasonably be expected to influence decisions that the primary users make </w:t>
      </w:r>
      <w:proofErr w:type="gramStart"/>
      <w:r w:rsidRPr="008C74A3">
        <w:t>on the basis of</w:t>
      </w:r>
      <w:proofErr w:type="gramEnd"/>
      <w:r w:rsidRPr="008C74A3">
        <w:t xml:space="preserve"> the reported information.</w:t>
      </w:r>
      <w:r w:rsidRPr="008C74A3">
        <w:rPr>
          <w:rStyle w:val="FootnoteReference"/>
        </w:rPr>
        <w:footnoteReference w:id="21"/>
      </w:r>
      <w:r w:rsidR="007707DB" w:rsidRPr="008C74A3">
        <w:t xml:space="preserve"> The concept of materiality is </w:t>
      </w:r>
      <w:r w:rsidR="00A0293B" w:rsidRPr="008C74A3">
        <w:t>interpreted in the context of impact reporting</w:t>
      </w:r>
      <w:r w:rsidR="007707DB" w:rsidRPr="008C74A3">
        <w:t xml:space="preserve"> under “Relevance” in Section 1.2. </w:t>
      </w:r>
    </w:p>
    <w:p w14:paraId="48078551" w14:textId="5493721F" w:rsidR="00621F44" w:rsidRPr="008C74A3" w:rsidRDefault="00621F44" w:rsidP="002D5795">
      <w:pPr>
        <w:pStyle w:val="ListParagraph"/>
        <w:numPr>
          <w:ilvl w:val="0"/>
          <w:numId w:val="3"/>
        </w:numPr>
        <w:spacing w:after="120"/>
        <w:ind w:leftChars="0"/>
      </w:pPr>
      <w:r w:rsidRPr="008C74A3">
        <w:rPr>
          <w:b/>
          <w:bCs/>
        </w:rPr>
        <w:t>Metric:</w:t>
      </w:r>
      <w:r w:rsidRPr="008C74A3">
        <w:t xml:space="preserve"> A standard of measurement. Metrics are used to measure the state of something at a point in time. Repeated measurement makes it possible to determine change over time.</w:t>
      </w:r>
      <w:r w:rsidRPr="008C74A3">
        <w:rPr>
          <w:rStyle w:val="FootnoteReference"/>
        </w:rPr>
        <w:footnoteReference w:id="22"/>
      </w:r>
      <w:r w:rsidRPr="008C74A3">
        <w:t xml:space="preserve"> </w:t>
      </w:r>
    </w:p>
    <w:p w14:paraId="63925B9A" w14:textId="77777777" w:rsidR="00621F44" w:rsidRPr="008C74A3" w:rsidRDefault="00621F44" w:rsidP="002D5795">
      <w:pPr>
        <w:pStyle w:val="ListParagraph"/>
        <w:numPr>
          <w:ilvl w:val="0"/>
          <w:numId w:val="3"/>
        </w:numPr>
        <w:spacing w:after="120"/>
        <w:ind w:leftChars="0"/>
      </w:pPr>
      <w:r w:rsidRPr="008C74A3">
        <w:rPr>
          <w:b/>
          <w:bCs/>
        </w:rPr>
        <w:t>Misstatement:</w:t>
      </w:r>
      <w:r w:rsidRPr="008C74A3">
        <w:t xml:space="preserve"> A difference between the subject matter information (in this context, impact performance information) and the appropriate measurement or evaluation of the underlying subject matter in accordance with the criteria. Misstatements can be intentional or unintentional, qualitative or quantitative, and include omissions.</w:t>
      </w:r>
      <w:r w:rsidRPr="008C74A3">
        <w:rPr>
          <w:rStyle w:val="FootnoteReference"/>
        </w:rPr>
        <w:footnoteReference w:id="23"/>
      </w:r>
    </w:p>
    <w:p w14:paraId="00D1015C" w14:textId="01F17400" w:rsidR="00621F44" w:rsidRPr="008C74A3" w:rsidRDefault="00621F44" w:rsidP="002D5795">
      <w:pPr>
        <w:pStyle w:val="ListParagraph"/>
        <w:numPr>
          <w:ilvl w:val="0"/>
          <w:numId w:val="3"/>
        </w:numPr>
        <w:spacing w:after="120"/>
        <w:ind w:leftChars="0"/>
      </w:pPr>
      <w:r w:rsidRPr="008C74A3">
        <w:rPr>
          <w:b/>
          <w:bCs/>
        </w:rPr>
        <w:t>Norm:</w:t>
      </w:r>
      <w:r w:rsidRPr="008C74A3">
        <w:t xml:space="preserve"> Something that is usual or typical; a pattern of social behavior that is typical or expected of a group.</w:t>
      </w:r>
      <w:r w:rsidRPr="008C74A3">
        <w:rPr>
          <w:rStyle w:val="FootnoteReference"/>
        </w:rPr>
        <w:footnoteReference w:id="24"/>
      </w:r>
      <w:r w:rsidRPr="008C74A3">
        <w:t xml:space="preserve"> In this context, the term </w:t>
      </w:r>
      <w:r w:rsidR="00784551" w:rsidRPr="008C74A3">
        <w:t>“</w:t>
      </w:r>
      <w:r w:rsidRPr="008C74A3">
        <w:t>norm</w:t>
      </w:r>
      <w:r w:rsidR="00784551" w:rsidRPr="008C74A3">
        <w:t>”</w:t>
      </w:r>
      <w:r w:rsidRPr="008C74A3">
        <w:t xml:space="preserve"> was chosen to imply something less prescriptive, uniform, and binding than a </w:t>
      </w:r>
      <w:r w:rsidR="00784551" w:rsidRPr="008C74A3">
        <w:t>“</w:t>
      </w:r>
      <w:r w:rsidRPr="008C74A3">
        <w:t>standard.</w:t>
      </w:r>
      <w:r w:rsidR="00784551" w:rsidRPr="008C74A3">
        <w:t>”</w:t>
      </w:r>
      <w:r w:rsidRPr="008C74A3">
        <w:t xml:space="preserve">  </w:t>
      </w:r>
    </w:p>
    <w:p w14:paraId="6D2DD4CD" w14:textId="5DBD377D" w:rsidR="00621F44" w:rsidRPr="008C74A3" w:rsidRDefault="00621F44" w:rsidP="002D5795">
      <w:pPr>
        <w:pStyle w:val="ListParagraph"/>
        <w:numPr>
          <w:ilvl w:val="0"/>
          <w:numId w:val="3"/>
        </w:numPr>
        <w:spacing w:after="120"/>
        <w:ind w:leftChars="0"/>
      </w:pPr>
      <w:r w:rsidRPr="008C74A3">
        <w:rPr>
          <w:b/>
          <w:bCs/>
        </w:rPr>
        <w:t>Outcome:</w:t>
      </w:r>
      <w:r w:rsidRPr="008C74A3">
        <w:t xml:space="preserve"> The Impact Management Platform recognizes two usages of this term, without preference for eith</w:t>
      </w:r>
      <w:r w:rsidR="00A0293B" w:rsidRPr="008C74A3">
        <w:t>er</w:t>
      </w:r>
      <w:r w:rsidR="009001B5" w:rsidRPr="008C74A3">
        <w:t xml:space="preserve">: 1) </w:t>
      </w:r>
      <w:r w:rsidRPr="008C74A3">
        <w:t xml:space="preserve">A change or event resulting from </w:t>
      </w:r>
      <w:r w:rsidR="007D6D4A" w:rsidRPr="008C74A3">
        <w:t>entities’</w:t>
      </w:r>
      <w:r w:rsidRPr="008C74A3">
        <w:t xml:space="preserve"> activities and outputs, providing a causal link between the activities/outputs and their impact(s) on people and/or the natural environment</w:t>
      </w:r>
      <w:r w:rsidR="009001B5" w:rsidRPr="008C74A3">
        <w:t xml:space="preserve">; or 2) </w:t>
      </w:r>
      <w:r w:rsidR="005860AF" w:rsidRPr="008C74A3">
        <w:t>The</w:t>
      </w:r>
      <w:r w:rsidRPr="008C74A3">
        <w:t xml:space="preserve"> level of well-being experienced by people or condition of the natural environment that results from the actions of the </w:t>
      </w:r>
      <w:r w:rsidR="007D6D4A" w:rsidRPr="008C74A3">
        <w:t>entity</w:t>
      </w:r>
      <w:r w:rsidRPr="008C74A3">
        <w:t>, as well as from external factors.</w:t>
      </w:r>
      <w:r w:rsidRPr="008C74A3">
        <w:rPr>
          <w:rStyle w:val="FootnoteReference"/>
        </w:rPr>
        <w:footnoteReference w:id="25"/>
      </w:r>
      <w:r w:rsidRPr="008C74A3">
        <w:rPr>
          <w:rFonts w:cs="Arial"/>
          <w:shd w:val="clear" w:color="auto" w:fill="FFFFFF"/>
          <w:vertAlign w:val="superscript"/>
        </w:rPr>
        <w:t>,</w:t>
      </w:r>
      <w:r w:rsidRPr="008C74A3">
        <w:rPr>
          <w:rStyle w:val="FootnoteReference"/>
          <w:rFonts w:cs="Arial"/>
          <w:shd w:val="clear" w:color="auto" w:fill="FFFFFF"/>
        </w:rPr>
        <w:footnoteReference w:id="26"/>
      </w:r>
      <w:r w:rsidR="009001B5" w:rsidRPr="008C74A3">
        <w:rPr>
          <w:rFonts w:cs="Arial"/>
          <w:shd w:val="clear" w:color="auto" w:fill="FFFFFF"/>
          <w:vertAlign w:val="superscript"/>
        </w:rPr>
        <w:t xml:space="preserve"> </w:t>
      </w:r>
      <w:r w:rsidR="009001B5" w:rsidRPr="008C74A3">
        <w:rPr>
          <w:rFonts w:cs="Arial"/>
          <w:shd w:val="clear" w:color="auto" w:fill="FFFFFF"/>
        </w:rPr>
        <w:lastRenderedPageBreak/>
        <w:t>A</w:t>
      </w:r>
      <w:r w:rsidRPr="008C74A3">
        <w:rPr>
          <w:rFonts w:cs="Arial"/>
          <w:shd w:val="clear" w:color="auto" w:fill="FFFFFF"/>
        </w:rPr>
        <w:t>lthough usage 2</w:t>
      </w:r>
      <w:r w:rsidR="00144603" w:rsidRPr="008C74A3">
        <w:rPr>
          <w:rFonts w:cs="Arial"/>
          <w:shd w:val="clear" w:color="auto" w:fill="FFFFFF"/>
        </w:rPr>
        <w:t>)</w:t>
      </w:r>
      <w:r w:rsidRPr="008C74A3">
        <w:rPr>
          <w:rFonts w:cs="Arial"/>
          <w:shd w:val="clear" w:color="auto" w:fill="FFFFFF"/>
        </w:rPr>
        <w:t xml:space="preserve"> is used throughout this document, preparers may use either definition in their impact performance </w:t>
      </w:r>
      <w:r w:rsidR="005860AF" w:rsidRPr="008C74A3">
        <w:rPr>
          <w:rFonts w:cs="Arial"/>
          <w:shd w:val="clear" w:color="auto" w:fill="FFFFFF"/>
        </w:rPr>
        <w:t>reports and</w:t>
      </w:r>
      <w:r w:rsidRPr="008C74A3">
        <w:rPr>
          <w:rFonts w:cs="Arial"/>
          <w:shd w:val="clear" w:color="auto" w:fill="FFFFFF"/>
        </w:rPr>
        <w:t xml:space="preserve"> are encouraged to </w:t>
      </w:r>
      <w:r w:rsidR="004057C4" w:rsidRPr="008C74A3">
        <w:rPr>
          <w:rFonts w:cs="Arial"/>
          <w:shd w:val="clear" w:color="auto" w:fill="FFFFFF"/>
        </w:rPr>
        <w:t xml:space="preserve">disclose </w:t>
      </w:r>
      <w:r w:rsidRPr="008C74A3">
        <w:rPr>
          <w:rFonts w:cs="Arial"/>
          <w:shd w:val="clear" w:color="auto" w:fill="FFFFFF"/>
        </w:rPr>
        <w:t xml:space="preserve">the definition used. </w:t>
      </w:r>
    </w:p>
    <w:p w14:paraId="1249A706" w14:textId="4B0B24F8" w:rsidR="00621F44" w:rsidRPr="008C74A3" w:rsidRDefault="00621F44" w:rsidP="002D5795">
      <w:pPr>
        <w:pStyle w:val="ListParagraph"/>
        <w:numPr>
          <w:ilvl w:val="0"/>
          <w:numId w:val="3"/>
        </w:numPr>
        <w:spacing w:after="120"/>
        <w:ind w:leftChars="0"/>
      </w:pPr>
      <w:r w:rsidRPr="008C74A3">
        <w:rPr>
          <w:b/>
          <w:bCs/>
        </w:rPr>
        <w:t>Output:</w:t>
      </w:r>
      <w:r w:rsidRPr="008C74A3">
        <w:t xml:space="preserve"> The direct result of </w:t>
      </w:r>
      <w:r w:rsidR="007D6D4A" w:rsidRPr="008C74A3">
        <w:t>entities’</w:t>
      </w:r>
      <w:r w:rsidRPr="008C74A3">
        <w:t xml:space="preserve"> activities, including products, services</w:t>
      </w:r>
      <w:r w:rsidR="00A0293B" w:rsidRPr="008C74A3">
        <w:t>,</w:t>
      </w:r>
      <w:r w:rsidRPr="008C74A3">
        <w:t xml:space="preserve"> and by-products.</w:t>
      </w:r>
      <w:r w:rsidRPr="008C74A3">
        <w:rPr>
          <w:rStyle w:val="FootnoteReference"/>
        </w:rPr>
        <w:footnoteReference w:id="27"/>
      </w:r>
      <w:r w:rsidRPr="008C74A3">
        <w:t xml:space="preserve"> </w:t>
      </w:r>
      <w:r w:rsidRPr="008C74A3" w:rsidDel="42367005">
        <w:t xml:space="preserve"> </w:t>
      </w:r>
    </w:p>
    <w:p w14:paraId="4C558B63" w14:textId="21A0E32B" w:rsidR="00621F44" w:rsidRPr="008C74A3" w:rsidRDefault="00621F44" w:rsidP="002D5795">
      <w:pPr>
        <w:pStyle w:val="ListParagraph"/>
        <w:numPr>
          <w:ilvl w:val="0"/>
          <w:numId w:val="3"/>
        </w:numPr>
        <w:spacing w:after="120"/>
        <w:ind w:leftChars="0"/>
      </w:pPr>
      <w:r w:rsidRPr="008C74A3">
        <w:rPr>
          <w:b/>
          <w:bCs/>
        </w:rPr>
        <w:t>Reasonable Assurance:</w:t>
      </w:r>
      <w:r w:rsidRPr="008C74A3">
        <w:t xml:space="preserve"> An assurance engagement in which the assurance </w:t>
      </w:r>
      <w:r w:rsidR="00A0293B" w:rsidRPr="008C74A3">
        <w:t>practitioner</w:t>
      </w:r>
      <w:r w:rsidRPr="008C74A3">
        <w:t xml:space="preserve"> or internal committee reduces engagement risk to an acceptably low level in the circumstances of the engagement as the basis of the practitioner’s conclusion. The conclusion is expressed in a form that conveys opinion on the outcome of the measurement or evaluation of the underlying subject matter</w:t>
      </w:r>
      <w:r w:rsidR="00A0293B" w:rsidRPr="008C74A3">
        <w:t xml:space="preserve"> (i.e., an impact performance report)</w:t>
      </w:r>
      <w:r w:rsidRPr="008C74A3">
        <w:t xml:space="preserve"> against suitable criteria</w:t>
      </w:r>
      <w:r w:rsidR="00A0293B" w:rsidRPr="008C74A3">
        <w:t xml:space="preserve"> (e.g., a reporting standard, or these Norms in the absence of a standard)</w:t>
      </w:r>
      <w:r w:rsidRPr="008C74A3">
        <w:t>.</w:t>
      </w:r>
      <w:r w:rsidRPr="008C74A3">
        <w:rPr>
          <w:rStyle w:val="FootnoteReference"/>
        </w:rPr>
        <w:footnoteReference w:id="28"/>
      </w:r>
      <w:r w:rsidRPr="008C74A3">
        <w:t xml:space="preserve"> </w:t>
      </w:r>
    </w:p>
    <w:p w14:paraId="476FDBEE" w14:textId="1F26DBD4" w:rsidR="005347F5" w:rsidRPr="008C74A3" w:rsidRDefault="005347F5" w:rsidP="002D5795">
      <w:pPr>
        <w:pStyle w:val="ListParagraph"/>
        <w:numPr>
          <w:ilvl w:val="0"/>
          <w:numId w:val="3"/>
        </w:numPr>
        <w:spacing w:after="120"/>
        <w:ind w:leftChars="0"/>
      </w:pPr>
      <w:bookmarkStart w:id="28" w:name="_Hlk147571944"/>
      <w:r w:rsidRPr="008C74A3">
        <w:rPr>
          <w:b/>
          <w:bCs/>
        </w:rPr>
        <w:t>Stakeholder:</w:t>
      </w:r>
      <w:r w:rsidRPr="008C74A3">
        <w:t xml:space="preserve"> An individual or aspect of the natural environment that can reasonably be expected to be significantly affected by the entity’s activities, products, and services, or whose actions can reasonably be expected to affect the ability of the entity to successfully implement its strategies and achieve its objectives</w:t>
      </w:r>
      <w:r w:rsidR="004057C4" w:rsidRPr="008C74A3">
        <w:t>.</w:t>
      </w:r>
      <w:r w:rsidRPr="008C74A3">
        <w:rPr>
          <w:rStyle w:val="FootnoteReference"/>
        </w:rPr>
        <w:footnoteReference w:id="29"/>
      </w:r>
      <w:r w:rsidRPr="008C74A3">
        <w:t xml:space="preserve"> These include (but are not limited to) clients/end-beneficiaries, entity management and staff, suppliers, </w:t>
      </w:r>
      <w:r w:rsidR="00C45DE2" w:rsidRPr="008C74A3">
        <w:t xml:space="preserve">and </w:t>
      </w:r>
      <w:r w:rsidRPr="008C74A3">
        <w:t>affected local people and communities (including marginalized and vulnerable groups)</w:t>
      </w:r>
      <w:r w:rsidR="00C45DE2" w:rsidRPr="008C74A3">
        <w:t>. These may also include</w:t>
      </w:r>
      <w:r w:rsidRPr="008C74A3">
        <w:t xml:space="preserve"> non-governmental organizations, civil society organizations, governmental entities, and other groups</w:t>
      </w:r>
      <w:r w:rsidR="00C45DE2" w:rsidRPr="008C74A3">
        <w:t xml:space="preserve"> insofar as they faithfully represent affected stakeholders</w:t>
      </w:r>
      <w:r w:rsidRPr="008C74A3">
        <w:t>.</w:t>
      </w:r>
      <w:r w:rsidRPr="008C74A3">
        <w:rPr>
          <w:rStyle w:val="FootnoteReference"/>
        </w:rPr>
        <w:footnoteReference w:id="30"/>
      </w:r>
      <w:r w:rsidRPr="008C74A3">
        <w:t xml:space="preserve"> In this context, the entities’ capital providers are not included as stakeholders, as it would be inappropriate for the entity to report on its impacts on capital providers to those same capital providers. For the avoidance of doubt, the term </w:t>
      </w:r>
      <w:r w:rsidR="00784551" w:rsidRPr="008C74A3">
        <w:t>“</w:t>
      </w:r>
      <w:r w:rsidRPr="008C74A3">
        <w:t>stakeholder</w:t>
      </w:r>
      <w:r w:rsidR="00784551" w:rsidRPr="008C74A3">
        <w:t>”</w:t>
      </w:r>
      <w:r w:rsidRPr="008C74A3">
        <w:t xml:space="preserve"> is intended to emphasize reports’ inclusion of stakeholders that are experiencing outcomes below socially or environmental thresholds (i.e., below acceptable levels), and stakeholders that have relatively little power, status, or voice, and whose interests are thus at greatest risk of not being </w:t>
      </w:r>
      <w:proofErr w:type="gramStart"/>
      <w:r w:rsidRPr="008C74A3">
        <w:t>taken into account</w:t>
      </w:r>
      <w:proofErr w:type="gramEnd"/>
      <w:r w:rsidRPr="008C74A3">
        <w:t xml:space="preserve"> in users’ decision-making.</w:t>
      </w:r>
    </w:p>
    <w:bookmarkEnd w:id="28"/>
    <w:p w14:paraId="08D13B8C" w14:textId="4687CDA2" w:rsidR="00621F44" w:rsidRPr="008C74A3" w:rsidRDefault="00621F44" w:rsidP="002D5795">
      <w:pPr>
        <w:pStyle w:val="ListParagraph"/>
        <w:numPr>
          <w:ilvl w:val="0"/>
          <w:numId w:val="3"/>
        </w:numPr>
        <w:spacing w:after="120"/>
        <w:ind w:leftChars="0"/>
      </w:pPr>
      <w:r w:rsidRPr="008C74A3">
        <w:rPr>
          <w:rFonts w:eastAsia="MS Mincho"/>
          <w:b/>
          <w:bCs/>
        </w:rPr>
        <w:t>Targets:</w:t>
      </w:r>
      <w:r w:rsidRPr="008C74A3">
        <w:rPr>
          <w:rFonts w:eastAsia="MS Mincho"/>
        </w:rPr>
        <w:t xml:space="preserve"> Measurable, outcome-oriented</w:t>
      </w:r>
      <w:r w:rsidR="000479C0" w:rsidRPr="008C74A3">
        <w:rPr>
          <w:rFonts w:eastAsia="MS Mincho"/>
        </w:rPr>
        <w:t>,</w:t>
      </w:r>
      <w:r w:rsidRPr="008C74A3">
        <w:rPr>
          <w:rFonts w:eastAsia="MS Mincho"/>
        </w:rPr>
        <w:t xml:space="preserve"> and time-bound goals that the </w:t>
      </w:r>
      <w:r w:rsidR="004057C4" w:rsidRPr="008C74A3">
        <w:rPr>
          <w:rFonts w:eastAsia="MS Mincho"/>
        </w:rPr>
        <w:t xml:space="preserve">entity or its investees </w:t>
      </w:r>
      <w:r w:rsidRPr="008C74A3">
        <w:rPr>
          <w:rFonts w:eastAsia="MS Mincho"/>
        </w:rPr>
        <w:t xml:space="preserve">aim to achieve in relation to material impacts, </w:t>
      </w:r>
      <w:r w:rsidR="004B609C" w:rsidRPr="008C74A3">
        <w:rPr>
          <w:rFonts w:eastAsia="MS Mincho"/>
        </w:rPr>
        <w:t>risks,</w:t>
      </w:r>
      <w:r w:rsidRPr="008C74A3">
        <w:rPr>
          <w:rFonts w:eastAsia="MS Mincho"/>
        </w:rPr>
        <w:t xml:space="preserve"> or opportunities. They may be set voluntarily by the </w:t>
      </w:r>
      <w:r w:rsidR="004057C4" w:rsidRPr="008C74A3">
        <w:rPr>
          <w:rFonts w:eastAsia="MS Mincho"/>
        </w:rPr>
        <w:t xml:space="preserve">entity or investees </w:t>
      </w:r>
      <w:r w:rsidRPr="008C74A3">
        <w:rPr>
          <w:rFonts w:eastAsia="MS Mincho"/>
        </w:rPr>
        <w:t>or derive from legal requirements.</w:t>
      </w:r>
      <w:r w:rsidRPr="008C74A3">
        <w:rPr>
          <w:rStyle w:val="FootnoteReference"/>
          <w:rFonts w:eastAsia="MS Mincho" w:cs="Arial"/>
        </w:rPr>
        <w:footnoteReference w:id="31"/>
      </w:r>
      <w:r w:rsidR="00A0293B" w:rsidRPr="008C74A3">
        <w:rPr>
          <w:rFonts w:eastAsia="MS Mincho"/>
        </w:rPr>
        <w:t xml:space="preserve"> Targets are distinct from thresholds as defined below.</w:t>
      </w:r>
    </w:p>
    <w:p w14:paraId="5DE61085" w14:textId="5B4F2996" w:rsidR="00621F44" w:rsidRPr="008C74A3" w:rsidRDefault="00621F44" w:rsidP="002D5795">
      <w:pPr>
        <w:pStyle w:val="ListParagraph"/>
        <w:numPr>
          <w:ilvl w:val="0"/>
          <w:numId w:val="3"/>
        </w:numPr>
        <w:spacing w:after="120"/>
        <w:ind w:leftChars="0"/>
      </w:pPr>
      <w:r w:rsidRPr="008C74A3">
        <w:rPr>
          <w:b/>
          <w:bCs/>
        </w:rPr>
        <w:t>Theory of Change:</w:t>
      </w:r>
      <w:r w:rsidRPr="008C74A3">
        <w:t xml:space="preserve"> A method that explains how a given intervention</w:t>
      </w:r>
      <w:r w:rsidR="009001B5" w:rsidRPr="008C74A3">
        <w:t xml:space="preserve"> </w:t>
      </w:r>
      <w:r w:rsidRPr="008C74A3">
        <w:t>is expected to lead to</w:t>
      </w:r>
      <w:r w:rsidR="004057C4" w:rsidRPr="008C74A3">
        <w:t xml:space="preserve"> a</w:t>
      </w:r>
      <w:r w:rsidRPr="008C74A3">
        <w:t xml:space="preserve"> specific change, drawing on a causal analysis based on available evidence.</w:t>
      </w:r>
      <w:r w:rsidRPr="008C74A3">
        <w:rPr>
          <w:rStyle w:val="FootnoteReference"/>
        </w:rPr>
        <w:footnoteReference w:id="32"/>
      </w:r>
    </w:p>
    <w:p w14:paraId="5E14B407" w14:textId="723FFC1B" w:rsidR="00621F44" w:rsidRPr="008C74A3" w:rsidRDefault="00621F44" w:rsidP="002D5795">
      <w:pPr>
        <w:pStyle w:val="ListParagraph"/>
        <w:numPr>
          <w:ilvl w:val="0"/>
          <w:numId w:val="3"/>
        </w:numPr>
        <w:spacing w:after="120"/>
        <w:ind w:leftChars="0"/>
      </w:pPr>
      <w:r w:rsidRPr="008C74A3">
        <w:rPr>
          <w:b/>
          <w:bCs/>
        </w:rPr>
        <w:t>Thresholds:</w:t>
      </w:r>
      <w:r w:rsidRPr="008C74A3">
        <w:t xml:space="preserve"> </w:t>
      </w:r>
      <w:r w:rsidR="004057C4" w:rsidRPr="008C74A3">
        <w:t>In this context. the term “thresholds” refers specifically to the</w:t>
      </w:r>
      <w:r w:rsidRPr="008C74A3">
        <w:t xml:space="preserve"> level or range of an outcome that divides sustainable from unsustainable performance. These ranges are set with reference to social norms or planetary limits that have been identified through scientific research. Thresholds are critical contextual reference points for </w:t>
      </w:r>
      <w:r w:rsidR="007D6D4A" w:rsidRPr="008C74A3">
        <w:t>entities</w:t>
      </w:r>
      <w:r w:rsidRPr="008C74A3">
        <w:t xml:space="preserve"> assessing whether an outcome is sustainable or unsustainable. They are distinct from other types of targets that </w:t>
      </w:r>
      <w:r w:rsidR="007D6D4A" w:rsidRPr="008C74A3">
        <w:t>entities</w:t>
      </w:r>
      <w:r w:rsidRPr="008C74A3">
        <w:t xml:space="preserve"> might set </w:t>
      </w:r>
      <w:r w:rsidRPr="008C74A3">
        <w:lastRenderedPageBreak/>
        <w:t>themselves which are not explicitly linked to a scientific assessment of what constitutes a sustainable outcome.</w:t>
      </w:r>
      <w:r w:rsidRPr="008C74A3">
        <w:rPr>
          <w:rStyle w:val="FootnoteReference"/>
        </w:rPr>
        <w:footnoteReference w:id="33"/>
      </w:r>
    </w:p>
    <w:p w14:paraId="3780DBDC" w14:textId="15E5A99F" w:rsidR="00FA5F0E" w:rsidRPr="008C74A3" w:rsidRDefault="00621F44" w:rsidP="002D5795">
      <w:pPr>
        <w:pStyle w:val="ListParagraph"/>
        <w:numPr>
          <w:ilvl w:val="0"/>
          <w:numId w:val="3"/>
        </w:numPr>
        <w:spacing w:after="120"/>
        <w:ind w:leftChars="0"/>
      </w:pPr>
      <w:r w:rsidRPr="008C74A3">
        <w:rPr>
          <w:b/>
          <w:bCs/>
        </w:rPr>
        <w:t>Well-being:</w:t>
      </w:r>
      <w:r w:rsidRPr="008C74A3">
        <w:t xml:space="preserve"> The state of being or doing well in life; happy, healthy, or prosperous condition; moral or physical welfare. The OECD Well-being Framework states that the 11 dimensions of well-being are comprised of the outcomes that matter most to people.</w:t>
      </w:r>
      <w:r w:rsidRPr="008C74A3">
        <w:rPr>
          <w:rStyle w:val="FootnoteReference"/>
        </w:rPr>
        <w:footnoteReference w:id="34"/>
      </w:r>
    </w:p>
    <w:p w14:paraId="54414364" w14:textId="148DE5A2" w:rsidR="005B2025" w:rsidRPr="008C74A3" w:rsidRDefault="00FA5F0E" w:rsidP="0035138B">
      <w:pPr>
        <w:sectPr w:rsidR="005B2025" w:rsidRPr="008C74A3" w:rsidSect="00CE5777">
          <w:pgSz w:w="12240" w:h="15840" w:code="1"/>
          <w:pgMar w:top="1440" w:right="1440" w:bottom="1440" w:left="1440" w:header="720" w:footer="720" w:gutter="0"/>
          <w:lnNumType w:countBy="1" w:restart="continuous"/>
          <w:cols w:space="720"/>
          <w:docGrid w:linePitch="360"/>
        </w:sectPr>
      </w:pPr>
      <w:bookmarkStart w:id="29" w:name="_Toc146213855"/>
      <w:bookmarkStart w:id="30" w:name="_Toc146214162"/>
      <w:r w:rsidRPr="008C74A3">
        <w:rPr>
          <w:noProof/>
        </w:rPr>
        <w:lastRenderedPageBreak/>
        <mc:AlternateContent>
          <mc:Choice Requires="wps">
            <w:drawing>
              <wp:anchor distT="0" distB="0" distL="114300" distR="114300" simplePos="0" relativeHeight="251746304" behindDoc="0" locked="0" layoutInCell="1" allowOverlap="1" wp14:anchorId="4D519E30" wp14:editId="3A6D6927">
                <wp:simplePos x="0" y="0"/>
                <wp:positionH relativeFrom="margin">
                  <wp:align>left</wp:align>
                </wp:positionH>
                <wp:positionV relativeFrom="paragraph">
                  <wp:posOffset>289560</wp:posOffset>
                </wp:positionV>
                <wp:extent cx="6250305" cy="7490460"/>
                <wp:effectExtent l="0" t="0" r="17145" b="15240"/>
                <wp:wrapSquare wrapText="bothSides"/>
                <wp:docPr id="343589153" name="Text Box 4"/>
                <wp:cNvGraphicFramePr/>
                <a:graphic xmlns:a="http://schemas.openxmlformats.org/drawingml/2006/main">
                  <a:graphicData uri="http://schemas.microsoft.com/office/word/2010/wordprocessingShape">
                    <wps:wsp>
                      <wps:cNvSpPr txBox="1"/>
                      <wps:spPr>
                        <a:xfrm>
                          <a:off x="0" y="0"/>
                          <a:ext cx="6250305" cy="7490460"/>
                        </a:xfrm>
                        <a:prstGeom prst="rect">
                          <a:avLst/>
                        </a:prstGeom>
                        <a:solidFill>
                          <a:schemeClr val="lt1"/>
                        </a:solidFill>
                        <a:ln w="6350">
                          <a:solidFill>
                            <a:prstClr val="black"/>
                          </a:solidFill>
                        </a:ln>
                      </wps:spPr>
                      <wps:txbx>
                        <w:txbxContent>
                          <w:p w14:paraId="7C0C0195" w14:textId="4084D6DD" w:rsidR="00FA5F0E" w:rsidRPr="001F3DC0" w:rsidRDefault="00FA5F0E" w:rsidP="001F3DC0">
                            <w:pPr>
                              <w:jc w:val="center"/>
                              <w:rPr>
                                <w:b/>
                                <w:bCs/>
                              </w:rPr>
                            </w:pPr>
                            <w:r w:rsidRPr="001F3DC0">
                              <w:rPr>
                                <w:b/>
                                <w:bCs/>
                              </w:rPr>
                              <w:t>Impact Pathways</w:t>
                            </w:r>
                          </w:p>
                          <w:p w14:paraId="6F467E03" w14:textId="7C2C843A" w:rsidR="00CE5777" w:rsidRDefault="00FA5F0E" w:rsidP="00DB1B70">
                            <w:r w:rsidRPr="005A3A2C">
                              <w:t xml:space="preserve">The impact pathway is defined </w:t>
                            </w:r>
                            <w:r w:rsidR="00B846DB">
                              <w:t xml:space="preserve">by the Impact Management Platform </w:t>
                            </w:r>
                            <w:r w:rsidRPr="005A3A2C">
                              <w:t>as “the sequence that links organi</w:t>
                            </w:r>
                            <w:r w:rsidR="00CE5777">
                              <w:t>z</w:t>
                            </w:r>
                            <w:r w:rsidRPr="005A3A2C">
                              <w:t xml:space="preserve">ations’ actions with their effects on people and the natural environment.” The impact pathway depicts the causal chain of an entity’s inputs, activities, outputs, and the resulting changes in well-being for </w:t>
                            </w:r>
                            <w:r w:rsidR="00734B44">
                              <w:t>stakeholder</w:t>
                            </w:r>
                            <w:r w:rsidRPr="005A3A2C">
                              <w:t xml:space="preserve">s and/or the natural environment. </w:t>
                            </w:r>
                          </w:p>
                          <w:p w14:paraId="368DFBAE" w14:textId="3D33CA4B" w:rsidR="00FA5F0E" w:rsidRPr="005A3A2C" w:rsidRDefault="00CE5777" w:rsidP="00DB1B70">
                            <w:r>
                              <w:t xml:space="preserve">An impact pathway can be expressed </w:t>
                            </w:r>
                            <w:r w:rsidR="00FA5F0E">
                              <w:t>in</w:t>
                            </w:r>
                            <w:r w:rsidR="00FA5F0E" w:rsidRPr="005A3A2C">
                              <w:t xml:space="preserve"> many forms, including a </w:t>
                            </w:r>
                            <w:r>
                              <w:t>t</w:t>
                            </w:r>
                            <w:r w:rsidR="00FA5F0E" w:rsidRPr="005A3A2C">
                              <w:t xml:space="preserve">heory of </w:t>
                            </w:r>
                            <w:r>
                              <w:t>c</w:t>
                            </w:r>
                            <w:r w:rsidR="00FA5F0E" w:rsidRPr="005A3A2C">
                              <w:t>hange, logic model, outcomes chain</w:t>
                            </w:r>
                            <w:r>
                              <w:t>,</w:t>
                            </w:r>
                            <w:r w:rsidR="00FA5F0E" w:rsidRPr="005A3A2C">
                              <w:t xml:space="preserve"> or systems map. While the impact pathway represents a simplified version of complex relationships between multiple outcomes and impacts (intended and unintended, positive and negative, primary and secondary), thinking through this sequence of elements can help an entity articulate </w:t>
                            </w:r>
                            <w:r w:rsidR="00B846DB">
                              <w:t>its</w:t>
                            </w:r>
                            <w:r w:rsidR="00FA5F0E" w:rsidRPr="005A3A2C">
                              <w:t xml:space="preserve"> impact thesis, identify possible outcomes, and select appropriate metrics to measure </w:t>
                            </w:r>
                            <w:r w:rsidR="00B846DB">
                              <w:t>its</w:t>
                            </w:r>
                            <w:r w:rsidR="00FA5F0E" w:rsidRPr="005A3A2C">
                              <w:t xml:space="preserve"> impact</w:t>
                            </w:r>
                            <w:r w:rsidR="00B846DB">
                              <w:t>s</w:t>
                            </w:r>
                            <w:r w:rsidR="00FA5F0E" w:rsidRPr="005A3A2C">
                              <w:t xml:space="preserve">. </w:t>
                            </w:r>
                          </w:p>
                          <w:p w14:paraId="2CB9A9EE" w14:textId="2A5BC77E" w:rsidR="00FA5F0E" w:rsidRPr="005A3A2C" w:rsidRDefault="00FA5F0E" w:rsidP="00DB1B70">
                            <w:r w:rsidRPr="005A3A2C">
                              <w:t xml:space="preserve">In the model below, which depicts a common form of an impact pathway, “Inputs,” “Activities” and “Outputs” are considered drivers of impact. “Outcomes” are shown as the endpoint of the causal chain and </w:t>
                            </w:r>
                            <w:r>
                              <w:t>denote</w:t>
                            </w:r>
                            <w:r w:rsidRPr="005A3A2C">
                              <w:t xml:space="preserve"> a </w:t>
                            </w:r>
                            <w:r>
                              <w:t>level</w:t>
                            </w:r>
                            <w:r w:rsidRPr="005A3A2C">
                              <w:t xml:space="preserve"> </w:t>
                            </w:r>
                            <w:r>
                              <w:t xml:space="preserve">of well-being </w:t>
                            </w:r>
                            <w:r w:rsidRPr="005A3A2C">
                              <w:t xml:space="preserve">while “Impacts” specify the change in the level of well-being that was caused by the entity. </w:t>
                            </w:r>
                            <w:r w:rsidR="00B846DB">
                              <w:t>In some cases, a sequence of outcomes (with corresponding impacts) is portrayed.</w:t>
                            </w:r>
                          </w:p>
                          <w:p w14:paraId="73A799FD" w14:textId="40A2D49B" w:rsidR="00FA5F0E" w:rsidRDefault="00FA5F0E" w:rsidP="00DB1B70">
                            <w:r w:rsidRPr="005A3A2C">
                              <w:t xml:space="preserve">Note: The </w:t>
                            </w:r>
                            <w:r w:rsidR="00784551">
                              <w:t>d</w:t>
                            </w:r>
                            <w:r w:rsidRPr="005A3A2C">
                              <w:t xml:space="preserve">raft </w:t>
                            </w:r>
                            <w:r w:rsidR="00A201CC">
                              <w:t xml:space="preserve">Reporting </w:t>
                            </w:r>
                            <w:r w:rsidRPr="005A3A2C">
                              <w:t>Norms adopt usage 2</w:t>
                            </w:r>
                            <w:r w:rsidR="009F457F">
                              <w:t>)</w:t>
                            </w:r>
                            <w:r w:rsidRPr="005A3A2C">
                              <w:t xml:space="preserve"> from the Impact Management Platform definition for “outcome”; based on this usage, outcomes mark the end of the impact pathway. For alternate usages and interpretations, see </w:t>
                            </w:r>
                            <w:hyperlink r:id="rId23" w:anchor="outcomes" w:history="1">
                              <w:r w:rsidRPr="005A3A2C">
                                <w:rPr>
                                  <w:rStyle w:val="Hyperlink"/>
                                </w:rPr>
                                <w:t>Impact Management Platform: The impact pathway</w:t>
                              </w:r>
                            </w:hyperlink>
                            <w:r w:rsidRPr="005A3A2C">
                              <w:t>.</w:t>
                            </w:r>
                          </w:p>
                          <w:p w14:paraId="7FCB80C2" w14:textId="77777777" w:rsidR="00FA5F0E" w:rsidRDefault="00FA5F0E" w:rsidP="00DB1B70"/>
                          <w:p w14:paraId="3D178A70" w14:textId="77777777" w:rsidR="00FA5F0E" w:rsidRDefault="00FA5F0E" w:rsidP="001F3DC0">
                            <w:pPr>
                              <w:jc w:val="center"/>
                            </w:pPr>
                            <w:r w:rsidRPr="00763930">
                              <w:rPr>
                                <w:noProof/>
                              </w:rPr>
                              <w:drawing>
                                <wp:inline distT="0" distB="0" distL="0" distR="0" wp14:anchorId="15EDD298" wp14:editId="5FB4BF73">
                                  <wp:extent cx="5347504" cy="1431143"/>
                                  <wp:effectExtent l="0" t="0" r="0" b="0"/>
                                  <wp:docPr id="934115083" name="Picture 934115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280066" name=""/>
                                          <pic:cNvPicPr/>
                                        </pic:nvPicPr>
                                        <pic:blipFill>
                                          <a:blip r:embed="rId24"/>
                                          <a:stretch>
                                            <a:fillRect/>
                                          </a:stretch>
                                        </pic:blipFill>
                                        <pic:spPr>
                                          <a:xfrm>
                                            <a:off x="0" y="0"/>
                                            <a:ext cx="5361700" cy="1434942"/>
                                          </a:xfrm>
                                          <a:prstGeom prst="rect">
                                            <a:avLst/>
                                          </a:prstGeom>
                                        </pic:spPr>
                                      </pic:pic>
                                    </a:graphicData>
                                  </a:graphic>
                                </wp:inline>
                              </w:drawing>
                            </w:r>
                          </w:p>
                          <w:p w14:paraId="04317AAD" w14:textId="7C864A98" w:rsidR="00FA5F0E" w:rsidRDefault="00FA5F0E" w:rsidP="00DB1B70">
                            <w:r w:rsidRPr="005A3A2C">
                              <w:t>The different elements and how they are delineated can depend on context, the preparer’s chosen definitions of terms and their judgment in applying those definitions. Preparers are encouraged to define their chosen usage of these terms for the sake of clarity.</w:t>
                            </w:r>
                          </w:p>
                          <w:p w14:paraId="06DA9FC2" w14:textId="5AA11243" w:rsidR="00FA5F0E" w:rsidRDefault="00FA5F0E" w:rsidP="00DB1B70">
                            <w:r w:rsidRPr="005A3A2C">
                              <w:t xml:space="preserve">Because each outcome or impact can be influenced by multiple drivers, understanding the various impact pathways gives a clear picture of what drivers an entity can manage in order to produce the desired positive impacts or mitigate potential negative impacts. </w:t>
                            </w:r>
                            <w:r>
                              <w:t xml:space="preserve">The </w:t>
                            </w:r>
                            <w:r w:rsidR="00784551">
                              <w:t>d</w:t>
                            </w:r>
                            <w:r>
                              <w:t xml:space="preserve">raft </w:t>
                            </w:r>
                            <w:r w:rsidR="00A201CC">
                              <w:t xml:space="preserve">Reporting </w:t>
                            </w:r>
                            <w:r>
                              <w:t xml:space="preserve">Norms </w:t>
                            </w:r>
                            <w:r w:rsidR="00B846DB">
                              <w:t>recommend that</w:t>
                            </w:r>
                            <w:r>
                              <w:t xml:space="preserve"> preparers </w:t>
                            </w:r>
                            <w:r w:rsidR="00B846DB">
                              <w:t xml:space="preserve">measure and disclose </w:t>
                            </w:r>
                            <w:r>
                              <w:t xml:space="preserve">the furthest element along the impact pathway </w:t>
                            </w:r>
                            <w:r w:rsidR="00B846DB">
                              <w:t>possible</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519E30" id="_x0000_t202" coordsize="21600,21600" o:spt="202" path="m,l,21600r21600,l21600,xe">
                <v:stroke joinstyle="miter"/>
                <v:path gradientshapeok="t" o:connecttype="rect"/>
              </v:shapetype>
              <v:shape id="Text Box 4" o:spid="_x0000_s1026" type="#_x0000_t202" style="position:absolute;margin-left:0;margin-top:22.8pt;width:492.15pt;height:589.8pt;z-index:2517463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" fillcolor="white [3201]" strokeweight=".5pt">
                <v:textbox>
                  <w:txbxContent>
                    <w:p w14:paraId="7C0C0195" w14:textId="4084D6DD" w:rsidR="00FA5F0E" w:rsidRPr="001F3DC0" w:rsidRDefault="00FA5F0E" w:rsidP="001F3DC0">
                      <w:pPr>
                        <w:jc w:val="center"/>
                        <w:rPr>
                          <w:b/>
                          <w:bCs/>
                        </w:rPr>
                      </w:pPr>
                      <w:r w:rsidRPr="001F3DC0">
                        <w:rPr>
                          <w:b/>
                          <w:bCs/>
                        </w:rPr>
                        <w:t>Impact Pathways</w:t>
                      </w:r>
                    </w:p>
                    <w:p w14:paraId="6F467E03" w14:textId="7C2C843A" w:rsidR="00CE5777" w:rsidRDefault="00FA5F0E" w:rsidP="00DB1B70">
                      <w:r w:rsidRPr="005A3A2C">
                        <w:t xml:space="preserve">The impact pathway is defined </w:t>
                      </w:r>
                      <w:r w:rsidR="00B846DB">
                        <w:t xml:space="preserve">by the Impact Management Platform </w:t>
                      </w:r>
                      <w:r w:rsidRPr="005A3A2C">
                        <w:t>as “the sequence that links organi</w:t>
                      </w:r>
                      <w:r w:rsidR="00CE5777">
                        <w:t>z</w:t>
                      </w:r>
                      <w:r w:rsidRPr="005A3A2C">
                        <w:t xml:space="preserve">ations’ actions with their effects on people and the natural environment.” The impact pathway depicts the causal chain of an entity’s inputs, activities, outputs, and the resulting changes in well-being for </w:t>
                      </w:r>
                      <w:r w:rsidR="00734B44">
                        <w:t>stakeholder</w:t>
                      </w:r>
                      <w:r w:rsidRPr="005A3A2C">
                        <w:t xml:space="preserve">s and/or the natural environment. </w:t>
                      </w:r>
                    </w:p>
                    <w:p w14:paraId="368DFBAE" w14:textId="3D33CA4B" w:rsidR="00FA5F0E" w:rsidRPr="005A3A2C" w:rsidRDefault="00CE5777" w:rsidP="00DB1B70">
                      <w:r>
                        <w:t xml:space="preserve">An impact pathway can be expressed </w:t>
                      </w:r>
                      <w:r w:rsidR="00FA5F0E">
                        <w:t>in</w:t>
                      </w:r>
                      <w:r w:rsidR="00FA5F0E" w:rsidRPr="005A3A2C">
                        <w:t xml:space="preserve"> many forms, including a </w:t>
                      </w:r>
                      <w:r>
                        <w:t>t</w:t>
                      </w:r>
                      <w:r w:rsidR="00FA5F0E" w:rsidRPr="005A3A2C">
                        <w:t xml:space="preserve">heory of </w:t>
                      </w:r>
                      <w:r>
                        <w:t>c</w:t>
                      </w:r>
                      <w:r w:rsidR="00FA5F0E" w:rsidRPr="005A3A2C">
                        <w:t>hange, logic model, outcomes chain</w:t>
                      </w:r>
                      <w:r>
                        <w:t>,</w:t>
                      </w:r>
                      <w:r w:rsidR="00FA5F0E" w:rsidRPr="005A3A2C">
                        <w:t xml:space="preserve"> or systems map. While the impact pathway represents a simplified version of complex relationships between multiple outcomes and impacts (intended and unintended, positive and negative, primary and secondary), thinking through this sequence of elements can help an entity articulate </w:t>
                      </w:r>
                      <w:r w:rsidR="00B846DB">
                        <w:t>its</w:t>
                      </w:r>
                      <w:r w:rsidR="00FA5F0E" w:rsidRPr="005A3A2C">
                        <w:t xml:space="preserve"> impact thesis, identify possible outcomes, and select appropriate metrics to measure </w:t>
                      </w:r>
                      <w:r w:rsidR="00B846DB">
                        <w:t>its</w:t>
                      </w:r>
                      <w:r w:rsidR="00FA5F0E" w:rsidRPr="005A3A2C">
                        <w:t xml:space="preserve"> impact</w:t>
                      </w:r>
                      <w:r w:rsidR="00B846DB">
                        <w:t>s</w:t>
                      </w:r>
                      <w:r w:rsidR="00FA5F0E" w:rsidRPr="005A3A2C">
                        <w:t xml:space="preserve">. </w:t>
                      </w:r>
                    </w:p>
                    <w:p w14:paraId="2CB9A9EE" w14:textId="2A5BC77E" w:rsidR="00FA5F0E" w:rsidRPr="005A3A2C" w:rsidRDefault="00FA5F0E" w:rsidP="00DB1B70">
                      <w:r w:rsidRPr="005A3A2C">
                        <w:t xml:space="preserve">In the model below, which depicts a common form of an impact pathway, “Inputs,” “Activities” and “Outputs” are considered drivers of impact. “Outcomes” are shown as the endpoint of the causal chain and </w:t>
                      </w:r>
                      <w:r>
                        <w:t>denote</w:t>
                      </w:r>
                      <w:r w:rsidRPr="005A3A2C">
                        <w:t xml:space="preserve"> a </w:t>
                      </w:r>
                      <w:r>
                        <w:t>level</w:t>
                      </w:r>
                      <w:r w:rsidRPr="005A3A2C">
                        <w:t xml:space="preserve"> </w:t>
                      </w:r>
                      <w:r>
                        <w:t xml:space="preserve">of well-being </w:t>
                      </w:r>
                      <w:r w:rsidRPr="005A3A2C">
                        <w:t xml:space="preserve">while “Impacts” specify the change in the level of well-being that was caused by the entity. </w:t>
                      </w:r>
                      <w:r w:rsidR="00B846DB">
                        <w:t>In some cases, a sequence of outcomes (with corresponding impacts) is portrayed.</w:t>
                      </w:r>
                    </w:p>
                    <w:p w14:paraId="73A799FD" w14:textId="40A2D49B" w:rsidR="00FA5F0E" w:rsidRDefault="00FA5F0E" w:rsidP="00DB1B70">
                      <w:r w:rsidRPr="005A3A2C">
                        <w:t xml:space="preserve">Note: The </w:t>
                      </w:r>
                      <w:r w:rsidR="00784551">
                        <w:t>d</w:t>
                      </w:r>
                      <w:r w:rsidRPr="005A3A2C">
                        <w:t xml:space="preserve">raft </w:t>
                      </w:r>
                      <w:r w:rsidR="00A201CC">
                        <w:t xml:space="preserve">Reporting </w:t>
                      </w:r>
                      <w:r w:rsidRPr="005A3A2C">
                        <w:t>Norms adopt usage 2</w:t>
                      </w:r>
                      <w:r w:rsidR="009F457F">
                        <w:t>)</w:t>
                      </w:r>
                      <w:r w:rsidRPr="005A3A2C">
                        <w:t xml:space="preserve"> from the Impact Management Platform definition for “outcome”; based on this usage, outcomes mark the end of the impact pathway. For alternate usages and interpretations, see </w:t>
                      </w:r>
                      <w:hyperlink r:id="rId25" w:anchor="outcomes" w:history="1">
                        <w:r w:rsidRPr="005A3A2C">
                          <w:rPr>
                            <w:rStyle w:val="Hyperlink"/>
                          </w:rPr>
                          <w:t>Impact Management Platform: The impact pathway</w:t>
                        </w:r>
                      </w:hyperlink>
                      <w:r w:rsidRPr="005A3A2C">
                        <w:t>.</w:t>
                      </w:r>
                    </w:p>
                    <w:p w14:paraId="7FCB80C2" w14:textId="77777777" w:rsidR="00FA5F0E" w:rsidRDefault="00FA5F0E" w:rsidP="00DB1B70"/>
                    <w:p w14:paraId="3D178A70" w14:textId="77777777" w:rsidR="00FA5F0E" w:rsidRDefault="00FA5F0E" w:rsidP="001F3DC0">
                      <w:pPr>
                        <w:jc w:val="center"/>
                      </w:pPr>
                      <w:r w:rsidRPr="00763930">
                        <w:rPr>
                          <w:noProof/>
                        </w:rPr>
                        <w:drawing>
                          <wp:inline distT="0" distB="0" distL="0" distR="0" wp14:anchorId="15EDD298" wp14:editId="5FB4BF73">
                            <wp:extent cx="5347504" cy="1431143"/>
                            <wp:effectExtent l="0" t="0" r="0" b="0"/>
                            <wp:docPr id="934115083" name="Picture 934115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280066" name=""/>
                                    <pic:cNvPicPr/>
                                  </pic:nvPicPr>
                                  <pic:blipFill>
                                    <a:blip r:embed="rId24"/>
                                    <a:stretch>
                                      <a:fillRect/>
                                    </a:stretch>
                                  </pic:blipFill>
                                  <pic:spPr>
                                    <a:xfrm>
                                      <a:off x="0" y="0"/>
                                      <a:ext cx="5361700" cy="1434942"/>
                                    </a:xfrm>
                                    <a:prstGeom prst="rect">
                                      <a:avLst/>
                                    </a:prstGeom>
                                  </pic:spPr>
                                </pic:pic>
                              </a:graphicData>
                            </a:graphic>
                          </wp:inline>
                        </w:drawing>
                      </w:r>
                    </w:p>
                    <w:p w14:paraId="04317AAD" w14:textId="7C864A98" w:rsidR="00FA5F0E" w:rsidRDefault="00FA5F0E" w:rsidP="00DB1B70">
                      <w:r w:rsidRPr="005A3A2C">
                        <w:t>The different elements and how they are delineated can depend on context, the preparer’s chosen definitions of terms and their judgment in applying those definitions. Preparers are encouraged to define their chosen usage of these terms for the sake of clarity.</w:t>
                      </w:r>
                    </w:p>
                    <w:p w14:paraId="06DA9FC2" w14:textId="5AA11243" w:rsidR="00FA5F0E" w:rsidRDefault="00FA5F0E" w:rsidP="00DB1B70">
                      <w:r w:rsidRPr="005A3A2C">
                        <w:t xml:space="preserve">Because each outcome or impact can be influenced by multiple drivers, understanding the various impact pathways gives a clear picture of what drivers an entity can manage in order to produce the desired positive impacts or mitigate potential negative impacts. </w:t>
                      </w:r>
                      <w:r>
                        <w:t xml:space="preserve">The </w:t>
                      </w:r>
                      <w:r w:rsidR="00784551">
                        <w:t>d</w:t>
                      </w:r>
                      <w:r>
                        <w:t xml:space="preserve">raft </w:t>
                      </w:r>
                      <w:r w:rsidR="00A201CC">
                        <w:t xml:space="preserve">Reporting </w:t>
                      </w:r>
                      <w:r>
                        <w:t xml:space="preserve">Norms </w:t>
                      </w:r>
                      <w:r w:rsidR="00B846DB">
                        <w:t>recommend that</w:t>
                      </w:r>
                      <w:r>
                        <w:t xml:space="preserve"> preparers </w:t>
                      </w:r>
                      <w:r w:rsidR="00B846DB">
                        <w:t xml:space="preserve">measure and disclose </w:t>
                      </w:r>
                      <w:r>
                        <w:t xml:space="preserve">the furthest element along the impact pathway </w:t>
                      </w:r>
                      <w:r w:rsidR="00B846DB">
                        <w:t>possible</w:t>
                      </w:r>
                      <w:r>
                        <w:t xml:space="preserve">. </w:t>
                      </w:r>
                    </w:p>
                  </w:txbxContent>
                </v:textbox>
                <w10:wrap type="square" anchorx="margin"/>
              </v:shape>
            </w:pict>
          </mc:Fallback>
        </mc:AlternateContent>
      </w:r>
      <w:r w:rsidRPr="008C74A3">
        <w:t xml:space="preserve"> </w:t>
      </w:r>
      <w:bookmarkEnd w:id="29"/>
      <w:bookmarkEnd w:id="30"/>
    </w:p>
    <w:p w14:paraId="2739E1CB" w14:textId="3547B3D2" w:rsidR="003D5340" w:rsidRPr="008C74A3" w:rsidRDefault="003D5340" w:rsidP="00DB1B70">
      <w:pPr>
        <w:pStyle w:val="Heading1"/>
      </w:pPr>
      <w:bookmarkStart w:id="31" w:name="_Toc146213856"/>
      <w:bookmarkStart w:id="32" w:name="_Toc148384184"/>
      <w:r w:rsidRPr="008C74A3">
        <w:lastRenderedPageBreak/>
        <w:t>Draft Impact Performance Reporting Norms</w:t>
      </w:r>
      <w:bookmarkEnd w:id="31"/>
      <w:bookmarkEnd w:id="32"/>
    </w:p>
    <w:p w14:paraId="4E0DF62A" w14:textId="21180C8C" w:rsidR="00A11F6A" w:rsidRPr="008C74A3" w:rsidRDefault="00A11F6A" w:rsidP="00570ED2">
      <w:pPr>
        <w:spacing w:after="120"/>
      </w:pPr>
      <w:r w:rsidRPr="008C74A3">
        <w:t xml:space="preserve">The </w:t>
      </w:r>
      <w:r w:rsidR="00D173AB" w:rsidRPr="008C74A3">
        <w:t>d</w:t>
      </w:r>
      <w:r w:rsidR="00E37319" w:rsidRPr="008C74A3">
        <w:t xml:space="preserve">raft Reporting </w:t>
      </w:r>
      <w:r w:rsidRPr="008C74A3">
        <w:t xml:space="preserve">Norms </w:t>
      </w:r>
      <w:r w:rsidR="00570ED2" w:rsidRPr="008C74A3">
        <w:t>are intended to build consensus on</w:t>
      </w:r>
      <w:r w:rsidR="006E771C" w:rsidRPr="008C74A3">
        <w:t>:</w:t>
      </w:r>
    </w:p>
    <w:p w14:paraId="791C7E45" w14:textId="649F782B" w:rsidR="00A11F6A" w:rsidRPr="008C74A3" w:rsidRDefault="00A11F6A" w:rsidP="002D5795">
      <w:pPr>
        <w:pStyle w:val="ListParagraph"/>
        <w:numPr>
          <w:ilvl w:val="0"/>
          <w:numId w:val="33"/>
        </w:numPr>
        <w:spacing w:after="120"/>
        <w:ind w:leftChars="0"/>
      </w:pPr>
      <w:r w:rsidRPr="008C74A3">
        <w:t>The objectives and users of impact performance reports;</w:t>
      </w:r>
    </w:p>
    <w:p w14:paraId="1E975DFE" w14:textId="78403ABB" w:rsidR="00A11F6A" w:rsidRPr="008C74A3" w:rsidRDefault="00A11F6A" w:rsidP="002D5795">
      <w:pPr>
        <w:pStyle w:val="ListParagraph"/>
        <w:numPr>
          <w:ilvl w:val="0"/>
          <w:numId w:val="33"/>
        </w:numPr>
        <w:spacing w:after="120"/>
        <w:ind w:leftChars="0"/>
      </w:pPr>
      <w:r w:rsidRPr="008C74A3">
        <w:t>The qualitative characteristics that make an impact performance report useful</w:t>
      </w:r>
      <w:r w:rsidR="0056269B" w:rsidRPr="008C74A3">
        <w:t>; and</w:t>
      </w:r>
    </w:p>
    <w:p w14:paraId="357AFCB2" w14:textId="5F6D9490" w:rsidR="0056269B" w:rsidRPr="008C74A3" w:rsidRDefault="0056269B" w:rsidP="002D5795">
      <w:pPr>
        <w:pStyle w:val="ListParagraph"/>
        <w:numPr>
          <w:ilvl w:val="0"/>
          <w:numId w:val="33"/>
        </w:numPr>
        <w:spacing w:after="120"/>
        <w:ind w:leftChars="0"/>
      </w:pPr>
      <w:r w:rsidRPr="008C74A3">
        <w:t xml:space="preserve">The </w:t>
      </w:r>
      <w:r w:rsidR="004057C4" w:rsidRPr="008C74A3">
        <w:t xml:space="preserve">suggested </w:t>
      </w:r>
      <w:r w:rsidRPr="008C74A3">
        <w:t>contents and structure of impact performance reports, with bounded flexibility for preparers to customize to their individual circumstances.</w:t>
      </w:r>
    </w:p>
    <w:p w14:paraId="19FC647A" w14:textId="5396841D" w:rsidR="00A11F6A" w:rsidRPr="008C74A3" w:rsidRDefault="00F41D04" w:rsidP="00570ED2">
      <w:pPr>
        <w:spacing w:after="120"/>
      </w:pPr>
      <w:r w:rsidRPr="008C74A3">
        <w:t xml:space="preserve">While the </w:t>
      </w:r>
      <w:r w:rsidR="0056269B" w:rsidRPr="008C74A3">
        <w:t>third</w:t>
      </w:r>
      <w:r w:rsidRPr="008C74A3">
        <w:t xml:space="preserve"> – </w:t>
      </w:r>
      <w:r w:rsidR="0056269B" w:rsidRPr="008C74A3">
        <w:t>content and structure</w:t>
      </w:r>
      <w:r w:rsidRPr="008C74A3">
        <w:t xml:space="preserve"> of reports – is most tangible, a</w:t>
      </w:r>
      <w:r w:rsidR="00B146B6" w:rsidRPr="008C74A3">
        <w:t xml:space="preserve">ll three elements are </w:t>
      </w:r>
      <w:r w:rsidRPr="008C74A3">
        <w:t>mutually reinforcing,</w:t>
      </w:r>
      <w:r w:rsidR="00B146B6" w:rsidRPr="008C74A3">
        <w:t xml:space="preserve"> and none are more important than the others. </w:t>
      </w:r>
    </w:p>
    <w:p w14:paraId="2B74B061" w14:textId="7AF2EC0D" w:rsidR="00DA3396" w:rsidRPr="008C74A3" w:rsidRDefault="00F41D04" w:rsidP="00570ED2">
      <w:pPr>
        <w:spacing w:after="120"/>
      </w:pPr>
      <w:r w:rsidRPr="008C74A3">
        <w:t xml:space="preserve">The Norms </w:t>
      </w:r>
      <w:r w:rsidR="00B84589" w:rsidRPr="008C74A3">
        <w:t xml:space="preserve">combine elements of existing impact management practice with concepts from </w:t>
      </w:r>
      <w:r w:rsidR="00DA3396" w:rsidRPr="008C74A3">
        <w:t>the Conceptual Framework on Financial Reporting</w:t>
      </w:r>
      <w:r w:rsidR="00DA3396" w:rsidRPr="008C74A3">
        <w:rPr>
          <w:rStyle w:val="FootnoteReference"/>
          <w:color w:val="000000" w:themeColor="text1"/>
        </w:rPr>
        <w:footnoteReference w:id="35"/>
      </w:r>
      <w:r w:rsidR="00DA3396" w:rsidRPr="008C74A3">
        <w:t xml:space="preserve"> (hereafter “</w:t>
      </w:r>
      <w:r w:rsidRPr="008C74A3">
        <w:t>Conceptual Framework</w:t>
      </w:r>
      <w:r w:rsidR="00DA3396" w:rsidRPr="008C74A3">
        <w:t xml:space="preserve">”) of the International Accounting Standards Board (IASB). </w:t>
      </w:r>
      <w:r w:rsidRPr="008C74A3">
        <w:t>The Conceptual Framework</w:t>
      </w:r>
      <w:r w:rsidR="00DA3396" w:rsidRPr="008C74A3">
        <w:t xml:space="preserve"> “sets out the fundamental concepts for financial reporting that guide [IASB] in developing International Financial Reporting Standard (IFRS).”</w:t>
      </w:r>
      <w:r w:rsidR="00C52ECC" w:rsidRPr="008C74A3">
        <w:t xml:space="preserve"> Excerpts from the Conceptual Framework are provided so that impact management professionals previously unfamiliar with it can pick up the main points without leaving the document.</w:t>
      </w:r>
      <w:r w:rsidR="00C52ECC" w:rsidRPr="008C74A3">
        <w:rPr>
          <w:rStyle w:val="FootnoteReference"/>
          <w:color w:val="000000" w:themeColor="text1"/>
        </w:rPr>
        <w:footnoteReference w:id="36"/>
      </w:r>
      <w:r w:rsidR="00C52ECC" w:rsidRPr="008C74A3">
        <w:t xml:space="preserve"> </w:t>
      </w:r>
    </w:p>
    <w:p w14:paraId="6D61FC61" w14:textId="329D8E48" w:rsidR="00FA3821" w:rsidRPr="008C74A3" w:rsidRDefault="000E31E0" w:rsidP="00570ED2">
      <w:pPr>
        <w:spacing w:after="120"/>
      </w:pPr>
      <w:r w:rsidRPr="008C74A3">
        <w:t>The characteristics of useful information</w:t>
      </w:r>
      <w:r w:rsidR="002C63F9" w:rsidRPr="008C74A3">
        <w:t xml:space="preserve"> </w:t>
      </w:r>
      <w:r w:rsidRPr="008C74A3">
        <w:t>are</w:t>
      </w:r>
      <w:r w:rsidR="0012333F" w:rsidRPr="008C74A3">
        <w:t xml:space="preserve"> essential due to the </w:t>
      </w:r>
      <w:r w:rsidR="0056269B" w:rsidRPr="008C74A3">
        <w:t>flexibility</w:t>
      </w:r>
      <w:r w:rsidR="0012333F" w:rsidRPr="008C74A3">
        <w:t xml:space="preserve"> left to the preparer in </w:t>
      </w:r>
      <w:r w:rsidR="00BF01CE" w:rsidRPr="008C74A3">
        <w:t>contents and format</w:t>
      </w:r>
      <w:r w:rsidR="0012333F" w:rsidRPr="008C74A3">
        <w:t xml:space="preserve">. </w:t>
      </w:r>
      <w:r w:rsidR="0009341D" w:rsidRPr="008C74A3">
        <w:t>Some aspects of impact performance reporting may not make sense to standardize yet</w:t>
      </w:r>
      <w:r w:rsidRPr="008C74A3">
        <w:t>. O</w:t>
      </w:r>
      <w:r w:rsidR="0009341D" w:rsidRPr="008C74A3">
        <w:t>thers may not make sense to standardize at all.</w:t>
      </w:r>
      <w:r w:rsidR="00FA3821" w:rsidRPr="008C74A3">
        <w:t xml:space="preserve"> P</w:t>
      </w:r>
      <w:r w:rsidR="0009341D" w:rsidRPr="008C74A3">
        <w:t>reparers will necessarily have to exercise discretion in what information to present and how to present it</w:t>
      </w:r>
      <w:r w:rsidR="00FA3821" w:rsidRPr="008C74A3">
        <w:t xml:space="preserve">, and users </w:t>
      </w:r>
      <w:r w:rsidR="0009341D" w:rsidRPr="008C74A3">
        <w:t xml:space="preserve">will have to exercise discretion in how to interpret </w:t>
      </w:r>
      <w:r w:rsidR="00FA3821" w:rsidRPr="008C74A3">
        <w:t>the information</w:t>
      </w:r>
      <w:r w:rsidR="0009341D" w:rsidRPr="008C74A3">
        <w:t xml:space="preserve">. </w:t>
      </w:r>
    </w:p>
    <w:p w14:paraId="3CCED708" w14:textId="1810B39E" w:rsidR="00486742" w:rsidRPr="008C74A3" w:rsidRDefault="3A5A4430" w:rsidP="00570ED2">
      <w:pPr>
        <w:spacing w:after="120"/>
      </w:pPr>
      <w:r w:rsidRPr="008C74A3">
        <w:t xml:space="preserve">The characteristics of useful information can guide preparers and users in the exercise of </w:t>
      </w:r>
      <w:r w:rsidR="0056269B" w:rsidRPr="008C74A3">
        <w:t xml:space="preserve">this </w:t>
      </w:r>
      <w:r w:rsidR="00C60E3A" w:rsidRPr="008C74A3">
        <w:t>discretion</w:t>
      </w:r>
      <w:r w:rsidRPr="008C74A3">
        <w:t xml:space="preserve">. They pick up where prescriptive standards leave off. Throughout impact performance reports and especially in areas left to preparers’ discretion, preparers are encouraged to strive for the two fundamental characteristics of relevance and faithful representation (i.e., completeness, neutrality, and </w:t>
      </w:r>
      <w:r w:rsidR="0056269B" w:rsidRPr="008C74A3">
        <w:t>accuracy</w:t>
      </w:r>
      <w:r w:rsidRPr="008C74A3">
        <w:t>). For their part, users and independent reviewers are encouraged to apply professional skepticism to areas that are left to preparers’ discretion, and to evaluate the extent to which the information provided is relevant and faithfully represented.</w:t>
      </w:r>
    </w:p>
    <w:p w14:paraId="3DEC1464" w14:textId="68DA5040" w:rsidR="005344C1" w:rsidRPr="008C74A3" w:rsidRDefault="000E31E0" w:rsidP="00570ED2">
      <w:pPr>
        <w:spacing w:after="120"/>
        <w:rPr>
          <w:rFonts w:ascii="Interstate" w:hAnsi="Interstate"/>
          <w:b/>
          <w:bCs/>
          <w:sz w:val="28"/>
          <w:szCs w:val="28"/>
        </w:rPr>
      </w:pPr>
      <w:r w:rsidRPr="008C74A3">
        <w:t xml:space="preserve">Note on usage: All aspects of these Norms are entirely voluntary, and the Norms </w:t>
      </w:r>
      <w:r w:rsidR="00B11F05" w:rsidRPr="008C74A3">
        <w:t>accordingly</w:t>
      </w:r>
      <w:r w:rsidRPr="008C74A3">
        <w:t xml:space="preserve"> use wording such as </w:t>
      </w:r>
      <w:r w:rsidR="00D173AB" w:rsidRPr="008C74A3">
        <w:t>“</w:t>
      </w:r>
      <w:r w:rsidRPr="008C74A3">
        <w:t>investors can</w:t>
      </w:r>
      <w:r w:rsidR="00D173AB" w:rsidRPr="008C74A3">
        <w:t>”</w:t>
      </w:r>
      <w:r w:rsidRPr="008C74A3">
        <w:t xml:space="preserve"> or </w:t>
      </w:r>
      <w:r w:rsidR="00D173AB" w:rsidRPr="008C74A3">
        <w:t>“</w:t>
      </w:r>
      <w:r w:rsidRPr="008C74A3">
        <w:t>investors may.</w:t>
      </w:r>
      <w:r w:rsidR="00D173AB" w:rsidRPr="008C74A3">
        <w:t>”</w:t>
      </w:r>
      <w:r w:rsidRPr="008C74A3">
        <w:t xml:space="preserve">  In selected instances, the word </w:t>
      </w:r>
      <w:r w:rsidR="00D173AB" w:rsidRPr="008C74A3">
        <w:t>“</w:t>
      </w:r>
      <w:r w:rsidRPr="008C74A3">
        <w:t>should</w:t>
      </w:r>
      <w:r w:rsidR="00D173AB" w:rsidRPr="008C74A3">
        <w:t>”</w:t>
      </w:r>
      <w:r w:rsidRPr="008C74A3">
        <w:t xml:space="preserve"> is used instead of </w:t>
      </w:r>
      <w:r w:rsidR="00D173AB" w:rsidRPr="008C74A3">
        <w:t>“</w:t>
      </w:r>
      <w:r w:rsidRPr="008C74A3">
        <w:t>can</w:t>
      </w:r>
      <w:r w:rsidR="00D173AB" w:rsidRPr="008C74A3">
        <w:t>”</w:t>
      </w:r>
      <w:r w:rsidRPr="008C74A3">
        <w:t xml:space="preserve"> or </w:t>
      </w:r>
      <w:r w:rsidR="00D173AB" w:rsidRPr="008C74A3">
        <w:t>“</w:t>
      </w:r>
      <w:r w:rsidRPr="008C74A3">
        <w:t>may.</w:t>
      </w:r>
      <w:r w:rsidR="00D173AB" w:rsidRPr="008C74A3">
        <w:t>”</w:t>
      </w:r>
      <w:r w:rsidRPr="008C74A3">
        <w:t xml:space="preserve"> </w:t>
      </w:r>
      <w:r w:rsidR="00B11F05" w:rsidRPr="008C74A3">
        <w:t xml:space="preserve">The word </w:t>
      </w:r>
      <w:r w:rsidR="00D173AB" w:rsidRPr="008C74A3">
        <w:t>“</w:t>
      </w:r>
      <w:r w:rsidR="00B11F05" w:rsidRPr="008C74A3">
        <w:t>should</w:t>
      </w:r>
      <w:r w:rsidR="00D173AB" w:rsidRPr="008C74A3">
        <w:t>”</w:t>
      </w:r>
      <w:r w:rsidR="00B11F05" w:rsidRPr="008C74A3">
        <w:t xml:space="preserve"> is used to</w:t>
      </w:r>
      <w:r w:rsidRPr="008C74A3">
        <w:t xml:space="preserve"> indicate</w:t>
      </w:r>
      <w:r w:rsidR="00B11F05" w:rsidRPr="008C74A3">
        <w:t xml:space="preserve"> areas where reviewers of the pre-consultation draft felt that the proposed Norm should be encouraged especially strongly, with exceptions rare (for instance, presenting negative as well as positive results). </w:t>
      </w:r>
    </w:p>
    <w:p w14:paraId="1C7E544D" w14:textId="77777777" w:rsidR="00B84589" w:rsidRPr="008C74A3" w:rsidRDefault="00B84589">
      <w:pPr>
        <w:spacing w:after="160" w:line="259" w:lineRule="auto"/>
        <w:textAlignment w:val="auto"/>
        <w:rPr>
          <w:rFonts w:ascii="Interstate" w:hAnsi="Interstate"/>
          <w:b/>
          <w:bCs/>
          <w:color w:val="000000" w:themeColor="text1"/>
          <w:sz w:val="28"/>
          <w:szCs w:val="28"/>
        </w:rPr>
      </w:pPr>
      <w:bookmarkStart w:id="33" w:name="_Toc146213857"/>
      <w:bookmarkStart w:id="34" w:name="_Hlk145947450"/>
      <w:r w:rsidRPr="008C74A3">
        <w:br w:type="page"/>
      </w:r>
    </w:p>
    <w:p w14:paraId="299A7E01" w14:textId="75FA4036" w:rsidR="00CE7217" w:rsidRPr="008C74A3" w:rsidRDefault="005E32EF" w:rsidP="00DB1B70">
      <w:pPr>
        <w:pStyle w:val="Heading2"/>
      </w:pPr>
      <w:bookmarkStart w:id="35" w:name="_Toc148384185"/>
      <w:r w:rsidRPr="008C74A3">
        <w:lastRenderedPageBreak/>
        <w:t xml:space="preserve">Section 1: </w:t>
      </w:r>
      <w:r w:rsidR="00CE7217" w:rsidRPr="008C74A3">
        <w:t>Foundations</w:t>
      </w:r>
      <w:bookmarkEnd w:id="33"/>
      <w:bookmarkEnd w:id="35"/>
    </w:p>
    <w:p w14:paraId="5F0CAD92" w14:textId="01B5E58D" w:rsidR="005B2025" w:rsidRPr="008C74A3" w:rsidRDefault="00CE7217" w:rsidP="005807D4">
      <w:pPr>
        <w:pStyle w:val="Heading3"/>
        <w:ind w:left="360"/>
      </w:pPr>
      <w:bookmarkStart w:id="36" w:name="_Toc148384186"/>
      <w:r w:rsidRPr="008C74A3">
        <w:t>Users and Objectives</w:t>
      </w:r>
      <w:r w:rsidR="00DA3396" w:rsidRPr="008C74A3">
        <w:t xml:space="preserve"> of Impact Performance Reports</w:t>
      </w:r>
      <w:bookmarkEnd w:id="36"/>
      <w:r w:rsidR="005B2025" w:rsidRPr="008C74A3">
        <w:t xml:space="preserve">  </w:t>
      </w:r>
    </w:p>
    <w:p w14:paraId="2C6DD0F1" w14:textId="26DC80A1" w:rsidR="005B2025" w:rsidRPr="008C74A3" w:rsidRDefault="007353D6" w:rsidP="00570ED2">
      <w:pPr>
        <w:spacing w:after="120"/>
      </w:pPr>
      <w:r w:rsidRPr="008C74A3">
        <w:t>T</w:t>
      </w:r>
      <w:r w:rsidR="005B2025" w:rsidRPr="008C74A3">
        <w:t xml:space="preserve">he primary users of an </w:t>
      </w:r>
      <w:r w:rsidR="007D6D4A" w:rsidRPr="008C74A3">
        <w:t>entity’s</w:t>
      </w:r>
      <w:r w:rsidR="005B2025" w:rsidRPr="008C74A3">
        <w:t xml:space="preserve"> impact </w:t>
      </w:r>
      <w:r w:rsidR="000F5298" w:rsidRPr="008C74A3">
        <w:t xml:space="preserve">performance </w:t>
      </w:r>
      <w:r w:rsidR="005B2025" w:rsidRPr="008C74A3">
        <w:t xml:space="preserve">report are </w:t>
      </w:r>
      <w:r w:rsidRPr="008C74A3">
        <w:t xml:space="preserve">assumed to be the </w:t>
      </w:r>
      <w:r w:rsidR="005B2025" w:rsidRPr="008C74A3">
        <w:t xml:space="preserve">providers of capital to the </w:t>
      </w:r>
      <w:r w:rsidR="007D6D4A" w:rsidRPr="008C74A3">
        <w:t>entity</w:t>
      </w:r>
      <w:r w:rsidR="005B2025" w:rsidRPr="008C74A3">
        <w:t xml:space="preserve"> (i.e., asset owners and allocators). Other users</w:t>
      </w:r>
      <w:r w:rsidR="003F3326" w:rsidRPr="008C74A3">
        <w:t xml:space="preserve"> may</w:t>
      </w:r>
      <w:r w:rsidR="005B2025" w:rsidRPr="008C74A3">
        <w:t xml:space="preserve"> include policymakers, regulators, civil society organizations, current and prospective employees of the </w:t>
      </w:r>
      <w:r w:rsidR="007D6D4A" w:rsidRPr="008C74A3">
        <w:t>entity</w:t>
      </w:r>
      <w:r w:rsidR="005B2025" w:rsidRPr="008C74A3">
        <w:t>, and</w:t>
      </w:r>
      <w:r w:rsidR="003F3326" w:rsidRPr="008C74A3">
        <w:t>/or</w:t>
      </w:r>
      <w:r w:rsidR="005B2025" w:rsidRPr="008C74A3">
        <w:t xml:space="preserve"> stakeholders affiliated with companies in the </w:t>
      </w:r>
      <w:r w:rsidR="007D6D4A" w:rsidRPr="008C74A3">
        <w:t>entity’s</w:t>
      </w:r>
      <w:r w:rsidR="005B2025" w:rsidRPr="008C74A3">
        <w:t xml:space="preserve"> portfolio, including managers, employees, suppliers, customers,</w:t>
      </w:r>
      <w:r w:rsidR="00734B44" w:rsidRPr="008C74A3">
        <w:t xml:space="preserve"> and</w:t>
      </w:r>
      <w:r w:rsidR="005B2025" w:rsidRPr="008C74A3">
        <w:t xml:space="preserve"> </w:t>
      </w:r>
      <w:r w:rsidR="00070D51" w:rsidRPr="008C74A3">
        <w:t xml:space="preserve">local </w:t>
      </w:r>
      <w:r w:rsidR="00A54093" w:rsidRPr="008C74A3">
        <w:t>communities</w:t>
      </w:r>
      <w:r w:rsidR="005B2025" w:rsidRPr="008C74A3">
        <w:t>.</w:t>
      </w:r>
    </w:p>
    <w:p w14:paraId="756D9A51" w14:textId="204222E7" w:rsidR="00B2327F" w:rsidRPr="008C74A3" w:rsidRDefault="00B2327F" w:rsidP="00570ED2">
      <w:pPr>
        <w:spacing w:after="120"/>
        <w:rPr>
          <w:color w:val="000000" w:themeColor="text1"/>
        </w:rPr>
      </w:pPr>
      <w:r w:rsidRPr="008C74A3">
        <w:t xml:space="preserve">The </w:t>
      </w:r>
      <w:r w:rsidR="00756AB7" w:rsidRPr="008C74A3">
        <w:t xml:space="preserve">draft </w:t>
      </w:r>
      <w:r w:rsidRPr="008C74A3">
        <w:t xml:space="preserve">Norms focus on the needs of these primary users under the assumption that </w:t>
      </w:r>
      <w:sdt>
        <w:sdtPr>
          <w:tag w:val="goog_rdk_31"/>
          <w:id w:val="931169873"/>
        </w:sdtPr>
        <w:sdtContent/>
      </w:sdt>
      <w:r w:rsidRPr="008C74A3">
        <w:t xml:space="preserve">they seek to understand the impacts of </w:t>
      </w:r>
      <w:r w:rsidR="007D6D4A" w:rsidRPr="008C74A3">
        <w:t>the entity</w:t>
      </w:r>
      <w:r w:rsidRPr="008C74A3">
        <w:t xml:space="preserve"> and investee enterprises on the well</w:t>
      </w:r>
      <w:r w:rsidR="00F3145A" w:rsidRPr="008C74A3">
        <w:t>-</w:t>
      </w:r>
      <w:r w:rsidRPr="008C74A3">
        <w:t xml:space="preserve">being of </w:t>
      </w:r>
      <w:r w:rsidR="00734B44" w:rsidRPr="008C74A3">
        <w:t>stakeholder</w:t>
      </w:r>
      <w:r w:rsidRPr="008C74A3">
        <w:t xml:space="preserve">s and the natural environment, so that they can make investment and engagement decisions that are informed by the experiences and interests of </w:t>
      </w:r>
      <w:r w:rsidR="00734B44" w:rsidRPr="008C74A3">
        <w:t>stakeholder</w:t>
      </w:r>
      <w:r w:rsidRPr="008C74A3">
        <w:t>s and the natural environment.</w:t>
      </w:r>
    </w:p>
    <w:p w14:paraId="78A98D81" w14:textId="66822AAD" w:rsidR="002038CB" w:rsidRPr="008C74A3" w:rsidRDefault="002038CB" w:rsidP="00570ED2">
      <w:pPr>
        <w:spacing w:after="120"/>
        <w:rPr>
          <w:color w:val="000000" w:themeColor="text1"/>
        </w:rPr>
      </w:pPr>
      <w:r w:rsidRPr="008C74A3">
        <w:rPr>
          <w:color w:val="000000" w:themeColor="text1"/>
        </w:rPr>
        <w:t xml:space="preserve">The </w:t>
      </w:r>
      <w:r w:rsidR="00756AB7" w:rsidRPr="008C74A3">
        <w:rPr>
          <w:color w:val="000000" w:themeColor="text1"/>
        </w:rPr>
        <w:t xml:space="preserve">draft </w:t>
      </w:r>
      <w:r w:rsidRPr="008C74A3">
        <w:rPr>
          <w:color w:val="000000" w:themeColor="text1"/>
        </w:rPr>
        <w:t>Norms assume</w:t>
      </w:r>
      <w:r w:rsidRPr="008C74A3">
        <w:t xml:space="preserve"> that impact performance reports would be shared privately with asset owners rather than publicly. However, </w:t>
      </w:r>
      <w:r w:rsidR="008C74A3" w:rsidRPr="008C74A3">
        <w:t>publicly funded</w:t>
      </w:r>
      <w:r w:rsidRPr="008C74A3">
        <w:t xml:space="preserve"> entities such as international organizations and non-profits may wish to make their impact performance reports publicly available.</w:t>
      </w:r>
    </w:p>
    <w:p w14:paraId="5E8B3024" w14:textId="4A6ABAD2" w:rsidR="002038CB" w:rsidRPr="008C74A3" w:rsidRDefault="005F2114" w:rsidP="00570ED2">
      <w:pPr>
        <w:spacing w:after="120"/>
      </w:pPr>
      <w:r w:rsidRPr="008C74A3">
        <w:t xml:space="preserve">Users may need to interpret impact performance reports </w:t>
      </w:r>
      <w:proofErr w:type="gramStart"/>
      <w:r w:rsidRPr="008C74A3">
        <w:t>in light of</w:t>
      </w:r>
      <w:proofErr w:type="gramEnd"/>
      <w:r w:rsidRPr="008C74A3">
        <w:t xml:space="preserve"> information that comes from other sources and is not specific to the entity. For instance, i</w:t>
      </w:r>
      <w:r w:rsidR="00BC608E" w:rsidRPr="008C74A3">
        <w:t>nformation such as scientific thresholds</w:t>
      </w:r>
      <w:r w:rsidRPr="008C74A3">
        <w:t xml:space="preserve">, </w:t>
      </w:r>
      <w:r w:rsidR="00BC608E" w:rsidRPr="008C74A3">
        <w:t xml:space="preserve">social norms, </w:t>
      </w:r>
      <w:r w:rsidRPr="008C74A3">
        <w:t xml:space="preserve">and contextual information about </w:t>
      </w:r>
      <w:r w:rsidR="00734B44" w:rsidRPr="008C74A3">
        <w:t>stakeholder</w:t>
      </w:r>
      <w:r w:rsidRPr="008C74A3">
        <w:t xml:space="preserve">s and the natural environment </w:t>
      </w:r>
      <w:r w:rsidR="00BC608E" w:rsidRPr="008C74A3">
        <w:t>may al</w:t>
      </w:r>
      <w:r w:rsidR="00486742" w:rsidRPr="008C74A3">
        <w:t>l</w:t>
      </w:r>
      <w:r w:rsidR="00BC608E" w:rsidRPr="008C74A3">
        <w:t xml:space="preserve"> influence </w:t>
      </w:r>
      <w:r w:rsidRPr="008C74A3">
        <w:t xml:space="preserve">users’ interpretation of impact. </w:t>
      </w:r>
    </w:p>
    <w:p w14:paraId="70230817" w14:textId="4DF273B4" w:rsidR="00486742" w:rsidRPr="008C74A3" w:rsidRDefault="002038CB" w:rsidP="00570ED2">
      <w:pPr>
        <w:spacing w:after="120"/>
      </w:pPr>
      <w:bookmarkStart w:id="37" w:name="_Hlk147861120"/>
      <w:r w:rsidRPr="008C74A3">
        <w:t xml:space="preserve">Impact </w:t>
      </w:r>
      <w:r w:rsidR="00B919B8" w:rsidRPr="008C74A3">
        <w:t xml:space="preserve">performance </w:t>
      </w:r>
      <w:r w:rsidRPr="008C74A3">
        <w:t xml:space="preserve">reporting is at a nascent stage as compared with financial reporting. </w:t>
      </w:r>
      <w:r w:rsidR="00AD78C7" w:rsidRPr="008C74A3">
        <w:t>T</w:t>
      </w:r>
      <w:r w:rsidR="00486742" w:rsidRPr="008C74A3">
        <w:t xml:space="preserve">he Norms </w:t>
      </w:r>
      <w:r w:rsidR="00AD78C7" w:rsidRPr="008C74A3">
        <w:t>begin the process of incorporating elements of the Conceptual Framework alongside existing practices of impact management. This integration can be taken further as the market matures. I</w:t>
      </w:r>
      <w:r w:rsidR="00486742" w:rsidRPr="008C74A3">
        <w:t>mpact performance reports prepared in accordance with the Norms</w:t>
      </w:r>
      <w:r w:rsidR="00AD78C7" w:rsidRPr="008C74A3">
        <w:t xml:space="preserve"> may represent an improvement over existing impact reports, but they do not </w:t>
      </w:r>
      <w:r w:rsidR="00FC3D45" w:rsidRPr="008C74A3">
        <w:t>give as complete a view of impact performance as financial statements</w:t>
      </w:r>
      <w:r w:rsidR="00486742" w:rsidRPr="008C74A3">
        <w:t xml:space="preserve"> prepared using the Conceptual Framework and IASB’s standards</w:t>
      </w:r>
      <w:r w:rsidR="00FC3D45" w:rsidRPr="008C74A3">
        <w:t xml:space="preserve"> give of financial performance</w:t>
      </w:r>
      <w:r w:rsidR="00486742" w:rsidRPr="008C74A3">
        <w:t xml:space="preserve">. </w:t>
      </w:r>
    </w:p>
    <w:bookmarkEnd w:id="34"/>
    <w:bookmarkEnd w:id="37"/>
    <w:p w14:paraId="180A3AE2" w14:textId="77777777" w:rsidR="00486742" w:rsidRPr="008C74A3" w:rsidRDefault="00486742" w:rsidP="00570ED2">
      <w:pPr>
        <w:spacing w:after="120"/>
      </w:pPr>
    </w:p>
    <w:p w14:paraId="19CF122C" w14:textId="00A4588E" w:rsidR="005344C1" w:rsidRPr="008C74A3" w:rsidRDefault="00BA4749" w:rsidP="00DB1B70">
      <w:pPr>
        <w:rPr>
          <w:rFonts w:ascii="Interstate" w:hAnsi="Interstate"/>
          <w:b/>
          <w:bCs/>
          <w:color w:val="000000" w:themeColor="text1"/>
          <w:sz w:val="24"/>
          <w:szCs w:val="24"/>
          <w:highlight w:val="lightGray"/>
        </w:rPr>
      </w:pPr>
      <w:r w:rsidRPr="008C74A3">
        <w:rPr>
          <w:noProof/>
        </w:rPr>
        <w:lastRenderedPageBreak/>
        <mc:AlternateContent>
          <mc:Choice Requires="wps">
            <w:drawing>
              <wp:anchor distT="45720" distB="45720" distL="114300" distR="114300" simplePos="0" relativeHeight="251675648" behindDoc="0" locked="0" layoutInCell="1" allowOverlap="1" wp14:anchorId="24149BFE" wp14:editId="76E5CA3A">
                <wp:simplePos x="0" y="0"/>
                <wp:positionH relativeFrom="margin">
                  <wp:posOffset>82550</wp:posOffset>
                </wp:positionH>
                <wp:positionV relativeFrom="paragraph">
                  <wp:posOffset>276225</wp:posOffset>
                </wp:positionV>
                <wp:extent cx="5919470" cy="1404620"/>
                <wp:effectExtent l="0" t="0" r="241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00232A8B" w14:textId="1646BD3D" w:rsidR="00B60A70" w:rsidRPr="008F5B1A" w:rsidRDefault="00B60A70" w:rsidP="00570ED2">
                            <w:pPr>
                              <w:spacing w:after="120"/>
                            </w:pPr>
                            <w:r w:rsidRPr="008F5B1A">
                              <w:t>Excerpt</w:t>
                            </w:r>
                            <w:r w:rsidR="00B43996" w:rsidRPr="008F5B1A">
                              <w:t>s</w:t>
                            </w:r>
                            <w:r w:rsidRPr="008F5B1A">
                              <w:t xml:space="preserve"> from </w:t>
                            </w:r>
                            <w:r w:rsidR="005F2114">
                              <w:t>Conceptual Framework,</w:t>
                            </w:r>
                            <w:r w:rsidR="008F5B1A" w:rsidRPr="008F5B1A">
                              <w:t xml:space="preserve"> </w:t>
                            </w:r>
                            <w:r w:rsidRPr="008F5B1A">
                              <w:t>Chapter 1</w:t>
                            </w:r>
                          </w:p>
                          <w:p w14:paraId="736AC001" w14:textId="03CDE6DB" w:rsidR="00B60A70" w:rsidRPr="008F5B1A" w:rsidRDefault="00B60A70" w:rsidP="00570ED2">
                            <w:pPr>
                              <w:spacing w:after="120"/>
                            </w:pPr>
                            <w:r w:rsidRPr="008F5B1A">
                              <w:t>1.2</w:t>
                            </w:r>
                            <w:r w:rsidRPr="008F5B1A">
                              <w:tab/>
                              <w:t>The objective of general purpose financial reporting is to provide financial information about the reporting entity that is useful to existing and potential investors, lenders and other creditors in making decisions relating to providing resources to the entity.</w:t>
                            </w:r>
                          </w:p>
                          <w:p w14:paraId="1338B218" w14:textId="406EFBBE" w:rsidR="00B60A70" w:rsidRPr="008F5B1A" w:rsidRDefault="00E64D88" w:rsidP="00570ED2">
                            <w:pPr>
                              <w:spacing w:after="120"/>
                            </w:pPr>
                            <w:r w:rsidRPr="008F5B1A">
                              <w:t>1.3</w:t>
                            </w:r>
                            <w:r w:rsidRPr="008F5B1A">
                              <w:tab/>
                              <w:t>The decisions described in paragraph 1.2 depend on the [financial] returns that existing and potential investors, lenders and other creditors expect.</w:t>
                            </w:r>
                          </w:p>
                          <w:p w14:paraId="0CD76ACE" w14:textId="53682DAB" w:rsidR="00E64D88" w:rsidRDefault="00E64D88" w:rsidP="00570ED2">
                            <w:pPr>
                              <w:spacing w:after="120"/>
                            </w:pPr>
                            <w:r w:rsidRPr="008F5B1A">
                              <w:t xml:space="preserve">1.4 </w:t>
                            </w:r>
                            <w:r w:rsidRPr="008F5B1A">
                              <w:tab/>
                              <w:t>To make the assessments described in paragraph 1.3, existing and potential investors, lenders and other creditors need information about: (a) the economic resources of the entity, claims against the entity and changes in those resources and claims; and (b) how efficiently and effectively the entity’s management and governing board have discharged their responsibilities to use the entity’s economic resources.</w:t>
                            </w:r>
                          </w:p>
                          <w:p w14:paraId="29F40B51" w14:textId="5E7FB297" w:rsidR="00BC608E" w:rsidRPr="008F5B1A" w:rsidRDefault="00BC608E" w:rsidP="00570ED2">
                            <w:pPr>
                              <w:spacing w:after="120"/>
                            </w:pPr>
                            <w:r>
                              <w:t xml:space="preserve">1.5 </w:t>
                            </w:r>
                            <w:r>
                              <w:tab/>
                            </w:r>
                            <w:r w:rsidRPr="00BC608E">
                              <w:t>Many existing and potential investors, lenders and other creditors cannot</w:t>
                            </w:r>
                            <w:r>
                              <w:t xml:space="preserve"> </w:t>
                            </w:r>
                            <w:r w:rsidRPr="00BC608E">
                              <w:t>require reporting entities to provide information directly to them and must</w:t>
                            </w:r>
                            <w:r>
                              <w:t xml:space="preserve"> </w:t>
                            </w:r>
                            <w:r w:rsidRPr="00BC608E">
                              <w:t>rely on general purpose financial reports for much of the financial</w:t>
                            </w:r>
                            <w:r>
                              <w:t xml:space="preserve"> </w:t>
                            </w:r>
                            <w:r w:rsidRPr="00BC608E">
                              <w:t>information they need. Consequently, they are the primary users to whom</w:t>
                            </w:r>
                            <w:r>
                              <w:t xml:space="preserve"> </w:t>
                            </w:r>
                            <w:r w:rsidRPr="00BC608E">
                              <w:t>general purpose financial reports are directed.</w:t>
                            </w:r>
                          </w:p>
                          <w:p w14:paraId="0F498ED8" w14:textId="229B6805" w:rsidR="00E64D88" w:rsidRDefault="00E64D88" w:rsidP="00570ED2">
                            <w:pPr>
                              <w:spacing w:after="120"/>
                            </w:pPr>
                            <w:r w:rsidRPr="008F5B1A">
                              <w:t>1.6</w:t>
                            </w:r>
                            <w:r w:rsidRPr="008F5B1A">
                              <w:tab/>
                              <w:t>General purpose financial reports do not and cannot provide all of the information that existing and potential investors, lenders and other creditors need. Those users need to consider pertinent information from other sources, for example, general economic conditions and expectations, political events and political climate, and industry and company outlooks.</w:t>
                            </w:r>
                          </w:p>
                          <w:p w14:paraId="2EA16CE2" w14:textId="4B333656" w:rsidR="00BC608E" w:rsidRPr="008F5B1A" w:rsidRDefault="00BC608E" w:rsidP="00570ED2">
                            <w:pPr>
                              <w:spacing w:after="120"/>
                            </w:pPr>
                            <w:r>
                              <w:t>1.7</w:t>
                            </w:r>
                            <w:r>
                              <w:tab/>
                            </w:r>
                            <w:r w:rsidRPr="00BC608E">
                              <w:t>General purpose financial reports are not designed to show the value of a</w:t>
                            </w:r>
                            <w:r>
                              <w:t xml:space="preserve"> </w:t>
                            </w:r>
                            <w:r w:rsidRPr="00BC608E">
                              <w:t>reporting entity; b</w:t>
                            </w:r>
                            <w:r>
                              <w:t>u</w:t>
                            </w:r>
                            <w:r w:rsidRPr="00BC608E">
                              <w:t>t they provide information to help existing and potential</w:t>
                            </w:r>
                            <w:r>
                              <w:t xml:space="preserve"> </w:t>
                            </w:r>
                            <w:r w:rsidRPr="00BC608E">
                              <w:t>investors, lenders and other creditors to estimate the value of the reporting</w:t>
                            </w:r>
                            <w:r>
                              <w:t xml:space="preserve"> </w:t>
                            </w:r>
                            <w:r w:rsidRPr="00BC608E">
                              <w:t>entity.</w:t>
                            </w:r>
                          </w:p>
                          <w:p w14:paraId="38F97289" w14:textId="3F73FEB6" w:rsidR="00D772B6" w:rsidRDefault="00D772B6" w:rsidP="00570ED2">
                            <w:pPr>
                              <w:spacing w:after="120"/>
                            </w:pPr>
                            <w:r w:rsidRPr="008F5B1A">
                              <w:t>1.8</w:t>
                            </w:r>
                            <w:r w:rsidRPr="008F5B1A">
                              <w:tab/>
                              <w:t>Individual primary users have different, and possibly conflicting, information needs and desires. The Board, in developing Standards, will seek to provide the information set that will meet the needs of the maximum number of primary users. However, focusing on common information needs does not prevent the reporting entity from including additional information that is most useful to a particular subset of primary users.</w:t>
                            </w:r>
                          </w:p>
                          <w:p w14:paraId="2AD0ECB3" w14:textId="2A6AFF44" w:rsidR="005F2114" w:rsidRPr="008F5B1A" w:rsidRDefault="005F2114" w:rsidP="00570ED2">
                            <w:pPr>
                              <w:spacing w:after="120"/>
                            </w:pPr>
                            <w:r>
                              <w:t>1.9</w:t>
                            </w:r>
                            <w:r>
                              <w:tab/>
                            </w:r>
                            <w:r w:rsidRPr="005F2114">
                              <w:t>To a large extent, financial reports are based on estimates, judgements and</w:t>
                            </w:r>
                            <w:r>
                              <w:t xml:space="preserve"> </w:t>
                            </w:r>
                            <w:r w:rsidRPr="005F2114">
                              <w:t>models rather than exact depictions. The Conceptual Framework establishes the</w:t>
                            </w:r>
                            <w:r>
                              <w:t xml:space="preserve"> </w:t>
                            </w:r>
                            <w:r w:rsidRPr="005F2114">
                              <w:t>concepts that underlie those estimates, judgements and models. The concepts</w:t>
                            </w:r>
                            <w:r>
                              <w:t xml:space="preserve"> </w:t>
                            </w:r>
                            <w:r w:rsidRPr="005F2114">
                              <w:t>are the goal towards which the Board and preparers of financial reports strive.</w:t>
                            </w:r>
                            <w:r>
                              <w:t xml:space="preserve"> </w:t>
                            </w:r>
                            <w:r w:rsidRPr="005F2114">
                              <w:t>As with most goals, the Conceptual Framework’s vision of ideal financial</w:t>
                            </w:r>
                            <w:r>
                              <w:t xml:space="preserve"> </w:t>
                            </w:r>
                            <w:r w:rsidRPr="005F2114">
                              <w:t>reporting is unlikely to be achieved in full, at least not in the short term,</w:t>
                            </w:r>
                            <w:r>
                              <w:t xml:space="preserve"> </w:t>
                            </w:r>
                            <w:r w:rsidRPr="005F2114">
                              <w:t>because it takes time to understand, accept and implement new ways of</w:t>
                            </w:r>
                            <w:r>
                              <w:t xml:space="preserve"> </w:t>
                            </w:r>
                            <w:r w:rsidRPr="005F2114">
                              <w:t>analysing transactions and other events. Nevertheless, establishing a goal</w:t>
                            </w:r>
                            <w:r>
                              <w:t xml:space="preserve"> t</w:t>
                            </w:r>
                            <w:r w:rsidRPr="005F2114">
                              <w:t>owards which to strive is essential if financial reporting is to evolve so as to</w:t>
                            </w:r>
                            <w:r>
                              <w:t xml:space="preserve"> </w:t>
                            </w:r>
                            <w:r w:rsidRPr="005F2114">
                              <w:t>improve its usefulness.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149BFE" id="Text Box 2" o:spid="_x0000_s1027" type="#_x0000_t202" style="position:absolute;margin-left:6.5pt;margin-top:21.75pt;width:466.1pt;height:110.6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">
                <v:textbox style="mso-fit-shape-to-text:t">
                  <w:txbxContent>
                    <w:p w14:paraId="00232A8B" w14:textId="1646BD3D" w:rsidR="00B60A70" w:rsidRPr="008F5B1A" w:rsidRDefault="00B60A70" w:rsidP="00570ED2">
                      <w:pPr>
                        <w:spacing w:after="120"/>
                      </w:pPr>
                      <w:r w:rsidRPr="008F5B1A">
                        <w:t>Excerpt</w:t>
                      </w:r>
                      <w:r w:rsidR="00B43996" w:rsidRPr="008F5B1A">
                        <w:t>s</w:t>
                      </w:r>
                      <w:r w:rsidRPr="008F5B1A">
                        <w:t xml:space="preserve"> from </w:t>
                      </w:r>
                      <w:r w:rsidR="005F2114">
                        <w:t>Conceptual Framework,</w:t>
                      </w:r>
                      <w:r w:rsidR="008F5B1A" w:rsidRPr="008F5B1A">
                        <w:t xml:space="preserve"> </w:t>
                      </w:r>
                      <w:r w:rsidRPr="008F5B1A">
                        <w:t>Chapter 1</w:t>
                      </w:r>
                    </w:p>
                    <w:p w14:paraId="736AC001" w14:textId="03CDE6DB" w:rsidR="00B60A70" w:rsidRPr="008F5B1A" w:rsidRDefault="00B60A70" w:rsidP="00570ED2">
                      <w:pPr>
                        <w:spacing w:after="120"/>
                      </w:pPr>
                      <w:r w:rsidRPr="008F5B1A">
                        <w:t>1.2</w:t>
                      </w:r>
                      <w:r w:rsidRPr="008F5B1A">
                        <w:tab/>
                        <w:t>The objective of general purpose financial reporting is to provide financial information about the reporting entity that is useful to existing and potential investors, lenders and other creditors in making decisions relating to providing resources to the entity.</w:t>
                      </w:r>
                    </w:p>
                    <w:p w14:paraId="1338B218" w14:textId="406EFBBE" w:rsidR="00B60A70" w:rsidRPr="008F5B1A" w:rsidRDefault="00E64D88" w:rsidP="00570ED2">
                      <w:pPr>
                        <w:spacing w:after="120"/>
                      </w:pPr>
                      <w:r w:rsidRPr="008F5B1A">
                        <w:t>1.3</w:t>
                      </w:r>
                      <w:r w:rsidRPr="008F5B1A">
                        <w:tab/>
                        <w:t>The decisions described in paragraph 1.2 depend on the [financial] returns that existing and potential investors, lenders and other creditors expect.</w:t>
                      </w:r>
                    </w:p>
                    <w:p w14:paraId="0CD76ACE" w14:textId="53682DAB" w:rsidR="00E64D88" w:rsidRDefault="00E64D88" w:rsidP="00570ED2">
                      <w:pPr>
                        <w:spacing w:after="120"/>
                      </w:pPr>
                      <w:r w:rsidRPr="008F5B1A">
                        <w:t xml:space="preserve">1.4 </w:t>
                      </w:r>
                      <w:r w:rsidRPr="008F5B1A">
                        <w:tab/>
                        <w:t>To make the assessments described in paragraph 1.3, existing and potential investors, lenders and other creditors need information about: (a) the economic resources of the entity, claims against the entity and changes in those resources and claims; and (b) how efficiently and effectively the entity’s management and governing board have discharged their responsibilities to use the entity’s economic resources.</w:t>
                      </w:r>
                    </w:p>
                    <w:p w14:paraId="29F40B51" w14:textId="5E7FB297" w:rsidR="00BC608E" w:rsidRPr="008F5B1A" w:rsidRDefault="00BC608E" w:rsidP="00570ED2">
                      <w:pPr>
                        <w:spacing w:after="120"/>
                      </w:pPr>
                      <w:r>
                        <w:t xml:space="preserve">1.5 </w:t>
                      </w:r>
                      <w:r>
                        <w:tab/>
                      </w:r>
                      <w:r w:rsidRPr="00BC608E">
                        <w:t>Many existing and potential investors, lenders and other creditors cannot</w:t>
                      </w:r>
                      <w:r>
                        <w:t xml:space="preserve"> </w:t>
                      </w:r>
                      <w:r w:rsidRPr="00BC608E">
                        <w:t>require reporting entities to provide information directly to them and must</w:t>
                      </w:r>
                      <w:r>
                        <w:t xml:space="preserve"> </w:t>
                      </w:r>
                      <w:r w:rsidRPr="00BC608E">
                        <w:t>rely on general purpose financial reports for much of the financial</w:t>
                      </w:r>
                      <w:r>
                        <w:t xml:space="preserve"> </w:t>
                      </w:r>
                      <w:r w:rsidRPr="00BC608E">
                        <w:t>information they need. Consequently, they are the primary users to whom</w:t>
                      </w:r>
                      <w:r>
                        <w:t xml:space="preserve"> </w:t>
                      </w:r>
                      <w:r w:rsidRPr="00BC608E">
                        <w:t>general purpose financial reports are directed.</w:t>
                      </w:r>
                    </w:p>
                    <w:p w14:paraId="0F498ED8" w14:textId="229B6805" w:rsidR="00E64D88" w:rsidRDefault="00E64D88" w:rsidP="00570ED2">
                      <w:pPr>
                        <w:spacing w:after="120"/>
                      </w:pPr>
                      <w:r w:rsidRPr="008F5B1A">
                        <w:t>1.6</w:t>
                      </w:r>
                      <w:r w:rsidRPr="008F5B1A">
                        <w:tab/>
                        <w:t>General purpose financial reports do not and cannot provide all of the information that existing and potential investors, lenders and other creditors need. Those users need to consider pertinent information from other sources, for example, general economic conditions and expectations, political events and political climate, and industry and company outlooks.</w:t>
                      </w:r>
                    </w:p>
                    <w:p w14:paraId="2EA16CE2" w14:textId="4B333656" w:rsidR="00BC608E" w:rsidRPr="008F5B1A" w:rsidRDefault="00BC608E" w:rsidP="00570ED2">
                      <w:pPr>
                        <w:spacing w:after="120"/>
                      </w:pPr>
                      <w:r>
                        <w:t>1.7</w:t>
                      </w:r>
                      <w:r>
                        <w:tab/>
                      </w:r>
                      <w:r w:rsidRPr="00BC608E">
                        <w:t>General purpose financial reports are not designed to show the value of a</w:t>
                      </w:r>
                      <w:r>
                        <w:t xml:space="preserve"> </w:t>
                      </w:r>
                      <w:r w:rsidRPr="00BC608E">
                        <w:t>reporting entity; b</w:t>
                      </w:r>
                      <w:r>
                        <w:t>u</w:t>
                      </w:r>
                      <w:r w:rsidRPr="00BC608E">
                        <w:t>t they provide information to help existing and potential</w:t>
                      </w:r>
                      <w:r>
                        <w:t xml:space="preserve"> </w:t>
                      </w:r>
                      <w:r w:rsidRPr="00BC608E">
                        <w:t>investors, lenders and other creditors to estimate the value of the reporting</w:t>
                      </w:r>
                      <w:r>
                        <w:t xml:space="preserve"> </w:t>
                      </w:r>
                      <w:r w:rsidRPr="00BC608E">
                        <w:t>entity.</w:t>
                      </w:r>
                    </w:p>
                    <w:p w14:paraId="38F97289" w14:textId="3F73FEB6" w:rsidR="00D772B6" w:rsidRDefault="00D772B6" w:rsidP="00570ED2">
                      <w:pPr>
                        <w:spacing w:after="120"/>
                      </w:pPr>
                      <w:r w:rsidRPr="008F5B1A">
                        <w:t>1.8</w:t>
                      </w:r>
                      <w:r w:rsidRPr="008F5B1A">
                        <w:tab/>
                        <w:t>Individual primary users have different, and possibly conflicting, information needs and desires. The Board, in developing Standards, will seek to provide the information set that will meet the needs of the maximum number of primary users. However, focusing on common information needs does not prevent the reporting entity from including additional information that is most useful to a particular subset of primary users.</w:t>
                      </w:r>
                    </w:p>
                    <w:p w14:paraId="2AD0ECB3" w14:textId="2A6AFF44" w:rsidR="005F2114" w:rsidRPr="008F5B1A" w:rsidRDefault="005F2114" w:rsidP="00570ED2">
                      <w:pPr>
                        <w:spacing w:after="120"/>
                      </w:pPr>
                      <w:r>
                        <w:t>1.9</w:t>
                      </w:r>
                      <w:r>
                        <w:tab/>
                      </w:r>
                      <w:r w:rsidRPr="005F2114">
                        <w:t>To a large extent, financial reports are based on estimates, judgements and</w:t>
                      </w:r>
                      <w:r>
                        <w:t xml:space="preserve"> </w:t>
                      </w:r>
                      <w:r w:rsidRPr="005F2114">
                        <w:t>models rather than exact depictions. The Conceptual Framework establishes the</w:t>
                      </w:r>
                      <w:r>
                        <w:t xml:space="preserve"> </w:t>
                      </w:r>
                      <w:r w:rsidRPr="005F2114">
                        <w:t>concepts that underlie those estimates, judgements and models. The concepts</w:t>
                      </w:r>
                      <w:r>
                        <w:t xml:space="preserve"> </w:t>
                      </w:r>
                      <w:r w:rsidRPr="005F2114">
                        <w:t>are the goal towards which the Board and preparers of financial reports strive.</w:t>
                      </w:r>
                      <w:r>
                        <w:t xml:space="preserve"> </w:t>
                      </w:r>
                      <w:r w:rsidRPr="005F2114">
                        <w:t>As with most goals, the Conceptual Framework’s vision of ideal financial</w:t>
                      </w:r>
                      <w:r>
                        <w:t xml:space="preserve"> </w:t>
                      </w:r>
                      <w:r w:rsidRPr="005F2114">
                        <w:t>reporting is unlikely to be achieved in full, at least not in the short term,</w:t>
                      </w:r>
                      <w:r>
                        <w:t xml:space="preserve"> </w:t>
                      </w:r>
                      <w:r w:rsidRPr="005F2114">
                        <w:t>because it takes time to understand, accept and implement new ways of</w:t>
                      </w:r>
                      <w:r>
                        <w:t xml:space="preserve"> </w:t>
                      </w:r>
                      <w:r w:rsidRPr="005F2114">
                        <w:t>analysing transactions and other events. Nevertheless, establishing a goal</w:t>
                      </w:r>
                      <w:r>
                        <w:t xml:space="preserve"> t</w:t>
                      </w:r>
                      <w:r w:rsidRPr="005F2114">
                        <w:t>owards which to strive is essential if financial reporting is to evolve so as to</w:t>
                      </w:r>
                      <w:r>
                        <w:t xml:space="preserve"> </w:t>
                      </w:r>
                      <w:r w:rsidRPr="005F2114">
                        <w:t>improve its usefulness.</w:t>
                      </w:r>
                    </w:p>
                  </w:txbxContent>
                </v:textbox>
                <w10:wrap type="square" anchorx="margin"/>
              </v:shape>
            </w:pict>
          </mc:Fallback>
        </mc:AlternateContent>
      </w:r>
      <w:r w:rsidR="00390592" w:rsidRPr="008C74A3">
        <w:rPr>
          <w:highlight w:val="lightGray"/>
        </w:rPr>
        <w:br w:type="page"/>
      </w:r>
      <w:bookmarkStart w:id="38" w:name="_Hlk141359340"/>
    </w:p>
    <w:p w14:paraId="0D5C13E5" w14:textId="5A330AA4" w:rsidR="00CE7217" w:rsidRPr="008C74A3" w:rsidRDefault="00CE7217" w:rsidP="00E02B14">
      <w:pPr>
        <w:pStyle w:val="Heading3"/>
      </w:pPr>
      <w:bookmarkStart w:id="39" w:name="_Toc148384187"/>
      <w:bookmarkStart w:id="40" w:name="_Hlk144971342"/>
      <w:r w:rsidRPr="008C74A3">
        <w:lastRenderedPageBreak/>
        <w:t>Characteristics of Useful Information</w:t>
      </w:r>
      <w:bookmarkEnd w:id="39"/>
    </w:p>
    <w:p w14:paraId="2073E048" w14:textId="4FB8D803" w:rsidR="00CE7217" w:rsidRPr="008C74A3" w:rsidRDefault="00BC75A5" w:rsidP="00103613">
      <w:pPr>
        <w:spacing w:after="120"/>
      </w:pPr>
      <w:r w:rsidRPr="008C74A3">
        <w:rPr>
          <w:noProof/>
        </w:rPr>
        <mc:AlternateContent>
          <mc:Choice Requires="wps">
            <w:drawing>
              <wp:anchor distT="45720" distB="45720" distL="114300" distR="114300" simplePos="0" relativeHeight="251743232" behindDoc="0" locked="0" layoutInCell="1" allowOverlap="1" wp14:anchorId="0405249C" wp14:editId="3ADECD7C">
                <wp:simplePos x="0" y="0"/>
                <wp:positionH relativeFrom="margin">
                  <wp:posOffset>-19050</wp:posOffset>
                </wp:positionH>
                <wp:positionV relativeFrom="paragraph">
                  <wp:posOffset>473710</wp:posOffset>
                </wp:positionV>
                <wp:extent cx="5919470" cy="1404620"/>
                <wp:effectExtent l="0" t="0" r="24130" b="19685"/>
                <wp:wrapSquare wrapText="bothSides"/>
                <wp:docPr id="461988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75EE9B71" w14:textId="77777777" w:rsidR="00CE7217" w:rsidRPr="008F5B1A" w:rsidRDefault="00CE7217" w:rsidP="00570ED2">
                            <w:pPr>
                              <w:spacing w:after="120"/>
                            </w:pPr>
                            <w:r w:rsidRPr="008F5B1A">
                              <w:t xml:space="preserve">Excerpts from </w:t>
                            </w:r>
                            <w:r>
                              <w:t>Conceptual Framework</w:t>
                            </w:r>
                            <w:r w:rsidRPr="008F5B1A">
                              <w:t xml:space="preserve"> Chapter 2 (emphasis added)</w:t>
                            </w:r>
                          </w:p>
                          <w:p w14:paraId="5DCE272C" w14:textId="77777777" w:rsidR="00CE7217" w:rsidRPr="008F5B1A" w:rsidRDefault="00CE7217" w:rsidP="00570ED2">
                            <w:pPr>
                              <w:spacing w:after="120"/>
                            </w:pPr>
                            <w:r w:rsidRPr="008F5B1A">
                              <w:t xml:space="preserve">2.5 </w:t>
                            </w:r>
                            <w:r w:rsidRPr="008F5B1A">
                              <w:tab/>
                              <w:t xml:space="preserve">The fundamental qualitative characteristics are </w:t>
                            </w:r>
                            <w:r w:rsidRPr="008F5B1A">
                              <w:rPr>
                                <w:u w:val="single"/>
                              </w:rPr>
                              <w:t>relevance</w:t>
                            </w:r>
                            <w:r w:rsidRPr="008F5B1A">
                              <w:t xml:space="preserve"> and </w:t>
                            </w:r>
                            <w:r w:rsidRPr="008F5B1A">
                              <w:rPr>
                                <w:u w:val="single"/>
                              </w:rPr>
                              <w:t>faithful representation</w:t>
                            </w:r>
                            <w:r w:rsidRPr="008F5B1A">
                              <w:t>.</w:t>
                            </w:r>
                          </w:p>
                          <w:p w14:paraId="48C1BD31" w14:textId="77777777" w:rsidR="00CE7217" w:rsidRPr="008F5B1A" w:rsidRDefault="00CE7217" w:rsidP="00570ED2">
                            <w:pPr>
                              <w:spacing w:after="120"/>
                            </w:pPr>
                            <w:r w:rsidRPr="008F5B1A">
                              <w:t>2.20</w:t>
                            </w:r>
                            <w:r w:rsidRPr="008F5B1A">
                              <w:tab/>
                              <w:t>Information must both be relevant and provide a faithful representation of what it purports to represent if it is to be useful. Neither a faithful representation of an irrelevant phenomenon nor an unfaithful representation of a relevant phenomenon helps users make good decisions.</w:t>
                            </w:r>
                          </w:p>
                          <w:p w14:paraId="4B83E474" w14:textId="77777777" w:rsidR="00CE7217" w:rsidRPr="008F5B1A" w:rsidRDefault="00CE7217" w:rsidP="00570ED2">
                            <w:pPr>
                              <w:spacing w:after="120"/>
                            </w:pPr>
                            <w:r w:rsidRPr="008F5B1A">
                              <w:t>2.23</w:t>
                            </w:r>
                            <w:r w:rsidRPr="008F5B1A">
                              <w:tab/>
                            </w:r>
                            <w:r w:rsidRPr="008F5B1A">
                              <w:rPr>
                                <w:u w:val="single"/>
                              </w:rPr>
                              <w:t>Comparability</w:t>
                            </w:r>
                            <w:r w:rsidRPr="008F5B1A">
                              <w:t xml:space="preserve">, </w:t>
                            </w:r>
                            <w:r w:rsidRPr="008F5B1A">
                              <w:rPr>
                                <w:u w:val="single"/>
                              </w:rPr>
                              <w:t>verifiability</w:t>
                            </w:r>
                            <w:r w:rsidRPr="008F5B1A">
                              <w:t xml:space="preserve">, </w:t>
                            </w:r>
                            <w:r w:rsidRPr="008F5B1A">
                              <w:rPr>
                                <w:u w:val="single"/>
                              </w:rPr>
                              <w:t>timeliness</w:t>
                            </w:r>
                            <w:r w:rsidRPr="008F5B1A">
                              <w:t xml:space="preserve"> and </w:t>
                            </w:r>
                            <w:r w:rsidRPr="008F5B1A">
                              <w:rPr>
                                <w:u w:val="single"/>
                              </w:rPr>
                              <w:t>understandability</w:t>
                            </w:r>
                            <w:r w:rsidRPr="008F5B1A">
                              <w:t xml:space="preserve"> are qualitative characteristics that enhance the usefulness of information that both is relevant and provides a faithful representation of what it purports to represent. The enhancing qualitative characteristics may also help determine which of two ways should be used to depict a phenomenon if both are considered to provide equally relevant information and an equally faithful representation of that phenomenon.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05249C" id="_x0000_s1028" type="#_x0000_t202" style="position:absolute;margin-left:-1.5pt;margin-top:37.3pt;width:466.1pt;height:110.6pt;z-index:2517432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">
                <v:textbox style="mso-fit-shape-to-text:t">
                  <w:txbxContent>
                    <w:p w14:paraId="75EE9B71" w14:textId="77777777" w:rsidR="00CE7217" w:rsidRPr="008F5B1A" w:rsidRDefault="00CE7217" w:rsidP="00570ED2">
                      <w:pPr>
                        <w:spacing w:after="120"/>
                      </w:pPr>
                      <w:r w:rsidRPr="008F5B1A">
                        <w:t xml:space="preserve">Excerpts from </w:t>
                      </w:r>
                      <w:r>
                        <w:t>Conceptual Framework</w:t>
                      </w:r>
                      <w:r w:rsidRPr="008F5B1A">
                        <w:t xml:space="preserve"> Chapter 2 (emphasis added)</w:t>
                      </w:r>
                    </w:p>
                    <w:p w14:paraId="5DCE272C" w14:textId="77777777" w:rsidR="00CE7217" w:rsidRPr="008F5B1A" w:rsidRDefault="00CE7217" w:rsidP="00570ED2">
                      <w:pPr>
                        <w:spacing w:after="120"/>
                      </w:pPr>
                      <w:r w:rsidRPr="008F5B1A">
                        <w:t xml:space="preserve">2.5 </w:t>
                      </w:r>
                      <w:r w:rsidRPr="008F5B1A">
                        <w:tab/>
                        <w:t xml:space="preserve">The fundamental qualitative characteristics are </w:t>
                      </w:r>
                      <w:r w:rsidRPr="008F5B1A">
                        <w:rPr>
                          <w:u w:val="single"/>
                        </w:rPr>
                        <w:t>relevance</w:t>
                      </w:r>
                      <w:r w:rsidRPr="008F5B1A">
                        <w:t xml:space="preserve"> and </w:t>
                      </w:r>
                      <w:r w:rsidRPr="008F5B1A">
                        <w:rPr>
                          <w:u w:val="single"/>
                        </w:rPr>
                        <w:t>faithful representation</w:t>
                      </w:r>
                      <w:r w:rsidRPr="008F5B1A">
                        <w:t>.</w:t>
                      </w:r>
                    </w:p>
                    <w:p w14:paraId="48C1BD31" w14:textId="77777777" w:rsidR="00CE7217" w:rsidRPr="008F5B1A" w:rsidRDefault="00CE7217" w:rsidP="00570ED2">
                      <w:pPr>
                        <w:spacing w:after="120"/>
                      </w:pPr>
                      <w:r w:rsidRPr="008F5B1A">
                        <w:t>2.20</w:t>
                      </w:r>
                      <w:r w:rsidRPr="008F5B1A">
                        <w:tab/>
                        <w:t>Information must both be relevant and provide a faithful representation of what it purports to represent if it is to be useful. Neither a faithful representation of an irrelevant phenomenon nor an unfaithful representation of a relevant phenomenon helps users make good decisions.</w:t>
                      </w:r>
                    </w:p>
                    <w:p w14:paraId="4B83E474" w14:textId="77777777" w:rsidR="00CE7217" w:rsidRPr="008F5B1A" w:rsidRDefault="00CE7217" w:rsidP="00570ED2">
                      <w:pPr>
                        <w:spacing w:after="120"/>
                      </w:pPr>
                      <w:r w:rsidRPr="008F5B1A">
                        <w:t>2.23</w:t>
                      </w:r>
                      <w:r w:rsidRPr="008F5B1A">
                        <w:tab/>
                      </w:r>
                      <w:r w:rsidRPr="008F5B1A">
                        <w:rPr>
                          <w:u w:val="single"/>
                        </w:rPr>
                        <w:t>Comparability</w:t>
                      </w:r>
                      <w:r w:rsidRPr="008F5B1A">
                        <w:t xml:space="preserve">, </w:t>
                      </w:r>
                      <w:r w:rsidRPr="008F5B1A">
                        <w:rPr>
                          <w:u w:val="single"/>
                        </w:rPr>
                        <w:t>verifiability</w:t>
                      </w:r>
                      <w:r w:rsidRPr="008F5B1A">
                        <w:t xml:space="preserve">, </w:t>
                      </w:r>
                      <w:r w:rsidRPr="008F5B1A">
                        <w:rPr>
                          <w:u w:val="single"/>
                        </w:rPr>
                        <w:t>timeliness</w:t>
                      </w:r>
                      <w:r w:rsidRPr="008F5B1A">
                        <w:t xml:space="preserve"> and </w:t>
                      </w:r>
                      <w:r w:rsidRPr="008F5B1A">
                        <w:rPr>
                          <w:u w:val="single"/>
                        </w:rPr>
                        <w:t>understandability</w:t>
                      </w:r>
                      <w:r w:rsidRPr="008F5B1A">
                        <w:t xml:space="preserve"> are qualitative characteristics that enhance the usefulness of information that both is relevant and provides a faithful representation of what it purports to represent. The enhancing qualitative characteristics may also help determine which of two ways should be used to depict a phenomenon if both are considered to provide equally relevant information and an equally faithful representation of that phenomenon.</w:t>
                      </w:r>
                    </w:p>
                  </w:txbxContent>
                </v:textbox>
                <w10:wrap type="square" anchorx="margin"/>
              </v:shape>
            </w:pict>
          </mc:Fallback>
        </mc:AlternateContent>
      </w:r>
      <w:r w:rsidRPr="008C74A3">
        <w:t xml:space="preserve">The following </w:t>
      </w:r>
      <w:r w:rsidR="00103613" w:rsidRPr="008C74A3">
        <w:t>sections interpret</w:t>
      </w:r>
      <w:r w:rsidRPr="008C74A3">
        <w:t xml:space="preserve"> the six qualitative characteristics of useful information</w:t>
      </w:r>
      <w:r w:rsidR="00103613" w:rsidRPr="008C74A3">
        <w:t xml:space="preserve"> from the Conceptual Framework in the context of impact performance reporting.</w:t>
      </w:r>
    </w:p>
    <w:p w14:paraId="186FE474" w14:textId="7DCEBEAB" w:rsidR="00CE7217" w:rsidRPr="008C74A3" w:rsidRDefault="00CE7217" w:rsidP="00570ED2">
      <w:pPr>
        <w:pStyle w:val="Heading4"/>
        <w:spacing w:after="120"/>
      </w:pPr>
      <w:r w:rsidRPr="008C74A3">
        <w:t>Relevance</w:t>
      </w:r>
    </w:p>
    <w:p w14:paraId="552FCF1E" w14:textId="307F29A5" w:rsidR="00CE7217" w:rsidRPr="008C74A3" w:rsidRDefault="00CE7217" w:rsidP="00570ED2">
      <w:pPr>
        <w:spacing w:after="120"/>
        <w:rPr>
          <w:rFonts w:ascii="Interstate" w:hAnsi="Interstate"/>
        </w:rPr>
      </w:pPr>
      <w:r w:rsidRPr="008C74A3">
        <w:t>In</w:t>
      </w:r>
      <w:r w:rsidRPr="008C74A3">
        <w:rPr>
          <w:rFonts w:ascii="Interstate" w:hAnsi="Interstate"/>
        </w:rPr>
        <w:t xml:space="preserve"> </w:t>
      </w:r>
      <w:r w:rsidRPr="008C74A3">
        <w:t xml:space="preserve">financial reporting, the concept of </w:t>
      </w:r>
      <w:r w:rsidR="00295A24" w:rsidRPr="008C74A3">
        <w:t>relevance</w:t>
      </w:r>
      <w:r w:rsidRPr="008C74A3">
        <w:t xml:space="preserve"> defines what information should and should not be included in a report. National securities regulations typically focus on the needs of current shareholders and their ability to understand the financial performance of a company. If the information could affect investors’ estimates of enterprise value, the company’s share price, and/or investor decisions to buy or sell its securities, that information is considered material and should be included in a financial report. </w:t>
      </w:r>
    </w:p>
    <w:p w14:paraId="2629A238" w14:textId="7F3BDBAD" w:rsidR="00CE7217" w:rsidRPr="008C74A3" w:rsidRDefault="00CE7217" w:rsidP="00570ED2">
      <w:pPr>
        <w:spacing w:after="120"/>
      </w:pPr>
      <w:r w:rsidRPr="008C74A3">
        <w:t xml:space="preserve">In impact performance reports, </w:t>
      </w:r>
      <w:r w:rsidR="007D6D4A" w:rsidRPr="008C74A3">
        <w:t>entities</w:t>
      </w:r>
      <w:r w:rsidRPr="008C74A3">
        <w:t xml:space="preserve"> are similarly recommended to include all </w:t>
      </w:r>
      <w:r w:rsidR="00295A24" w:rsidRPr="008C74A3">
        <w:t>relevant</w:t>
      </w:r>
      <w:r w:rsidRPr="008C74A3">
        <w:t xml:space="preserve"> information and to exclude information that would be unlikely to change users’ decisions or that could obscure users’ view of </w:t>
      </w:r>
      <w:r w:rsidR="00295A24" w:rsidRPr="008C74A3">
        <w:t>relevant</w:t>
      </w:r>
      <w:r w:rsidRPr="008C74A3">
        <w:t xml:space="preserve"> information. </w:t>
      </w:r>
    </w:p>
    <w:p w14:paraId="2640FC89" w14:textId="0414502C" w:rsidR="00CE7217" w:rsidRPr="008C74A3" w:rsidRDefault="00CE7217" w:rsidP="00570ED2">
      <w:pPr>
        <w:spacing w:after="120"/>
      </w:pPr>
      <w:r w:rsidRPr="008C74A3">
        <w:t xml:space="preserve">However, the definitions and criteria for </w:t>
      </w:r>
      <w:r w:rsidR="00295A24" w:rsidRPr="008C74A3">
        <w:t>relevance</w:t>
      </w:r>
      <w:r w:rsidRPr="008C74A3">
        <w:t xml:space="preserve"> are different for impact performance reports published by impact investors than for financial reports typically published by companies and investors. (See Appendix </w:t>
      </w:r>
      <w:r w:rsidR="00740A3E" w:rsidRPr="008C74A3">
        <w:t>E</w:t>
      </w:r>
      <w:r w:rsidRPr="008C74A3">
        <w:t xml:space="preserve"> for definitions of materiality by major sustainability frameworks and standards.) </w:t>
      </w:r>
    </w:p>
    <w:p w14:paraId="2624E478" w14:textId="10B5924A" w:rsidR="00CE7217" w:rsidRPr="008C74A3" w:rsidRDefault="0060312D" w:rsidP="00570ED2">
      <w:pPr>
        <w:spacing w:after="120"/>
      </w:pPr>
      <w:r w:rsidRPr="008C74A3">
        <w:t>Relevance</w:t>
      </w:r>
      <w:r w:rsidR="00CE7217" w:rsidRPr="008C74A3">
        <w:t xml:space="preserve"> in the </w:t>
      </w:r>
      <w:r w:rsidR="007926A3" w:rsidRPr="008C74A3">
        <w:t xml:space="preserve">draft Reporting </w:t>
      </w:r>
      <w:r w:rsidR="00CE7217" w:rsidRPr="008C74A3">
        <w:t>Norms focuses on the needs of primary users – asset owners and allocators – under the assumption that they seek to understand the changes in the well</w:t>
      </w:r>
      <w:r w:rsidR="00FF4D86" w:rsidRPr="008C74A3">
        <w:t>-</w:t>
      </w:r>
      <w:r w:rsidR="00CE7217" w:rsidRPr="008C74A3">
        <w:t xml:space="preserve">being of </w:t>
      </w:r>
      <w:r w:rsidR="00734B44" w:rsidRPr="008C74A3">
        <w:t>stakeholder</w:t>
      </w:r>
      <w:r w:rsidR="00CE7217" w:rsidRPr="008C74A3">
        <w:t xml:space="preserve">s and the natural environment caused by </w:t>
      </w:r>
      <w:r w:rsidR="007D6D4A" w:rsidRPr="008C74A3">
        <w:t>the entity</w:t>
      </w:r>
      <w:r w:rsidR="00CE7217" w:rsidRPr="008C74A3">
        <w:t xml:space="preserve"> and investee enterprises, so that the primary users can make investment and engagement decisions that are informed by the experiences and interests of </w:t>
      </w:r>
      <w:r w:rsidR="00734B44" w:rsidRPr="008C74A3">
        <w:t>stakeholder</w:t>
      </w:r>
      <w:r w:rsidR="00CE7217" w:rsidRPr="008C74A3">
        <w:t xml:space="preserve">s and the natural environment. </w:t>
      </w:r>
      <w:r w:rsidR="00103613" w:rsidRPr="008C74A3">
        <w:t>Report users</w:t>
      </w:r>
      <w:r w:rsidR="00CE7217" w:rsidRPr="008C74A3">
        <w:t xml:space="preserve"> may</w:t>
      </w:r>
      <w:r w:rsidR="004A50AC" w:rsidRPr="008C74A3">
        <w:t xml:space="preserve"> additionally</w:t>
      </w:r>
      <w:r w:rsidR="00CE7217" w:rsidRPr="008C74A3">
        <w:t xml:space="preserve"> seek to understand the relationships between well</w:t>
      </w:r>
      <w:r w:rsidR="00621F44" w:rsidRPr="008C74A3">
        <w:t>-</w:t>
      </w:r>
      <w:r w:rsidR="00CE7217" w:rsidRPr="008C74A3">
        <w:t xml:space="preserve">being of </w:t>
      </w:r>
      <w:r w:rsidR="00734B44" w:rsidRPr="008C74A3">
        <w:t>stakeholder</w:t>
      </w:r>
      <w:r w:rsidR="00CE7217" w:rsidRPr="008C74A3">
        <w:t xml:space="preserve">s and enterprise value. </w:t>
      </w:r>
    </w:p>
    <w:p w14:paraId="705D9B1E" w14:textId="56AFAF58" w:rsidR="00CE7217" w:rsidRPr="008C74A3" w:rsidRDefault="2767A726" w:rsidP="00570ED2">
      <w:pPr>
        <w:spacing w:after="120"/>
      </w:pPr>
      <w:r w:rsidRPr="008C74A3">
        <w:t xml:space="preserve">Therefore, </w:t>
      </w:r>
      <w:r w:rsidR="0060312D" w:rsidRPr="008C74A3">
        <w:t>relevance</w:t>
      </w:r>
      <w:r w:rsidRPr="008C74A3">
        <w:t xml:space="preserve"> in the Norms should be defined to include information about impacts significant from the perspective of the </w:t>
      </w:r>
      <w:r w:rsidR="00734B44" w:rsidRPr="008C74A3">
        <w:t>stakeholder</w:t>
      </w:r>
      <w:r w:rsidRPr="008C74A3">
        <w:t>s and the natural environment (i.e., “impact materiality”), including intended and unintended</w:t>
      </w:r>
      <w:r w:rsidR="00E00E1E" w:rsidRPr="008C74A3">
        <w:t xml:space="preserve"> impacts</w:t>
      </w:r>
      <w:r w:rsidRPr="008C74A3">
        <w:t>,</w:t>
      </w:r>
      <w:r w:rsidR="00E00E1E" w:rsidRPr="008C74A3">
        <w:t xml:space="preserve"> and</w:t>
      </w:r>
      <w:r w:rsidRPr="008C74A3">
        <w:t xml:space="preserve"> positive and negative impacts. Preparers may additionally include information relevant to enterprise value and/or financial risk and return (i.e., “double materiality”), for instance as part of an </w:t>
      </w:r>
      <w:r w:rsidR="00D86449" w:rsidRPr="008C74A3">
        <w:t>I</w:t>
      </w:r>
      <w:r w:rsidRPr="008C74A3">
        <w:t xml:space="preserve">ntegrated </w:t>
      </w:r>
      <w:r w:rsidR="00D86449" w:rsidRPr="008C74A3">
        <w:t>R</w:t>
      </w:r>
      <w:r w:rsidRPr="008C74A3">
        <w:t xml:space="preserve">eport. </w:t>
      </w:r>
    </w:p>
    <w:p w14:paraId="5214D1B2" w14:textId="6F24A4FF" w:rsidR="00CE7217" w:rsidRPr="008C74A3" w:rsidRDefault="00CE7217" w:rsidP="00570ED2">
      <w:pPr>
        <w:spacing w:after="120"/>
      </w:pPr>
      <w:r w:rsidRPr="008C74A3">
        <w:lastRenderedPageBreak/>
        <w:t xml:space="preserve">The assumption is that if </w:t>
      </w:r>
      <w:r w:rsidR="00734B44" w:rsidRPr="008C74A3">
        <w:t>stakeholder</w:t>
      </w:r>
      <w:r w:rsidRPr="008C74A3">
        <w:t>s were experiencing an impact that is significant from their perspective, the primary users of the report would want to know about it, regardless of whether the impact may affect</w:t>
      </w:r>
      <w:r w:rsidR="004057C4" w:rsidRPr="008C74A3">
        <w:t xml:space="preserve"> the entity’s</w:t>
      </w:r>
      <w:r w:rsidRPr="008C74A3">
        <w:t xml:space="preserve"> financial performance. </w:t>
      </w:r>
    </w:p>
    <w:p w14:paraId="03BD86FD" w14:textId="0E255DDE" w:rsidR="00CE7217" w:rsidRPr="008C74A3" w:rsidRDefault="00CE7217" w:rsidP="00570ED2">
      <w:pPr>
        <w:spacing w:after="120"/>
      </w:pPr>
      <w:r w:rsidRPr="008C74A3">
        <w:t xml:space="preserve">Information about the significance of impacts to </w:t>
      </w:r>
      <w:r w:rsidR="00734B44" w:rsidRPr="008C74A3">
        <w:t>stakeholder</w:t>
      </w:r>
      <w:r w:rsidRPr="008C74A3">
        <w:t xml:space="preserve">s </w:t>
      </w:r>
      <w:r w:rsidR="004D4FD4" w:rsidRPr="008C74A3">
        <w:t>is</w:t>
      </w:r>
      <w:r w:rsidRPr="008C74A3">
        <w:t xml:space="preserve"> itself </w:t>
      </w:r>
      <w:r w:rsidR="00295A24" w:rsidRPr="008C74A3">
        <w:t>relevant</w:t>
      </w:r>
      <w:r w:rsidRPr="008C74A3">
        <w:t xml:space="preserve">. If available information suggests that the impact is </w:t>
      </w:r>
      <w:proofErr w:type="gramStart"/>
      <w:r w:rsidRPr="008C74A3">
        <w:t>more or less significant</w:t>
      </w:r>
      <w:proofErr w:type="gramEnd"/>
      <w:r w:rsidRPr="008C74A3">
        <w:t xml:space="preserve"> to the </w:t>
      </w:r>
      <w:r w:rsidR="00734B44" w:rsidRPr="008C74A3">
        <w:t>stakeholder</w:t>
      </w:r>
      <w:r w:rsidRPr="008C74A3">
        <w:t xml:space="preserve"> than it is to the preparer or user, this difference in significance </w:t>
      </w:r>
      <w:r w:rsidR="00295A24" w:rsidRPr="008C74A3">
        <w:t>will</w:t>
      </w:r>
      <w:r w:rsidRPr="008C74A3">
        <w:t xml:space="preserve"> be </w:t>
      </w:r>
      <w:r w:rsidR="00295A24" w:rsidRPr="008C74A3">
        <w:t>relevant</w:t>
      </w:r>
      <w:r w:rsidRPr="008C74A3">
        <w:t xml:space="preserve"> to note in the report. </w:t>
      </w:r>
    </w:p>
    <w:p w14:paraId="18F04BEA" w14:textId="77777777" w:rsidR="00CE7217" w:rsidRPr="008C74A3" w:rsidRDefault="00CE7217" w:rsidP="00570ED2">
      <w:pPr>
        <w:spacing w:after="120"/>
      </w:pPr>
      <w:r w:rsidRPr="008C74A3">
        <w:t>There are no prescriptive rules about what specific pieces of information are material. IFRS provides the following guidance in “</w:t>
      </w:r>
      <w:hyperlink r:id="rId26" w:history="1">
        <w:r w:rsidRPr="008C74A3">
          <w:rPr>
            <w:rStyle w:val="Hyperlink"/>
          </w:rPr>
          <w:t>IFRS Practice Statement 2: Making Materiality Judgements</w:t>
        </w:r>
      </w:hyperlink>
      <w:r w:rsidRPr="008C74A3">
        <w:t>:”</w:t>
      </w:r>
    </w:p>
    <w:p w14:paraId="559D05BB" w14:textId="7BB9ECE1" w:rsidR="00CE7217" w:rsidRPr="008C74A3" w:rsidRDefault="00CE7217" w:rsidP="00103613">
      <w:pPr>
        <w:spacing w:after="120"/>
        <w:ind w:left="720"/>
      </w:pPr>
      <w:r w:rsidRPr="008C74A3">
        <w:t>“</w:t>
      </w:r>
      <w:r w:rsidR="00295A24" w:rsidRPr="008C74A3">
        <w:t xml:space="preserve">Information is material if omitting, </w:t>
      </w:r>
      <w:proofErr w:type="gramStart"/>
      <w:r w:rsidR="00295A24" w:rsidRPr="008C74A3">
        <w:t>misstating</w:t>
      </w:r>
      <w:proofErr w:type="gramEnd"/>
      <w:r w:rsidR="00295A24" w:rsidRPr="008C74A3">
        <w:t xml:space="preserve"> or obscuring it could reasonably be expected to influence decisions that the primary users of </w:t>
      </w:r>
      <w:r w:rsidR="008C74A3" w:rsidRPr="008C74A3">
        <w:t>general-purpose</w:t>
      </w:r>
      <w:r w:rsidR="00295A24" w:rsidRPr="008C74A3">
        <w:t xml:space="preserve"> financial reports make on the basis of those reports, which provide financial information about a specific reporting entity. In other words, m</w:t>
      </w:r>
      <w:r w:rsidRPr="008C74A3">
        <w:t>ateriality is an entity-specific aspect of relevance based on the nature or magnitude, or both, of the items to which the information relates in the context of an individual entity’s financial report.</w:t>
      </w:r>
    </w:p>
    <w:p w14:paraId="03F1B9D8" w14:textId="072B7054" w:rsidR="00CE7217" w:rsidRPr="008C74A3" w:rsidRDefault="00CE7217" w:rsidP="00103613">
      <w:pPr>
        <w:spacing w:after="120"/>
        <w:ind w:left="720"/>
      </w:pPr>
      <w:r w:rsidRPr="008C74A3">
        <w:t xml:space="preserve">When making materiality judgements, an entity needs to </w:t>
      </w:r>
      <w:proofErr w:type="gramStart"/>
      <w:r w:rsidRPr="008C74A3">
        <w:t>take into account</w:t>
      </w:r>
      <w:proofErr w:type="gramEnd"/>
      <w:r w:rsidRPr="008C74A3">
        <w:t xml:space="preserve"> how information could reasonably be expected to influence the primary users of its financial statements—its primary users—when they make decisions on the basis of those statements.</w:t>
      </w:r>
    </w:p>
    <w:p w14:paraId="6B733DF3" w14:textId="77777777" w:rsidR="00CE7217" w:rsidRPr="008C74A3" w:rsidRDefault="00CE7217" w:rsidP="00103613">
      <w:pPr>
        <w:spacing w:after="120"/>
        <w:ind w:left="720"/>
      </w:pPr>
      <w:r w:rsidRPr="008C74A3">
        <w:t xml:space="preserve">When assessing whether information is material to the financial statements, an entity applies judgement to decide whether the information could reasonably be expected to influence decisions that primary users make </w:t>
      </w:r>
      <w:proofErr w:type="gramStart"/>
      <w:r w:rsidRPr="008C74A3">
        <w:t>on the basis of</w:t>
      </w:r>
      <w:proofErr w:type="gramEnd"/>
      <w:r w:rsidRPr="008C74A3">
        <w:t xml:space="preserve"> those financial statements. When applying such judgement, the entity considers both its specific circumstances and how the information provided in the financial statements responds to the information needs of primary users.</w:t>
      </w:r>
    </w:p>
    <w:p w14:paraId="3F1C931B" w14:textId="7A1B0F34" w:rsidR="00CE7217" w:rsidRPr="008C74A3" w:rsidRDefault="00CE7217" w:rsidP="00103613">
      <w:pPr>
        <w:spacing w:after="120"/>
        <w:ind w:left="720"/>
      </w:pPr>
      <w:r w:rsidRPr="008C74A3">
        <w:t>Because an entity’s circumstances change over time, materiality judgements are reassessed at each reporting date in the light of those changed circumstances.”</w:t>
      </w:r>
    </w:p>
    <w:p w14:paraId="46444827" w14:textId="5E430FE1" w:rsidR="00CE7217" w:rsidRPr="008C74A3" w:rsidRDefault="00103613" w:rsidP="00570ED2">
      <w:pPr>
        <w:spacing w:after="120"/>
        <w:rPr>
          <w:rStyle w:val="normaltextrun"/>
          <w:color w:val="000000" w:themeColor="text1"/>
        </w:rPr>
      </w:pPr>
      <w:r w:rsidRPr="008C74A3">
        <w:t>F</w:t>
      </w:r>
      <w:r w:rsidR="00CE7217" w:rsidRPr="008C74A3">
        <w:t xml:space="preserve">or preparers of impact performance reports, determining the materiality of information requires judgment calls that </w:t>
      </w:r>
      <w:proofErr w:type="gramStart"/>
      <w:r w:rsidR="00CE7217" w:rsidRPr="008C74A3">
        <w:t>take into account</w:t>
      </w:r>
      <w:proofErr w:type="gramEnd"/>
      <w:r w:rsidR="00CE7217" w:rsidRPr="008C74A3">
        <w:t xml:space="preserve"> the specific characteristics of the entity, investee enterprises, </w:t>
      </w:r>
      <w:r w:rsidR="001C4B06" w:rsidRPr="008C74A3">
        <w:t xml:space="preserve">affected </w:t>
      </w:r>
      <w:r w:rsidR="00734B44" w:rsidRPr="008C74A3">
        <w:t>stakeholder</w:t>
      </w:r>
      <w:r w:rsidR="00CE7217" w:rsidRPr="008C74A3">
        <w:t xml:space="preserve">s, the natural environment, and the contexts in which they operate. </w:t>
      </w:r>
      <w:r w:rsidRPr="008C74A3">
        <w:t>Preparers</w:t>
      </w:r>
      <w:r w:rsidR="00CE7217" w:rsidRPr="008C74A3">
        <w:t xml:space="preserve"> also </w:t>
      </w:r>
      <w:proofErr w:type="gramStart"/>
      <w:r w:rsidR="00CE7217" w:rsidRPr="008C74A3">
        <w:t>take into account</w:t>
      </w:r>
      <w:proofErr w:type="gramEnd"/>
      <w:r w:rsidR="00CE7217" w:rsidRPr="008C74A3">
        <w:t xml:space="preserve"> the specific interests and needs of </w:t>
      </w:r>
      <w:r w:rsidR="00CE7217" w:rsidRPr="008C74A3">
        <w:rPr>
          <w:rStyle w:val="normaltextrun"/>
          <w:shd w:val="clear" w:color="auto" w:fill="FFFFFF"/>
        </w:rPr>
        <w:t xml:space="preserve">the </w:t>
      </w:r>
      <w:r w:rsidRPr="008C74A3">
        <w:rPr>
          <w:rStyle w:val="normaltextrun"/>
          <w:shd w:val="clear" w:color="auto" w:fill="FFFFFF"/>
        </w:rPr>
        <w:t>capital providers</w:t>
      </w:r>
      <w:r w:rsidR="00CE7217" w:rsidRPr="008C74A3">
        <w:rPr>
          <w:rStyle w:val="normaltextrun"/>
          <w:shd w:val="clear" w:color="auto" w:fill="FFFFFF"/>
        </w:rPr>
        <w:t xml:space="preserve"> who </w:t>
      </w:r>
      <w:r w:rsidRPr="008C74A3">
        <w:rPr>
          <w:rStyle w:val="normaltextrun"/>
          <w:shd w:val="clear" w:color="auto" w:fill="FFFFFF"/>
        </w:rPr>
        <w:t>are</w:t>
      </w:r>
      <w:r w:rsidR="00CE7217" w:rsidRPr="008C74A3">
        <w:rPr>
          <w:rStyle w:val="normaltextrun"/>
          <w:shd w:val="clear" w:color="auto" w:fill="FFFFFF"/>
        </w:rPr>
        <w:t xml:space="preserve"> the </w:t>
      </w:r>
      <w:r w:rsidRPr="008C74A3">
        <w:rPr>
          <w:rStyle w:val="normaltextrun"/>
          <w:shd w:val="clear" w:color="auto" w:fill="FFFFFF"/>
        </w:rPr>
        <w:t xml:space="preserve">report’s </w:t>
      </w:r>
      <w:r w:rsidR="00CE7217" w:rsidRPr="008C74A3">
        <w:rPr>
          <w:rStyle w:val="normaltextrun"/>
          <w:shd w:val="clear" w:color="auto" w:fill="FFFFFF"/>
        </w:rPr>
        <w:t xml:space="preserve">primary users. </w:t>
      </w:r>
    </w:p>
    <w:p w14:paraId="4490D5BC" w14:textId="073B3526" w:rsidR="00CE7217" w:rsidRPr="008C74A3" w:rsidRDefault="00CE7217" w:rsidP="00570ED2">
      <w:pPr>
        <w:spacing w:after="120"/>
        <w:rPr>
          <w:color w:val="000000" w:themeColor="text1"/>
        </w:rPr>
      </w:pPr>
      <w:r w:rsidRPr="008C74A3">
        <w:rPr>
          <w:rStyle w:val="normaltextrun"/>
          <w:shd w:val="clear" w:color="auto" w:fill="FFFFFF"/>
        </w:rPr>
        <w:t>In making these judgment calls, practitioners weigh the benefits of including additional information that may be material against the risk of including information that is not material.</w:t>
      </w:r>
      <w:r w:rsidRPr="008C74A3">
        <w:rPr>
          <w:color w:val="000000" w:themeColor="text1"/>
        </w:rPr>
        <w:t xml:space="preserve"> More disclosure is not always better. </w:t>
      </w:r>
      <w:r w:rsidR="00103613" w:rsidRPr="008C74A3">
        <w:rPr>
          <w:color w:val="000000" w:themeColor="text1"/>
        </w:rPr>
        <w:t>I</w:t>
      </w:r>
      <w:r w:rsidRPr="008C74A3">
        <w:rPr>
          <w:color w:val="000000" w:themeColor="text1"/>
        </w:rPr>
        <w:t>nclusion of non-material information may obscure users’ view of material information and compromise understandability.</w:t>
      </w:r>
    </w:p>
    <w:p w14:paraId="036477C6" w14:textId="61029BC2" w:rsidR="00CE7217" w:rsidRPr="008C74A3" w:rsidRDefault="00CE7217" w:rsidP="00570ED2">
      <w:pPr>
        <w:spacing w:after="120"/>
        <w:rPr>
          <w:rStyle w:val="normaltextrun"/>
          <w:shd w:val="clear" w:color="auto" w:fill="FFFFFF"/>
        </w:rPr>
      </w:pPr>
      <w:r w:rsidRPr="008C74A3">
        <w:rPr>
          <w:rStyle w:val="normaltextrun"/>
          <w:shd w:val="clear" w:color="auto" w:fill="FFFFFF"/>
        </w:rPr>
        <w:t xml:space="preserve">In private markets, </w:t>
      </w:r>
      <w:r w:rsidR="004A50AC" w:rsidRPr="008C74A3">
        <w:rPr>
          <w:rStyle w:val="normaltextrun"/>
          <w:shd w:val="clear" w:color="auto" w:fill="FFFFFF"/>
        </w:rPr>
        <w:t xml:space="preserve">report </w:t>
      </w:r>
      <w:r w:rsidRPr="008C74A3">
        <w:rPr>
          <w:rStyle w:val="normaltextrun"/>
          <w:shd w:val="clear" w:color="auto" w:fill="FFFFFF"/>
        </w:rPr>
        <w:t xml:space="preserve">preparers and users </w:t>
      </w:r>
      <w:r w:rsidR="00BC75A5" w:rsidRPr="008C74A3">
        <w:rPr>
          <w:rStyle w:val="normaltextrun"/>
          <w:shd w:val="clear" w:color="auto" w:fill="FFFFFF"/>
        </w:rPr>
        <w:t xml:space="preserve">are often able to engage </w:t>
      </w:r>
      <w:r w:rsidR="00103613" w:rsidRPr="008C74A3">
        <w:rPr>
          <w:rStyle w:val="normaltextrun"/>
          <w:shd w:val="clear" w:color="auto" w:fill="FFFFFF"/>
        </w:rPr>
        <w:t xml:space="preserve">one another </w:t>
      </w:r>
      <w:r w:rsidR="00BC75A5" w:rsidRPr="008C74A3">
        <w:rPr>
          <w:rStyle w:val="normaltextrun"/>
          <w:shd w:val="clear" w:color="auto" w:fill="FFFFFF"/>
        </w:rPr>
        <w:t>directly, and it may be helpful to</w:t>
      </w:r>
      <w:r w:rsidRPr="008C74A3">
        <w:rPr>
          <w:rStyle w:val="normaltextrun"/>
          <w:shd w:val="clear" w:color="auto" w:fill="FFFFFF"/>
        </w:rPr>
        <w:t xml:space="preserve"> discuss what information would be material </w:t>
      </w:r>
      <w:r w:rsidR="00103613" w:rsidRPr="008C74A3">
        <w:rPr>
          <w:rStyle w:val="normaltextrun"/>
          <w:shd w:val="clear" w:color="auto" w:fill="FFFFFF"/>
        </w:rPr>
        <w:t xml:space="preserve">to the user </w:t>
      </w:r>
      <w:r w:rsidRPr="008C74A3">
        <w:rPr>
          <w:rStyle w:val="normaltextrun"/>
          <w:shd w:val="clear" w:color="auto" w:fill="FFFFFF"/>
        </w:rPr>
        <w:t xml:space="preserve">and why. This discussion may identify opportunities to </w:t>
      </w:r>
      <w:r w:rsidR="00BC75A5" w:rsidRPr="008C74A3">
        <w:rPr>
          <w:rStyle w:val="normaltextrun"/>
          <w:shd w:val="clear" w:color="auto" w:fill="FFFFFF"/>
        </w:rPr>
        <w:t>shorten</w:t>
      </w:r>
      <w:r w:rsidRPr="008C74A3">
        <w:rPr>
          <w:rStyle w:val="normaltextrun"/>
          <w:shd w:val="clear" w:color="auto" w:fill="FFFFFF"/>
        </w:rPr>
        <w:t xml:space="preserve"> the length of impact performance reports, reducing time and expense for preparers and users alike while increasing focus on the most important pieces of information. </w:t>
      </w:r>
    </w:p>
    <w:p w14:paraId="59BD244C" w14:textId="78ED8E31" w:rsidR="00CE7217" w:rsidRPr="008C74A3" w:rsidRDefault="00DE7BEB" w:rsidP="00570ED2">
      <w:pPr>
        <w:spacing w:after="120"/>
        <w:rPr>
          <w:rStyle w:val="normaltextrun"/>
          <w:rFonts w:ascii="Interstate" w:hAnsi="Interstate"/>
          <w:b/>
          <w:bCs/>
          <w:sz w:val="24"/>
          <w:szCs w:val="24"/>
          <w:shd w:val="clear" w:color="auto" w:fill="FFFFFF"/>
        </w:rPr>
      </w:pPr>
      <w:r w:rsidRPr="008C74A3">
        <w:rPr>
          <w:rStyle w:val="normaltextrun"/>
          <w:shd w:val="clear" w:color="auto" w:fill="FFFFFF"/>
        </w:rPr>
        <w:t xml:space="preserve">Enterprises and investors commonly conduct top-down stakeholder and materiality assessments to determine what outcomes and impacts to disclose. While widespread, this approach risks excluding impacts that, while individually small in magnitude, collectively would be significant to the stakeholders </w:t>
      </w:r>
      <w:r w:rsidRPr="008C74A3">
        <w:rPr>
          <w:rStyle w:val="normaltextrun"/>
          <w:shd w:val="clear" w:color="auto" w:fill="FFFFFF"/>
        </w:rPr>
        <w:lastRenderedPageBreak/>
        <w:t xml:space="preserve">experiencing them and hence material to the report user. The greater the scope of impacts that are managed, the greater the confidence </w:t>
      </w:r>
      <w:r w:rsidR="0060312D" w:rsidRPr="008C74A3">
        <w:rPr>
          <w:rStyle w:val="normaltextrun"/>
          <w:shd w:val="clear" w:color="auto" w:fill="FFFFFF"/>
        </w:rPr>
        <w:t xml:space="preserve">that the report </w:t>
      </w:r>
      <w:r w:rsidRPr="008C74A3">
        <w:rPr>
          <w:rStyle w:val="normaltextrun"/>
          <w:shd w:val="clear" w:color="auto" w:fill="FFFFFF"/>
        </w:rPr>
        <w:t xml:space="preserve">does not exclude material </w:t>
      </w:r>
      <w:r w:rsidR="004057C4" w:rsidRPr="008C74A3">
        <w:rPr>
          <w:noProof/>
        </w:rPr>
        <mc:AlternateContent>
          <mc:Choice Requires="wps">
            <w:drawing>
              <wp:anchor distT="45720" distB="45720" distL="114300" distR="114300" simplePos="0" relativeHeight="251737088" behindDoc="0" locked="0" layoutInCell="1" allowOverlap="1" wp14:anchorId="230ABCBC" wp14:editId="483CAB16">
                <wp:simplePos x="0" y="0"/>
                <wp:positionH relativeFrom="margin">
                  <wp:align>right</wp:align>
                </wp:positionH>
                <wp:positionV relativeFrom="paragraph">
                  <wp:posOffset>652145</wp:posOffset>
                </wp:positionV>
                <wp:extent cx="5919470" cy="1404620"/>
                <wp:effectExtent l="0" t="0" r="24130" b="26035"/>
                <wp:wrapSquare wrapText="bothSides"/>
                <wp:docPr id="4184277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1DE02650" w14:textId="77777777" w:rsidR="00CE7217" w:rsidRPr="008F5B1A" w:rsidRDefault="00CE7217" w:rsidP="00DB1B70">
                            <w:r w:rsidRPr="008F5B1A">
                              <w:t xml:space="preserve">Excerpts from </w:t>
                            </w:r>
                            <w:r>
                              <w:t>Conceptual Framework</w:t>
                            </w:r>
                            <w:r w:rsidRPr="008F5B1A">
                              <w:t xml:space="preserve"> Chapter 2</w:t>
                            </w:r>
                          </w:p>
                          <w:p w14:paraId="3B2A7B51" w14:textId="77777777" w:rsidR="00CE7217" w:rsidRPr="008F5B1A" w:rsidRDefault="00CE7217" w:rsidP="00DB1B70">
                            <w:r w:rsidRPr="008F5B1A">
                              <w:t>2.6</w:t>
                            </w:r>
                            <w:r w:rsidRPr="008F5B1A">
                              <w:tab/>
                              <w:t>Relevant financial information is capable of making a difference in the decisions made by users. Information may be capable of making a difference in a decision even if some users choose not to take advantage of it or are already aware of it from other sources.</w:t>
                            </w:r>
                          </w:p>
                          <w:p w14:paraId="67C9AB5D" w14:textId="77777777" w:rsidR="00CE7217" w:rsidRPr="008F5B1A" w:rsidRDefault="00CE7217" w:rsidP="00DB1B70">
                            <w:r w:rsidRPr="008F5B1A">
                              <w:t>2.7</w:t>
                            </w:r>
                            <w:r w:rsidRPr="008F5B1A">
                              <w:tab/>
                              <w:t>Financial information is capable of making a difference in decisions if it has predictive value, confirmatory value or both.</w:t>
                            </w:r>
                          </w:p>
                          <w:p w14:paraId="3EBFFFED" w14:textId="77777777" w:rsidR="00CE7217" w:rsidRPr="008F5B1A" w:rsidRDefault="00CE7217" w:rsidP="00DB1B70">
                            <w:r w:rsidRPr="008F5B1A">
                              <w:t>2.11</w:t>
                            </w:r>
                            <w:r w:rsidRPr="008F5B1A">
                              <w:tab/>
                              <w:t>Information is material if omitting, misstating or obscuring it could reasonably be expected to influence decisions that the primary users of general purpose financial reports make on the basis of those reports, which provide financial information about a specific reporting entity. In other words, materiality is an entity-specific aspect of relevance based on the nature or magnitude, or both, of the items to which the information relates in the context of an individual entity’s financial report. Consequently, the Board cannot specify a uniform quantitative threshold for materiality or predetermine what could be material in a particular situation.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0ABCBC" id="_x0000_s1029" type="#_x0000_t202" style="position:absolute;margin-left:414.9pt;margin-top:51.35pt;width:466.1pt;height:110.6pt;z-index:2517370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">
                <v:textbox style="mso-fit-shape-to-text:t">
                  <w:txbxContent>
                    <w:p w14:paraId="1DE02650" w14:textId="77777777" w:rsidR="00CE7217" w:rsidRPr="008F5B1A" w:rsidRDefault="00CE7217" w:rsidP="00DB1B70">
                      <w:r w:rsidRPr="008F5B1A">
                        <w:t xml:space="preserve">Excerpts from </w:t>
                      </w:r>
                      <w:r>
                        <w:t>Conceptual Framework</w:t>
                      </w:r>
                      <w:r w:rsidRPr="008F5B1A">
                        <w:t xml:space="preserve"> Chapter 2</w:t>
                      </w:r>
                    </w:p>
                    <w:p w14:paraId="3B2A7B51" w14:textId="77777777" w:rsidR="00CE7217" w:rsidRPr="008F5B1A" w:rsidRDefault="00CE7217" w:rsidP="00DB1B70">
                      <w:r w:rsidRPr="008F5B1A">
                        <w:t>2.6</w:t>
                      </w:r>
                      <w:r w:rsidRPr="008F5B1A">
                        <w:tab/>
                        <w:t>Relevant financial information is capable of making a difference in the decisions made by users. Information may be capable of making a difference in a decision even if some users choose not to take advantage of it or are already aware of it from other sources.</w:t>
                      </w:r>
                    </w:p>
                    <w:p w14:paraId="67C9AB5D" w14:textId="77777777" w:rsidR="00CE7217" w:rsidRPr="008F5B1A" w:rsidRDefault="00CE7217" w:rsidP="00DB1B70">
                      <w:r w:rsidRPr="008F5B1A">
                        <w:t>2.7</w:t>
                      </w:r>
                      <w:r w:rsidRPr="008F5B1A">
                        <w:tab/>
                        <w:t>Financial information is capable of making a difference in decisions if it has predictive value, confirmatory value or both.</w:t>
                      </w:r>
                    </w:p>
                    <w:p w14:paraId="3EBFFFED" w14:textId="77777777" w:rsidR="00CE7217" w:rsidRPr="008F5B1A" w:rsidRDefault="00CE7217" w:rsidP="00DB1B70">
                      <w:r w:rsidRPr="008F5B1A">
                        <w:t>2.11</w:t>
                      </w:r>
                      <w:r w:rsidRPr="008F5B1A">
                        <w:tab/>
                        <w:t>Information is material if omitting, misstating or obscuring it could reasonably be expected to influence decisions that the primary users of general purpose financial reports make on the basis of those reports, which provide financial information about a specific reporting entity. In other words, materiality is an entity-specific aspect of relevance based on the nature or magnitude, or both, of the items to which the information relates in the context of an individual entity’s financial report. Consequently, the Board cannot specify a uniform quantitative threshold for materiality or predetermine what could be material in a particular situation.</w:t>
                      </w:r>
                    </w:p>
                  </w:txbxContent>
                </v:textbox>
                <w10:wrap type="square" anchorx="margin"/>
              </v:shape>
            </w:pict>
          </mc:Fallback>
        </mc:AlternateContent>
      </w:r>
      <w:r w:rsidRPr="008C74A3">
        <w:rPr>
          <w:rStyle w:val="normaltextrun"/>
          <w:shd w:val="clear" w:color="auto" w:fill="FFFFFF"/>
        </w:rPr>
        <w:t>information.</w:t>
      </w:r>
      <w:r w:rsidRPr="008C74A3">
        <w:rPr>
          <w:rStyle w:val="FootnoteReference"/>
          <w:shd w:val="clear" w:color="auto" w:fill="FFFFFF"/>
        </w:rPr>
        <w:footnoteReference w:id="37"/>
      </w:r>
      <w:bookmarkStart w:id="41" w:name="_Hlk141185009"/>
      <w:r w:rsidR="00CE7217" w:rsidRPr="008C74A3">
        <w:rPr>
          <w:rStyle w:val="normaltextrun"/>
          <w:rFonts w:ascii="Interstate" w:hAnsi="Interstate"/>
          <w:b/>
          <w:bCs/>
          <w:sz w:val="24"/>
          <w:szCs w:val="24"/>
          <w:shd w:val="clear" w:color="auto" w:fill="FFFFFF"/>
        </w:rPr>
        <w:br w:type="page"/>
      </w:r>
    </w:p>
    <w:p w14:paraId="48265B30" w14:textId="3962F29C" w:rsidR="00CE7217" w:rsidRPr="008C74A3" w:rsidRDefault="00CE7217" w:rsidP="00570ED2">
      <w:pPr>
        <w:pStyle w:val="Heading4"/>
        <w:spacing w:after="120"/>
      </w:pPr>
      <w:r w:rsidRPr="008C74A3">
        <w:lastRenderedPageBreak/>
        <w:t>Faithful Representation</w:t>
      </w:r>
      <w:bookmarkEnd w:id="41"/>
    </w:p>
    <w:p w14:paraId="499B2CF4" w14:textId="77777777" w:rsidR="00CE7217" w:rsidRPr="008C74A3" w:rsidRDefault="00CE7217" w:rsidP="00570ED2">
      <w:pPr>
        <w:pStyle w:val="ListParagraph"/>
        <w:spacing w:after="120"/>
        <w:ind w:leftChars="0" w:left="0"/>
      </w:pPr>
      <w:r w:rsidRPr="008C74A3">
        <w:t xml:space="preserve">In financial reporting, information is said to provide a faithful representation to the extent that it is complete, neutral, and accurate. </w:t>
      </w:r>
    </w:p>
    <w:p w14:paraId="45C2EB86" w14:textId="3CD15AB4" w:rsidR="00E43D22" w:rsidRPr="008C74A3" w:rsidRDefault="001124D7" w:rsidP="00570ED2">
      <w:pPr>
        <w:pStyle w:val="ListParagraph"/>
        <w:spacing w:after="120"/>
        <w:ind w:leftChars="0" w:left="0"/>
      </w:pPr>
      <w:r w:rsidRPr="008C74A3">
        <w:t>In principle, a</w:t>
      </w:r>
      <w:r w:rsidR="00CE7217" w:rsidRPr="008C74A3">
        <w:t xml:space="preserve"> complete depiction of impact performance would include the relevant outcomes, impacts, and metrics that are known or could reasonably be expected to be known at the time the report is prepared. It would include both positive and negative impacts, and both intended and unintended impacts. </w:t>
      </w:r>
      <w:r w:rsidR="005C3B87" w:rsidRPr="008C74A3">
        <w:t xml:space="preserve">It would include measures from as far down the impact pathway as possible. </w:t>
      </w:r>
      <w:r w:rsidR="00CE7217" w:rsidRPr="008C74A3">
        <w:t>It also could include information such as data categories of the five dimensions of impact</w:t>
      </w:r>
      <w:r w:rsidR="00CE7217" w:rsidRPr="008C74A3">
        <w:rPr>
          <w:rStyle w:val="FootnoteReference"/>
        </w:rPr>
        <w:footnoteReference w:id="38"/>
      </w:r>
      <w:r w:rsidR="00CE7217" w:rsidRPr="008C74A3">
        <w:t>, impact pathways, logic model</w:t>
      </w:r>
      <w:r w:rsidR="00B47DD9" w:rsidRPr="008C74A3">
        <w:t>s</w:t>
      </w:r>
      <w:r w:rsidR="00CE7217" w:rsidRPr="008C74A3">
        <w:t>, system maps, etc.</w:t>
      </w:r>
      <w:r w:rsidR="00E43D22" w:rsidRPr="008C74A3">
        <w:t xml:space="preserve"> </w:t>
      </w:r>
      <w:r w:rsidR="005A4B5E" w:rsidRPr="008C74A3">
        <w:t xml:space="preserve">As described above in “Relevance,” it would include consideration of even small individual impacts that might </w:t>
      </w:r>
      <w:r w:rsidRPr="008C74A3">
        <w:t>collectively</w:t>
      </w:r>
      <w:r w:rsidR="005A4B5E" w:rsidRPr="008C74A3">
        <w:t xml:space="preserve"> </w:t>
      </w:r>
      <w:r w:rsidRPr="008C74A3">
        <w:t>be material to the user.</w:t>
      </w:r>
    </w:p>
    <w:p w14:paraId="1E2D3E2C" w14:textId="3132FA65" w:rsidR="00E43D22" w:rsidRPr="008C74A3" w:rsidRDefault="00E43D22" w:rsidP="00570ED2">
      <w:pPr>
        <w:pStyle w:val="ListParagraph"/>
        <w:spacing w:after="120"/>
        <w:ind w:leftChars="0" w:left="0"/>
      </w:pPr>
      <w:r w:rsidRPr="008C74A3">
        <w:t xml:space="preserve">A depiction of </w:t>
      </w:r>
      <w:r w:rsidR="00FF4D86" w:rsidRPr="008C74A3">
        <w:t>“</w:t>
      </w:r>
      <w:r w:rsidRPr="008C74A3">
        <w:t>impact performance,</w:t>
      </w:r>
      <w:r w:rsidR="00FF4D86" w:rsidRPr="008C74A3">
        <w:t>”</w:t>
      </w:r>
      <w:r w:rsidRPr="008C74A3">
        <w:t xml:space="preserve"> as opposed to just </w:t>
      </w:r>
      <w:r w:rsidR="00FF4D86" w:rsidRPr="008C74A3">
        <w:t>“</w:t>
      </w:r>
      <w:r w:rsidRPr="008C74A3">
        <w:t>impact,</w:t>
      </w:r>
      <w:r w:rsidR="00FF4D86" w:rsidRPr="008C74A3">
        <w:t>”</w:t>
      </w:r>
      <w:r w:rsidRPr="008C74A3">
        <w:t xml:space="preserve"> in principle means not only a description of an entity’s positive and negative outcomes and/or impacts, but also a consideration of the balance between different kinds of positive and negative impacts in that entity’s particular context</w:t>
      </w:r>
      <w:r w:rsidR="002949AE" w:rsidRPr="008C74A3">
        <w:t>, the tradeoffs among them, and the decisions made to manage those impacts</w:t>
      </w:r>
      <w:r w:rsidRPr="008C74A3">
        <w:t>.</w:t>
      </w:r>
      <w:r w:rsidRPr="008C74A3">
        <w:rPr>
          <w:rStyle w:val="FootnoteReference"/>
        </w:rPr>
        <w:footnoteReference w:id="39"/>
      </w:r>
    </w:p>
    <w:p w14:paraId="7FEF878E" w14:textId="62E75F64" w:rsidR="00CE7217" w:rsidRPr="008C74A3" w:rsidRDefault="00CE7217" w:rsidP="00570ED2">
      <w:pPr>
        <w:spacing w:after="120"/>
      </w:pPr>
      <w:r w:rsidRPr="008C74A3">
        <w:rPr>
          <w:color w:val="000000" w:themeColor="text1"/>
        </w:rPr>
        <w:t xml:space="preserve">However, </w:t>
      </w:r>
      <w:r w:rsidRPr="008C74A3">
        <w:t xml:space="preserve">complete information is rarely available or cost-effective to obtain. The Conceptual Framework also recognizes the cost constraint on reporting (see paragraphs 2.39 – 2.43 in Appendix </w:t>
      </w:r>
      <w:r w:rsidR="00740A3E" w:rsidRPr="008C74A3">
        <w:t>F</w:t>
      </w:r>
      <w:r w:rsidRPr="008C74A3">
        <w:t xml:space="preserve">). Related to the need for judgment calls about materiality, judgment is required to gauge how much completeness is appropriate </w:t>
      </w:r>
      <w:proofErr w:type="gramStart"/>
      <w:r w:rsidRPr="008C74A3">
        <w:t>in light of</w:t>
      </w:r>
      <w:proofErr w:type="gramEnd"/>
      <w:r w:rsidRPr="008C74A3">
        <w:t xml:space="preserve"> the cost of obtaining and disclosing the information, the significance of the impacts from the perspective of </w:t>
      </w:r>
      <w:r w:rsidR="00734B44" w:rsidRPr="008C74A3">
        <w:t>stakeholder</w:t>
      </w:r>
      <w:r w:rsidRPr="008C74A3">
        <w:t>s and the natural environment, and the significance of the information to primary users of the report.</w:t>
      </w:r>
    </w:p>
    <w:p w14:paraId="2330429B" w14:textId="1F154DA6" w:rsidR="00CE7217" w:rsidRPr="008C74A3" w:rsidRDefault="00CE7217" w:rsidP="00570ED2">
      <w:pPr>
        <w:spacing w:after="120"/>
      </w:pPr>
      <w:r w:rsidRPr="008C74A3">
        <w:t xml:space="preserve">Consideration of neutrality and accuracy can help </w:t>
      </w:r>
      <w:r w:rsidR="001124D7" w:rsidRPr="008C74A3">
        <w:t>report preparers</w:t>
      </w:r>
      <w:r w:rsidRPr="008C74A3">
        <w:t xml:space="preserve"> in making these judgment calls.</w:t>
      </w:r>
    </w:p>
    <w:p w14:paraId="0D77FD11" w14:textId="0BDA2165" w:rsidR="00CE7217" w:rsidRPr="008C74A3" w:rsidRDefault="00CE7217" w:rsidP="00570ED2">
      <w:pPr>
        <w:spacing w:after="120"/>
      </w:pPr>
      <w:r w:rsidRPr="008C74A3">
        <w:t xml:space="preserve">A neutral depiction means there is no bias in which information is selected to include in the report, or in the way that information is presented. In the context of financial reporting, the term </w:t>
      </w:r>
      <w:r w:rsidR="00B47DD9" w:rsidRPr="008C74A3">
        <w:t>“</w:t>
      </w:r>
      <w:r w:rsidRPr="008C74A3">
        <w:t>bias</w:t>
      </w:r>
      <w:r w:rsidR="00B47DD9" w:rsidRPr="008C74A3">
        <w:t>”</w:t>
      </w:r>
      <w:r w:rsidRPr="008C74A3">
        <w:t xml:space="preserve"> refers to slanting, weighting, emphasizing, deemphasizing</w:t>
      </w:r>
      <w:r w:rsidR="00B47DD9" w:rsidRPr="008C74A3">
        <w:t>,</w:t>
      </w:r>
      <w:r w:rsidRPr="008C74A3">
        <w:t xml:space="preserve"> or otherwise manipulating the information in the report to make it more likely that users of the report will receive the information positively or negatively. Colloquially, a </w:t>
      </w:r>
      <w:r w:rsidR="006E136D" w:rsidRPr="008C74A3">
        <w:t>“</w:t>
      </w:r>
      <w:r w:rsidRPr="008C74A3">
        <w:t>neutral</w:t>
      </w:r>
      <w:r w:rsidR="006E136D" w:rsidRPr="008C74A3">
        <w:t>”</w:t>
      </w:r>
      <w:r w:rsidRPr="008C74A3">
        <w:t xml:space="preserve"> depiction would be one free of </w:t>
      </w:r>
      <w:r w:rsidR="006E136D" w:rsidRPr="008C74A3">
        <w:t>“</w:t>
      </w:r>
      <w:r w:rsidRPr="008C74A3">
        <w:t>green-</w:t>
      </w:r>
      <w:r w:rsidR="00570ED2" w:rsidRPr="008C74A3">
        <w:t>washing</w:t>
      </w:r>
      <w:r w:rsidR="006E136D" w:rsidRPr="008C74A3">
        <w:t>”</w:t>
      </w:r>
      <w:r w:rsidR="001124D7" w:rsidRPr="008C74A3">
        <w:t xml:space="preserve"> </w:t>
      </w:r>
      <w:r w:rsidRPr="008C74A3">
        <w:t xml:space="preserve">or </w:t>
      </w:r>
      <w:r w:rsidR="006E136D" w:rsidRPr="008C74A3">
        <w:t>“</w:t>
      </w:r>
      <w:r w:rsidRPr="008C74A3">
        <w:t>impact-washing.</w:t>
      </w:r>
      <w:r w:rsidR="006E136D" w:rsidRPr="008C74A3">
        <w:t>”</w:t>
      </w:r>
    </w:p>
    <w:p w14:paraId="04439E32" w14:textId="78E7F40C" w:rsidR="00A40A1E" w:rsidRPr="008C74A3" w:rsidRDefault="2767A726" w:rsidP="00570ED2">
      <w:pPr>
        <w:spacing w:after="120"/>
      </w:pPr>
      <w:r w:rsidRPr="008C74A3">
        <w:t xml:space="preserve">When preparing representations of social and/or environmental impact, concepts such as </w:t>
      </w:r>
      <w:r w:rsidR="00CA5395" w:rsidRPr="008C74A3">
        <w:t xml:space="preserve">bias and </w:t>
      </w:r>
      <w:r w:rsidRPr="008C74A3">
        <w:t xml:space="preserve">neutrality </w:t>
      </w:r>
      <w:r w:rsidR="00CA5395" w:rsidRPr="008C74A3">
        <w:t>merit</w:t>
      </w:r>
      <w:r w:rsidRPr="008C74A3">
        <w:t xml:space="preserve"> handling with particular care. A representation that appears neutral and unbiased to a report preparer or </w:t>
      </w:r>
      <w:r w:rsidR="00CA5395" w:rsidRPr="008C74A3">
        <w:t xml:space="preserve">to </w:t>
      </w:r>
      <w:r w:rsidRPr="008C74A3">
        <w:t xml:space="preserve">users may not appear so to others, even when all involved are acting in good faith and making best efforts. </w:t>
      </w:r>
      <w:r w:rsidR="00CA5395" w:rsidRPr="008C74A3">
        <w:t>Report preparers, users, and independent reviewers alike</w:t>
      </w:r>
      <w:r w:rsidRPr="008C74A3">
        <w:t xml:space="preserve"> are encouraged to check for bias and neutrality from multiple perspectives, for instance by ensuring that report drafts are </w:t>
      </w:r>
      <w:r w:rsidRPr="008C74A3">
        <w:lastRenderedPageBreak/>
        <w:t xml:space="preserve">reviewed by individuals that </w:t>
      </w:r>
      <w:r w:rsidR="00CA5395" w:rsidRPr="008C74A3">
        <w:t>can</w:t>
      </w:r>
      <w:r w:rsidRPr="008C74A3">
        <w:t xml:space="preserve"> represent the various groups of </w:t>
      </w:r>
      <w:r w:rsidR="00734B44" w:rsidRPr="008C74A3">
        <w:t>stakeholder</w:t>
      </w:r>
      <w:r w:rsidRPr="008C74A3">
        <w:t xml:space="preserve">s </w:t>
      </w:r>
      <w:r w:rsidR="00CA5395" w:rsidRPr="008C74A3">
        <w:t xml:space="preserve">and/or aspects of the natural environment </w:t>
      </w:r>
      <w:r w:rsidRPr="008C74A3">
        <w:t xml:space="preserve">represented in the report. </w:t>
      </w:r>
    </w:p>
    <w:p w14:paraId="10F009B8" w14:textId="0B89C1D5" w:rsidR="003B4904" w:rsidRPr="008C74A3" w:rsidRDefault="00CE7217" w:rsidP="00570ED2">
      <w:pPr>
        <w:pStyle w:val="ListParagraph"/>
        <w:spacing w:after="120"/>
        <w:ind w:leftChars="0" w:left="0"/>
      </w:pPr>
      <w:r w:rsidRPr="008C74A3">
        <w:t xml:space="preserve">For impact performance information to be accurate, it does not need to be perfectly precise; rather, accuracy requires that reported information be free of material misstatement; estimates, approximations, and forecasts are explicitly identified; and estimates are developed through reasonable assumptions and inputs-based information of sufficient quality and quantity. </w:t>
      </w:r>
      <w:r w:rsidR="003B4904" w:rsidRPr="008C74A3">
        <w:t xml:space="preserve">Claims of impact are made more credible to the extent that they are evidenced by data from as close to the stakeholders experiencing impact as possible. </w:t>
      </w:r>
      <w:r w:rsidRPr="008C74A3">
        <w:t xml:space="preserve">While it may not be possible for users or independent reviewers to verify the source data, estimates, or assumptions that underpin the report, preparers can follow consistent and rigorous processes, and the following of those processes can be documented and </w:t>
      </w:r>
      <w:r w:rsidR="002B40A4" w:rsidRPr="008C74A3">
        <w:t>independently reviewe</w:t>
      </w:r>
      <w:r w:rsidR="00F52D2C" w:rsidRPr="008C74A3">
        <w:t>d</w:t>
      </w:r>
      <w:r w:rsidRPr="008C74A3">
        <w:t>.</w:t>
      </w:r>
    </w:p>
    <w:p w14:paraId="212D67A4" w14:textId="77777777" w:rsidR="00CE7217" w:rsidRPr="008C74A3" w:rsidRDefault="00CE7217" w:rsidP="00570ED2">
      <w:pPr>
        <w:spacing w:after="120"/>
      </w:pPr>
      <w:r w:rsidRPr="008C74A3">
        <w:t xml:space="preserve">Preparers of impact performance reports are likely to struggle with all three: completeness, neutrality, and accuracy. Users for their part may question whether reports are complete, neutral, and accurate enough to inform their decisions. </w:t>
      </w:r>
    </w:p>
    <w:p w14:paraId="65EDC41C" w14:textId="269B842C" w:rsidR="00CE7217" w:rsidRPr="008C74A3" w:rsidRDefault="00CE7217" w:rsidP="00570ED2">
      <w:pPr>
        <w:spacing w:after="120"/>
      </w:pPr>
      <w:r w:rsidRPr="008C74A3">
        <w:t>This is where effective stakeholder engagement and thoughtful independent review may add value. Independent review is covered under “Verifiability” and in other sections</w:t>
      </w:r>
      <w:r w:rsidR="00CA5395" w:rsidRPr="008C74A3">
        <w:t>. P</w:t>
      </w:r>
      <w:r w:rsidRPr="008C74A3">
        <w:t xml:space="preserve">ossible methods of stakeholder engagement both at the level of </w:t>
      </w:r>
      <w:r w:rsidR="007D6D4A" w:rsidRPr="008C74A3">
        <w:t>the entity’s</w:t>
      </w:r>
      <w:r w:rsidRPr="008C74A3">
        <w:t xml:space="preserve"> impact theses and at the level of performance of individual investee enterprises are explored in Appendices </w:t>
      </w:r>
      <w:r w:rsidR="006E136D" w:rsidRPr="008C74A3">
        <w:t>G</w:t>
      </w:r>
      <w:r w:rsidRPr="008C74A3">
        <w:t xml:space="preserve"> and </w:t>
      </w:r>
      <w:r w:rsidR="006E136D" w:rsidRPr="008C74A3">
        <w:t>H</w:t>
      </w:r>
      <w:r w:rsidRPr="008C74A3">
        <w:t>.</w:t>
      </w:r>
    </w:p>
    <w:p w14:paraId="241E4AD0" w14:textId="6BF97637" w:rsidR="00BD395C" w:rsidRPr="008C74A3" w:rsidRDefault="00CE7217" w:rsidP="00570ED2">
      <w:pPr>
        <w:spacing w:after="120"/>
      </w:pPr>
      <w:r w:rsidRPr="008C74A3">
        <w:t xml:space="preserve">As part of the “Foundations” for the </w:t>
      </w:r>
      <w:r w:rsidR="008619D6" w:rsidRPr="008C74A3">
        <w:t>d</w:t>
      </w:r>
      <w:r w:rsidRPr="008C74A3">
        <w:t xml:space="preserve">raft Reporting Norms, </w:t>
      </w:r>
      <w:r w:rsidR="00734B44" w:rsidRPr="008C74A3">
        <w:t>stakeholder</w:t>
      </w:r>
      <w:r w:rsidRPr="008C74A3">
        <w:t>s are the best source of information about their own needs and preferences, about the impacts they are experiencing</w:t>
      </w:r>
      <w:r w:rsidR="001C4B06" w:rsidRPr="008C74A3">
        <w:t>, and about the relative importance of those impacts</w:t>
      </w:r>
      <w:r w:rsidRPr="008C74A3">
        <w:t>.</w:t>
      </w:r>
      <w:r w:rsidRPr="008C74A3">
        <w:rPr>
          <w:rStyle w:val="FootnoteReference"/>
          <w:color w:val="000000" w:themeColor="text1"/>
        </w:rPr>
        <w:footnoteReference w:id="40"/>
      </w:r>
      <w:r w:rsidRPr="008C74A3">
        <w:t xml:space="preserve"> In the case of the natural environment, source</w:t>
      </w:r>
      <w:r w:rsidR="006E136D" w:rsidRPr="008C74A3">
        <w:t>s</w:t>
      </w:r>
      <w:r w:rsidRPr="008C74A3">
        <w:t xml:space="preserve"> of information may </w:t>
      </w:r>
      <w:r w:rsidR="006E136D" w:rsidRPr="008C74A3">
        <w:t xml:space="preserve">include </w:t>
      </w:r>
      <w:r w:rsidRPr="008C74A3">
        <w:t>scientists</w:t>
      </w:r>
      <w:r w:rsidR="00C35349" w:rsidRPr="008C74A3">
        <w:t xml:space="preserve">, </w:t>
      </w:r>
      <w:r w:rsidRPr="008C74A3">
        <w:t>technical experts</w:t>
      </w:r>
      <w:r w:rsidR="00C35349" w:rsidRPr="008C74A3">
        <w:t>, and local communities</w:t>
      </w:r>
      <w:r w:rsidRPr="008C74A3">
        <w:t xml:space="preserve"> who are most proximate</w:t>
      </w:r>
      <w:r w:rsidR="00C35349" w:rsidRPr="008C74A3">
        <w:t xml:space="preserve"> to</w:t>
      </w:r>
      <w:r w:rsidRPr="008C74A3">
        <w:t xml:space="preserve"> and/or skilled with the measurement and interpretation of environmental phenomena</w:t>
      </w:r>
      <w:r w:rsidR="00C35349" w:rsidRPr="008C74A3">
        <w:t>.</w:t>
      </w:r>
    </w:p>
    <w:p w14:paraId="6D895596" w14:textId="2995C18F" w:rsidR="00CE7217" w:rsidRPr="008C74A3" w:rsidRDefault="003B4904" w:rsidP="00570ED2">
      <w:pPr>
        <w:spacing w:after="120"/>
      </w:pPr>
      <w:r w:rsidRPr="008C74A3">
        <w:t xml:space="preserve">Entities engaging directly with stakeholders are also encouraged to consider that engagement may be received as 'empowering' or ‘extractive’ – or even perceived as a means towards control or influence – and therefore needs careful consideration. </w:t>
      </w:r>
      <w:r w:rsidR="00BD395C" w:rsidRPr="008C74A3">
        <w:t>It is encouraged to refer to written resources</w:t>
      </w:r>
      <w:r w:rsidR="00BD395C" w:rsidRPr="008C74A3">
        <w:rPr>
          <w:rStyle w:val="FootnoteReference"/>
          <w:color w:val="000000" w:themeColor="text1"/>
        </w:rPr>
        <w:footnoteReference w:id="41"/>
      </w:r>
      <w:r w:rsidR="00BD395C" w:rsidRPr="008C74A3">
        <w:t xml:space="preserve"> or practitioners with specialist expertise in engaging </w:t>
      </w:r>
      <w:r w:rsidR="00734B44" w:rsidRPr="008C74A3">
        <w:t>stakeholder</w:t>
      </w:r>
      <w:r w:rsidR="00BD395C" w:rsidRPr="008C74A3">
        <w:t>s</w:t>
      </w:r>
      <w:r w:rsidR="00297368" w:rsidRPr="008C74A3">
        <w:t>.</w:t>
      </w:r>
      <w:r w:rsidR="00BD395C" w:rsidRPr="008C74A3">
        <w:t xml:space="preserve"> </w:t>
      </w:r>
    </w:p>
    <w:p w14:paraId="4DF6FE10" w14:textId="336F8750" w:rsidR="00EF689A" w:rsidRPr="008C74A3" w:rsidRDefault="00CE7217" w:rsidP="00570ED2">
      <w:pPr>
        <w:spacing w:after="120"/>
      </w:pPr>
      <w:r w:rsidRPr="008C74A3">
        <w:t xml:space="preserve">Just as materiality in the </w:t>
      </w:r>
      <w:r w:rsidR="008619D6" w:rsidRPr="008C74A3">
        <w:t>d</w:t>
      </w:r>
      <w:r w:rsidRPr="008C74A3">
        <w:t xml:space="preserve">raft Reporting Norms is defined from the perspective of the </w:t>
      </w:r>
      <w:r w:rsidR="00734B44" w:rsidRPr="008C74A3">
        <w:t>stakeholder</w:t>
      </w:r>
      <w:r w:rsidRPr="008C74A3">
        <w:t xml:space="preserve">s and aspects of the natural environment experiencing the impact, so are the characteristics of completeness, neutrality, and accuracy that together make for faithful representation. When questions arise about whether information in a report is faithfully represented, a useful criterion to consider is whether the </w:t>
      </w:r>
      <w:r w:rsidR="00734B44" w:rsidRPr="008C74A3">
        <w:t>stakeholder</w:t>
      </w:r>
      <w:r w:rsidRPr="008C74A3">
        <w:t xml:space="preserve">s or aspects of the natural environment experiencing the impact </w:t>
      </w:r>
      <w:r w:rsidR="00EF689A" w:rsidRPr="008C74A3">
        <w:t xml:space="preserve">would </w:t>
      </w:r>
      <w:r w:rsidRPr="008C74A3">
        <w:t>consider it a faithful representation, in a hypothetical scenario in which they were able to review the impact performance report.</w:t>
      </w:r>
      <w:r w:rsidRPr="008C74A3">
        <w:rPr>
          <w:rStyle w:val="FootnoteReference"/>
          <w:color w:val="000000" w:themeColor="text1"/>
        </w:rPr>
        <w:footnoteReference w:id="42"/>
      </w:r>
      <w:r w:rsidRPr="008C74A3">
        <w:t xml:space="preserve"> </w:t>
      </w:r>
    </w:p>
    <w:p w14:paraId="48A55F84" w14:textId="5F50D4BC" w:rsidR="00CE7217" w:rsidRPr="008C74A3" w:rsidRDefault="00EF689A" w:rsidP="00570ED2">
      <w:pPr>
        <w:spacing w:after="120"/>
      </w:pPr>
      <w:r w:rsidRPr="008C74A3">
        <w:lastRenderedPageBreak/>
        <w:t>One way of ensuring the faithful representation of impact is to engage stakeholders in the production and/or review of information presented in the report. Preparers are encouraged to provide any available evidence corroborating that the content of the report reflects the experiences, preferences, and views of the stakeholders experiencing the impact.  Report preparers</w:t>
      </w:r>
      <w:r w:rsidR="009149D5" w:rsidRPr="008C74A3">
        <w:t>, users, and independent reviewers</w:t>
      </w:r>
      <w:r w:rsidRPr="008C74A3">
        <w:t xml:space="preserve"> may also solicit review of reports by </w:t>
      </w:r>
      <w:r w:rsidR="00CE7217" w:rsidRPr="008C74A3">
        <w:t xml:space="preserve">diverse </w:t>
      </w:r>
      <w:r w:rsidRPr="008C74A3">
        <w:t>stakeholder group</w:t>
      </w:r>
      <w:r w:rsidR="009149D5" w:rsidRPr="008C74A3">
        <w:t xml:space="preserve">s. </w:t>
      </w:r>
    </w:p>
    <w:p w14:paraId="0B4E26E5" w14:textId="44CF8E26" w:rsidR="00CE7217" w:rsidRPr="008C74A3" w:rsidRDefault="00CE7217" w:rsidP="00570ED2">
      <w:pPr>
        <w:spacing w:after="120"/>
      </w:pPr>
      <w:r w:rsidRPr="008C74A3">
        <w:t xml:space="preserve">The absence of </w:t>
      </w:r>
      <w:r w:rsidR="00FB09AA" w:rsidRPr="008C74A3">
        <w:t>photos</w:t>
      </w:r>
      <w:r w:rsidRPr="008C74A3">
        <w:t>, icons, and colors from impact performance reports enhances their ability to provide a faithful (i.e., complete, neutral, and accurate) representation of impact. As noted in Part 1, it is difficult or impossible for preparers to ensure or users to verify that any image or set of images creates a faithful representation of an investment’s impacts. Legal analysts have even gone so far as to suggest that visual elements of disclosures that connote emotions or moods should be considered along the information being provided.</w:t>
      </w:r>
      <w:r w:rsidRPr="008C74A3">
        <w:rPr>
          <w:rStyle w:val="FootnoteReference"/>
          <w:color w:val="000000" w:themeColor="text1"/>
        </w:rPr>
        <w:footnoteReference w:id="43"/>
      </w:r>
      <w:r w:rsidRPr="008C74A3">
        <w:t xml:space="preserve"> </w:t>
      </w:r>
    </w:p>
    <w:p w14:paraId="5036CDCC" w14:textId="7C2D2573" w:rsidR="00CE7217" w:rsidRPr="008C74A3" w:rsidRDefault="00103613" w:rsidP="00570ED2">
      <w:pPr>
        <w:spacing w:after="120"/>
        <w:rPr>
          <w:rStyle w:val="normaltextrun"/>
          <w:color w:val="000000" w:themeColor="text1"/>
        </w:rPr>
      </w:pPr>
      <w:r w:rsidRPr="008C74A3">
        <w:rPr>
          <w:noProof/>
        </w:rPr>
        <w:lastRenderedPageBreak/>
        <mc:AlternateContent>
          <mc:Choice Requires="wps">
            <w:drawing>
              <wp:anchor distT="45720" distB="45720" distL="114300" distR="114300" simplePos="0" relativeHeight="251758592" behindDoc="0" locked="0" layoutInCell="1" allowOverlap="1" wp14:anchorId="7784B1EA" wp14:editId="11D1E556">
                <wp:simplePos x="0" y="0"/>
                <wp:positionH relativeFrom="margin">
                  <wp:posOffset>-68580</wp:posOffset>
                </wp:positionH>
                <wp:positionV relativeFrom="paragraph">
                  <wp:posOffset>71120</wp:posOffset>
                </wp:positionV>
                <wp:extent cx="5919470" cy="1404620"/>
                <wp:effectExtent l="0" t="0" r="24130" b="26035"/>
                <wp:wrapSquare wrapText="bothSides"/>
                <wp:docPr id="15258024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0EF948EC" w14:textId="77777777" w:rsidR="00103613" w:rsidRPr="008F5B1A" w:rsidRDefault="00103613" w:rsidP="00103613">
                            <w:pPr>
                              <w:spacing w:after="120"/>
                            </w:pPr>
                            <w:r w:rsidRPr="008F5B1A">
                              <w:t xml:space="preserve">Excerpts from </w:t>
                            </w:r>
                            <w:r>
                              <w:t xml:space="preserve">Conceptual Framework </w:t>
                            </w:r>
                            <w:r w:rsidRPr="008F5B1A">
                              <w:t>Chapter 2</w:t>
                            </w:r>
                          </w:p>
                          <w:p w14:paraId="0C6F3AF0" w14:textId="77777777" w:rsidR="00103613" w:rsidRPr="008F5B1A" w:rsidRDefault="00103613" w:rsidP="00103613">
                            <w:pPr>
                              <w:spacing w:after="120"/>
                            </w:pPr>
                            <w:r w:rsidRPr="008F5B1A">
                              <w:t>2.12</w:t>
                            </w:r>
                            <w:r w:rsidRPr="008F5B1A">
                              <w:tab/>
                              <w:t>Financial reports represent economic phenomena in words and numbers. To be useful, financial information must not only represent relevant phenomena, but it must also faithfully represent the substance of the phenomena that it purports to represent.</w:t>
                            </w:r>
                          </w:p>
                          <w:p w14:paraId="2234BB51" w14:textId="77777777" w:rsidR="00103613" w:rsidRPr="008F5B1A" w:rsidRDefault="00103613" w:rsidP="00103613">
                            <w:pPr>
                              <w:spacing w:after="120"/>
                            </w:pPr>
                            <w:r w:rsidRPr="008F5B1A">
                              <w:t>2.13</w:t>
                            </w:r>
                            <w:r w:rsidRPr="008F5B1A">
                              <w:tab/>
                              <w:t>To be a perfectly faithful representation, a depiction would have three characteristics. It would be complete, neutral and free from error. Of course, perfection is seldom, if ever, achievable. [IASB’s] objective is to maximise those qualities to the extent possible.</w:t>
                            </w:r>
                          </w:p>
                          <w:p w14:paraId="5C02D9C2" w14:textId="77777777" w:rsidR="00103613" w:rsidRPr="008F5B1A" w:rsidRDefault="00103613" w:rsidP="00103613">
                            <w:pPr>
                              <w:spacing w:after="120"/>
                            </w:pPr>
                            <w:r w:rsidRPr="008F5B1A">
                              <w:t>2.14</w:t>
                            </w:r>
                            <w:r w:rsidRPr="008F5B1A">
                              <w:tab/>
                              <w:t>A complete depiction includes all information necessary for a user to understand the phenomenon being depicted, including all necessary descriptions and explanations.</w:t>
                            </w:r>
                          </w:p>
                          <w:p w14:paraId="7468BE51" w14:textId="77777777" w:rsidR="00103613" w:rsidRPr="008F5B1A" w:rsidRDefault="00103613" w:rsidP="00103613">
                            <w:pPr>
                              <w:spacing w:after="120"/>
                            </w:pPr>
                            <w:r w:rsidRPr="008F5B1A">
                              <w:t>2.15</w:t>
                            </w:r>
                            <w:r w:rsidRPr="008F5B1A">
                              <w:tab/>
                              <w:t>A neutral depiction is without bias in the selection or presentation of financial information. A neutral depiction is not slanted, weighted, emphasised, de-emphasised or otherwise manipulated to increase the probability that financial information will be received favourably or unfavourably by users. Neutral information does not mean information with no purpose or no influence on behaviour. On the contrary, relevant financial information is, by definition, capable of making a difference in users’ decisions.</w:t>
                            </w:r>
                          </w:p>
                          <w:p w14:paraId="715A1745" w14:textId="77777777" w:rsidR="00103613" w:rsidRPr="008F5B1A" w:rsidRDefault="00103613" w:rsidP="00103613">
                            <w:pPr>
                              <w:spacing w:after="120"/>
                            </w:pPr>
                            <w:r w:rsidRPr="008F5B1A">
                              <w:t>2.16</w:t>
                            </w:r>
                            <w:r w:rsidRPr="008F5B1A">
                              <w:tab/>
                              <w:t>Neutrality is supported by the exercise of prudence. Prudence is the exercise of caution when making judgements under conditions of uncertainty. The exercise of prudence means that assets and income are not overstated and liabilities and expenses are not understated.</w:t>
                            </w:r>
                          </w:p>
                          <w:p w14:paraId="283B96FF" w14:textId="77777777" w:rsidR="00103613" w:rsidRPr="008F5B1A" w:rsidRDefault="00103613" w:rsidP="00103613">
                            <w:pPr>
                              <w:spacing w:after="120"/>
                            </w:pPr>
                            <w:r w:rsidRPr="008F5B1A">
                              <w:t>2.18</w:t>
                            </w:r>
                            <w:r w:rsidRPr="008F5B1A">
                              <w:tab/>
                              <w:t>Faithful representation does not mean accurate in all respects. Free from error means there are no errors or omissions in the description of the phenomenon, and the process used to produce the reported information has been selected and applied with no errors in the process. In this context, free from error does not mean perfectly accurate in all respects. For example, an estimate of an unobservable price or value cannot be determined to be accurate or inaccurate. However, a representation of that estimate can be faithful if the amount is described clearly and accurately as being an estimate, the nature and limitations of the estimating process are explained, and no errors have been made in selecting and applying an appropriate process for developing the estimate.</w:t>
                            </w:r>
                          </w:p>
                          <w:p w14:paraId="111C81E4" w14:textId="77777777" w:rsidR="00103613" w:rsidRPr="008F5B1A" w:rsidRDefault="00103613" w:rsidP="00103613">
                            <w:pPr>
                              <w:spacing w:after="120"/>
                            </w:pPr>
                            <w:r w:rsidRPr="008F5B1A">
                              <w:t>2.19</w:t>
                            </w:r>
                            <w:r w:rsidRPr="008F5B1A">
                              <w:tab/>
                              <w:t>When monetary amounts in financial reports cannot be observed directly and must instead be estimated, measurement uncertainty arises. The use of reasonable estimates is an essential part of the preparation of financial information and does not undermine the usefulness of the information if the estimates are clearly and accurately described and explained. Even a high level of measurement uncertainty does not necessarily prevent such an estimate from providing useful information.</w:t>
                            </w:r>
                          </w:p>
                          <w:p w14:paraId="0DAFC5B9" w14:textId="43078105" w:rsidR="00103613" w:rsidRPr="008F5B1A" w:rsidRDefault="00103613" w:rsidP="00103613">
                            <w:pPr>
                              <w:spacing w:after="120"/>
                            </w:pPr>
                            <w:r w:rsidRPr="008F5B1A">
                              <w:t xml:space="preserve">See Appendix </w:t>
                            </w:r>
                            <w:r w:rsidR="00A42ED0">
                              <w:t>F</w:t>
                            </w:r>
                            <w:r w:rsidRPr="008F5B1A">
                              <w:t xml:space="preserve"> for further guidance from </w:t>
                            </w:r>
                            <w:r>
                              <w:t>the Conceptual Framework</w:t>
                            </w:r>
                            <w:r w:rsidRPr="008F5B1A">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84B1EA" id="_x0000_s1030" type="#_x0000_t202" style="position:absolute;margin-left:-5.4pt;margin-top:5.6pt;width:466.1pt;height:110.6pt;z-index:2517585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">
                <v:textbox style="mso-fit-shape-to-text:t">
                  <w:txbxContent>
                    <w:p w14:paraId="0EF948EC" w14:textId="77777777" w:rsidR="00103613" w:rsidRPr="008F5B1A" w:rsidRDefault="00103613" w:rsidP="00103613">
                      <w:pPr>
                        <w:spacing w:after="120"/>
                      </w:pPr>
                      <w:r w:rsidRPr="008F5B1A">
                        <w:t xml:space="preserve">Excerpts from </w:t>
                      </w:r>
                      <w:r>
                        <w:t xml:space="preserve">Conceptual Framework </w:t>
                      </w:r>
                      <w:r w:rsidRPr="008F5B1A">
                        <w:t>Chapter 2</w:t>
                      </w:r>
                    </w:p>
                    <w:p w14:paraId="0C6F3AF0" w14:textId="77777777" w:rsidR="00103613" w:rsidRPr="008F5B1A" w:rsidRDefault="00103613" w:rsidP="00103613">
                      <w:pPr>
                        <w:spacing w:after="120"/>
                      </w:pPr>
                      <w:r w:rsidRPr="008F5B1A">
                        <w:t>2.12</w:t>
                      </w:r>
                      <w:r w:rsidRPr="008F5B1A">
                        <w:tab/>
                        <w:t>Financial reports represent economic phenomena in words and numbers. To be useful, financial information must not only represent relevant phenomena, but it must also faithfully represent the substance of the phenomena that it purports to represent.</w:t>
                      </w:r>
                    </w:p>
                    <w:p w14:paraId="2234BB51" w14:textId="77777777" w:rsidR="00103613" w:rsidRPr="008F5B1A" w:rsidRDefault="00103613" w:rsidP="00103613">
                      <w:pPr>
                        <w:spacing w:after="120"/>
                      </w:pPr>
                      <w:r w:rsidRPr="008F5B1A">
                        <w:t>2.13</w:t>
                      </w:r>
                      <w:r w:rsidRPr="008F5B1A">
                        <w:tab/>
                        <w:t>To be a perfectly faithful representation, a depiction would have three characteristics. It would be complete, neutral and free from error. Of course, perfection is seldom, if ever, achievable. [IASB’s] objective is to maximise those qualities to the extent possible.</w:t>
                      </w:r>
                    </w:p>
                    <w:p w14:paraId="5C02D9C2" w14:textId="77777777" w:rsidR="00103613" w:rsidRPr="008F5B1A" w:rsidRDefault="00103613" w:rsidP="00103613">
                      <w:pPr>
                        <w:spacing w:after="120"/>
                      </w:pPr>
                      <w:r w:rsidRPr="008F5B1A">
                        <w:t>2.14</w:t>
                      </w:r>
                      <w:r w:rsidRPr="008F5B1A">
                        <w:tab/>
                        <w:t>A complete depiction includes all information necessary for a user to understand the phenomenon being depicted, including all necessary descriptions and explanations.</w:t>
                      </w:r>
                    </w:p>
                    <w:p w14:paraId="7468BE51" w14:textId="77777777" w:rsidR="00103613" w:rsidRPr="008F5B1A" w:rsidRDefault="00103613" w:rsidP="00103613">
                      <w:pPr>
                        <w:spacing w:after="120"/>
                      </w:pPr>
                      <w:r w:rsidRPr="008F5B1A">
                        <w:t>2.15</w:t>
                      </w:r>
                      <w:r w:rsidRPr="008F5B1A">
                        <w:tab/>
                        <w:t>A neutral depiction is without bias in the selection or presentation of financial information. A neutral depiction is not slanted, weighted, emphasised, de-emphasised or otherwise manipulated to increase the probability that financial information will be received favourably or unfavourably by users. Neutral information does not mean information with no purpose or no influence on behaviour. On the contrary, relevant financial information is, by definition, capable of making a difference in users’ decisions.</w:t>
                      </w:r>
                    </w:p>
                    <w:p w14:paraId="715A1745" w14:textId="77777777" w:rsidR="00103613" w:rsidRPr="008F5B1A" w:rsidRDefault="00103613" w:rsidP="00103613">
                      <w:pPr>
                        <w:spacing w:after="120"/>
                      </w:pPr>
                      <w:r w:rsidRPr="008F5B1A">
                        <w:t>2.16</w:t>
                      </w:r>
                      <w:r w:rsidRPr="008F5B1A">
                        <w:tab/>
                        <w:t>Neutrality is supported by the exercise of prudence. Prudence is the exercise of caution when making judgements under conditions of uncertainty. The exercise of prudence means that assets and income are not overstated and liabilities and expenses are not understated.</w:t>
                      </w:r>
                    </w:p>
                    <w:p w14:paraId="283B96FF" w14:textId="77777777" w:rsidR="00103613" w:rsidRPr="008F5B1A" w:rsidRDefault="00103613" w:rsidP="00103613">
                      <w:pPr>
                        <w:spacing w:after="120"/>
                      </w:pPr>
                      <w:r w:rsidRPr="008F5B1A">
                        <w:t>2.18</w:t>
                      </w:r>
                      <w:r w:rsidRPr="008F5B1A">
                        <w:tab/>
                        <w:t>Faithful representation does not mean accurate in all respects. Free from error means there are no errors or omissions in the description of the phenomenon, and the process used to produce the reported information has been selected and applied with no errors in the process. In this context, free from error does not mean perfectly accurate in all respects. For example, an estimate of an unobservable price or value cannot be determined to be accurate or inaccurate. However, a representation of that estimate can be faithful if the amount is described clearly and accurately as being an estimate, the nature and limitations of the estimating process are explained, and no errors have been made in selecting and applying an appropriate process for developing the estimate.</w:t>
                      </w:r>
                    </w:p>
                    <w:p w14:paraId="111C81E4" w14:textId="77777777" w:rsidR="00103613" w:rsidRPr="008F5B1A" w:rsidRDefault="00103613" w:rsidP="00103613">
                      <w:pPr>
                        <w:spacing w:after="120"/>
                      </w:pPr>
                      <w:r w:rsidRPr="008F5B1A">
                        <w:t>2.19</w:t>
                      </w:r>
                      <w:r w:rsidRPr="008F5B1A">
                        <w:tab/>
                        <w:t>When monetary amounts in financial reports cannot be observed directly and must instead be estimated, measurement uncertainty arises. The use of reasonable estimates is an essential part of the preparation of financial information and does not undermine the usefulness of the information if the estimates are clearly and accurately described and explained. Even a high level of measurement uncertainty does not necessarily prevent such an estimate from providing useful information.</w:t>
                      </w:r>
                    </w:p>
                    <w:p w14:paraId="0DAFC5B9" w14:textId="43078105" w:rsidR="00103613" w:rsidRPr="008F5B1A" w:rsidRDefault="00103613" w:rsidP="00103613">
                      <w:pPr>
                        <w:spacing w:after="120"/>
                      </w:pPr>
                      <w:r w:rsidRPr="008F5B1A">
                        <w:t xml:space="preserve">See Appendix </w:t>
                      </w:r>
                      <w:r w:rsidR="00A42ED0">
                        <w:t>F</w:t>
                      </w:r>
                      <w:r w:rsidRPr="008F5B1A">
                        <w:t xml:space="preserve"> for further guidance from </w:t>
                      </w:r>
                      <w:r>
                        <w:t>the Conceptual Framework</w:t>
                      </w:r>
                      <w:r w:rsidRPr="008F5B1A">
                        <w:t xml:space="preserve">. </w:t>
                      </w:r>
                    </w:p>
                  </w:txbxContent>
                </v:textbox>
                <w10:wrap type="square" anchorx="margin"/>
              </v:shape>
            </w:pict>
          </mc:Fallback>
        </mc:AlternateContent>
      </w:r>
      <w:r w:rsidR="00CE7217" w:rsidRPr="008C74A3">
        <w:rPr>
          <w:rStyle w:val="normaltextrun"/>
          <w:rFonts w:ascii="Interstate" w:hAnsi="Interstate"/>
          <w:b/>
          <w:bCs/>
          <w:sz w:val="24"/>
          <w:szCs w:val="24"/>
          <w:shd w:val="clear" w:color="auto" w:fill="FFFFFF"/>
        </w:rPr>
        <w:br w:type="page"/>
      </w:r>
    </w:p>
    <w:p w14:paraId="6181E433" w14:textId="70D26FC6" w:rsidR="00CE7217" w:rsidRPr="008C74A3" w:rsidRDefault="00CE7217" w:rsidP="00570ED2">
      <w:pPr>
        <w:pStyle w:val="Heading4"/>
        <w:spacing w:after="120"/>
        <w:rPr>
          <w:shd w:val="clear" w:color="auto" w:fill="FFFFFF"/>
        </w:rPr>
      </w:pPr>
      <w:bookmarkStart w:id="42" w:name="_Hlk146140858"/>
      <w:r w:rsidRPr="008C74A3">
        <w:lastRenderedPageBreak/>
        <w:t>Comparability</w:t>
      </w:r>
    </w:p>
    <w:p w14:paraId="4F1C513E" w14:textId="677F8B3E" w:rsidR="00CE7217" w:rsidRPr="008C74A3" w:rsidRDefault="00FC3D45" w:rsidP="00570ED2">
      <w:pPr>
        <w:spacing w:after="120"/>
      </w:pPr>
      <w:r w:rsidRPr="008C74A3">
        <w:t xml:space="preserve">Comparability </w:t>
      </w:r>
      <w:r w:rsidR="00CE7217" w:rsidRPr="008C74A3">
        <w:t>enhances the usefulness of impact performance reports</w:t>
      </w:r>
      <w:r w:rsidRPr="008C74A3">
        <w:t>. However, in the Conceptual Framework it</w:t>
      </w:r>
      <w:r w:rsidR="002949AE" w:rsidRPr="008C74A3">
        <w:t xml:space="preserve"> is not a fundamental characteristic of useful information</w:t>
      </w:r>
      <w:r w:rsidR="00CE7217" w:rsidRPr="008C74A3">
        <w:t xml:space="preserve">. </w:t>
      </w:r>
      <w:r w:rsidRPr="008C74A3">
        <w:t xml:space="preserve">That is, information can be relevant and faithfully represented without being comparable. </w:t>
      </w:r>
    </w:p>
    <w:p w14:paraId="5A66249D" w14:textId="0DD13F0B" w:rsidR="00FC3D45" w:rsidRPr="008C74A3" w:rsidRDefault="00FC3D45" w:rsidP="00570ED2">
      <w:pPr>
        <w:spacing w:after="120"/>
      </w:pPr>
      <w:r w:rsidRPr="008C74A3">
        <w:t>For primary users of impact performance reports who are making decisions between alternatives, consistency enhances the usefulness of impact performance reports by making them easier to compare. Information is also more useful if it can be compared with information provided previously by the preparer.</w:t>
      </w:r>
      <w:r w:rsidRPr="008C74A3">
        <w:rPr>
          <w:rStyle w:val="FootnoteReference"/>
          <w:rFonts w:ascii="Calibri" w:hAnsi="Calibri" w:cs="Calibri"/>
          <w:color w:val="000000"/>
        </w:rPr>
        <w:footnoteReference w:id="44"/>
      </w:r>
      <w:r w:rsidRPr="008C74A3">
        <w:t xml:space="preserve"> </w:t>
      </w:r>
    </w:p>
    <w:p w14:paraId="0C6593C3" w14:textId="64ED23F1" w:rsidR="00CE7217" w:rsidRPr="008C74A3" w:rsidRDefault="00FC3D45" w:rsidP="00570ED2">
      <w:pPr>
        <w:spacing w:after="120"/>
      </w:pPr>
      <w:r w:rsidRPr="008C74A3">
        <w:t>More generally, c</w:t>
      </w:r>
      <w:r w:rsidR="00CE7217" w:rsidRPr="008C74A3">
        <w:t xml:space="preserve">omparability enables users to find similarities or differences between two items </w:t>
      </w:r>
      <w:proofErr w:type="gramStart"/>
      <w:r w:rsidR="00CE7217" w:rsidRPr="008C74A3">
        <w:t>with regard to</w:t>
      </w:r>
      <w:proofErr w:type="gramEnd"/>
      <w:r w:rsidR="00CE7217" w:rsidRPr="008C74A3">
        <w:t xml:space="preserve"> one or more attributes. At a general level, attributes could be ideas or </w:t>
      </w:r>
      <w:r w:rsidR="00077161" w:rsidRPr="008C74A3">
        <w:t>“</w:t>
      </w:r>
      <w:r w:rsidR="00CE7217" w:rsidRPr="008C74A3">
        <w:t>constructs</w:t>
      </w:r>
      <w:r w:rsidR="00077161" w:rsidRPr="008C74A3">
        <w:t>”</w:t>
      </w:r>
      <w:r w:rsidR="00CE7217" w:rsidRPr="008C74A3">
        <w:t xml:space="preserve"> such as sectors, geographies, themes, </w:t>
      </w:r>
      <w:r w:rsidR="00734B44" w:rsidRPr="008C74A3">
        <w:t>stakeholder</w:t>
      </w:r>
      <w:r w:rsidR="00CE7217" w:rsidRPr="008C74A3">
        <w:t xml:space="preserve"> characteristics, dimensions of impact, or goals, among other possibilities. This is termed </w:t>
      </w:r>
      <w:r w:rsidR="00077161" w:rsidRPr="008C74A3">
        <w:t>“</w:t>
      </w:r>
      <w:r w:rsidR="00CE7217" w:rsidRPr="008C74A3">
        <w:t>construct equivalence.</w:t>
      </w:r>
      <w:r w:rsidR="00077161" w:rsidRPr="008C74A3">
        <w:t>”</w:t>
      </w:r>
      <w:r w:rsidR="00CE7217" w:rsidRPr="008C74A3">
        <w:t xml:space="preserve"> At a more granular level, similarities and differences can also be </w:t>
      </w:r>
      <w:r w:rsidR="00C07405" w:rsidRPr="008C74A3">
        <w:t>assessed</w:t>
      </w:r>
      <w:r w:rsidR="00CE7217" w:rsidRPr="008C74A3">
        <w:t xml:space="preserve"> through </w:t>
      </w:r>
      <w:r w:rsidR="00C07405" w:rsidRPr="008C74A3">
        <w:t>usage</w:t>
      </w:r>
      <w:r w:rsidR="00CE7217" w:rsidRPr="008C74A3">
        <w:t xml:space="preserve"> of standardized metrics, termed </w:t>
      </w:r>
      <w:r w:rsidR="00077161" w:rsidRPr="008C74A3">
        <w:t>“</w:t>
      </w:r>
      <w:r w:rsidR="00CE7217" w:rsidRPr="008C74A3">
        <w:t>measurement equivalence.</w:t>
      </w:r>
      <w:r w:rsidR="00077161" w:rsidRPr="008C74A3">
        <w:t>”</w:t>
      </w:r>
      <w:r w:rsidR="00CE7217" w:rsidRPr="008C74A3">
        <w:rPr>
          <w:rStyle w:val="FootnoteReference"/>
          <w:rFonts w:cs="Calibri"/>
          <w:color w:val="000000"/>
        </w:rPr>
        <w:footnoteReference w:id="45"/>
      </w:r>
    </w:p>
    <w:p w14:paraId="01D6D097" w14:textId="4DEB568F" w:rsidR="00C07405" w:rsidRPr="008C74A3" w:rsidRDefault="00CE7217" w:rsidP="00570ED2">
      <w:pPr>
        <w:spacing w:after="120"/>
      </w:pPr>
      <w:r w:rsidRPr="008C74A3">
        <w:t>Financial accounting and reporting includes elements of both. The emphasis over time has shifted from a focus on measurement equivalence to a more balanced approach that includes a greater emphasis on construct equivalence.</w:t>
      </w:r>
      <w:r w:rsidR="00C07405" w:rsidRPr="008C74A3">
        <w:rPr>
          <w:rStyle w:val="FootnoteReference"/>
        </w:rPr>
        <w:footnoteReference w:id="46"/>
      </w:r>
      <w:r w:rsidRPr="008C74A3">
        <w:t xml:space="preserve"> </w:t>
      </w:r>
      <w:r w:rsidR="00C07405" w:rsidRPr="008C74A3">
        <w:t xml:space="preserve">A </w:t>
      </w:r>
      <w:r w:rsidR="005D3BCA" w:rsidRPr="008C74A3">
        <w:t xml:space="preserve">2016 </w:t>
      </w:r>
      <w:r w:rsidR="00C07405" w:rsidRPr="008C74A3">
        <w:t>article by Ruff and Olsen</w:t>
      </w:r>
      <w:r w:rsidRPr="008C74A3">
        <w:t xml:space="preserve"> summariz</w:t>
      </w:r>
      <w:r w:rsidR="00C07405" w:rsidRPr="008C74A3">
        <w:t>es:</w:t>
      </w:r>
      <w:r w:rsidRPr="008C74A3">
        <w:t xml:space="preserve"> </w:t>
      </w:r>
    </w:p>
    <w:p w14:paraId="2FE26A52" w14:textId="63CE7120" w:rsidR="00CE7217" w:rsidRPr="008C74A3" w:rsidRDefault="00CE7217" w:rsidP="00C07405">
      <w:pPr>
        <w:spacing w:after="120"/>
        <w:ind w:left="720"/>
      </w:pPr>
      <w:r w:rsidRPr="008C74A3">
        <w:t>“Current financial standards manage variation with what might be described as bounded flexibility, or choice within limits, coupled with consistency (pick a method and stick to it) and disclosure (fine print gives details on methods used).”</w:t>
      </w:r>
      <w:r w:rsidRPr="008C74A3">
        <w:rPr>
          <w:rStyle w:val="FootnoteReference"/>
          <w:rFonts w:cs="Calibri"/>
          <w:color w:val="000000"/>
        </w:rPr>
        <w:footnoteReference w:id="47"/>
      </w:r>
    </w:p>
    <w:p w14:paraId="1C159466" w14:textId="7C183211" w:rsidR="00CE7217" w:rsidRPr="008C74A3" w:rsidRDefault="00CE7217" w:rsidP="00570ED2">
      <w:pPr>
        <w:spacing w:after="120"/>
      </w:pPr>
      <w:r w:rsidRPr="008C74A3">
        <w:t>Preparers can enhance comparability (and forestall false equivalence) in many ways:</w:t>
      </w:r>
    </w:p>
    <w:p w14:paraId="02EAC0E9" w14:textId="51E5EABD" w:rsidR="00CE7217" w:rsidRPr="008C74A3" w:rsidRDefault="00CE7217" w:rsidP="002D5795">
      <w:pPr>
        <w:pStyle w:val="ListParagraph"/>
        <w:numPr>
          <w:ilvl w:val="0"/>
          <w:numId w:val="35"/>
        </w:numPr>
        <w:spacing w:after="120"/>
        <w:ind w:leftChars="0"/>
      </w:pPr>
      <w:r w:rsidRPr="008C74A3">
        <w:t>Linkin</w:t>
      </w:r>
      <w:r w:rsidR="00166B68" w:rsidRPr="008C74A3">
        <w:t>g performance</w:t>
      </w:r>
      <w:r w:rsidRPr="008C74A3">
        <w:t xml:space="preserve"> to </w:t>
      </w:r>
      <w:r w:rsidR="008C74A3" w:rsidRPr="008C74A3">
        <w:t>widely used</w:t>
      </w:r>
      <w:r w:rsidRPr="008C74A3">
        <w:t xml:space="preserve"> taxonomies of goals or themes (e.g., United Nations’ Sustainable Development Goals, Global Impact Investing Network’s IRIS+ thematic taxonomy);</w:t>
      </w:r>
    </w:p>
    <w:p w14:paraId="02F7526F" w14:textId="3CFF8877" w:rsidR="00CE7217" w:rsidRPr="008C74A3" w:rsidRDefault="00CE7217" w:rsidP="002D5795">
      <w:pPr>
        <w:pStyle w:val="ListParagraph"/>
        <w:numPr>
          <w:ilvl w:val="0"/>
          <w:numId w:val="35"/>
        </w:numPr>
        <w:spacing w:after="120"/>
        <w:ind w:leftChars="0"/>
      </w:pPr>
      <w:r w:rsidRPr="008C74A3">
        <w:t xml:space="preserve">Disaggregating and analyzing data based on </w:t>
      </w:r>
      <w:r w:rsidR="00734B44" w:rsidRPr="008C74A3">
        <w:t>stakeholder</w:t>
      </w:r>
      <w:r w:rsidRPr="008C74A3">
        <w:t xml:space="preserve"> characteristics;</w:t>
      </w:r>
    </w:p>
    <w:p w14:paraId="6522311C" w14:textId="2F49A00D" w:rsidR="00CE7217" w:rsidRPr="008C74A3" w:rsidRDefault="00CE7217" w:rsidP="002D5795">
      <w:pPr>
        <w:pStyle w:val="ListParagraph"/>
        <w:numPr>
          <w:ilvl w:val="0"/>
          <w:numId w:val="35"/>
        </w:numPr>
        <w:spacing w:after="120"/>
        <w:ind w:leftChars="0"/>
      </w:pPr>
      <w:r w:rsidRPr="008C74A3">
        <w:t>Disclosing information that includes as many data categories within the five dimensions of impact as possible;</w:t>
      </w:r>
    </w:p>
    <w:p w14:paraId="6BC2E644" w14:textId="77777777" w:rsidR="00CE7217" w:rsidRPr="008C74A3" w:rsidRDefault="00CE7217" w:rsidP="002D5795">
      <w:pPr>
        <w:pStyle w:val="ListParagraph"/>
        <w:numPr>
          <w:ilvl w:val="0"/>
          <w:numId w:val="35"/>
        </w:numPr>
        <w:spacing w:after="120"/>
        <w:ind w:leftChars="0"/>
      </w:pPr>
      <w:r w:rsidRPr="008C74A3">
        <w:t>When applicable, using and referencing standardized metrics.</w:t>
      </w:r>
    </w:p>
    <w:p w14:paraId="2F08B4DE" w14:textId="368DD004" w:rsidR="00CE7217" w:rsidRPr="008C74A3" w:rsidRDefault="00CE7217" w:rsidP="00570ED2">
      <w:pPr>
        <w:spacing w:after="120"/>
      </w:pPr>
      <w:r w:rsidRPr="008C74A3">
        <w:lastRenderedPageBreak/>
        <w:t xml:space="preserve">Comparisons based on only one or two dimensions of impact (for instance, number of people reached, which falls within the How Much – Scale dimension) in the absence of the others (for instance, degree to which </w:t>
      </w:r>
      <w:r w:rsidR="00734B44" w:rsidRPr="008C74A3">
        <w:t>stakeholder</w:t>
      </w:r>
      <w:r w:rsidRPr="008C74A3">
        <w:t xml:space="preserve">s were underserved, type and depth of impact on each person, significance of that impact to them, etc.) are unlikely to provide a faithful representation of impact, and prevent users of the information from making valid comparisons that take contextual and causal factors into account. </w:t>
      </w:r>
      <w:r w:rsidRPr="008C74A3">
        <w:br/>
      </w:r>
      <w:r w:rsidRPr="008C74A3">
        <w:br/>
        <w:t xml:space="preserve">This challenge is compounded as enterprises and investors understandably tend to include information about the dimensions of impact on which they are relatively stronger than peers and exclude information about the dimensions of impact on which they are not. Users’ need for comparability creates a strong rationale for preparers to report across </w:t>
      </w:r>
      <w:proofErr w:type="gramStart"/>
      <w:r w:rsidRPr="008C74A3">
        <w:t>all of</w:t>
      </w:r>
      <w:proofErr w:type="gramEnd"/>
      <w:r w:rsidRPr="008C74A3">
        <w:t xml:space="preserve"> the dimensions of impact, not just those that are central to preparers’ goals or that cast the preparer in a favorable light.</w:t>
      </w:r>
      <w:r w:rsidR="005D3BCA" w:rsidRPr="008C74A3">
        <w:rPr>
          <w:rStyle w:val="FootnoteReference"/>
        </w:rPr>
        <w:footnoteReference w:id="48"/>
      </w:r>
    </w:p>
    <w:p w14:paraId="563EEBAC" w14:textId="28F5F6E0" w:rsidR="00E83BDE" w:rsidRPr="008C74A3" w:rsidRDefault="00FE0C56" w:rsidP="00570ED2">
      <w:pPr>
        <w:spacing w:after="120"/>
      </w:pPr>
      <w:r w:rsidRPr="008C74A3">
        <w:rPr>
          <w:noProof/>
        </w:rPr>
        <mc:AlternateContent>
          <mc:Choice Requires="wps">
            <w:drawing>
              <wp:anchor distT="45720" distB="45720" distL="114300" distR="114300" simplePos="0" relativeHeight="251739136" behindDoc="0" locked="0" layoutInCell="1" allowOverlap="1" wp14:anchorId="57B29342" wp14:editId="7BF0CB7C">
                <wp:simplePos x="0" y="0"/>
                <wp:positionH relativeFrom="margin">
                  <wp:posOffset>-11575</wp:posOffset>
                </wp:positionH>
                <wp:positionV relativeFrom="paragraph">
                  <wp:posOffset>863407</wp:posOffset>
                </wp:positionV>
                <wp:extent cx="5919470" cy="1404620"/>
                <wp:effectExtent l="0" t="0" r="24130" b="19685"/>
                <wp:wrapSquare wrapText="bothSides"/>
                <wp:docPr id="11923588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5123A3C6" w14:textId="77777777" w:rsidR="00CE7217" w:rsidRPr="008F5B1A" w:rsidRDefault="00CE7217" w:rsidP="00570ED2">
                            <w:pPr>
                              <w:spacing w:after="120"/>
                            </w:pPr>
                            <w:r w:rsidRPr="008F5B1A">
                              <w:t xml:space="preserve">Excerpts from </w:t>
                            </w:r>
                            <w:r>
                              <w:t>Conceptual Framework</w:t>
                            </w:r>
                            <w:r w:rsidRPr="008F5B1A">
                              <w:t xml:space="preserve"> Chapter 2</w:t>
                            </w:r>
                          </w:p>
                          <w:p w14:paraId="5F4ECF59" w14:textId="77777777" w:rsidR="00CE7217" w:rsidRPr="008F5B1A" w:rsidRDefault="00CE7217" w:rsidP="00570ED2">
                            <w:pPr>
                              <w:spacing w:after="120"/>
                            </w:pPr>
                            <w:r w:rsidRPr="008F5B1A">
                              <w:t xml:space="preserve">2.24 </w:t>
                            </w:r>
                            <w:r w:rsidRPr="008F5B1A">
                              <w:tab/>
                              <w:t>Users’ decisions involve choosing between alternatives, for example, selling or holding an investment, or investing in one reporting entity or another. Consequently, information about a reporting entity is more useful if it can be compared with similar information about other entities and with similar information about the same entity for another period or another date.</w:t>
                            </w:r>
                          </w:p>
                          <w:p w14:paraId="6D75832A" w14:textId="77777777" w:rsidR="00CE7217" w:rsidRPr="008F5B1A" w:rsidRDefault="00CE7217" w:rsidP="00570ED2">
                            <w:pPr>
                              <w:spacing w:after="120"/>
                            </w:pPr>
                            <w:r w:rsidRPr="008F5B1A">
                              <w:t xml:space="preserve">2.25. </w:t>
                            </w:r>
                            <w:r w:rsidRPr="008F5B1A">
                              <w:tab/>
                              <w:t xml:space="preserve">Comparability is the qualitative characteristic that enables users to identify and understand similarities in, and differences among, items. Unlike the other qualitative characteristics, comparability does not relate to a single item. A comparison requires at least two items. </w:t>
                            </w:r>
                          </w:p>
                          <w:p w14:paraId="5035C96F" w14:textId="77777777" w:rsidR="00CE7217" w:rsidRPr="008F5B1A" w:rsidRDefault="00CE7217" w:rsidP="00570ED2">
                            <w:pPr>
                              <w:spacing w:after="120"/>
                            </w:pPr>
                            <w:r w:rsidRPr="008F5B1A">
                              <w:t>2.26</w:t>
                            </w:r>
                            <w:r w:rsidRPr="008F5B1A">
                              <w:tab/>
                              <w:t>Consistency, although related to comparability, is not the same. Consistency refers to the use of the same methods for the same items, either from period to period within a reporting entity or in a single period across entities. Comparability is the goal; consistency helps to achieve that goal.</w:t>
                            </w:r>
                          </w:p>
                          <w:p w14:paraId="3A7D85CF" w14:textId="77777777" w:rsidR="00CE7217" w:rsidRPr="008F5B1A" w:rsidRDefault="00CE7217" w:rsidP="00570ED2">
                            <w:pPr>
                              <w:spacing w:after="120"/>
                            </w:pPr>
                            <w:r w:rsidRPr="008F5B1A">
                              <w:t xml:space="preserve">2.27 </w:t>
                            </w:r>
                            <w:r w:rsidRPr="008F5B1A">
                              <w:tab/>
                              <w:t>Comparability is not uniformity. For information to be comparable, like things must look alike and different things must look different. Comparability of financial information is not enhanced by making unlike things look alike any more than it is enhanced by making like things look different.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B29342" id="_x0000_s1031" type="#_x0000_t202" style="position:absolute;margin-left:-.9pt;margin-top:68pt;width:466.1pt;height:110.6pt;z-index:2517391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">
                <v:textbox style="mso-fit-shape-to-text:t">
                  <w:txbxContent>
                    <w:p w14:paraId="5123A3C6" w14:textId="77777777" w:rsidR="00CE7217" w:rsidRPr="008F5B1A" w:rsidRDefault="00CE7217" w:rsidP="00570ED2">
                      <w:pPr>
                        <w:spacing w:after="120"/>
                      </w:pPr>
                      <w:r w:rsidRPr="008F5B1A">
                        <w:t xml:space="preserve">Excerpts from </w:t>
                      </w:r>
                      <w:r>
                        <w:t>Conceptual Framework</w:t>
                      </w:r>
                      <w:r w:rsidRPr="008F5B1A">
                        <w:t xml:space="preserve"> Chapter 2</w:t>
                      </w:r>
                    </w:p>
                    <w:p w14:paraId="5F4ECF59" w14:textId="77777777" w:rsidR="00CE7217" w:rsidRPr="008F5B1A" w:rsidRDefault="00CE7217" w:rsidP="00570ED2">
                      <w:pPr>
                        <w:spacing w:after="120"/>
                      </w:pPr>
                      <w:r w:rsidRPr="008F5B1A">
                        <w:t xml:space="preserve">2.24 </w:t>
                      </w:r>
                      <w:r w:rsidRPr="008F5B1A">
                        <w:tab/>
                        <w:t>Users’ decisions involve choosing between alternatives, for example, selling or holding an investment, or investing in one reporting entity or another. Consequently, information about a reporting entity is more useful if it can be compared with similar information about other entities and with similar information about the same entity for another period or another date.</w:t>
                      </w:r>
                    </w:p>
                    <w:p w14:paraId="6D75832A" w14:textId="77777777" w:rsidR="00CE7217" w:rsidRPr="008F5B1A" w:rsidRDefault="00CE7217" w:rsidP="00570ED2">
                      <w:pPr>
                        <w:spacing w:after="120"/>
                      </w:pPr>
                      <w:r w:rsidRPr="008F5B1A">
                        <w:t xml:space="preserve">2.25. </w:t>
                      </w:r>
                      <w:r w:rsidRPr="008F5B1A">
                        <w:tab/>
                        <w:t xml:space="preserve">Comparability is the qualitative characteristic that enables users to identify and understand similarities in, and differences among, items. Unlike the other qualitative characteristics, comparability does not relate to a single item. A comparison requires at least two items. </w:t>
                      </w:r>
                    </w:p>
                    <w:p w14:paraId="5035C96F" w14:textId="77777777" w:rsidR="00CE7217" w:rsidRPr="008F5B1A" w:rsidRDefault="00CE7217" w:rsidP="00570ED2">
                      <w:pPr>
                        <w:spacing w:after="120"/>
                      </w:pPr>
                      <w:r w:rsidRPr="008F5B1A">
                        <w:t>2.26</w:t>
                      </w:r>
                      <w:r w:rsidRPr="008F5B1A">
                        <w:tab/>
                        <w:t>Consistency, although related to comparability, is not the same. Consistency refers to the use of the same methods for the same items, either from period to period within a reporting entity or in a single period across entities. Comparability is the goal; consistency helps to achieve that goal.</w:t>
                      </w:r>
                    </w:p>
                    <w:p w14:paraId="3A7D85CF" w14:textId="77777777" w:rsidR="00CE7217" w:rsidRPr="008F5B1A" w:rsidRDefault="00CE7217" w:rsidP="00570ED2">
                      <w:pPr>
                        <w:spacing w:after="120"/>
                      </w:pPr>
                      <w:r w:rsidRPr="008F5B1A">
                        <w:t xml:space="preserve">2.27 </w:t>
                      </w:r>
                      <w:r w:rsidRPr="008F5B1A">
                        <w:tab/>
                        <w:t>Comparability is not uniformity. For information to be comparable, like things must look alike and different things must look different. Comparability of financial information is not enhanced by making unlike things look alike any more than it is enhanced by making like things look different.</w:t>
                      </w:r>
                    </w:p>
                  </w:txbxContent>
                </v:textbox>
                <w10:wrap type="square" anchorx="margin"/>
              </v:shape>
            </w:pict>
          </mc:Fallback>
        </mc:AlternateContent>
      </w:r>
      <w:r w:rsidR="00CE7217" w:rsidRPr="008C74A3">
        <w:rPr>
          <w:rFonts w:cs="Calibri"/>
          <w:color w:val="000000"/>
        </w:rPr>
        <w:t xml:space="preserve">Finally, reports that follow a consistent structure and format can be more easily compared. </w:t>
      </w:r>
      <w:r w:rsidR="00CE7217" w:rsidRPr="008C74A3">
        <w:t xml:space="preserve">For these reasons, the </w:t>
      </w:r>
      <w:r w:rsidR="008619D6" w:rsidRPr="008C74A3">
        <w:t>d</w:t>
      </w:r>
      <w:r w:rsidR="00CE7217" w:rsidRPr="008C74A3">
        <w:t>raft Reporting Norms inclu</w:t>
      </w:r>
      <w:r w:rsidR="004057C4" w:rsidRPr="008C74A3">
        <w:t>de proposals for the suggested c</w:t>
      </w:r>
      <w:r w:rsidR="00CE7217" w:rsidRPr="008C74A3">
        <w:t xml:space="preserve">ontent and </w:t>
      </w:r>
      <w:r w:rsidR="004057C4" w:rsidRPr="008C74A3">
        <w:t>s</w:t>
      </w:r>
      <w:r w:rsidR="00CE7217" w:rsidRPr="008C74A3">
        <w:t>tructure of impact performance reports (Section 2). Additionally, it is encouraged to disclose in a machine-readable format for users to easily incorporate into their systems.</w:t>
      </w:r>
      <w:bookmarkEnd w:id="42"/>
    </w:p>
    <w:p w14:paraId="0E904B1E" w14:textId="77777777" w:rsidR="00570ED2" w:rsidRPr="008C74A3" w:rsidRDefault="00570ED2">
      <w:pPr>
        <w:spacing w:after="160" w:line="259" w:lineRule="auto"/>
        <w:textAlignment w:val="auto"/>
        <w:rPr>
          <w:rFonts w:ascii="Interstate Light" w:hAnsi="Interstate Light"/>
          <w:b/>
          <w:bCs/>
          <w:sz w:val="24"/>
          <w:szCs w:val="24"/>
          <w:u w:val="single"/>
        </w:rPr>
      </w:pPr>
      <w:r w:rsidRPr="008C74A3">
        <w:br w:type="page"/>
      </w:r>
    </w:p>
    <w:p w14:paraId="37224501" w14:textId="4479C53B" w:rsidR="00CE7217" w:rsidRPr="008C74A3" w:rsidRDefault="00CE7217" w:rsidP="00570ED2">
      <w:pPr>
        <w:pStyle w:val="Heading4"/>
        <w:spacing w:after="120"/>
        <w:rPr>
          <w:rStyle w:val="normaltextrun"/>
          <w:rFonts w:ascii="Interstate" w:hAnsi="Interstate"/>
          <w:b w:val="0"/>
          <w:bCs w:val="0"/>
          <w:shd w:val="clear" w:color="auto" w:fill="FFFFFF"/>
        </w:rPr>
      </w:pPr>
      <w:r w:rsidRPr="008C74A3">
        <w:lastRenderedPageBreak/>
        <w:t>Verifiability</w:t>
      </w:r>
    </w:p>
    <w:p w14:paraId="6B56CFB6" w14:textId="2123E0B3" w:rsidR="00CE7217" w:rsidRPr="008C74A3" w:rsidRDefault="00CE7217" w:rsidP="00570ED2">
      <w:pPr>
        <w:spacing w:after="120"/>
      </w:pPr>
      <w:r w:rsidRPr="008C74A3">
        <w:t xml:space="preserve">Verifiability helps assure users that the information in an impact </w:t>
      </w:r>
      <w:r w:rsidR="00594A31" w:rsidRPr="008C74A3">
        <w:t xml:space="preserve">performance </w:t>
      </w:r>
      <w:r w:rsidRPr="008C74A3">
        <w:t>report faithfully represents the entity's material impacts.</w:t>
      </w:r>
    </w:p>
    <w:p w14:paraId="403FC5F3" w14:textId="3A747467" w:rsidR="00CE7217" w:rsidRPr="008C74A3" w:rsidRDefault="00CE7217" w:rsidP="00570ED2">
      <w:pPr>
        <w:spacing w:after="120"/>
      </w:pPr>
      <w:r w:rsidRPr="008C74A3">
        <w:t xml:space="preserve">For </w:t>
      </w:r>
      <w:r w:rsidR="007D6D4A" w:rsidRPr="008C74A3">
        <w:t>entities</w:t>
      </w:r>
      <w:r w:rsidRPr="008C74A3">
        <w:t xml:space="preserve"> reporting impact, direct verification of information might involve commissioning appropriate social research relating to the affected stakeholders</w:t>
      </w:r>
      <w:r w:rsidR="00D5555B" w:rsidRPr="008C74A3">
        <w:t xml:space="preserve"> and/or aspects of the natural environment</w:t>
      </w:r>
      <w:r w:rsidRPr="008C74A3">
        <w:t>. Indirect verification might mean checking the calculations and methods by which source data were aggregated and analyzed.</w:t>
      </w:r>
    </w:p>
    <w:p w14:paraId="4E04AC66" w14:textId="6D1311DB" w:rsidR="00CE7217" w:rsidRPr="008C74A3" w:rsidRDefault="00CE7217" w:rsidP="00570ED2">
      <w:pPr>
        <w:spacing w:after="120"/>
      </w:pPr>
      <w:r w:rsidRPr="008C74A3">
        <w:t xml:space="preserve">Although some aspects of impact performance may not be directly observable (e.g., counterfactual scenarios), the evidence that suggests performance as well as the rationale by which that evidence is used and/or the process of how that information was created can be documented and </w:t>
      </w:r>
      <w:r w:rsidR="00467302" w:rsidRPr="008C74A3">
        <w:t>reviewed</w:t>
      </w:r>
      <w:r w:rsidRPr="008C74A3">
        <w:t>.</w:t>
      </w:r>
    </w:p>
    <w:p w14:paraId="2456930F" w14:textId="1A6475B2" w:rsidR="00CE7217" w:rsidRPr="008C74A3" w:rsidRDefault="00CE7217" w:rsidP="00570ED2">
      <w:pPr>
        <w:spacing w:after="120"/>
      </w:pPr>
      <w:r w:rsidRPr="008C74A3">
        <w:t xml:space="preserve">Installing a fund-level accountability mechanism </w:t>
      </w:r>
      <w:r w:rsidR="002706EB" w:rsidRPr="008C74A3">
        <w:t xml:space="preserve">is one </w:t>
      </w:r>
      <w:r w:rsidRPr="008C74A3">
        <w:t xml:space="preserve">way to collect material information directly from </w:t>
      </w:r>
      <w:r w:rsidR="00734B44" w:rsidRPr="008C74A3">
        <w:t>stakeholder</w:t>
      </w:r>
      <w:r w:rsidRPr="008C74A3">
        <w:t xml:space="preserve">s. </w:t>
      </w:r>
      <w:r w:rsidR="002706EB" w:rsidRPr="008C74A3">
        <w:t>Reporting e</w:t>
      </w:r>
      <w:r w:rsidR="007D6D4A" w:rsidRPr="008C74A3">
        <w:t>ntities</w:t>
      </w:r>
      <w:r w:rsidRPr="008C74A3">
        <w:t xml:space="preserve"> are recommended to follow</w:t>
      </w:r>
      <w:r w:rsidR="002706EB" w:rsidRPr="008C74A3">
        <w:t xml:space="preserve"> evolving</w:t>
      </w:r>
      <w:r w:rsidRPr="008C74A3">
        <w:t xml:space="preserve"> industry practice,</w:t>
      </w:r>
      <w:r w:rsidR="00CB3BAB" w:rsidRPr="008C74A3">
        <w:rPr>
          <w:rStyle w:val="FootnoteReference"/>
          <w:rFonts w:cs="Times New Roman"/>
        </w:rPr>
        <w:footnoteReference w:id="49"/>
      </w:r>
      <w:r w:rsidRPr="008C74A3">
        <w:t xml:space="preserve"> including establishing effective grievance mechanisms,</w:t>
      </w:r>
      <w:r w:rsidR="00CB3BAB" w:rsidRPr="008C74A3">
        <w:rPr>
          <w:rStyle w:val="FootnoteReference"/>
          <w:rFonts w:cs="Times New Roman"/>
        </w:rPr>
        <w:footnoteReference w:id="50"/>
      </w:r>
      <w:r w:rsidRPr="008C74A3">
        <w:t xml:space="preserve"> to monitor and verify the </w:t>
      </w:r>
      <w:r w:rsidR="00CB3BAB" w:rsidRPr="008C74A3">
        <w:t>impact</w:t>
      </w:r>
      <w:r w:rsidRPr="008C74A3">
        <w:t xml:space="preserve"> risk and performance of investees and engage with them to address unexpected events related to impact.</w:t>
      </w:r>
    </w:p>
    <w:p w14:paraId="478C04F3" w14:textId="68B40A03" w:rsidR="00CE7217" w:rsidRPr="008C74A3" w:rsidRDefault="00CE7217" w:rsidP="00570ED2">
      <w:pPr>
        <w:spacing w:after="120"/>
        <w:rPr>
          <w:rStyle w:val="normaltextrun"/>
          <w:rFonts w:ascii="Interstate" w:hAnsi="Interstate"/>
          <w:b/>
          <w:bCs/>
          <w:sz w:val="24"/>
          <w:szCs w:val="24"/>
          <w:shd w:val="clear" w:color="auto" w:fill="FFFFFF"/>
        </w:rPr>
      </w:pPr>
      <w:r w:rsidRPr="008C74A3">
        <w:rPr>
          <w:noProof/>
        </w:rPr>
        <mc:AlternateContent>
          <mc:Choice Requires="wps">
            <w:drawing>
              <wp:anchor distT="45720" distB="45720" distL="114300" distR="114300" simplePos="0" relativeHeight="251740160" behindDoc="0" locked="0" layoutInCell="1" allowOverlap="1" wp14:anchorId="344CD42A" wp14:editId="02741804">
                <wp:simplePos x="0" y="0"/>
                <wp:positionH relativeFrom="margin">
                  <wp:align>right</wp:align>
                </wp:positionH>
                <wp:positionV relativeFrom="paragraph">
                  <wp:posOffset>862330</wp:posOffset>
                </wp:positionV>
                <wp:extent cx="5919470" cy="1404620"/>
                <wp:effectExtent l="0" t="0" r="24130" b="27940"/>
                <wp:wrapSquare wrapText="bothSides"/>
                <wp:docPr id="13867748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7C8331E8" w14:textId="77777777" w:rsidR="00CE7217" w:rsidRPr="008F5B1A" w:rsidRDefault="00CE7217" w:rsidP="00570ED2">
                            <w:pPr>
                              <w:spacing w:after="120"/>
                            </w:pPr>
                            <w:r w:rsidRPr="008F5B1A">
                              <w:t xml:space="preserve">Excerpts from </w:t>
                            </w:r>
                            <w:r>
                              <w:t>Conceptual Framework</w:t>
                            </w:r>
                            <w:r w:rsidRPr="008F5B1A">
                              <w:t xml:space="preserve"> Chapter 2</w:t>
                            </w:r>
                          </w:p>
                          <w:p w14:paraId="501E9E12" w14:textId="77777777" w:rsidR="00CE7217" w:rsidRPr="008F5B1A" w:rsidRDefault="00CE7217" w:rsidP="00570ED2">
                            <w:pPr>
                              <w:spacing w:after="120"/>
                            </w:pPr>
                            <w:r w:rsidRPr="008F5B1A">
                              <w:t>2.30</w:t>
                            </w:r>
                            <w:r w:rsidRPr="008F5B1A">
                              <w:tab/>
                              <w:t>Verifiability helps assure users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can also be verified.</w:t>
                            </w:r>
                          </w:p>
                          <w:p w14:paraId="41A2FE11" w14:textId="77777777" w:rsidR="00CE7217" w:rsidRPr="008F5B1A" w:rsidRDefault="00CE7217" w:rsidP="00570ED2">
                            <w:pPr>
                              <w:spacing w:after="120"/>
                            </w:pPr>
                            <w:r w:rsidRPr="008F5B1A">
                              <w:t>2.31</w:t>
                            </w:r>
                            <w:r w:rsidRPr="008F5B1A">
                              <w:tab/>
                              <w:t>Verification can be direct or indirect. Direct verification means verifying an amount or other representation through direct observation, for example, by counting cash. Indirect verification means checking the inputs to a model, formula or other technique and recalculating the outputs using the same methodology.</w:t>
                            </w:r>
                          </w:p>
                          <w:p w14:paraId="24F9B0BD" w14:textId="77777777" w:rsidR="00CE7217" w:rsidRPr="008F5B1A" w:rsidRDefault="00CE7217" w:rsidP="00570ED2">
                            <w:pPr>
                              <w:spacing w:after="120"/>
                            </w:pPr>
                            <w:r w:rsidRPr="008F5B1A">
                              <w:t>2.32</w:t>
                            </w:r>
                            <w:r w:rsidRPr="008F5B1A">
                              <w:tab/>
                              <w:t>It may not be possible to verify some explanations and forward-looking financial information until a future period, if at all. To help users decide whether they want to use that information, it would normally be necessary to disclose the underlying assumptions, the methods of compiling the information and other factors and circumstances that support the 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4CD42A" id="_x0000_s1032" type="#_x0000_t202" style="position:absolute;margin-left:414.9pt;margin-top:67.9pt;width:466.1pt;height:110.6pt;z-index:2517401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">
                <v:textbox style="mso-fit-shape-to-text:t">
                  <w:txbxContent>
                    <w:p w14:paraId="7C8331E8" w14:textId="77777777" w:rsidR="00CE7217" w:rsidRPr="008F5B1A" w:rsidRDefault="00CE7217" w:rsidP="00570ED2">
                      <w:pPr>
                        <w:spacing w:after="120"/>
                      </w:pPr>
                      <w:r w:rsidRPr="008F5B1A">
                        <w:t xml:space="preserve">Excerpts from </w:t>
                      </w:r>
                      <w:r>
                        <w:t>Conceptual Framework</w:t>
                      </w:r>
                      <w:r w:rsidRPr="008F5B1A">
                        <w:t xml:space="preserve"> Chapter 2</w:t>
                      </w:r>
                    </w:p>
                    <w:p w14:paraId="501E9E12" w14:textId="77777777" w:rsidR="00CE7217" w:rsidRPr="008F5B1A" w:rsidRDefault="00CE7217" w:rsidP="00570ED2">
                      <w:pPr>
                        <w:spacing w:after="120"/>
                      </w:pPr>
                      <w:r w:rsidRPr="008F5B1A">
                        <w:t>2.30</w:t>
                      </w:r>
                      <w:r w:rsidRPr="008F5B1A">
                        <w:tab/>
                        <w:t>Verifiability helps assure users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can also be verified.</w:t>
                      </w:r>
                    </w:p>
                    <w:p w14:paraId="41A2FE11" w14:textId="77777777" w:rsidR="00CE7217" w:rsidRPr="008F5B1A" w:rsidRDefault="00CE7217" w:rsidP="00570ED2">
                      <w:pPr>
                        <w:spacing w:after="120"/>
                      </w:pPr>
                      <w:r w:rsidRPr="008F5B1A">
                        <w:t>2.31</w:t>
                      </w:r>
                      <w:r w:rsidRPr="008F5B1A">
                        <w:tab/>
                        <w:t>Verification can be direct or indirect. Direct verification means verifying an amount or other representation through direct observation, for example, by counting cash. Indirect verification means checking the inputs to a model, formula or other technique and recalculating the outputs using the same methodology.</w:t>
                      </w:r>
                    </w:p>
                    <w:p w14:paraId="24F9B0BD" w14:textId="77777777" w:rsidR="00CE7217" w:rsidRPr="008F5B1A" w:rsidRDefault="00CE7217" w:rsidP="00570ED2">
                      <w:pPr>
                        <w:spacing w:after="120"/>
                      </w:pPr>
                      <w:r w:rsidRPr="008F5B1A">
                        <w:t>2.32</w:t>
                      </w:r>
                      <w:r w:rsidRPr="008F5B1A">
                        <w:tab/>
                        <w:t>It may not be possible to verify some explanations and forward-looking financial information until a future period, if at all. To help users decide whether they want to use that information, it would normally be necessary to disclose the underlying assumptions, the methods of compiling the information and other factors and circumstances that support the information.</w:t>
                      </w:r>
                    </w:p>
                  </w:txbxContent>
                </v:textbox>
                <w10:wrap type="square" anchorx="margin"/>
              </v:shape>
            </w:pict>
          </mc:Fallback>
        </mc:AlternateContent>
      </w:r>
      <w:r w:rsidRPr="008C74A3">
        <w:t xml:space="preserve">To enhance verifiability, </w:t>
      </w:r>
      <w:r w:rsidR="00134A4B" w:rsidRPr="008C74A3">
        <w:t>report preparers</w:t>
      </w:r>
      <w:r w:rsidRPr="008C74A3">
        <w:t xml:space="preserve"> should note sources of data and describe the methods by which reported figures were calculated. </w:t>
      </w:r>
      <w:r w:rsidRPr="008C74A3">
        <w:rPr>
          <w:rStyle w:val="normaltextrun"/>
          <w:rFonts w:ascii="Interstate" w:hAnsi="Interstate"/>
          <w:b/>
          <w:bCs/>
          <w:sz w:val="24"/>
          <w:szCs w:val="24"/>
          <w:shd w:val="clear" w:color="auto" w:fill="FFFFFF"/>
        </w:rPr>
        <w:br w:type="page"/>
      </w:r>
    </w:p>
    <w:p w14:paraId="61A6BE09" w14:textId="73928886" w:rsidR="00CE7217" w:rsidRPr="008C74A3" w:rsidRDefault="00CE7217" w:rsidP="00570ED2">
      <w:pPr>
        <w:pStyle w:val="Heading4"/>
        <w:spacing w:after="120"/>
        <w:rPr>
          <w:shd w:val="clear" w:color="auto" w:fill="FFFFFF"/>
        </w:rPr>
      </w:pPr>
      <w:r w:rsidRPr="008C74A3">
        <w:lastRenderedPageBreak/>
        <w:t>Timeliness</w:t>
      </w:r>
    </w:p>
    <w:p w14:paraId="54D53E5A" w14:textId="6F6A4B41" w:rsidR="00CE7217" w:rsidRPr="008C74A3" w:rsidRDefault="00CE7217" w:rsidP="00570ED2">
      <w:pPr>
        <w:spacing w:after="120"/>
      </w:pPr>
      <w:r w:rsidRPr="008C74A3">
        <w:t>Considerations of timeliness are similar for impact performance reporting as for financial reporting</w:t>
      </w:r>
      <w:r w:rsidR="001D26BD" w:rsidRPr="008C74A3">
        <w:t>, with the addition that material adverse impacts are best disclosed and responded to promptly to mitigate harm.</w:t>
      </w:r>
    </w:p>
    <w:p w14:paraId="4DDD1663" w14:textId="32F8B0FC" w:rsidR="00CE7217" w:rsidRPr="008C74A3" w:rsidRDefault="002706EB" w:rsidP="00570ED2">
      <w:pPr>
        <w:spacing w:after="120"/>
        <w:rPr>
          <w:rStyle w:val="normaltextrun"/>
        </w:rPr>
      </w:pPr>
      <w:r w:rsidRPr="008C74A3">
        <w:rPr>
          <w:noProof/>
        </w:rPr>
        <mc:AlternateContent>
          <mc:Choice Requires="wps">
            <w:drawing>
              <wp:anchor distT="45720" distB="45720" distL="114300" distR="114300" simplePos="0" relativeHeight="251741184" behindDoc="0" locked="0" layoutInCell="1" allowOverlap="1" wp14:anchorId="3ACA133E" wp14:editId="2290F878">
                <wp:simplePos x="0" y="0"/>
                <wp:positionH relativeFrom="margin">
                  <wp:align>right</wp:align>
                </wp:positionH>
                <wp:positionV relativeFrom="paragraph">
                  <wp:posOffset>1390650</wp:posOffset>
                </wp:positionV>
                <wp:extent cx="5919470" cy="1404620"/>
                <wp:effectExtent l="0" t="0" r="24130" b="18415"/>
                <wp:wrapSquare wrapText="bothSides"/>
                <wp:docPr id="11389254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19FDFEFB" w14:textId="77777777" w:rsidR="00CE7217" w:rsidRPr="008F5B1A" w:rsidRDefault="00CE7217" w:rsidP="00570ED2">
                            <w:pPr>
                              <w:spacing w:after="120"/>
                            </w:pPr>
                            <w:r w:rsidRPr="008F5B1A">
                              <w:t xml:space="preserve">Excerpts from </w:t>
                            </w:r>
                            <w:r>
                              <w:t>Conceptual Framework</w:t>
                            </w:r>
                            <w:r w:rsidRPr="008F5B1A">
                              <w:t xml:space="preserve"> Chapter 2</w:t>
                            </w:r>
                          </w:p>
                          <w:p w14:paraId="402B9F20" w14:textId="77777777" w:rsidR="00CE7217" w:rsidRPr="008F5B1A" w:rsidRDefault="00CE7217" w:rsidP="00570ED2">
                            <w:pPr>
                              <w:spacing w:after="120"/>
                            </w:pPr>
                            <w:r w:rsidRPr="008F5B1A">
                              <w:t>2.33</w:t>
                            </w:r>
                            <w:r w:rsidRPr="008F5B1A">
                              <w:tab/>
                              <w:t>Timeliness means having information available to decision-makers in time to be capable of influencing their decisions. Generally, the older the information is the less useful it is. However, some information may continue to be timely long after the end of a reporting period because, for example, some users may need to identify and assess trends.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CA133E" id="_x0000_s1033" type="#_x0000_t202" style="position:absolute;margin-left:414.9pt;margin-top:109.5pt;width:466.1pt;height:110.6pt;z-index:2517411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">
                <v:textbox style="mso-fit-shape-to-text:t">
                  <w:txbxContent>
                    <w:p w14:paraId="19FDFEFB" w14:textId="77777777" w:rsidR="00CE7217" w:rsidRPr="008F5B1A" w:rsidRDefault="00CE7217" w:rsidP="00570ED2">
                      <w:pPr>
                        <w:spacing w:after="120"/>
                      </w:pPr>
                      <w:r w:rsidRPr="008F5B1A">
                        <w:t xml:space="preserve">Excerpts from </w:t>
                      </w:r>
                      <w:r>
                        <w:t>Conceptual Framework</w:t>
                      </w:r>
                      <w:r w:rsidRPr="008F5B1A">
                        <w:t xml:space="preserve"> Chapter 2</w:t>
                      </w:r>
                    </w:p>
                    <w:p w14:paraId="402B9F20" w14:textId="77777777" w:rsidR="00CE7217" w:rsidRPr="008F5B1A" w:rsidRDefault="00CE7217" w:rsidP="00570ED2">
                      <w:pPr>
                        <w:spacing w:after="120"/>
                      </w:pPr>
                      <w:r w:rsidRPr="008F5B1A">
                        <w:t>2.33</w:t>
                      </w:r>
                      <w:r w:rsidRPr="008F5B1A">
                        <w:tab/>
                        <w:t>Timeliness means having information available to decision-makers in time to be capable of influencing their decisions. Generally, the older the information is the less useful it is. However, some information may continue to be timely long after the end of a reporting period because, for example, some users may need to identify and assess trends.</w:t>
                      </w:r>
                    </w:p>
                  </w:txbxContent>
                </v:textbox>
                <w10:wrap type="square" anchorx="margin"/>
              </v:shape>
            </w:pict>
          </mc:Fallback>
        </mc:AlternateContent>
      </w:r>
      <w:r w:rsidR="00CE7217" w:rsidRPr="008C74A3">
        <w:t xml:space="preserve">Existing standards recommend that </w:t>
      </w:r>
      <w:r w:rsidR="00594A31" w:rsidRPr="008C74A3">
        <w:t xml:space="preserve">investors publish </w:t>
      </w:r>
      <w:r w:rsidR="00CE7217" w:rsidRPr="008C74A3">
        <w:t xml:space="preserve">impact </w:t>
      </w:r>
      <w:r w:rsidR="00594A31" w:rsidRPr="008C74A3">
        <w:t xml:space="preserve">performance </w:t>
      </w:r>
      <w:r w:rsidR="00CE7217" w:rsidRPr="008C74A3">
        <w:t>reports with the same frequency as financial reports.</w:t>
      </w:r>
      <w:r w:rsidR="00CE7217" w:rsidRPr="008C74A3">
        <w:rPr>
          <w:rStyle w:val="FootnoteReference"/>
          <w:color w:val="000000" w:themeColor="text1"/>
        </w:rPr>
        <w:footnoteReference w:id="51"/>
      </w:r>
      <w:r w:rsidR="00CE7217" w:rsidRPr="008C74A3">
        <w:rPr>
          <w:vertAlign w:val="superscript"/>
        </w:rPr>
        <w:t>,</w:t>
      </w:r>
      <w:r w:rsidR="00CE7217" w:rsidRPr="008C74A3">
        <w:rPr>
          <w:rStyle w:val="FootnoteReference"/>
          <w:color w:val="000000" w:themeColor="text1"/>
        </w:rPr>
        <w:footnoteReference w:id="52"/>
      </w:r>
      <w:r w:rsidR="00CE7217" w:rsidRPr="008C74A3">
        <w:t xml:space="preserve"> This would typically </w:t>
      </w:r>
      <w:r w:rsidR="00F82E2C" w:rsidRPr="008C74A3">
        <w:t xml:space="preserve">be at </w:t>
      </w:r>
      <w:r w:rsidR="00CE7217" w:rsidRPr="008C74A3">
        <w:t>least annually, but in some cases, preparers may determine that a different cadence is appropriate for their asset class and investment strategy. For many investors, there may not be a need for quarterly impact updates on a routine basis, so long as any unusual material information that arises during the quarter is communicated to users in a timely fashion.</w:t>
      </w:r>
      <w:r w:rsidRPr="008C74A3">
        <w:t xml:space="preserve"> </w:t>
      </w:r>
      <w:r w:rsidR="00CE7217" w:rsidRPr="008C74A3">
        <w:t>Section 2</w:t>
      </w:r>
      <w:r w:rsidR="00C765A4" w:rsidRPr="008C74A3">
        <w:t xml:space="preserve">: </w:t>
      </w:r>
      <w:r w:rsidR="00CE7217" w:rsidRPr="008C74A3">
        <w:t xml:space="preserve">Content and Structure was designed so that the performance section is the only one that would need to be updated every year. </w:t>
      </w:r>
      <w:r w:rsidR="00CE7217" w:rsidRPr="008C74A3">
        <w:rPr>
          <w:rStyle w:val="normaltextrun"/>
          <w:rFonts w:ascii="Interstate" w:hAnsi="Interstate"/>
          <w:b/>
          <w:bCs/>
          <w:sz w:val="24"/>
          <w:szCs w:val="24"/>
          <w:shd w:val="clear" w:color="auto" w:fill="FFFFFF"/>
        </w:rPr>
        <w:br w:type="page"/>
      </w:r>
    </w:p>
    <w:p w14:paraId="35B0AF61" w14:textId="14A22D84" w:rsidR="00CE7217" w:rsidRPr="008C74A3" w:rsidRDefault="00CE7217" w:rsidP="00570ED2">
      <w:pPr>
        <w:pStyle w:val="Heading4"/>
        <w:spacing w:after="120"/>
        <w:rPr>
          <w:rStyle w:val="normaltextrun"/>
          <w:rFonts w:ascii="Interstate" w:hAnsi="Interstate"/>
          <w:b w:val="0"/>
          <w:bCs w:val="0"/>
          <w:shd w:val="clear" w:color="auto" w:fill="FFFFFF"/>
        </w:rPr>
      </w:pPr>
      <w:r w:rsidRPr="008C74A3">
        <w:rPr>
          <w:rStyle w:val="normaltextrun"/>
          <w:rFonts w:ascii="Interstate" w:hAnsi="Interstate"/>
          <w:shd w:val="clear" w:color="auto" w:fill="FFFFFF"/>
        </w:rPr>
        <w:lastRenderedPageBreak/>
        <w:t>Understandability</w:t>
      </w:r>
    </w:p>
    <w:p w14:paraId="2C56C952" w14:textId="27D987E8" w:rsidR="00CE7217" w:rsidRPr="008C74A3" w:rsidRDefault="004057C4" w:rsidP="00570ED2">
      <w:pPr>
        <w:spacing w:after="120"/>
      </w:pPr>
      <w:r w:rsidRPr="008C74A3">
        <w:t xml:space="preserve">Clarity and concision </w:t>
      </w:r>
      <w:r w:rsidR="008C74A3" w:rsidRPr="008C74A3">
        <w:t>make</w:t>
      </w:r>
      <w:r w:rsidRPr="008C74A3">
        <w:t xml:space="preserve"> information easier</w:t>
      </w:r>
      <w:r w:rsidR="00CE7217" w:rsidRPr="008C74A3">
        <w:t xml:space="preserve"> to understand and thus more useful to primary users of impact performance reports. Concise impact performance reporting avoids generic information that is not specific to the preparer entity and does not duplicate information.</w:t>
      </w:r>
      <w:r w:rsidR="00CE7217" w:rsidRPr="008C74A3">
        <w:rPr>
          <w:rStyle w:val="FootnoteReference"/>
          <w:color w:val="000000" w:themeColor="text1"/>
        </w:rPr>
        <w:footnoteReference w:id="53"/>
      </w:r>
      <w:r w:rsidR="00CE7217" w:rsidRPr="008C74A3">
        <w:t xml:space="preserve"> However, clarity requires that enough information be presented to explain context and connections between related information and to provide a complete picture of impact performance. In some cases, users may wish to engage third parties to aid in </w:t>
      </w:r>
      <w:r w:rsidR="002706EB" w:rsidRPr="008C74A3">
        <w:t>interpretation of complex information</w:t>
      </w:r>
      <w:r w:rsidR="00CE7217" w:rsidRPr="008C74A3">
        <w:t xml:space="preserve">. </w:t>
      </w:r>
    </w:p>
    <w:p w14:paraId="7EC6A2A2" w14:textId="2AFBCB69" w:rsidR="007C35D4" w:rsidRPr="008C74A3" w:rsidRDefault="00D50E08" w:rsidP="00570ED2">
      <w:pPr>
        <w:spacing w:after="120"/>
      </w:pPr>
      <w:r w:rsidRPr="008C74A3">
        <w:t>Preparers are encouraged</w:t>
      </w:r>
      <w:r w:rsidR="009D772E" w:rsidRPr="008C74A3">
        <w:t xml:space="preserve"> </w:t>
      </w:r>
      <w:r w:rsidRPr="008C74A3">
        <w:t xml:space="preserve">to strive for understandability, but not at the </w:t>
      </w:r>
      <w:r w:rsidR="00F82E2C" w:rsidRPr="008C74A3">
        <w:t xml:space="preserve">expense </w:t>
      </w:r>
      <w:r w:rsidRPr="008C74A3">
        <w:t xml:space="preserve">of </w:t>
      </w:r>
      <w:r w:rsidR="00B01436" w:rsidRPr="008C74A3">
        <w:t>faithful representation.</w:t>
      </w:r>
      <w:r w:rsidR="004411D2" w:rsidRPr="008C74A3">
        <w:t xml:space="preserve"> </w:t>
      </w:r>
      <w:r w:rsidRPr="008C74A3">
        <w:t xml:space="preserve">This is because faithful representation is a fundamental characteristic of useful information, whereas understandability is an enhancing characteristic. </w:t>
      </w:r>
      <w:r w:rsidR="00411E17" w:rsidRPr="008C74A3">
        <w:t xml:space="preserve">It is recommended that impact performance reports not include </w:t>
      </w:r>
      <w:r w:rsidR="00FB09AA" w:rsidRPr="008C74A3">
        <w:t>photos</w:t>
      </w:r>
      <w:r w:rsidR="00411E17" w:rsidRPr="008C74A3">
        <w:t>, icons, or colors</w:t>
      </w:r>
      <w:r w:rsidR="0051535A" w:rsidRPr="008C74A3">
        <w:t xml:space="preserve"> to </w:t>
      </w:r>
      <w:r w:rsidR="00411E17" w:rsidRPr="008C74A3">
        <w:t>faithful</w:t>
      </w:r>
      <w:r w:rsidR="0051535A" w:rsidRPr="008C74A3">
        <w:t xml:space="preserve">ly </w:t>
      </w:r>
      <w:r w:rsidR="00411E17" w:rsidRPr="008C74A3">
        <w:t>represent investment’s impacts</w:t>
      </w:r>
      <w:r w:rsidR="004057C4" w:rsidRPr="008C74A3">
        <w:t>, as this may enhance understandability at the expense of relevance and/or faithful representation</w:t>
      </w:r>
      <w:r w:rsidR="00411E17" w:rsidRPr="008C74A3">
        <w:t>.</w:t>
      </w:r>
    </w:p>
    <w:p w14:paraId="31AC96AD" w14:textId="4C62A0FB" w:rsidR="00CE7217" w:rsidRPr="008C74A3" w:rsidRDefault="00E00E1E" w:rsidP="00570ED2">
      <w:pPr>
        <w:spacing w:after="120"/>
      </w:pPr>
      <w:r w:rsidRPr="008C74A3">
        <w:rPr>
          <w:noProof/>
        </w:rPr>
        <mc:AlternateContent>
          <mc:Choice Requires="wps">
            <w:drawing>
              <wp:anchor distT="45720" distB="45720" distL="114300" distR="114300" simplePos="0" relativeHeight="251742208" behindDoc="0" locked="0" layoutInCell="1" allowOverlap="1" wp14:anchorId="3E3139DC" wp14:editId="0A67A9A7">
                <wp:simplePos x="0" y="0"/>
                <wp:positionH relativeFrom="margin">
                  <wp:align>right</wp:align>
                </wp:positionH>
                <wp:positionV relativeFrom="paragraph">
                  <wp:posOffset>735330</wp:posOffset>
                </wp:positionV>
                <wp:extent cx="5919470" cy="1404620"/>
                <wp:effectExtent l="0" t="0" r="24130" b="24130"/>
                <wp:wrapSquare wrapText="bothSides"/>
                <wp:docPr id="725873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64847473" w14:textId="77777777" w:rsidR="00CE7217" w:rsidRPr="008E187B" w:rsidRDefault="00CE7217" w:rsidP="00570ED2">
                            <w:pPr>
                              <w:spacing w:after="120"/>
                            </w:pPr>
                            <w:r w:rsidRPr="008E187B">
                              <w:t xml:space="preserve">Excerpts from </w:t>
                            </w:r>
                            <w:r>
                              <w:t>Conceptual Framework</w:t>
                            </w:r>
                            <w:r w:rsidRPr="008F5B1A">
                              <w:t xml:space="preserve"> </w:t>
                            </w:r>
                            <w:r w:rsidRPr="008E187B">
                              <w:t>Chapter 2</w:t>
                            </w:r>
                          </w:p>
                          <w:p w14:paraId="48745A36" w14:textId="2586C059" w:rsidR="00CE7217" w:rsidRPr="008E187B" w:rsidRDefault="00CE7217" w:rsidP="00570ED2">
                            <w:pPr>
                              <w:spacing w:after="120"/>
                            </w:pPr>
                            <w:r w:rsidRPr="008E187B">
                              <w:t>2.34</w:t>
                            </w:r>
                            <w:r w:rsidRPr="008E187B">
                              <w:tab/>
                              <w:t>Classifying, characteri</w:t>
                            </w:r>
                            <w:r w:rsidR="002706EB">
                              <w:t>z</w:t>
                            </w:r>
                            <w:r w:rsidRPr="008E187B">
                              <w:t>ing and presenting information clearly and concisely makes it understandable.</w:t>
                            </w:r>
                          </w:p>
                          <w:p w14:paraId="32B59BD1" w14:textId="77777777" w:rsidR="00CE7217" w:rsidRPr="008E187B" w:rsidRDefault="00CE7217" w:rsidP="00570ED2">
                            <w:pPr>
                              <w:spacing w:after="120"/>
                            </w:pPr>
                            <w:r w:rsidRPr="008E187B">
                              <w:t>2.35</w:t>
                            </w:r>
                            <w:r w:rsidRPr="008E187B">
                              <w:tab/>
                              <w:t>Some phenomena are inherently complex and cannot be made easy to understand. Excluding information about those phenomena from financial reports might make the information in those financial reports easier to understand. However, those reports would be incomplete and therefore possibly misleading.</w:t>
                            </w:r>
                          </w:p>
                          <w:p w14:paraId="7C275E5D" w14:textId="3C2CF21B" w:rsidR="00CE7217" w:rsidRPr="008E187B" w:rsidRDefault="00CE7217" w:rsidP="00570ED2">
                            <w:pPr>
                              <w:spacing w:after="120"/>
                            </w:pPr>
                            <w:r w:rsidRPr="008E187B">
                              <w:t>2.36</w:t>
                            </w:r>
                            <w:r w:rsidRPr="008E187B">
                              <w:tab/>
                              <w:t>Financial reports are prepared for users who have a reasonable knowledge of business and economic activities and who review and analy</w:t>
                            </w:r>
                            <w:r w:rsidR="002706EB">
                              <w:t>z</w:t>
                            </w:r>
                            <w:r w:rsidRPr="008E187B">
                              <w:t>e the information diligently. At times, even well-informed and diligent users may need to seek the aid of an adviser to understand information about complex economic phenomena.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3139DC" id="_x0000_s1034" type="#_x0000_t202" style="position:absolute;margin-left:414.9pt;margin-top:57.9pt;width:466.1pt;height:110.6pt;z-index:2517422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">
                <v:textbox style="mso-fit-shape-to-text:t">
                  <w:txbxContent>
                    <w:p w14:paraId="64847473" w14:textId="77777777" w:rsidR="00CE7217" w:rsidRPr="008E187B" w:rsidRDefault="00CE7217" w:rsidP="00570ED2">
                      <w:pPr>
                        <w:spacing w:after="120"/>
                      </w:pPr>
                      <w:r w:rsidRPr="008E187B">
                        <w:t xml:space="preserve">Excerpts from </w:t>
                      </w:r>
                      <w:r>
                        <w:t>Conceptual Framework</w:t>
                      </w:r>
                      <w:r w:rsidRPr="008F5B1A">
                        <w:t xml:space="preserve"> </w:t>
                      </w:r>
                      <w:r w:rsidRPr="008E187B">
                        <w:t>Chapter 2</w:t>
                      </w:r>
                    </w:p>
                    <w:p w14:paraId="48745A36" w14:textId="2586C059" w:rsidR="00CE7217" w:rsidRPr="008E187B" w:rsidRDefault="00CE7217" w:rsidP="00570ED2">
                      <w:pPr>
                        <w:spacing w:after="120"/>
                      </w:pPr>
                      <w:r w:rsidRPr="008E187B">
                        <w:t>2.34</w:t>
                      </w:r>
                      <w:r w:rsidRPr="008E187B">
                        <w:tab/>
                        <w:t>Classifying, characteri</w:t>
                      </w:r>
                      <w:r w:rsidR="002706EB">
                        <w:t>z</w:t>
                      </w:r>
                      <w:r w:rsidRPr="008E187B">
                        <w:t>ing and presenting information clearly and concisely makes it understandable.</w:t>
                      </w:r>
                    </w:p>
                    <w:p w14:paraId="32B59BD1" w14:textId="77777777" w:rsidR="00CE7217" w:rsidRPr="008E187B" w:rsidRDefault="00CE7217" w:rsidP="00570ED2">
                      <w:pPr>
                        <w:spacing w:after="120"/>
                      </w:pPr>
                      <w:r w:rsidRPr="008E187B">
                        <w:t>2.35</w:t>
                      </w:r>
                      <w:r w:rsidRPr="008E187B">
                        <w:tab/>
                        <w:t>Some phenomena are inherently complex and cannot be made easy to understand. Excluding information about those phenomena from financial reports might make the information in those financial reports easier to understand. However, those reports would be incomplete and therefore possibly misleading.</w:t>
                      </w:r>
                    </w:p>
                    <w:p w14:paraId="7C275E5D" w14:textId="3C2CF21B" w:rsidR="00CE7217" w:rsidRPr="008E187B" w:rsidRDefault="00CE7217" w:rsidP="00570ED2">
                      <w:pPr>
                        <w:spacing w:after="120"/>
                      </w:pPr>
                      <w:r w:rsidRPr="008E187B">
                        <w:t>2.36</w:t>
                      </w:r>
                      <w:r w:rsidRPr="008E187B">
                        <w:tab/>
                        <w:t>Financial reports are prepared for users who have a reasonable knowledge of business and economic activities and who review and analy</w:t>
                      </w:r>
                      <w:r w:rsidR="002706EB">
                        <w:t>z</w:t>
                      </w:r>
                      <w:r w:rsidRPr="008E187B">
                        <w:t>e the information diligently. At times, even well-informed and diligent users may need to seek the aid of an adviser to understand information about complex economic phenomena.</w:t>
                      </w:r>
                    </w:p>
                  </w:txbxContent>
                </v:textbox>
                <w10:wrap type="square" anchorx="margin"/>
              </v:shape>
            </w:pict>
          </mc:Fallback>
        </mc:AlternateContent>
      </w:r>
      <w:r w:rsidR="00CE7217" w:rsidRPr="008C74A3">
        <w:t>Preparers may wish to consider additional summaries suited to the needs of stakeholders and civil society organizations. Preparers or users may seek independent review of these summaries to ensure that the content does not materially differ from that in the impact performance report</w:t>
      </w:r>
      <w:r w:rsidR="00CF734C" w:rsidRPr="008C74A3">
        <w:t xml:space="preserve"> and is not misleading</w:t>
      </w:r>
      <w:r w:rsidR="00CE7217" w:rsidRPr="008C74A3">
        <w:t>.</w:t>
      </w:r>
      <w:r w:rsidR="00CE7217" w:rsidRPr="008C74A3">
        <w:br w:type="page"/>
      </w:r>
    </w:p>
    <w:p w14:paraId="38A2428C" w14:textId="20A694F1" w:rsidR="00695D2D" w:rsidRPr="008C74A3" w:rsidRDefault="00695D2D" w:rsidP="00DB1B70">
      <w:pPr>
        <w:pStyle w:val="Heading2"/>
      </w:pPr>
      <w:bookmarkStart w:id="43" w:name="_Toc146213858"/>
      <w:bookmarkStart w:id="44" w:name="_Toc148384188"/>
      <w:r w:rsidRPr="008C74A3">
        <w:lastRenderedPageBreak/>
        <w:t>Section 2: Content and Structure</w:t>
      </w:r>
      <w:bookmarkEnd w:id="43"/>
      <w:bookmarkEnd w:id="44"/>
      <w:r w:rsidRPr="008C74A3">
        <w:t xml:space="preserve"> </w:t>
      </w:r>
    </w:p>
    <w:bookmarkEnd w:id="40"/>
    <w:p w14:paraId="3FE8D92B" w14:textId="5FD255DA" w:rsidR="00695D2D" w:rsidRPr="008C74A3" w:rsidRDefault="008E3FB3" w:rsidP="00DB1B70">
      <w:r w:rsidRPr="008C74A3">
        <w:t>T</w:t>
      </w:r>
      <w:r w:rsidR="00695D2D" w:rsidRPr="008C74A3">
        <w:t xml:space="preserve">he suggested structure of impact </w:t>
      </w:r>
      <w:r w:rsidR="00B01B63" w:rsidRPr="008C74A3">
        <w:t xml:space="preserve">performance </w:t>
      </w:r>
      <w:r w:rsidR="00695D2D" w:rsidRPr="008C74A3">
        <w:t>reports is as follows:</w:t>
      </w:r>
    </w:p>
    <w:p w14:paraId="62E026E7" w14:textId="77777777" w:rsidR="00695D2D" w:rsidRPr="008C74A3" w:rsidRDefault="00695D2D" w:rsidP="002D5795">
      <w:pPr>
        <w:pStyle w:val="ListParagraph"/>
        <w:numPr>
          <w:ilvl w:val="1"/>
          <w:numId w:val="1"/>
        </w:numPr>
        <w:ind w:leftChars="0"/>
      </w:pPr>
      <w:r w:rsidRPr="008C74A3">
        <w:t>Investor Overview and Impact Thesis</w:t>
      </w:r>
    </w:p>
    <w:p w14:paraId="4C41556B" w14:textId="77777777" w:rsidR="00695D2D" w:rsidRPr="008C74A3" w:rsidRDefault="00695D2D" w:rsidP="002D5795">
      <w:pPr>
        <w:pStyle w:val="ListParagraph"/>
        <w:numPr>
          <w:ilvl w:val="1"/>
          <w:numId w:val="1"/>
        </w:numPr>
        <w:ind w:leftChars="0"/>
      </w:pPr>
      <w:r w:rsidRPr="008C74A3">
        <w:t>Impact Management Process</w:t>
      </w:r>
    </w:p>
    <w:p w14:paraId="0176BA20" w14:textId="77777777" w:rsidR="00695D2D" w:rsidRPr="008C74A3" w:rsidRDefault="00695D2D" w:rsidP="002D5795">
      <w:pPr>
        <w:pStyle w:val="ListParagraph"/>
        <w:numPr>
          <w:ilvl w:val="1"/>
          <w:numId w:val="1"/>
        </w:numPr>
        <w:ind w:leftChars="0"/>
      </w:pPr>
      <w:r w:rsidRPr="008C74A3">
        <w:t>Impact Performance</w:t>
      </w:r>
    </w:p>
    <w:p w14:paraId="6121F04F" w14:textId="77777777" w:rsidR="002706EB" w:rsidRPr="008C74A3" w:rsidRDefault="002706EB" w:rsidP="002D5795">
      <w:pPr>
        <w:pStyle w:val="ListParagraph"/>
        <w:numPr>
          <w:ilvl w:val="1"/>
          <w:numId w:val="1"/>
        </w:numPr>
        <w:ind w:leftChars="0"/>
      </w:pPr>
      <w:r w:rsidRPr="008C74A3">
        <w:t>Governance (Optional)</w:t>
      </w:r>
    </w:p>
    <w:p w14:paraId="42CEFF58" w14:textId="77777777" w:rsidR="00695D2D" w:rsidRPr="008C74A3" w:rsidRDefault="00695D2D" w:rsidP="002D5795">
      <w:pPr>
        <w:pStyle w:val="ListParagraph"/>
        <w:numPr>
          <w:ilvl w:val="1"/>
          <w:numId w:val="1"/>
        </w:numPr>
        <w:ind w:leftChars="0"/>
      </w:pPr>
      <w:r w:rsidRPr="008C74A3">
        <w:t>Case Studies (Optional)</w:t>
      </w:r>
    </w:p>
    <w:p w14:paraId="573F2FAA" w14:textId="6DEDB44C" w:rsidR="00695D2D" w:rsidRPr="008C74A3" w:rsidRDefault="008111D1" w:rsidP="002D5795">
      <w:pPr>
        <w:pStyle w:val="ListParagraph"/>
        <w:numPr>
          <w:ilvl w:val="1"/>
          <w:numId w:val="1"/>
        </w:numPr>
        <w:ind w:leftChars="0"/>
      </w:pPr>
      <w:r w:rsidRPr="008C74A3">
        <w:t>Independent Review</w:t>
      </w:r>
      <w:r w:rsidR="00695D2D" w:rsidRPr="008C74A3">
        <w:t xml:space="preserve"> (Optional)</w:t>
      </w:r>
    </w:p>
    <w:p w14:paraId="2E83D358" w14:textId="2FC4C735" w:rsidR="0087215F" w:rsidRPr="008C74A3" w:rsidRDefault="00695D2D" w:rsidP="00DB1B70">
      <w:r w:rsidRPr="008C74A3">
        <w:t xml:space="preserve">The following guidelines describe suggested content to include in each section. Including content not listed below is cautioned against, given the risk that excess information may obscure users’ view of material information.  </w:t>
      </w:r>
    </w:p>
    <w:p w14:paraId="165634EC" w14:textId="4C21248B" w:rsidR="0087215F" w:rsidRPr="008C74A3" w:rsidRDefault="0087215F" w:rsidP="00DB1B70">
      <w:pPr>
        <w:rPr>
          <w:b/>
          <w:bCs/>
        </w:rPr>
      </w:pPr>
      <w:r w:rsidRPr="008C74A3">
        <w:rPr>
          <w:b/>
          <w:bCs/>
        </w:rPr>
        <w:t xml:space="preserve">Note on formatting: </w:t>
      </w:r>
    </w:p>
    <w:p w14:paraId="27E6D510" w14:textId="1A33F52B" w:rsidR="0021799B" w:rsidRPr="008C74A3" w:rsidRDefault="0021799B" w:rsidP="00DB1B70">
      <w:pPr>
        <w:rPr>
          <w:color w:val="000000" w:themeColor="text1"/>
        </w:rPr>
      </w:pPr>
      <w:r w:rsidRPr="008C74A3">
        <w:t>In service of faithful representation</w:t>
      </w:r>
      <w:r w:rsidR="00A110D3" w:rsidRPr="008C74A3">
        <w:t xml:space="preserve"> </w:t>
      </w:r>
      <w:r w:rsidRPr="008C74A3">
        <w:t>and comparability, it is recommended that impact performance reports</w:t>
      </w:r>
      <w:r w:rsidR="00B01B63" w:rsidRPr="008C74A3">
        <w:t xml:space="preserve"> not include </w:t>
      </w:r>
      <w:r w:rsidR="00FB09AA" w:rsidRPr="008C74A3">
        <w:t>photos</w:t>
      </w:r>
      <w:r w:rsidR="00B01B63" w:rsidRPr="008C74A3">
        <w:t xml:space="preserve">, icons, or colors. </w:t>
      </w:r>
      <w:r w:rsidRPr="008C74A3">
        <w:rPr>
          <w:color w:val="000000" w:themeColor="text1"/>
        </w:rPr>
        <w:t xml:space="preserve">Images are not recommended as it is difficult or impossible for preparers to ensure or users to verify that any image or set of </w:t>
      </w:r>
      <w:r w:rsidR="00FB09AA" w:rsidRPr="008C74A3">
        <w:rPr>
          <w:color w:val="000000" w:themeColor="text1"/>
        </w:rPr>
        <w:t>photos</w:t>
      </w:r>
      <w:r w:rsidRPr="008C74A3">
        <w:rPr>
          <w:color w:val="000000" w:themeColor="text1"/>
        </w:rPr>
        <w:t xml:space="preserve"> creates a faithful (i.e., complete, neutral, and accurate) representation of an investment’s </w:t>
      </w:r>
      <w:r w:rsidR="00FB09AA" w:rsidRPr="008C74A3">
        <w:rPr>
          <w:color w:val="000000" w:themeColor="text1"/>
        </w:rPr>
        <w:t>positive and negative impacts on its various stakeholders</w:t>
      </w:r>
      <w:r w:rsidRPr="008C74A3">
        <w:rPr>
          <w:color w:val="000000" w:themeColor="text1"/>
        </w:rPr>
        <w:t xml:space="preserve">. (See Section </w:t>
      </w:r>
      <w:r w:rsidR="00F26564" w:rsidRPr="008C74A3">
        <w:rPr>
          <w:color w:val="000000" w:themeColor="text1"/>
        </w:rPr>
        <w:t>1</w:t>
      </w:r>
      <w:r w:rsidRPr="008C74A3">
        <w:rPr>
          <w:color w:val="000000" w:themeColor="text1"/>
        </w:rPr>
        <w:t xml:space="preserve"> for more on the qualitative characteristics of useful information.)</w:t>
      </w:r>
    </w:p>
    <w:p w14:paraId="62BB0A01" w14:textId="2B1B12CC" w:rsidR="000B4062" w:rsidRPr="008C74A3" w:rsidRDefault="0021799B" w:rsidP="00DB1B70">
      <w:pPr>
        <w:rPr>
          <w:color w:val="000000"/>
        </w:rPr>
      </w:pPr>
      <w:r w:rsidRPr="008C74A3">
        <w:t>It is recommended to use c</w:t>
      </w:r>
      <w:r w:rsidR="0087215F" w:rsidRPr="008C74A3">
        <w:t>harts sparingly and preparers should consider whether charts contribute to a faithful</w:t>
      </w:r>
      <w:r w:rsidRPr="008C74A3">
        <w:t xml:space="preserve"> </w:t>
      </w:r>
      <w:r w:rsidR="0087215F" w:rsidRPr="008C74A3">
        <w:t xml:space="preserve">representation of an investment’s impacts, and are not intended to emphasize, deemphasize, or otherwise manipulate information in ways that </w:t>
      </w:r>
      <w:r w:rsidR="0087215F" w:rsidRPr="008C74A3">
        <w:rPr>
          <w:color w:val="000000"/>
        </w:rPr>
        <w:t>make it more likely that users of the report will receive the information positively or negatively.</w:t>
      </w:r>
      <w:r w:rsidR="000B4062" w:rsidRPr="008C74A3">
        <w:rPr>
          <w:color w:val="000000"/>
        </w:rPr>
        <w:t xml:space="preserve"> </w:t>
      </w:r>
      <w:r w:rsidR="008E3FB3" w:rsidRPr="008C74A3">
        <w:rPr>
          <w:color w:val="000000"/>
        </w:rPr>
        <w:t xml:space="preserve">Preparers </w:t>
      </w:r>
      <w:r w:rsidR="000B4062" w:rsidRPr="008C74A3">
        <w:rPr>
          <w:color w:val="000000"/>
        </w:rPr>
        <w:t>can use diagrams (for instance, to illustrate impact pathways), and tables may be used to present data in a space-efficient way.</w:t>
      </w:r>
    </w:p>
    <w:p w14:paraId="312794D3" w14:textId="3C0A1308" w:rsidR="00695D2D" w:rsidRPr="008C74A3" w:rsidRDefault="00B01B63" w:rsidP="00DB1B70">
      <w:r w:rsidRPr="008C74A3">
        <w:t>Entities may wish to prepare other documents for purposes of</w:t>
      </w:r>
      <w:r w:rsidR="0087215F" w:rsidRPr="008C74A3">
        <w:t xml:space="preserve"> marketing,</w:t>
      </w:r>
      <w:r w:rsidRPr="008C74A3">
        <w:t xml:space="preserve"> communication</w:t>
      </w:r>
      <w:r w:rsidR="0087215F" w:rsidRPr="008C74A3">
        <w:t>s,</w:t>
      </w:r>
      <w:r w:rsidRPr="008C74A3">
        <w:t xml:space="preserve"> and fundraising that include </w:t>
      </w:r>
      <w:r w:rsidR="00FB09AA" w:rsidRPr="008C74A3">
        <w:t>photos</w:t>
      </w:r>
      <w:r w:rsidRPr="008C74A3">
        <w:t xml:space="preserve">, icons, and/or colors. </w:t>
      </w:r>
      <w:r w:rsidR="00134A4B" w:rsidRPr="008C74A3">
        <w:t xml:space="preserve">Those documents would be distinct from and </w:t>
      </w:r>
      <w:r w:rsidR="008E3FB3" w:rsidRPr="008C74A3">
        <w:t>exist</w:t>
      </w:r>
      <w:r w:rsidR="00134A4B" w:rsidRPr="008C74A3">
        <w:t xml:space="preserve"> alongside impact performance reports produced in alignment with the Norms. This would follow the precedent set by </w:t>
      </w:r>
      <w:r w:rsidR="0087215F" w:rsidRPr="008C74A3">
        <w:rPr>
          <w:color w:val="000000"/>
          <w:highlight w:val="white"/>
        </w:rPr>
        <w:t xml:space="preserve">publicly traded companies </w:t>
      </w:r>
      <w:r w:rsidR="00134A4B" w:rsidRPr="008C74A3">
        <w:rPr>
          <w:color w:val="000000"/>
          <w:highlight w:val="white"/>
        </w:rPr>
        <w:t xml:space="preserve">that </w:t>
      </w:r>
      <w:r w:rsidR="0087215F" w:rsidRPr="008C74A3">
        <w:rPr>
          <w:color w:val="000000"/>
          <w:highlight w:val="white"/>
        </w:rPr>
        <w:t xml:space="preserve">publish both polished annual reports </w:t>
      </w:r>
      <w:r w:rsidR="00134A4B" w:rsidRPr="008C74A3">
        <w:rPr>
          <w:color w:val="000000"/>
          <w:highlight w:val="white"/>
        </w:rPr>
        <w:t>that are</w:t>
      </w:r>
      <w:r w:rsidR="0087215F" w:rsidRPr="008C74A3">
        <w:rPr>
          <w:color w:val="000000"/>
          <w:highlight w:val="white"/>
        </w:rPr>
        <w:t xml:space="preserve"> user-friendly for laypeople</w:t>
      </w:r>
      <w:r w:rsidR="00F56EF0" w:rsidRPr="008C74A3">
        <w:rPr>
          <w:color w:val="000000"/>
          <w:highlight w:val="white"/>
        </w:rPr>
        <w:t>,</w:t>
      </w:r>
      <w:r w:rsidR="0087215F" w:rsidRPr="008C74A3">
        <w:rPr>
          <w:color w:val="000000"/>
          <w:highlight w:val="white"/>
        </w:rPr>
        <w:t xml:space="preserve"> </w:t>
      </w:r>
      <w:proofErr w:type="gramStart"/>
      <w:r w:rsidR="0087215F" w:rsidRPr="008C74A3">
        <w:rPr>
          <w:color w:val="000000"/>
          <w:highlight w:val="white"/>
        </w:rPr>
        <w:t>and</w:t>
      </w:r>
      <w:r w:rsidR="00F56EF0" w:rsidRPr="008C74A3">
        <w:rPr>
          <w:color w:val="000000"/>
          <w:highlight w:val="white"/>
        </w:rPr>
        <w:t xml:space="preserve"> also</w:t>
      </w:r>
      <w:proofErr w:type="gramEnd"/>
      <w:r w:rsidR="00BF4B55" w:rsidRPr="008C74A3">
        <w:rPr>
          <w:color w:val="000000"/>
        </w:rPr>
        <w:t xml:space="preserve"> </w:t>
      </w:r>
      <w:r w:rsidR="0097532D" w:rsidRPr="008C74A3">
        <w:rPr>
          <w:color w:val="000000"/>
        </w:rPr>
        <w:t>disclosure</w:t>
      </w:r>
      <w:r w:rsidR="00D50E08" w:rsidRPr="008C74A3">
        <w:rPr>
          <w:color w:val="000000"/>
        </w:rPr>
        <w:t>s</w:t>
      </w:r>
      <w:r w:rsidR="0097532D" w:rsidRPr="008C74A3">
        <w:rPr>
          <w:color w:val="000000"/>
        </w:rPr>
        <w:t xml:space="preserve"> such as</w:t>
      </w:r>
      <w:r w:rsidR="00BF4B55" w:rsidRPr="008C74A3">
        <w:rPr>
          <w:color w:val="000000"/>
        </w:rPr>
        <w:t xml:space="preserve"> </w:t>
      </w:r>
      <w:r w:rsidR="0087215F" w:rsidRPr="008C74A3">
        <w:rPr>
          <w:color w:val="000000"/>
          <w:highlight w:val="white"/>
        </w:rPr>
        <w:t>Form 10-</w:t>
      </w:r>
      <w:r w:rsidR="00D7149B" w:rsidRPr="008C74A3">
        <w:rPr>
          <w:color w:val="000000"/>
          <w:highlight w:val="white"/>
        </w:rPr>
        <w:t>K</w:t>
      </w:r>
      <w:r w:rsidR="0087215F" w:rsidRPr="008C74A3">
        <w:rPr>
          <w:color w:val="000000"/>
          <w:highlight w:val="white"/>
        </w:rPr>
        <w:t>s</w:t>
      </w:r>
      <w:r w:rsidR="00BF4B55" w:rsidRPr="008C74A3">
        <w:rPr>
          <w:color w:val="000000"/>
          <w:highlight w:val="white"/>
        </w:rPr>
        <w:t xml:space="preserve"> in the US</w:t>
      </w:r>
      <w:r w:rsidR="0087215F" w:rsidRPr="008C74A3">
        <w:rPr>
          <w:color w:val="000000"/>
          <w:highlight w:val="white"/>
        </w:rPr>
        <w:t xml:space="preserve"> that follow strict </w:t>
      </w:r>
      <w:r w:rsidR="00BF4B55" w:rsidRPr="008C74A3">
        <w:rPr>
          <w:color w:val="000000"/>
          <w:highlight w:val="white"/>
        </w:rPr>
        <w:t>regulat</w:t>
      </w:r>
      <w:r w:rsidR="00D50E08" w:rsidRPr="008C74A3">
        <w:rPr>
          <w:color w:val="000000"/>
          <w:highlight w:val="white"/>
        </w:rPr>
        <w:t>ory</w:t>
      </w:r>
      <w:r w:rsidR="00BF4B55" w:rsidRPr="008C74A3">
        <w:rPr>
          <w:color w:val="000000"/>
          <w:highlight w:val="white"/>
        </w:rPr>
        <w:t xml:space="preserve"> </w:t>
      </w:r>
      <w:r w:rsidR="0087215F" w:rsidRPr="008C74A3">
        <w:rPr>
          <w:color w:val="000000"/>
          <w:highlight w:val="white"/>
        </w:rPr>
        <w:t>guidelines about format and content to enhance comparability</w:t>
      </w:r>
      <w:r w:rsidR="00A110D3" w:rsidRPr="008C74A3">
        <w:rPr>
          <w:color w:val="000000"/>
        </w:rPr>
        <w:t xml:space="preserve"> by professional analysts</w:t>
      </w:r>
      <w:r w:rsidR="0021799B" w:rsidRPr="008C74A3">
        <w:rPr>
          <w:color w:val="000000"/>
        </w:rPr>
        <w:t>.</w:t>
      </w:r>
      <w:r w:rsidR="00695D2D" w:rsidRPr="008C74A3">
        <w:br w:type="page"/>
      </w:r>
    </w:p>
    <w:p w14:paraId="56853D51" w14:textId="14932BE2" w:rsidR="00695D2D" w:rsidRPr="008C74A3" w:rsidRDefault="00BB7125" w:rsidP="002D5795">
      <w:pPr>
        <w:pStyle w:val="Heading3"/>
        <w:numPr>
          <w:ilvl w:val="0"/>
          <w:numId w:val="51"/>
        </w:numPr>
      </w:pPr>
      <w:bookmarkStart w:id="45" w:name="_Toc148384189"/>
      <w:r w:rsidRPr="008C74A3">
        <w:lastRenderedPageBreak/>
        <w:t>Entity</w:t>
      </w:r>
      <w:r w:rsidR="00695D2D" w:rsidRPr="008C74A3">
        <w:t xml:space="preserve"> Overview and Impact Thesis</w:t>
      </w:r>
      <w:bookmarkEnd w:id="45"/>
    </w:p>
    <w:p w14:paraId="1C083577" w14:textId="0EEF1C3C" w:rsidR="007A660C" w:rsidRPr="008C74A3" w:rsidRDefault="007A660C" w:rsidP="00BB7125">
      <w:pPr>
        <w:spacing w:after="120"/>
      </w:pPr>
      <w:r w:rsidRPr="008C74A3">
        <w:t xml:space="preserve">Note: Once written, this section may </w:t>
      </w:r>
      <w:r w:rsidR="00A26E8B" w:rsidRPr="008C74A3">
        <w:t xml:space="preserve">need not be updated </w:t>
      </w:r>
      <w:r w:rsidRPr="008C74A3">
        <w:t>unless material changes have occurred.</w:t>
      </w:r>
    </w:p>
    <w:p w14:paraId="0BB74166" w14:textId="6AED4F23" w:rsidR="009B208E" w:rsidRPr="008C74A3" w:rsidRDefault="00D55E40" w:rsidP="002D5795">
      <w:pPr>
        <w:pStyle w:val="ListParagraph"/>
        <w:numPr>
          <w:ilvl w:val="1"/>
          <w:numId w:val="2"/>
        </w:numPr>
        <w:spacing w:after="120"/>
        <w:ind w:leftChars="0"/>
        <w:rPr>
          <w:u w:val="single"/>
        </w:rPr>
      </w:pPr>
      <w:r w:rsidRPr="008C74A3">
        <w:t xml:space="preserve">     </w:t>
      </w:r>
      <w:r w:rsidR="007D6D4A" w:rsidRPr="008C74A3">
        <w:rPr>
          <w:u w:val="single"/>
        </w:rPr>
        <w:t>Entity</w:t>
      </w:r>
      <w:r w:rsidR="00695D2D" w:rsidRPr="008C74A3">
        <w:rPr>
          <w:u w:val="single"/>
        </w:rPr>
        <w:t xml:space="preserve"> Description</w:t>
      </w:r>
    </w:p>
    <w:p w14:paraId="03F46572" w14:textId="311F21C1" w:rsidR="00D55E40" w:rsidRPr="008C74A3" w:rsidRDefault="00D55E40" w:rsidP="002D5795">
      <w:pPr>
        <w:pStyle w:val="ListParagraph"/>
        <w:numPr>
          <w:ilvl w:val="2"/>
          <w:numId w:val="2"/>
        </w:numPr>
        <w:spacing w:after="120"/>
        <w:ind w:leftChars="0"/>
      </w:pPr>
      <w:r w:rsidRPr="008C74A3">
        <w:t>Provide an overview of the portfolio that is the subject of the report (e.g., assets under management (AUM), asset class(es), sector/thematic focus, regional focus, year launched, overview of capital providers).</w:t>
      </w:r>
    </w:p>
    <w:p w14:paraId="461AA4B3" w14:textId="59600DD6" w:rsidR="00695D2D" w:rsidRPr="008C74A3" w:rsidRDefault="009B208E" w:rsidP="002D5795">
      <w:pPr>
        <w:pStyle w:val="ListParagraph"/>
        <w:numPr>
          <w:ilvl w:val="2"/>
          <w:numId w:val="2"/>
        </w:numPr>
        <w:spacing w:after="120"/>
        <w:ind w:leftChars="0"/>
      </w:pPr>
      <w:r w:rsidRPr="008C74A3">
        <w:t>If the reporting entity is part of a larger organization, provide a brief overview of that organization. I</w:t>
      </w:r>
      <w:r w:rsidR="00695D2D" w:rsidRPr="008C74A3">
        <w:t xml:space="preserve">ndicate approximately what proportion of the larger </w:t>
      </w:r>
      <w:r w:rsidR="00BB7125" w:rsidRPr="008C74A3">
        <w:t>organization</w:t>
      </w:r>
      <w:r w:rsidR="00695D2D" w:rsidRPr="008C74A3">
        <w:t xml:space="preserve"> the </w:t>
      </w:r>
      <w:r w:rsidRPr="008C74A3">
        <w:t xml:space="preserve">reporting entity </w:t>
      </w:r>
      <w:r w:rsidR="00695D2D" w:rsidRPr="008C74A3">
        <w:t>represents (</w:t>
      </w:r>
      <w:r w:rsidRPr="008C74A3">
        <w:t xml:space="preserve">e.g., </w:t>
      </w:r>
      <w:r w:rsidR="00695D2D" w:rsidRPr="008C74A3">
        <w:t xml:space="preserve">as a share of </w:t>
      </w:r>
      <w:r w:rsidR="00BB7125" w:rsidRPr="008C74A3">
        <w:t xml:space="preserve">the organization’s </w:t>
      </w:r>
      <w:r w:rsidR="00695D2D" w:rsidRPr="008C74A3">
        <w:t xml:space="preserve">total AUM). </w:t>
      </w:r>
    </w:p>
    <w:p w14:paraId="394975C4" w14:textId="5E4EB46A" w:rsidR="0078490E" w:rsidRPr="008C74A3" w:rsidRDefault="00D55E40" w:rsidP="002D5795">
      <w:pPr>
        <w:pStyle w:val="ListParagraph"/>
        <w:numPr>
          <w:ilvl w:val="1"/>
          <w:numId w:val="2"/>
        </w:numPr>
        <w:spacing w:after="120"/>
        <w:ind w:leftChars="0"/>
        <w:rPr>
          <w:u w:val="single"/>
        </w:rPr>
      </w:pPr>
      <w:bookmarkStart w:id="46" w:name="_Hlk146051708"/>
      <w:r w:rsidRPr="008C74A3">
        <w:t xml:space="preserve">    </w:t>
      </w:r>
      <w:r w:rsidR="00695D2D" w:rsidRPr="008C74A3">
        <w:rPr>
          <w:u w:val="single"/>
        </w:rPr>
        <w:t>Impact Thesis</w:t>
      </w:r>
    </w:p>
    <w:p w14:paraId="072D3D80" w14:textId="4546697B" w:rsidR="00695D2D" w:rsidRPr="008C74A3" w:rsidRDefault="00695D2D" w:rsidP="00BB7125">
      <w:pPr>
        <w:pStyle w:val="ListParagraph"/>
        <w:spacing w:after="120"/>
        <w:ind w:leftChars="0" w:left="567"/>
      </w:pPr>
      <w:r w:rsidRPr="008C74A3">
        <w:t xml:space="preserve">Note: Signatories to the Impact Principles may complete Section 1.2 by providing the portion of their Disclosure Statement relating to Strategic Intent (i.e., Principles 1 and 2) and investor contribution (Principle 3). </w:t>
      </w:r>
    </w:p>
    <w:p w14:paraId="3A81C419" w14:textId="7C9F53ED" w:rsidR="00695D2D" w:rsidRPr="008C74A3" w:rsidRDefault="00695D2D" w:rsidP="002D5795">
      <w:pPr>
        <w:pStyle w:val="ListParagraph"/>
        <w:numPr>
          <w:ilvl w:val="2"/>
          <w:numId w:val="2"/>
        </w:numPr>
        <w:spacing w:after="120"/>
        <w:ind w:leftChars="0"/>
        <w:rPr>
          <w:rFonts w:eastAsia="MS Mincho" w:cs="Arial"/>
        </w:rPr>
      </w:pPr>
      <w:r w:rsidRPr="008C74A3">
        <w:t>Describe the impact thesis of the portfolio.</w:t>
      </w:r>
      <w:r w:rsidR="605740F7" w:rsidRPr="008C74A3">
        <w:t xml:space="preserve"> This may take any form of </w:t>
      </w:r>
      <w:hyperlink r:id="rId27" w:history="1">
        <w:r w:rsidR="605740F7" w:rsidRPr="008C74A3">
          <w:rPr>
            <w:rStyle w:val="Hyperlink"/>
          </w:rPr>
          <w:t>Impact Pathway</w:t>
        </w:r>
      </w:hyperlink>
      <w:r w:rsidR="605740F7" w:rsidRPr="008C74A3">
        <w:t xml:space="preserve">, including but not limited to </w:t>
      </w:r>
      <w:r w:rsidR="00B47DD9" w:rsidRPr="008C74A3">
        <w:t xml:space="preserve">a </w:t>
      </w:r>
      <w:r w:rsidR="605740F7" w:rsidRPr="008C74A3">
        <w:t>theory of change, logic model, outcomes chain, or system map.</w:t>
      </w:r>
      <w:r w:rsidR="007B4C9A" w:rsidRPr="008C74A3">
        <w:rPr>
          <w:rStyle w:val="FootnoteReference"/>
        </w:rPr>
        <w:footnoteReference w:id="54"/>
      </w:r>
      <w:r w:rsidR="605740F7" w:rsidRPr="008C74A3">
        <w:t xml:space="preserve"> The Impact Pathway should describe how the </w:t>
      </w:r>
      <w:r w:rsidR="007D6D4A" w:rsidRPr="008C74A3">
        <w:t>entity’s</w:t>
      </w:r>
      <w:r w:rsidR="605740F7" w:rsidRPr="008C74A3">
        <w:t xml:space="preserve"> and investee enterprises’ activities and outputs affect</w:t>
      </w:r>
      <w:r w:rsidR="009B208E" w:rsidRPr="008C74A3">
        <w:t xml:space="preserve"> or are expected to affect</w:t>
      </w:r>
      <w:r w:rsidR="605740F7" w:rsidRPr="008C74A3">
        <w:t xml:space="preserve"> outcomes</w:t>
      </w:r>
      <w:r w:rsidR="001E797C" w:rsidRPr="008C74A3">
        <w:rPr>
          <w:rStyle w:val="FootnoteReference"/>
        </w:rPr>
        <w:footnoteReference w:id="55"/>
      </w:r>
      <w:r w:rsidR="605740F7" w:rsidRPr="008C74A3">
        <w:t xml:space="preserve"> and impacts</w:t>
      </w:r>
      <w:r w:rsidR="001E797C" w:rsidRPr="008C74A3">
        <w:rPr>
          <w:rStyle w:val="FootnoteReference"/>
        </w:rPr>
        <w:footnoteReference w:id="56"/>
      </w:r>
      <w:r w:rsidR="605740F7" w:rsidRPr="008C74A3">
        <w:t xml:space="preserve"> on </w:t>
      </w:r>
      <w:r w:rsidR="00734B44" w:rsidRPr="008C74A3">
        <w:t>stakeholder</w:t>
      </w:r>
      <w:r w:rsidR="605740F7" w:rsidRPr="008C74A3">
        <w:t>s and the natural environment.</w:t>
      </w:r>
      <w:r w:rsidR="00C07EA8" w:rsidRPr="008C74A3">
        <w:t xml:space="preserve"> </w:t>
      </w:r>
      <w:r w:rsidRPr="008C74A3">
        <w:t xml:space="preserve">If relevant, describe how activities contribute to </w:t>
      </w:r>
      <w:r w:rsidR="00A92CEC" w:rsidRPr="008C74A3">
        <w:t xml:space="preserve">broader impact and/or sustainability objectives such as </w:t>
      </w:r>
      <w:r w:rsidR="00BB7125" w:rsidRPr="008C74A3">
        <w:t xml:space="preserve">climate goals or </w:t>
      </w:r>
      <w:r w:rsidR="00A92CEC" w:rsidRPr="008C74A3">
        <w:t xml:space="preserve">the </w:t>
      </w:r>
      <w:r w:rsidRPr="008C74A3">
        <w:t>Sustainable Development Goals (SDG</w:t>
      </w:r>
      <w:r w:rsidR="605740F7" w:rsidRPr="008C74A3">
        <w:t>s</w:t>
      </w:r>
      <w:r w:rsidRPr="008C74A3">
        <w:t>).</w:t>
      </w:r>
      <w:r w:rsidRPr="008C74A3">
        <w:rPr>
          <w:rStyle w:val="FootnoteReference"/>
        </w:rPr>
        <w:footnoteReference w:id="57"/>
      </w:r>
      <w:r w:rsidR="605740F7" w:rsidRPr="008C74A3">
        <w:t xml:space="preserve"> </w:t>
      </w:r>
      <w:r w:rsidRPr="008C74A3">
        <w:t xml:space="preserve">Reference supporting evidence if available and articulate assumptions made. </w:t>
      </w:r>
      <w:r w:rsidR="605740F7" w:rsidRPr="008C74A3">
        <w:t xml:space="preserve">As different </w:t>
      </w:r>
      <w:r w:rsidR="00CB5C92" w:rsidRPr="008C74A3">
        <w:t xml:space="preserve">entities </w:t>
      </w:r>
      <w:r w:rsidR="605740F7" w:rsidRPr="008C74A3">
        <w:t xml:space="preserve">use the terms outcomes and impacts differently, </w:t>
      </w:r>
      <w:r w:rsidR="00BB7125" w:rsidRPr="008C74A3">
        <w:t xml:space="preserve">please </w:t>
      </w:r>
      <w:r w:rsidR="605740F7" w:rsidRPr="008C74A3">
        <w:t>define how you are using these terms.</w:t>
      </w:r>
      <w:r w:rsidR="001E797C" w:rsidRPr="008C74A3">
        <w:rPr>
          <w:rStyle w:val="FootnoteReference"/>
        </w:rPr>
        <w:footnoteReference w:id="58"/>
      </w:r>
      <w:r w:rsidR="605740F7" w:rsidRPr="008C74A3">
        <w:t xml:space="preserve"> </w:t>
      </w:r>
    </w:p>
    <w:p w14:paraId="56812835" w14:textId="5404FCCE" w:rsidR="00C7008E" w:rsidRPr="008C74A3" w:rsidRDefault="00612F7D" w:rsidP="002D5795">
      <w:pPr>
        <w:pStyle w:val="ListParagraph"/>
        <w:numPr>
          <w:ilvl w:val="2"/>
          <w:numId w:val="2"/>
        </w:numPr>
        <w:spacing w:after="120"/>
        <w:ind w:leftChars="0"/>
        <w:rPr>
          <w:rFonts w:eastAsia="MS Mincho" w:cs="Arial"/>
        </w:rPr>
      </w:pPr>
      <w:r w:rsidRPr="008C74A3">
        <w:t>D</w:t>
      </w:r>
      <w:r w:rsidR="00695D2D" w:rsidRPr="008C74A3">
        <w:t xml:space="preserve">escribe the role of investor contribution (financial and/or non-financial) in the impact thesis. </w:t>
      </w:r>
    </w:p>
    <w:p w14:paraId="56CDA353" w14:textId="77F719A1" w:rsidR="00613388" w:rsidRPr="008C74A3" w:rsidRDefault="00613388" w:rsidP="002D5795">
      <w:pPr>
        <w:pStyle w:val="ListParagraph"/>
        <w:numPr>
          <w:ilvl w:val="2"/>
          <w:numId w:val="2"/>
        </w:numPr>
        <w:spacing w:after="120"/>
        <w:ind w:leftChars="0"/>
        <w:rPr>
          <w:rFonts w:eastAsia="MS Mincho" w:cs="Arial"/>
        </w:rPr>
      </w:pPr>
      <w:r w:rsidRPr="008C74A3">
        <w:t xml:space="preserve">Describe </w:t>
      </w:r>
      <w:r w:rsidR="007A660C" w:rsidRPr="008C74A3">
        <w:t xml:space="preserve">how the impact thesis considers </w:t>
      </w:r>
      <w:r w:rsidRPr="008C74A3">
        <w:t>impact risk</w:t>
      </w:r>
      <w:r w:rsidRPr="008C74A3">
        <w:rPr>
          <w:rStyle w:val="FootnoteReference"/>
        </w:rPr>
        <w:footnoteReference w:id="59"/>
      </w:r>
      <w:r w:rsidR="007A660C" w:rsidRPr="008C74A3">
        <w:t xml:space="preserve"> and </w:t>
      </w:r>
      <w:r w:rsidRPr="008C74A3">
        <w:t>unintended consequences</w:t>
      </w:r>
      <w:r w:rsidR="007A660C" w:rsidRPr="008C74A3">
        <w:t>.</w:t>
      </w:r>
    </w:p>
    <w:p w14:paraId="35FE8A7F" w14:textId="38541949" w:rsidR="00C7008E" w:rsidRPr="008C74A3" w:rsidRDefault="00F82210" w:rsidP="002D5795">
      <w:pPr>
        <w:pStyle w:val="ListParagraph"/>
        <w:numPr>
          <w:ilvl w:val="2"/>
          <w:numId w:val="2"/>
        </w:numPr>
        <w:spacing w:after="120"/>
        <w:ind w:leftChars="0"/>
        <w:rPr>
          <w:rFonts w:eastAsia="MS Mincho" w:cs="Arial"/>
        </w:rPr>
      </w:pPr>
      <w:r w:rsidRPr="008C74A3">
        <w:t xml:space="preserve">A </w:t>
      </w:r>
      <w:r w:rsidR="009B208E" w:rsidRPr="008C74A3">
        <w:t xml:space="preserve">portfolio-level </w:t>
      </w:r>
      <w:r w:rsidRPr="008C74A3">
        <w:t xml:space="preserve">impact thesis is </w:t>
      </w:r>
      <w:r w:rsidR="009B208E" w:rsidRPr="008C74A3">
        <w:t>relevant to the extent that it applies to or describes</w:t>
      </w:r>
      <w:r w:rsidRPr="008C74A3">
        <w:t xml:space="preserve"> every investment in that portfolio, including through the lifecycle of holding those investments. </w:t>
      </w:r>
      <w:r w:rsidR="00612F7D" w:rsidRPr="008C74A3">
        <w:t xml:space="preserve">Articulate the </w:t>
      </w:r>
      <w:r w:rsidR="007559AF" w:rsidRPr="008C74A3">
        <w:t xml:space="preserve">approximate </w:t>
      </w:r>
      <w:r w:rsidR="00612F7D" w:rsidRPr="008C74A3">
        <w:t>extent or portion of the portfolio for which the above points hold or are expected to hold.</w:t>
      </w:r>
      <w:bookmarkEnd w:id="46"/>
      <w:r w:rsidR="009B208E" w:rsidRPr="008C74A3">
        <w:t xml:space="preserve"> </w:t>
      </w:r>
    </w:p>
    <w:p w14:paraId="61D9BA55" w14:textId="6585B492" w:rsidR="00695D2D" w:rsidRPr="008C74A3" w:rsidRDefault="00D55E40" w:rsidP="002D5795">
      <w:pPr>
        <w:pStyle w:val="ListParagraph"/>
        <w:numPr>
          <w:ilvl w:val="1"/>
          <w:numId w:val="2"/>
        </w:numPr>
        <w:spacing w:after="120"/>
        <w:ind w:leftChars="0"/>
        <w:rPr>
          <w:u w:val="single"/>
        </w:rPr>
      </w:pPr>
      <w:r w:rsidRPr="008C74A3">
        <w:lastRenderedPageBreak/>
        <w:t xml:space="preserve">     </w:t>
      </w:r>
      <w:r w:rsidR="009B30CA" w:rsidRPr="008C74A3">
        <w:rPr>
          <w:u w:val="single"/>
        </w:rPr>
        <w:t xml:space="preserve">Portfolio-Level </w:t>
      </w:r>
      <w:r w:rsidR="00695D2D" w:rsidRPr="008C74A3">
        <w:rPr>
          <w:u w:val="single"/>
        </w:rPr>
        <w:t>Stakeholder and Material</w:t>
      </w:r>
      <w:r w:rsidR="00232ABC" w:rsidRPr="008C74A3">
        <w:rPr>
          <w:u w:val="single"/>
        </w:rPr>
        <w:t>ity Analysis</w:t>
      </w:r>
      <w:r w:rsidR="00695D2D" w:rsidRPr="008C74A3">
        <w:rPr>
          <w:u w:val="single"/>
        </w:rPr>
        <w:t xml:space="preserve"> </w:t>
      </w:r>
    </w:p>
    <w:p w14:paraId="78CE47BC" w14:textId="7512F663" w:rsidR="00695D2D" w:rsidRPr="008C74A3" w:rsidRDefault="00DC7829" w:rsidP="00BB7125">
      <w:pPr>
        <w:spacing w:after="120"/>
        <w:ind w:left="567"/>
      </w:pPr>
      <w:r w:rsidRPr="008C74A3">
        <w:t xml:space="preserve">This section </w:t>
      </w:r>
      <w:r w:rsidR="009B30CA" w:rsidRPr="008C74A3">
        <w:t>identifies which</w:t>
      </w:r>
      <w:r w:rsidR="00695D2D" w:rsidRPr="008C74A3">
        <w:t xml:space="preserve"> </w:t>
      </w:r>
      <w:r w:rsidR="009B30CA" w:rsidRPr="008C74A3">
        <w:t>outcomes and/or impacts</w:t>
      </w:r>
      <w:r w:rsidR="00DA03AA" w:rsidRPr="008C74A3">
        <w:t>, for which stakeholders and/or aspects of the natural environment,</w:t>
      </w:r>
      <w:r w:rsidR="00232ABC" w:rsidRPr="008C74A3">
        <w:t xml:space="preserve"> </w:t>
      </w:r>
      <w:r w:rsidR="009B30CA" w:rsidRPr="008C74A3">
        <w:t xml:space="preserve">are </w:t>
      </w:r>
      <w:r w:rsidR="00695D2D" w:rsidRPr="008C74A3">
        <w:t xml:space="preserve">defined </w:t>
      </w:r>
      <w:r w:rsidRPr="008C74A3">
        <w:t xml:space="preserve">as </w:t>
      </w:r>
      <w:r w:rsidR="00695D2D" w:rsidRPr="008C74A3">
        <w:t>material</w:t>
      </w:r>
      <w:r w:rsidR="00DA03AA" w:rsidRPr="008C74A3">
        <w:t>, along with rationale</w:t>
      </w:r>
      <w:r w:rsidR="00036F92" w:rsidRPr="008C74A3">
        <w:t xml:space="preserve"> and supporting evidence of </w:t>
      </w:r>
      <w:r w:rsidR="00DA03AA" w:rsidRPr="008C74A3">
        <w:t xml:space="preserve">the outcomes’ or impacts’ </w:t>
      </w:r>
      <w:r w:rsidR="00036F92" w:rsidRPr="008C74A3">
        <w:t xml:space="preserve">significance to the </w:t>
      </w:r>
      <w:r w:rsidR="00734B44" w:rsidRPr="008C74A3">
        <w:t>stakeholder</w:t>
      </w:r>
      <w:r w:rsidR="00036F92" w:rsidRPr="008C74A3">
        <w:t xml:space="preserve"> and/or natural environment</w:t>
      </w:r>
      <w:r w:rsidR="00695D2D" w:rsidRPr="008C74A3">
        <w:t>.</w:t>
      </w:r>
      <w:r w:rsidR="009B30CA" w:rsidRPr="008C74A3">
        <w:rPr>
          <w:rStyle w:val="FootnoteReference"/>
        </w:rPr>
        <w:footnoteReference w:id="60"/>
      </w:r>
      <w:r w:rsidR="00695D2D" w:rsidRPr="008C74A3">
        <w:t xml:space="preserve"> </w:t>
      </w:r>
    </w:p>
    <w:p w14:paraId="1E21DFAF" w14:textId="0BD407C1" w:rsidR="00695D2D" w:rsidRPr="008C74A3" w:rsidRDefault="00695D2D" w:rsidP="002D5795">
      <w:pPr>
        <w:pStyle w:val="ListParagraph"/>
        <w:numPr>
          <w:ilvl w:val="2"/>
          <w:numId w:val="2"/>
        </w:numPr>
        <w:spacing w:after="120"/>
        <w:ind w:leftChars="0"/>
      </w:pPr>
      <w:r w:rsidRPr="008C74A3">
        <w:t xml:space="preserve">Explain which </w:t>
      </w:r>
      <w:r w:rsidR="00743D47" w:rsidRPr="008C74A3">
        <w:t>approach to</w:t>
      </w:r>
      <w:r w:rsidRPr="008C74A3">
        <w:t xml:space="preserve"> materiality was chosen and </w:t>
      </w:r>
      <w:r w:rsidR="00DA03AA" w:rsidRPr="008C74A3">
        <w:t xml:space="preserve">why </w:t>
      </w:r>
      <w:r w:rsidR="00DC7829" w:rsidRPr="008C74A3">
        <w:t xml:space="preserve">(i.e., </w:t>
      </w:r>
      <w:r w:rsidR="006C3333" w:rsidRPr="008C74A3">
        <w:t>“</w:t>
      </w:r>
      <w:r w:rsidR="00DC7829" w:rsidRPr="008C74A3">
        <w:t>impact materiality</w:t>
      </w:r>
      <w:r w:rsidR="006C3333" w:rsidRPr="008C74A3">
        <w:t>”</w:t>
      </w:r>
      <w:r w:rsidR="00DC7829" w:rsidRPr="008C74A3">
        <w:t xml:space="preserve"> or </w:t>
      </w:r>
      <w:r w:rsidR="006C3333" w:rsidRPr="008C74A3">
        <w:t>“</w:t>
      </w:r>
      <w:r w:rsidR="00DC7829" w:rsidRPr="008C74A3">
        <w:t>double materiality</w:t>
      </w:r>
      <w:r w:rsidR="006C3333" w:rsidRPr="008C74A3">
        <w:t>”</w:t>
      </w:r>
      <w:r w:rsidR="00DC7829" w:rsidRPr="008C74A3">
        <w:t>)</w:t>
      </w:r>
      <w:r w:rsidRPr="008C74A3">
        <w:t>.</w:t>
      </w:r>
      <w:r w:rsidR="007559AF" w:rsidRPr="008C74A3">
        <w:rPr>
          <w:rStyle w:val="FootnoteReference"/>
        </w:rPr>
        <w:footnoteReference w:id="61"/>
      </w:r>
      <w:r w:rsidRPr="008C74A3">
        <w:t xml:space="preserve"> </w:t>
      </w:r>
    </w:p>
    <w:p w14:paraId="0F22FAB5" w14:textId="4726E179" w:rsidR="00174259" w:rsidRPr="008C74A3" w:rsidRDefault="00695D2D" w:rsidP="002D5795">
      <w:pPr>
        <w:pStyle w:val="ListParagraph"/>
        <w:numPr>
          <w:ilvl w:val="2"/>
          <w:numId w:val="2"/>
        </w:numPr>
        <w:spacing w:after="120"/>
        <w:ind w:leftChars="0" w:left="562" w:hanging="562"/>
      </w:pPr>
      <w:r w:rsidRPr="008C74A3">
        <w:t xml:space="preserve">From the impact </w:t>
      </w:r>
      <w:r w:rsidR="04591F22" w:rsidRPr="008C74A3">
        <w:t xml:space="preserve">pathway </w:t>
      </w:r>
      <w:r w:rsidRPr="008C74A3">
        <w:t xml:space="preserve">above, what </w:t>
      </w:r>
      <w:r w:rsidR="00DA03AA" w:rsidRPr="008C74A3">
        <w:t>outcomes / impacts</w:t>
      </w:r>
      <w:r w:rsidR="04591F22" w:rsidRPr="008C74A3">
        <w:t xml:space="preserve"> </w:t>
      </w:r>
      <w:r w:rsidRPr="008C74A3">
        <w:t xml:space="preserve">for what </w:t>
      </w:r>
      <w:r w:rsidR="00734B44" w:rsidRPr="008C74A3">
        <w:t>stakeholder</w:t>
      </w:r>
      <w:r w:rsidRPr="008C74A3">
        <w:t>s has the preparer identified as material and why?</w:t>
      </w:r>
      <w:r w:rsidRPr="008C74A3">
        <w:rPr>
          <w:rStyle w:val="FootnoteReference"/>
        </w:rPr>
        <w:footnoteReference w:id="62"/>
      </w:r>
      <w:r w:rsidRPr="008C74A3">
        <w:t xml:space="preserve"> </w:t>
      </w:r>
      <w:r w:rsidR="04591F22" w:rsidRPr="008C74A3">
        <w:t xml:space="preserve">Describe the process taken to identify </w:t>
      </w:r>
      <w:r w:rsidR="00734B44" w:rsidRPr="008C74A3">
        <w:t>stakeholder</w:t>
      </w:r>
      <w:r w:rsidR="04591F22" w:rsidRPr="008C74A3">
        <w:t xml:space="preserve">s and material </w:t>
      </w:r>
      <w:r w:rsidR="00DA03AA" w:rsidRPr="008C74A3">
        <w:t>outcomes / impacts</w:t>
      </w:r>
      <w:r w:rsidR="00BC75A5" w:rsidRPr="008C74A3">
        <w:t xml:space="preserve">, as well as </w:t>
      </w:r>
      <w:r w:rsidR="00A92CEC" w:rsidRPr="008C74A3">
        <w:t xml:space="preserve">the primary and/or secondary research methods by which </w:t>
      </w:r>
      <w:r w:rsidR="00734B44" w:rsidRPr="008C74A3">
        <w:t>stakeholder</w:t>
      </w:r>
      <w:r w:rsidR="00A92CEC" w:rsidRPr="008C74A3">
        <w:t>s’ views were surfaced.</w:t>
      </w:r>
      <w:r w:rsidR="00DA03AA" w:rsidRPr="008C74A3">
        <w:rPr>
          <w:rStyle w:val="FootnoteReference"/>
        </w:rPr>
        <w:footnoteReference w:id="63"/>
      </w:r>
      <w:r w:rsidR="00A92CEC" w:rsidRPr="008C74A3">
        <w:t xml:space="preserve"> </w:t>
      </w:r>
      <w:r w:rsidR="04591F22" w:rsidRPr="008C74A3">
        <w:t xml:space="preserve">If these outcomes and impacts cannot be measured directly, what proxies will be </w:t>
      </w:r>
      <w:r w:rsidR="00DA03AA" w:rsidRPr="008C74A3">
        <w:t xml:space="preserve">measured </w:t>
      </w:r>
      <w:r w:rsidR="04591F22" w:rsidRPr="008C74A3">
        <w:t xml:space="preserve">(e.g., activities, outputs), and how strong is the relationship between the proxy measure and the </w:t>
      </w:r>
      <w:r w:rsidR="00DA03AA" w:rsidRPr="008C74A3">
        <w:t xml:space="preserve">intended </w:t>
      </w:r>
      <w:r w:rsidR="04591F22" w:rsidRPr="008C74A3">
        <w:t>outcome or impact?</w:t>
      </w:r>
      <w:r w:rsidRPr="008C74A3">
        <w:br/>
      </w:r>
      <w:r w:rsidRPr="008C74A3">
        <w:br/>
      </w:r>
      <w:r w:rsidR="04591F22" w:rsidRPr="008C74A3">
        <w:t>If the fund is sector- or theme-agnostic, such that specific outcomes and impacts either cannot be identified ex-ante or are too numerous to list, indicate in more general terms the minimum impact criteria necessary for an investment to qualify for inclusion in the portfolio. (These criteria implicitly indicate the entity’s materiality analysis.)</w:t>
      </w:r>
      <w:r w:rsidR="00DA03AA" w:rsidRPr="008C74A3">
        <w:t xml:space="preserve"> </w:t>
      </w:r>
      <w:r w:rsidR="00FA7346" w:rsidRPr="008C74A3">
        <w:br/>
      </w:r>
      <w:r w:rsidR="00FA7346" w:rsidRPr="008C74A3">
        <w:br/>
      </w:r>
      <w:r w:rsidRPr="008C74A3">
        <w:t>Describe the selected material outcomes and impacts using the five dimensions of impact</w:t>
      </w:r>
      <w:r w:rsidR="126D988A" w:rsidRPr="008C74A3">
        <w:t>, noting any dimensions particularly relevant to the impact thesis</w:t>
      </w:r>
      <w:r w:rsidRPr="008C74A3">
        <w:t>.</w:t>
      </w:r>
      <w:r w:rsidRPr="008C74A3">
        <w:rPr>
          <w:rStyle w:val="FootnoteReference"/>
        </w:rPr>
        <w:footnoteReference w:id="64"/>
      </w:r>
      <w:r w:rsidRPr="008C74A3">
        <w:t xml:space="preserve"> </w:t>
      </w:r>
    </w:p>
    <w:p w14:paraId="321254D7" w14:textId="77777777" w:rsidR="00C65861" w:rsidRPr="008C74A3" w:rsidRDefault="00C65861" w:rsidP="00FB09AA">
      <w:pPr>
        <w:pStyle w:val="ListParagraph"/>
        <w:spacing w:after="120"/>
        <w:ind w:leftChars="0" w:left="562"/>
      </w:pPr>
    </w:p>
    <w:p w14:paraId="18E4E6C2" w14:textId="04B5B66F" w:rsidR="00695D2D" w:rsidRPr="008C74A3" w:rsidRDefault="00695D2D" w:rsidP="002D5795">
      <w:pPr>
        <w:pStyle w:val="Heading3"/>
        <w:numPr>
          <w:ilvl w:val="0"/>
          <w:numId w:val="51"/>
        </w:numPr>
      </w:pPr>
      <w:bookmarkStart w:id="47" w:name="_Toc148384190"/>
      <w:r w:rsidRPr="008C74A3">
        <w:t>Impact Management Framework, Process, and Systems</w:t>
      </w:r>
      <w:bookmarkEnd w:id="47"/>
    </w:p>
    <w:p w14:paraId="20755E4B" w14:textId="233BB802" w:rsidR="00695D2D" w:rsidRPr="008C74A3" w:rsidRDefault="00695D2D" w:rsidP="008E7C5B">
      <w:pPr>
        <w:spacing w:after="120"/>
      </w:pPr>
      <w:r w:rsidRPr="008C74A3">
        <w:t xml:space="preserve">Note: </w:t>
      </w:r>
      <w:r w:rsidR="00BC539F" w:rsidRPr="008C74A3">
        <w:t xml:space="preserve">Once written, this section may need not be updated unless material changes have occurred. </w:t>
      </w:r>
      <w:r w:rsidRPr="008C74A3">
        <w:t xml:space="preserve">Signatories to the Impact Principles may complete this section by providing a link to their most recent </w:t>
      </w:r>
      <w:r w:rsidRPr="008C74A3">
        <w:lastRenderedPageBreak/>
        <w:t>Disclosure Statement.</w:t>
      </w:r>
      <w:r w:rsidRPr="008C74A3">
        <w:rPr>
          <w:rStyle w:val="FootnoteReference"/>
        </w:rPr>
        <w:footnoteReference w:id="65"/>
      </w:r>
      <w:r w:rsidRPr="008C74A3">
        <w:t xml:space="preserve"> </w:t>
      </w:r>
      <w:r w:rsidR="2767A726" w:rsidRPr="008C74A3">
        <w:t xml:space="preserve">The entity’s approach to identification and </w:t>
      </w:r>
      <w:r w:rsidR="008E7C5B" w:rsidRPr="008C74A3">
        <w:t>management</w:t>
      </w:r>
      <w:r w:rsidR="2767A726" w:rsidRPr="008C74A3">
        <w:t xml:space="preserve"> of</w:t>
      </w:r>
      <w:r w:rsidR="008E7C5B" w:rsidRPr="008C74A3">
        <w:t xml:space="preserve"> </w:t>
      </w:r>
      <w:r w:rsidR="2767A726" w:rsidRPr="008C74A3">
        <w:t>environmental, social, and governance ("ESG”) risks and opportunities may be incorporated in this section.</w:t>
      </w:r>
      <w:r w:rsidR="001E25B5" w:rsidRPr="008C74A3">
        <w:rPr>
          <w:rStyle w:val="FootnoteReference"/>
        </w:rPr>
        <w:footnoteReference w:id="66"/>
      </w:r>
      <w:r w:rsidR="2767A726" w:rsidRPr="008C74A3">
        <w:t xml:space="preserve"> </w:t>
      </w:r>
    </w:p>
    <w:p w14:paraId="566257D7" w14:textId="7FF6E753" w:rsidR="001F6DEB" w:rsidRPr="008C74A3" w:rsidRDefault="00D55E40" w:rsidP="002D5795">
      <w:pPr>
        <w:pStyle w:val="ListParagraph"/>
        <w:numPr>
          <w:ilvl w:val="1"/>
          <w:numId w:val="51"/>
        </w:numPr>
        <w:spacing w:after="120"/>
        <w:ind w:leftChars="0"/>
      </w:pPr>
      <w:r w:rsidRPr="008C74A3">
        <w:t xml:space="preserve">  </w:t>
      </w:r>
      <w:r w:rsidR="00695D2D" w:rsidRPr="008C74A3">
        <w:t xml:space="preserve">If your </w:t>
      </w:r>
      <w:r w:rsidR="00CB5C92" w:rsidRPr="008C74A3">
        <w:t xml:space="preserve">entity </w:t>
      </w:r>
      <w:r w:rsidR="00695D2D" w:rsidRPr="008C74A3">
        <w:t xml:space="preserve">has an impact framework distinct from what is covered in Section 1, </w:t>
      </w:r>
      <w:r w:rsidR="008E7C5B" w:rsidRPr="008C74A3">
        <w:t xml:space="preserve">please </w:t>
      </w:r>
      <w:r w:rsidR="00695D2D" w:rsidRPr="008C74A3">
        <w:t>describe it.</w:t>
      </w:r>
    </w:p>
    <w:p w14:paraId="295F5DAC" w14:textId="54658957" w:rsidR="001F6DEB" w:rsidRPr="008C74A3" w:rsidRDefault="00D55E40" w:rsidP="002D5795">
      <w:pPr>
        <w:pStyle w:val="ListParagraph"/>
        <w:numPr>
          <w:ilvl w:val="1"/>
          <w:numId w:val="51"/>
        </w:numPr>
        <w:spacing w:after="120"/>
        <w:ind w:leftChars="0"/>
      </w:pPr>
      <w:r w:rsidRPr="008C74A3">
        <w:t xml:space="preserve">  </w:t>
      </w:r>
      <w:r w:rsidR="00695D2D" w:rsidRPr="008C74A3">
        <w:t xml:space="preserve">Describe how impact influences decision-making throughout the various stages of the investment process (pre-screen through exit), referencing any frameworks or tools (e.g., screens, </w:t>
      </w:r>
      <w:r w:rsidR="00DA03AA" w:rsidRPr="008C74A3">
        <w:t xml:space="preserve">analytical techniques, </w:t>
      </w:r>
      <w:r w:rsidR="00695D2D" w:rsidRPr="008C74A3">
        <w:t xml:space="preserve">ratings, scorecards, etc.) that your </w:t>
      </w:r>
      <w:r w:rsidR="00CB5C92" w:rsidRPr="008C74A3">
        <w:t xml:space="preserve">entity </w:t>
      </w:r>
      <w:r w:rsidR="00695D2D" w:rsidRPr="008C74A3">
        <w:t xml:space="preserve">uses at each stage. </w:t>
      </w:r>
      <w:r w:rsidR="0007740E" w:rsidRPr="008C74A3">
        <w:t>If the report does not include a separate section on governance (</w:t>
      </w:r>
      <w:r w:rsidR="005A6E6D" w:rsidRPr="008C74A3">
        <w:t xml:space="preserve">4. </w:t>
      </w:r>
      <w:r w:rsidR="00351638" w:rsidRPr="008C74A3">
        <w:t>Governance</w:t>
      </w:r>
      <w:r w:rsidR="005A6E6D" w:rsidRPr="008C74A3">
        <w:t xml:space="preserve"> (</w:t>
      </w:r>
      <w:r w:rsidR="0007740E" w:rsidRPr="008C74A3">
        <w:t>optiona</w:t>
      </w:r>
      <w:r w:rsidR="00351638" w:rsidRPr="008C74A3">
        <w:t>l</w:t>
      </w:r>
      <w:r w:rsidR="0007740E" w:rsidRPr="008C74A3">
        <w:t>)</w:t>
      </w:r>
      <w:r w:rsidR="00351638" w:rsidRPr="008C74A3">
        <w:t>)</w:t>
      </w:r>
      <w:r w:rsidR="0007740E" w:rsidRPr="008C74A3">
        <w:t>, describe how the impact thesis, investment strategy, and portfolio-level goals are periodically reviewed and refined.</w:t>
      </w:r>
    </w:p>
    <w:p w14:paraId="26CD980E" w14:textId="348BDCFE" w:rsidR="001F6DEB" w:rsidRPr="008C74A3" w:rsidRDefault="00D55E40" w:rsidP="002D5795">
      <w:pPr>
        <w:pStyle w:val="ListParagraph"/>
        <w:numPr>
          <w:ilvl w:val="1"/>
          <w:numId w:val="51"/>
        </w:numPr>
        <w:spacing w:after="120"/>
        <w:ind w:leftChars="0"/>
      </w:pPr>
      <w:r w:rsidRPr="008C74A3">
        <w:t xml:space="preserve">  </w:t>
      </w:r>
      <w:r w:rsidR="00695D2D" w:rsidRPr="008C74A3">
        <w:t>Describe</w:t>
      </w:r>
      <w:r w:rsidR="00044745" w:rsidRPr="008C74A3">
        <w:t xml:space="preserve"> how stakeholders and material </w:t>
      </w:r>
      <w:r w:rsidR="00695D2D" w:rsidRPr="008C74A3">
        <w:t xml:space="preserve">outcomes </w:t>
      </w:r>
      <w:r w:rsidR="00044745" w:rsidRPr="008C74A3">
        <w:t>/ impacts are identified at the level of individual investees</w:t>
      </w:r>
      <w:r w:rsidR="004A31E6" w:rsidRPr="008C74A3">
        <w:t xml:space="preserve"> or assets</w:t>
      </w:r>
      <w:r w:rsidR="00044745" w:rsidRPr="008C74A3">
        <w:t>, including any processes or methodologies used.</w:t>
      </w:r>
      <w:r w:rsidRPr="008C74A3">
        <w:t xml:space="preserve">  </w:t>
      </w:r>
      <w:r w:rsidR="00695D2D" w:rsidRPr="008C74A3">
        <w:t>Describe</w:t>
      </w:r>
      <w:r w:rsidR="00044745" w:rsidRPr="008C74A3">
        <w:t xml:space="preserve"> the process by which</w:t>
      </w:r>
      <w:r w:rsidR="00695D2D" w:rsidRPr="008C74A3">
        <w:t xml:space="preserve"> negative impacts, both expected and unexpected, are identified and managed</w:t>
      </w:r>
      <w:r w:rsidR="00044745" w:rsidRPr="008C74A3">
        <w:t>, including environmental, social, and human rights</w:t>
      </w:r>
      <w:r w:rsidR="00695D2D" w:rsidRPr="008C74A3">
        <w:t>.</w:t>
      </w:r>
      <w:r w:rsidR="00695D2D" w:rsidRPr="008C74A3">
        <w:rPr>
          <w:rStyle w:val="FootnoteReference"/>
        </w:rPr>
        <w:footnoteReference w:id="67"/>
      </w:r>
      <w:r w:rsidR="00044745" w:rsidRPr="008C74A3">
        <w:t xml:space="preserve"> Include</w:t>
      </w:r>
      <w:r w:rsidR="001A41D8" w:rsidRPr="008C74A3">
        <w:t xml:space="preserve"> </w:t>
      </w:r>
      <w:r w:rsidR="00044745" w:rsidRPr="008C74A3">
        <w:t xml:space="preserve">any </w:t>
      </w:r>
      <w:r w:rsidR="001A41D8" w:rsidRPr="008C74A3">
        <w:t xml:space="preserve">accountability processes </w:t>
      </w:r>
      <w:r w:rsidR="00044745" w:rsidRPr="008C74A3">
        <w:t>and/or</w:t>
      </w:r>
      <w:r w:rsidR="00695D2D" w:rsidRPr="008C74A3">
        <w:t xml:space="preserve"> fund-level mechanisms that allow stakeholders to communicate concerns and seek redress for adverse impacts (i.e., grievance mechanisms, independent accountability mechanisms</w:t>
      </w:r>
      <w:r w:rsidR="00044745" w:rsidRPr="008C74A3">
        <w:t xml:space="preserve">; see Appendix </w:t>
      </w:r>
      <w:r w:rsidR="0031044F" w:rsidRPr="008C74A3">
        <w:t>K</w:t>
      </w:r>
      <w:r w:rsidR="00044745" w:rsidRPr="008C74A3">
        <w:t xml:space="preserve"> for characteristics of effective accountability mechanisms</w:t>
      </w:r>
      <w:r w:rsidR="00695D2D" w:rsidRPr="008C74A3">
        <w:t>)</w:t>
      </w:r>
      <w:r w:rsidR="00695D2D" w:rsidRPr="008C74A3">
        <w:rPr>
          <w:rStyle w:val="FootnoteReference"/>
        </w:rPr>
        <w:footnoteReference w:id="68"/>
      </w:r>
      <w:r w:rsidR="00695D2D" w:rsidRPr="008C74A3">
        <w:t>.</w:t>
      </w:r>
    </w:p>
    <w:p w14:paraId="519D965D" w14:textId="36216874" w:rsidR="00695D2D" w:rsidRPr="008C74A3" w:rsidRDefault="00D55E40" w:rsidP="002D5795">
      <w:pPr>
        <w:pStyle w:val="ListParagraph"/>
        <w:numPr>
          <w:ilvl w:val="1"/>
          <w:numId w:val="51"/>
        </w:numPr>
        <w:spacing w:after="120"/>
        <w:ind w:leftChars="0"/>
      </w:pPr>
      <w:r w:rsidRPr="008C74A3">
        <w:t xml:space="preserve">  </w:t>
      </w:r>
      <w:r w:rsidR="002E1C2B" w:rsidRPr="008C74A3">
        <w:t>D</w:t>
      </w:r>
      <w:r w:rsidR="5A7C21FE" w:rsidRPr="008C74A3">
        <w:t>escribe how the entity collects, manages, and uses impact data, including how data ownership, privacy issues, and ethical and commercial issues regarding data gathering, usage, and disclosure are managed.</w:t>
      </w:r>
      <w:r w:rsidR="002E1C2B" w:rsidRPr="008C74A3">
        <w:t xml:space="preserve"> Include </w:t>
      </w:r>
      <w:r w:rsidR="5A7C21FE" w:rsidRPr="008C74A3">
        <w:t xml:space="preserve">any predefined processes for sharing data </w:t>
      </w:r>
      <w:r w:rsidR="005860AF" w:rsidRPr="008C74A3">
        <w:t xml:space="preserve">between the entity and its </w:t>
      </w:r>
      <w:r w:rsidR="5A7C21FE" w:rsidRPr="008C74A3">
        <w:t xml:space="preserve">investees, including responsibilities for data collection and how, and to whom, data </w:t>
      </w:r>
      <w:r w:rsidR="004A31E6" w:rsidRPr="008C74A3">
        <w:t>are</w:t>
      </w:r>
      <w:r w:rsidR="5A7C21FE" w:rsidRPr="008C74A3">
        <w:t xml:space="preserve"> reported.</w:t>
      </w:r>
    </w:p>
    <w:p w14:paraId="5F792191" w14:textId="77777777" w:rsidR="00C65861" w:rsidRPr="008C74A3" w:rsidRDefault="00C65861" w:rsidP="00FB09AA">
      <w:pPr>
        <w:pStyle w:val="ListParagraph"/>
        <w:spacing w:after="120"/>
        <w:ind w:leftChars="0" w:left="504"/>
      </w:pPr>
    </w:p>
    <w:p w14:paraId="259E4FDE" w14:textId="106B3672" w:rsidR="00695D2D" w:rsidRPr="008C74A3" w:rsidRDefault="00695D2D" w:rsidP="002D5795">
      <w:pPr>
        <w:pStyle w:val="Heading3"/>
        <w:numPr>
          <w:ilvl w:val="0"/>
          <w:numId w:val="49"/>
        </w:numPr>
      </w:pPr>
      <w:bookmarkStart w:id="48" w:name="_Toc148384191"/>
      <w:r w:rsidRPr="008C74A3">
        <w:t>Impact Performance</w:t>
      </w:r>
      <w:bookmarkEnd w:id="48"/>
    </w:p>
    <w:p w14:paraId="3B161393" w14:textId="461DFDAE" w:rsidR="008D2661" w:rsidRPr="008C74A3" w:rsidRDefault="004A31E6" w:rsidP="004A31E6">
      <w:pPr>
        <w:spacing w:after="120"/>
      </w:pPr>
      <w:r w:rsidRPr="008C74A3">
        <w:t xml:space="preserve">Note: </w:t>
      </w:r>
      <w:r w:rsidR="00695D2D" w:rsidRPr="008C74A3">
        <w:t xml:space="preserve">This section includes </w:t>
      </w:r>
      <w:r w:rsidR="00CA5E54" w:rsidRPr="008C74A3">
        <w:t xml:space="preserve">qualitative and </w:t>
      </w:r>
      <w:r w:rsidR="00695D2D" w:rsidRPr="008C74A3">
        <w:t>quantitative reporting on impact</w:t>
      </w:r>
      <w:r w:rsidR="00CA5E54" w:rsidRPr="008C74A3">
        <w:t xml:space="preserve">. Initial consultation suggests that methods of </w:t>
      </w:r>
      <w:r w:rsidR="00DB74AC" w:rsidRPr="008C74A3">
        <w:t xml:space="preserve">impact </w:t>
      </w:r>
      <w:r w:rsidR="00CA5E54" w:rsidRPr="008C74A3">
        <w:t>measurement</w:t>
      </w:r>
      <w:r w:rsidR="00DB74AC" w:rsidRPr="008C74A3">
        <w:t xml:space="preserve">, </w:t>
      </w:r>
      <w:r w:rsidR="00CA5E54" w:rsidRPr="008C74A3">
        <w:t>analysis</w:t>
      </w:r>
      <w:r w:rsidR="00DB74AC" w:rsidRPr="008C74A3">
        <w:t>, and reporting</w:t>
      </w:r>
      <w:r w:rsidR="00CA5E54" w:rsidRPr="008C74A3">
        <w:t xml:space="preserve"> are diverse enough that no standardized reporting template will be suitable for a plurality of investors. </w:t>
      </w:r>
      <w:r w:rsidR="008D2661" w:rsidRPr="008C74A3">
        <w:t>In contrast</w:t>
      </w:r>
      <w:r w:rsidR="00DB74AC" w:rsidRPr="008C74A3">
        <w:t xml:space="preserve">, considerable consensus exists as to the </w:t>
      </w:r>
      <w:r w:rsidR="00B91558" w:rsidRPr="008C74A3">
        <w:t>nature</w:t>
      </w:r>
      <w:r w:rsidR="00DB74AC" w:rsidRPr="008C74A3">
        <w:t xml:space="preserve"> </w:t>
      </w:r>
      <w:r w:rsidR="00D72500" w:rsidRPr="008C74A3">
        <w:t xml:space="preserve">of information that </w:t>
      </w:r>
      <w:r w:rsidR="00DB74AC" w:rsidRPr="008C74A3">
        <w:t>preparers should strive to provide</w:t>
      </w:r>
      <w:r w:rsidR="00DF0B20" w:rsidRPr="008C74A3">
        <w:t>, and that users should expect.</w:t>
      </w:r>
      <w:r w:rsidR="008D2661" w:rsidRPr="008C74A3">
        <w:t xml:space="preserve"> </w:t>
      </w:r>
    </w:p>
    <w:p w14:paraId="605F4012" w14:textId="0CEEAAAB" w:rsidR="00CA5E54" w:rsidRPr="008C74A3" w:rsidRDefault="00DB74AC" w:rsidP="004A31E6">
      <w:pPr>
        <w:spacing w:after="120"/>
      </w:pPr>
      <w:r w:rsidRPr="008C74A3">
        <w:t>Therefore, r</w:t>
      </w:r>
      <w:r w:rsidR="00CA5E54" w:rsidRPr="008C74A3">
        <w:t>ather than provid</w:t>
      </w:r>
      <w:r w:rsidRPr="008C74A3">
        <w:t>ing</w:t>
      </w:r>
      <w:r w:rsidR="00CA5E54" w:rsidRPr="008C74A3">
        <w:t xml:space="preserve"> a prescriptive format or template, the draft Norms provide:</w:t>
      </w:r>
    </w:p>
    <w:p w14:paraId="1CB3D241" w14:textId="1F08E562" w:rsidR="00CA5E54" w:rsidRPr="008C74A3" w:rsidRDefault="008D2661" w:rsidP="002D5795">
      <w:pPr>
        <w:pStyle w:val="ListParagraph"/>
        <w:numPr>
          <w:ilvl w:val="0"/>
          <w:numId w:val="34"/>
        </w:numPr>
        <w:spacing w:after="120"/>
        <w:ind w:leftChars="0"/>
      </w:pPr>
      <w:r w:rsidRPr="008C74A3">
        <w:lastRenderedPageBreak/>
        <w:t>Recommended c</w:t>
      </w:r>
      <w:r w:rsidR="00CA5E54" w:rsidRPr="008C74A3">
        <w:t xml:space="preserve">ontent </w:t>
      </w:r>
      <w:r w:rsidRPr="008C74A3">
        <w:t>for</w:t>
      </w:r>
      <w:r w:rsidR="00CA5E54" w:rsidRPr="008C74A3">
        <w:t xml:space="preserve"> preparers to include</w:t>
      </w:r>
      <w:r w:rsidR="00DB74AC" w:rsidRPr="008C74A3">
        <w:t xml:space="preserve"> (described below)</w:t>
      </w:r>
      <w:r w:rsidR="00C65861" w:rsidRPr="008C74A3">
        <w:t>;</w:t>
      </w:r>
    </w:p>
    <w:p w14:paraId="19C38D8A" w14:textId="1E94865E" w:rsidR="00DB74AC" w:rsidRPr="008C74A3" w:rsidRDefault="008D2661" w:rsidP="002D5795">
      <w:pPr>
        <w:pStyle w:val="ListParagraph"/>
        <w:numPr>
          <w:ilvl w:val="0"/>
          <w:numId w:val="34"/>
        </w:numPr>
        <w:spacing w:after="120"/>
        <w:ind w:leftChars="0"/>
      </w:pPr>
      <w:r w:rsidRPr="008C74A3">
        <w:t>Qualitative characteristics of useful information</w:t>
      </w:r>
      <w:r w:rsidR="00DB74AC" w:rsidRPr="008C74A3">
        <w:t xml:space="preserve"> </w:t>
      </w:r>
      <w:r w:rsidRPr="008C74A3">
        <w:t>for preparers to strive for</w:t>
      </w:r>
      <w:r w:rsidR="0094655D" w:rsidRPr="008C74A3">
        <w:t xml:space="preserve"> (described </w:t>
      </w:r>
      <w:r w:rsidR="00B91558" w:rsidRPr="008C74A3">
        <w:t>above</w:t>
      </w:r>
      <w:r w:rsidR="0094655D" w:rsidRPr="008C74A3">
        <w:t>)</w:t>
      </w:r>
      <w:r w:rsidR="00C65861" w:rsidRPr="008C74A3">
        <w:t xml:space="preserve">; </w:t>
      </w:r>
    </w:p>
    <w:p w14:paraId="7C130D80" w14:textId="5EA724BF" w:rsidR="00DB74AC" w:rsidRPr="008C74A3" w:rsidRDefault="00DB74AC" w:rsidP="002D5795">
      <w:pPr>
        <w:pStyle w:val="ListParagraph"/>
        <w:numPr>
          <w:ilvl w:val="0"/>
          <w:numId w:val="34"/>
        </w:numPr>
        <w:spacing w:after="120"/>
        <w:ind w:leftChars="0"/>
      </w:pPr>
      <w:r w:rsidRPr="008C74A3">
        <w:t xml:space="preserve">Suggested formatting and visual elements to avoid </w:t>
      </w:r>
      <w:r w:rsidR="008D2661" w:rsidRPr="008C74A3">
        <w:t xml:space="preserve">in the interest of those qualitative characteristics </w:t>
      </w:r>
      <w:r w:rsidRPr="008C74A3">
        <w:t xml:space="preserve">(i.e., images, icons, and colors, as described at the beginning of </w:t>
      </w:r>
      <w:r w:rsidR="0094655D" w:rsidRPr="008C74A3">
        <w:t>this section</w:t>
      </w:r>
      <w:r w:rsidRPr="008C74A3">
        <w:t>)</w:t>
      </w:r>
    </w:p>
    <w:p w14:paraId="185E4E15" w14:textId="27300188" w:rsidR="004A31E6" w:rsidRPr="008C74A3" w:rsidRDefault="004A31E6" w:rsidP="004A31E6">
      <w:pPr>
        <w:spacing w:after="120"/>
      </w:pPr>
      <w:r w:rsidRPr="008C74A3">
        <w:t xml:space="preserve">A combination of qualitative and quantitative information is recommended, with neither being intrinsically preferable to the other.  </w:t>
      </w:r>
    </w:p>
    <w:p w14:paraId="620FE3D2" w14:textId="36B42B23" w:rsidR="00CA5E54" w:rsidRPr="008C74A3" w:rsidRDefault="45AEC926" w:rsidP="004A31E6">
      <w:pPr>
        <w:spacing w:after="120"/>
      </w:pPr>
      <w:r w:rsidRPr="008C74A3">
        <w:t xml:space="preserve">Within these parameters, the </w:t>
      </w:r>
      <w:r w:rsidR="001878EA" w:rsidRPr="008C74A3">
        <w:t xml:space="preserve">draft Reporting </w:t>
      </w:r>
      <w:r w:rsidRPr="008C74A3">
        <w:t>Norms operate on a</w:t>
      </w:r>
      <w:r w:rsidR="006459DD" w:rsidRPr="008C74A3">
        <w:t xml:space="preserve"> </w:t>
      </w:r>
      <w:r w:rsidR="006C3333" w:rsidRPr="008C74A3">
        <w:t>“</w:t>
      </w:r>
      <w:r w:rsidR="006459DD" w:rsidRPr="008C74A3">
        <w:t>disclose</w:t>
      </w:r>
      <w:r w:rsidR="0093536A" w:rsidRPr="008C74A3">
        <w:t>-</w:t>
      </w:r>
      <w:r w:rsidR="006459DD" w:rsidRPr="008C74A3">
        <w:t>or</w:t>
      </w:r>
      <w:r w:rsidR="0093536A" w:rsidRPr="008C74A3">
        <w:t>-</w:t>
      </w:r>
      <w:r w:rsidR="006459DD" w:rsidRPr="008C74A3">
        <w:t>explain</w:t>
      </w:r>
      <w:r w:rsidR="006C3333" w:rsidRPr="008C74A3">
        <w:t>”</w:t>
      </w:r>
      <w:r w:rsidRPr="008C74A3">
        <w:t xml:space="preserve"> basis. That is, </w:t>
      </w:r>
      <w:r w:rsidR="00B91558" w:rsidRPr="008C74A3">
        <w:t>preparers have discretion about the</w:t>
      </w:r>
      <w:r w:rsidRPr="008C74A3">
        <w:t xml:space="preserve"> formatting and organization of the Impact Performance section, as well as the metrics, analytical methods, targets, and thresholds used</w:t>
      </w:r>
      <w:r w:rsidR="00B91558" w:rsidRPr="008C74A3">
        <w:t>. P</w:t>
      </w:r>
      <w:r w:rsidRPr="008C74A3">
        <w:t>reparer</w:t>
      </w:r>
      <w:r w:rsidR="00543B21" w:rsidRPr="008C74A3">
        <w:t>s</w:t>
      </w:r>
      <w:r w:rsidRPr="008C74A3">
        <w:t xml:space="preserve"> </w:t>
      </w:r>
      <w:r w:rsidR="00AF7DD2" w:rsidRPr="008C74A3">
        <w:t>should</w:t>
      </w:r>
      <w:r w:rsidRPr="008C74A3">
        <w:t xml:space="preserve"> </w:t>
      </w:r>
      <w:r w:rsidR="004A31E6" w:rsidRPr="008C74A3">
        <w:t xml:space="preserve">describe the </w:t>
      </w:r>
      <w:r w:rsidRPr="008C74A3">
        <w:t>approach they are taking, along with their rationale.</w:t>
      </w:r>
    </w:p>
    <w:p w14:paraId="7B55A240" w14:textId="13ACF249" w:rsidR="00A2093C" w:rsidRPr="008C74A3" w:rsidRDefault="000119C9" w:rsidP="004A31E6">
      <w:pPr>
        <w:spacing w:after="120"/>
      </w:pPr>
      <w:r w:rsidRPr="008C74A3">
        <w:t xml:space="preserve">Preparers are encouraged to report on </w:t>
      </w:r>
      <w:r w:rsidR="003845C8" w:rsidRPr="008C74A3">
        <w:t>every</w:t>
      </w:r>
      <w:r w:rsidR="00A2093C" w:rsidRPr="008C74A3">
        <w:t xml:space="preserve"> </w:t>
      </w:r>
      <w:r w:rsidR="00B91558" w:rsidRPr="008C74A3">
        <w:t>investee</w:t>
      </w:r>
      <w:r w:rsidR="003845C8" w:rsidRPr="008C74A3">
        <w:t xml:space="preserve"> or asset individually</w:t>
      </w:r>
      <w:r w:rsidRPr="008C74A3">
        <w:t xml:space="preserve"> if possible. T</w:t>
      </w:r>
      <w:r w:rsidR="003845C8" w:rsidRPr="008C74A3">
        <w:t>he largest entities may have many dozens or even hundreds of investments</w:t>
      </w:r>
      <w:r w:rsidRPr="008C74A3">
        <w:t xml:space="preserve"> and may need to aggregate or synthesize results across the portfolio</w:t>
      </w:r>
      <w:r w:rsidR="00740A3E" w:rsidRPr="008C74A3">
        <w:t xml:space="preserve"> (See Appendix </w:t>
      </w:r>
      <w:r w:rsidR="006C3333" w:rsidRPr="008C74A3">
        <w:t>I</w:t>
      </w:r>
      <w:r w:rsidR="00740A3E" w:rsidRPr="008C74A3">
        <w:t xml:space="preserve"> for examples of </w:t>
      </w:r>
      <w:r w:rsidR="00534C27" w:rsidRPr="008C74A3">
        <w:t xml:space="preserve">portfolio-level and </w:t>
      </w:r>
      <w:r w:rsidR="00740A3E" w:rsidRPr="008C74A3">
        <w:t>investment-by-investment reporting)</w:t>
      </w:r>
      <w:r w:rsidR="003845C8" w:rsidRPr="008C74A3">
        <w:t xml:space="preserve">. </w:t>
      </w:r>
    </w:p>
    <w:p w14:paraId="5C63F63C" w14:textId="2F405AF8" w:rsidR="00F140D3" w:rsidRPr="008C74A3" w:rsidRDefault="005C1AB3" w:rsidP="002D5795">
      <w:pPr>
        <w:pStyle w:val="ListParagraph"/>
        <w:numPr>
          <w:ilvl w:val="1"/>
          <w:numId w:val="49"/>
        </w:numPr>
        <w:spacing w:after="120"/>
        <w:ind w:leftChars="0"/>
        <w:rPr>
          <w:u w:val="single"/>
        </w:rPr>
      </w:pPr>
      <w:r w:rsidRPr="008C74A3">
        <w:t xml:space="preserve">  </w:t>
      </w:r>
      <w:r w:rsidR="0D513564" w:rsidRPr="008C74A3">
        <w:rPr>
          <w:u w:val="single"/>
        </w:rPr>
        <w:t>Impact Performance</w:t>
      </w:r>
      <w:r w:rsidR="00987307" w:rsidRPr="008C74A3">
        <w:rPr>
          <w:u w:val="single"/>
        </w:rPr>
        <w:t xml:space="preserve"> </w:t>
      </w:r>
    </w:p>
    <w:p w14:paraId="5BC5EF5D" w14:textId="2F0E1C6C" w:rsidR="00F140D3" w:rsidRPr="008C74A3" w:rsidRDefault="00C43CD2" w:rsidP="004A31E6">
      <w:pPr>
        <w:spacing w:after="120"/>
      </w:pPr>
      <w:r w:rsidRPr="008C74A3">
        <w:t>Preparers</w:t>
      </w:r>
      <w:r w:rsidR="00BE3F22" w:rsidRPr="008C74A3">
        <w:t xml:space="preserve"> </w:t>
      </w:r>
      <w:r w:rsidR="0D513564" w:rsidRPr="008C74A3">
        <w:t xml:space="preserve">are recommended to include – and users are encouraged to look for – the following information pertaining to </w:t>
      </w:r>
      <w:r w:rsidR="00A47B3E" w:rsidRPr="008C74A3">
        <w:t>material</w:t>
      </w:r>
      <w:r w:rsidR="004F1042" w:rsidRPr="008C74A3">
        <w:t xml:space="preserve"> </w:t>
      </w:r>
      <w:r w:rsidR="0D513564" w:rsidRPr="008C74A3">
        <w:t>outcomes and impacts:</w:t>
      </w:r>
    </w:p>
    <w:p w14:paraId="6736F167" w14:textId="70375A9C" w:rsidR="00D4237E" w:rsidRPr="008C74A3" w:rsidRDefault="004168D0" w:rsidP="005807D4">
      <w:pPr>
        <w:pStyle w:val="ListParagraph"/>
        <w:numPr>
          <w:ilvl w:val="0"/>
          <w:numId w:val="37"/>
        </w:numPr>
        <w:spacing w:after="120"/>
        <w:ind w:leftChars="0"/>
      </w:pPr>
      <w:r w:rsidRPr="008C74A3">
        <w:t xml:space="preserve">Performance </w:t>
      </w:r>
      <w:r w:rsidR="004F1042" w:rsidRPr="008C74A3">
        <w:t>results</w:t>
      </w:r>
      <w:r w:rsidR="007A185B" w:rsidRPr="008C74A3">
        <w:t xml:space="preserve"> </w:t>
      </w:r>
      <w:r w:rsidR="008E3FB3" w:rsidRPr="008C74A3">
        <w:t>in</w:t>
      </w:r>
      <w:r w:rsidR="007A185B" w:rsidRPr="008C74A3">
        <w:t xml:space="preserve"> the reporting period</w:t>
      </w:r>
      <w:r w:rsidR="004F1042" w:rsidRPr="008C74A3">
        <w:t xml:space="preserve"> </w:t>
      </w:r>
      <w:r w:rsidR="007A4E40" w:rsidRPr="008C74A3">
        <w:t>r</w:t>
      </w:r>
      <w:r w:rsidR="00413264" w:rsidRPr="008C74A3">
        <w:t>elative to entities’ own targe</w:t>
      </w:r>
      <w:r w:rsidR="0093300C" w:rsidRPr="008C74A3">
        <w:t>ts and</w:t>
      </w:r>
      <w:r w:rsidR="00413264" w:rsidRPr="008C74A3">
        <w:t xml:space="preserve"> to thresholds for sustainability</w:t>
      </w:r>
      <w:r w:rsidR="008E3FB3" w:rsidRPr="008C74A3">
        <w:t>, including</w:t>
      </w:r>
      <w:r w:rsidR="006C3333" w:rsidRPr="008C74A3">
        <w:t>:</w:t>
      </w:r>
    </w:p>
    <w:p w14:paraId="24223F08" w14:textId="15BE40A0" w:rsidR="00D4237E" w:rsidRPr="008C74A3" w:rsidRDefault="0090085A" w:rsidP="00FB09AA">
      <w:pPr>
        <w:pStyle w:val="ListParagraph"/>
        <w:numPr>
          <w:ilvl w:val="1"/>
          <w:numId w:val="37"/>
        </w:numPr>
        <w:spacing w:after="120"/>
        <w:ind w:leftChars="0"/>
      </w:pPr>
      <w:r w:rsidRPr="008C74A3">
        <w:t>B</w:t>
      </w:r>
      <w:r w:rsidR="00D4237E" w:rsidRPr="008C74A3">
        <w:t>oth positive and negative, intended and unintended impacts</w:t>
      </w:r>
      <w:r w:rsidR="006C3333" w:rsidRPr="008C74A3">
        <w:t>;</w:t>
      </w:r>
    </w:p>
    <w:p w14:paraId="11B92100" w14:textId="3EC1FD69" w:rsidR="00D4237E" w:rsidRPr="008C74A3" w:rsidRDefault="0090085A" w:rsidP="00FB09AA">
      <w:pPr>
        <w:pStyle w:val="ListParagraph"/>
        <w:numPr>
          <w:ilvl w:val="1"/>
          <w:numId w:val="37"/>
        </w:numPr>
        <w:spacing w:after="120"/>
        <w:ind w:leftChars="0"/>
      </w:pPr>
      <w:r w:rsidRPr="008C74A3">
        <w:t>A</w:t>
      </w:r>
      <w:r w:rsidR="00D4237E" w:rsidRPr="008C74A3">
        <w:t>s far down the impact pathway as possible (i.e., outcomes or ideally impacts as opposed to proxy metrics based on activities or outputs; see Terms &amp; Definitions for more on the impact pathway)</w:t>
      </w:r>
      <w:r w:rsidR="006C3333" w:rsidRPr="008C74A3">
        <w:t>;</w:t>
      </w:r>
    </w:p>
    <w:p w14:paraId="0F18AFDE" w14:textId="33238355" w:rsidR="006B0956" w:rsidRPr="008C74A3" w:rsidRDefault="0090085A" w:rsidP="00FB09AA">
      <w:pPr>
        <w:pStyle w:val="ListParagraph"/>
        <w:numPr>
          <w:ilvl w:val="1"/>
          <w:numId w:val="37"/>
        </w:numPr>
        <w:spacing w:after="120"/>
        <w:ind w:leftChars="0"/>
      </w:pPr>
      <w:r w:rsidRPr="008C74A3">
        <w:t>O</w:t>
      </w:r>
      <w:r w:rsidR="00D4237E" w:rsidRPr="008C74A3">
        <w:t>ver time (suggested to include current year, past two years, and potentially, future projections).</w:t>
      </w:r>
    </w:p>
    <w:p w14:paraId="4D4C869B" w14:textId="15E216A3" w:rsidR="00D4237E" w:rsidRPr="008C74A3" w:rsidRDefault="00457E36" w:rsidP="00467B85">
      <w:pPr>
        <w:pStyle w:val="ListParagraph"/>
        <w:numPr>
          <w:ilvl w:val="0"/>
          <w:numId w:val="37"/>
        </w:numPr>
        <w:spacing w:after="120"/>
        <w:ind w:leftChars="0"/>
      </w:pPr>
      <w:r w:rsidRPr="008C74A3">
        <w:t>Assessment across all five dimensions of impact and the associated data categories</w:t>
      </w:r>
      <w:r w:rsidR="006C3333" w:rsidRPr="008C74A3">
        <w:t>:</w:t>
      </w:r>
    </w:p>
    <w:p w14:paraId="514122A4" w14:textId="77777777" w:rsidR="00457E36" w:rsidRPr="008C74A3" w:rsidRDefault="00457E36" w:rsidP="005807D4">
      <w:pPr>
        <w:pStyle w:val="ListParagraph"/>
        <w:numPr>
          <w:ilvl w:val="1"/>
          <w:numId w:val="37"/>
        </w:numPr>
        <w:spacing w:after="120"/>
        <w:ind w:leftChars="0"/>
      </w:pPr>
      <w:r w:rsidRPr="008C74A3">
        <w:t>For Enterprise Contribution, consideration of the likelihood that stakeholders and/or the natural environment would have experienced the same outcome or impact in the absence of the enterprise, along with supporting contextual evidence from stakeholder engagement, market research, impact studies, or other sources.</w:t>
      </w:r>
    </w:p>
    <w:p w14:paraId="4ADACFA9" w14:textId="77777777" w:rsidR="00457E36" w:rsidRPr="008C74A3" w:rsidRDefault="00457E36" w:rsidP="005807D4">
      <w:pPr>
        <w:pStyle w:val="ListParagraph"/>
        <w:numPr>
          <w:ilvl w:val="1"/>
          <w:numId w:val="37"/>
        </w:numPr>
        <w:spacing w:after="120"/>
        <w:ind w:leftChars="0"/>
      </w:pPr>
      <w:r w:rsidRPr="008C74A3">
        <w:t>For Investor Contribution:</w:t>
      </w:r>
    </w:p>
    <w:p w14:paraId="475D5751" w14:textId="1D8B2F7A" w:rsidR="00457E36" w:rsidRPr="008C74A3" w:rsidRDefault="00457E36" w:rsidP="005807D4">
      <w:pPr>
        <w:pStyle w:val="ListParagraph"/>
        <w:numPr>
          <w:ilvl w:val="2"/>
          <w:numId w:val="90"/>
        </w:numPr>
        <w:spacing w:after="120"/>
        <w:ind w:leftChars="0"/>
      </w:pPr>
      <w:r w:rsidRPr="008C74A3">
        <w:t>Consideration of both financial and non-financial aspects of investor contribution, as well as consideration of the likelihood that the enterprise would have received similar financial or non-financial support from other investors in the absence of the preparer, along with any supporting contextual evidence</w:t>
      </w:r>
      <w:r w:rsidR="006C3333" w:rsidRPr="008C74A3">
        <w:t>;</w:t>
      </w:r>
      <w:r w:rsidRPr="008C74A3">
        <w:t xml:space="preserve">  </w:t>
      </w:r>
    </w:p>
    <w:p w14:paraId="4172A426" w14:textId="0F6BB623" w:rsidR="00457E36" w:rsidRPr="008C74A3" w:rsidRDefault="00457E36" w:rsidP="005807D4">
      <w:pPr>
        <w:pStyle w:val="ListParagraph"/>
        <w:numPr>
          <w:ilvl w:val="2"/>
          <w:numId w:val="90"/>
        </w:numPr>
        <w:spacing w:after="120"/>
        <w:ind w:leftChars="0"/>
      </w:pPr>
      <w:r w:rsidRPr="008C74A3">
        <w:t xml:space="preserve">Consideration of ways in which the entity’s actions may contribute to systematic risks and/or direct negative impacts on stakeholders. </w:t>
      </w:r>
    </w:p>
    <w:p w14:paraId="42B3130E" w14:textId="576B4A64" w:rsidR="005A06EF" w:rsidRPr="008C74A3" w:rsidRDefault="005A06EF" w:rsidP="00FB09AA">
      <w:pPr>
        <w:pStyle w:val="ListParagraph"/>
        <w:numPr>
          <w:ilvl w:val="0"/>
          <w:numId w:val="37"/>
        </w:numPr>
        <w:spacing w:after="120"/>
        <w:ind w:leftChars="0"/>
      </w:pPr>
      <w:r w:rsidRPr="008C74A3">
        <w:lastRenderedPageBreak/>
        <w:t>Disaggregation of results by stakeholder characteristics (e.g., gender, rac</w:t>
      </w:r>
      <w:r w:rsidR="00C65861" w:rsidRPr="008C74A3">
        <w:t>e/ ethnicity</w:t>
      </w:r>
      <w:r w:rsidRPr="008C74A3">
        <w:t xml:space="preserve">, and other identifiers). </w:t>
      </w:r>
    </w:p>
    <w:p w14:paraId="684D0094" w14:textId="4A11C25B" w:rsidR="00D361BE" w:rsidRPr="008C74A3" w:rsidRDefault="006C3333" w:rsidP="00E109E5">
      <w:pPr>
        <w:pStyle w:val="ListParagraph"/>
        <w:numPr>
          <w:ilvl w:val="0"/>
          <w:numId w:val="37"/>
        </w:numPr>
        <w:spacing w:after="120"/>
        <w:ind w:leftChars="0"/>
      </w:pPr>
      <w:r w:rsidRPr="008C74A3">
        <w:t>E</w:t>
      </w:r>
      <w:r w:rsidR="00D361BE" w:rsidRPr="008C74A3">
        <w:t>vidence</w:t>
      </w:r>
      <w:r w:rsidR="00E109E5" w:rsidRPr="008C74A3">
        <w:t xml:space="preserve"> </w:t>
      </w:r>
      <w:r w:rsidR="00D361BE" w:rsidRPr="008C74A3">
        <w:t xml:space="preserve">that the content presented is a faithful representation of the </w:t>
      </w:r>
      <w:r w:rsidR="008E3FB3" w:rsidRPr="008C74A3">
        <w:t xml:space="preserve">experiences and </w:t>
      </w:r>
      <w:r w:rsidR="00D361BE" w:rsidRPr="008C74A3">
        <w:t>views of the stakeholders experiencing the impact</w:t>
      </w:r>
      <w:r w:rsidR="00241983" w:rsidRPr="008C74A3">
        <w:t>, from their own perspective</w:t>
      </w:r>
      <w:r w:rsidR="008920DE" w:rsidRPr="008C74A3">
        <w:t>. Measurement as far down the impact pathway as possible is likelier to faithfully represent the views of stakeholders experiencing the impact, and vice versa.</w:t>
      </w:r>
    </w:p>
    <w:p w14:paraId="06D6C2FF" w14:textId="3C71A242" w:rsidR="007D77C5" w:rsidRPr="008C74A3" w:rsidRDefault="00A24224" w:rsidP="002D5795">
      <w:pPr>
        <w:pStyle w:val="ListParagraph"/>
        <w:numPr>
          <w:ilvl w:val="0"/>
          <w:numId w:val="37"/>
        </w:numPr>
        <w:spacing w:after="120"/>
        <w:ind w:leftChars="0"/>
        <w:rPr>
          <w:rFonts w:cstheme="minorHAnsi"/>
        </w:rPr>
      </w:pPr>
      <w:r w:rsidRPr="008C74A3">
        <w:rPr>
          <w:rFonts w:cstheme="minorHAnsi"/>
        </w:rPr>
        <w:t>Explanations</w:t>
      </w:r>
      <w:r w:rsidRPr="008C74A3">
        <w:rPr>
          <w:rFonts w:eastAsia="MS Mincho" w:cstheme="minorHAnsi"/>
        </w:rPr>
        <w:t xml:space="preserve"> of the following</w:t>
      </w:r>
      <w:r w:rsidR="006C3333" w:rsidRPr="008C74A3">
        <w:rPr>
          <w:rFonts w:eastAsia="MS Mincho" w:cstheme="minorHAnsi"/>
        </w:rPr>
        <w:t>:</w:t>
      </w:r>
    </w:p>
    <w:p w14:paraId="0A12269C" w14:textId="14884A8E" w:rsidR="00803459" w:rsidRPr="008C74A3" w:rsidRDefault="00803459" w:rsidP="00803459">
      <w:pPr>
        <w:pStyle w:val="ListParagraph"/>
        <w:numPr>
          <w:ilvl w:val="1"/>
          <w:numId w:val="37"/>
        </w:numPr>
        <w:spacing w:after="120"/>
        <w:ind w:leftChars="0"/>
      </w:pPr>
      <w:r w:rsidRPr="008C74A3">
        <w:t>Definition of terms and metrics used</w:t>
      </w:r>
      <w:r w:rsidR="006C3333" w:rsidRPr="008C74A3">
        <w:t>;</w:t>
      </w:r>
    </w:p>
    <w:p w14:paraId="51D64D7A" w14:textId="76C04FCC" w:rsidR="006C3333" w:rsidRPr="008C74A3" w:rsidRDefault="00803459" w:rsidP="00803459">
      <w:pPr>
        <w:pStyle w:val="ListParagraph"/>
        <w:numPr>
          <w:ilvl w:val="1"/>
          <w:numId w:val="37"/>
        </w:numPr>
        <w:spacing w:after="120"/>
        <w:ind w:leftChars="0"/>
      </w:pPr>
      <w:r w:rsidRPr="008C74A3">
        <w:t>Data sources, assumptions, calculations, and other methodological notes</w:t>
      </w:r>
      <w:r w:rsidR="006C3333" w:rsidRPr="008C74A3">
        <w:t>;</w:t>
      </w:r>
      <w:r w:rsidRPr="008C74A3">
        <w:rPr>
          <w:rStyle w:val="FootnoteReference"/>
        </w:rPr>
        <w:footnoteReference w:id="69"/>
      </w:r>
      <w:r w:rsidRPr="008C74A3">
        <w:t xml:space="preserve"> </w:t>
      </w:r>
    </w:p>
    <w:p w14:paraId="134A7029" w14:textId="623760FC" w:rsidR="006C3333" w:rsidRPr="008C74A3" w:rsidRDefault="005A06EF" w:rsidP="005807D4">
      <w:pPr>
        <w:pStyle w:val="ListParagraph"/>
        <w:numPr>
          <w:ilvl w:val="1"/>
          <w:numId w:val="37"/>
        </w:numPr>
        <w:spacing w:after="120"/>
        <w:ind w:leftChars="0"/>
      </w:pPr>
      <w:r w:rsidRPr="008C74A3">
        <w:t xml:space="preserve">Significant investees: investees that contribute 10% or more to the portfolio’s performance on any measure of impact, or 20% or more or to the year-over-year change in any measure; and/or </w:t>
      </w:r>
      <w:r w:rsidR="00C65861" w:rsidRPr="008C74A3">
        <w:t>“</w:t>
      </w:r>
      <w:r w:rsidRPr="008C74A3">
        <w:t>top</w:t>
      </w:r>
      <w:r w:rsidR="00C65861" w:rsidRPr="008C74A3">
        <w:t>”</w:t>
      </w:r>
      <w:r w:rsidRPr="008C74A3">
        <w:t xml:space="preserve"> and </w:t>
      </w:r>
      <w:r w:rsidR="00C65861" w:rsidRPr="008C74A3">
        <w:t>“</w:t>
      </w:r>
      <w:r w:rsidRPr="008C74A3">
        <w:t>bottom</w:t>
      </w:r>
      <w:r w:rsidR="00C65861" w:rsidRPr="008C74A3">
        <w:t>”</w:t>
      </w:r>
      <w:r w:rsidRPr="008C74A3">
        <w:t xml:space="preserve"> investees by level of impact performance, and/or change in impact performance since prior reporting period</w:t>
      </w:r>
      <w:r w:rsidR="006C3333" w:rsidRPr="008C74A3">
        <w:t>;</w:t>
      </w:r>
    </w:p>
    <w:p w14:paraId="22919620" w14:textId="18AC7F1B" w:rsidR="001C4B06" w:rsidRPr="008C74A3" w:rsidRDefault="001C4B06" w:rsidP="005807D4">
      <w:pPr>
        <w:pStyle w:val="ListParagraph"/>
        <w:numPr>
          <w:ilvl w:val="1"/>
          <w:numId w:val="37"/>
        </w:numPr>
        <w:spacing w:after="120"/>
        <w:ind w:leftChars="0"/>
      </w:pPr>
      <w:r w:rsidRPr="008C74A3">
        <w:t>Identification of tradeoffs that may exist between different types or dimensions of impact, or between aspects of impact and aspects of financial performance, along with what decisions have been made to manage those tradeoffs</w:t>
      </w:r>
      <w:r w:rsidR="006C3333" w:rsidRPr="008C74A3">
        <w:t>;</w:t>
      </w:r>
    </w:p>
    <w:p w14:paraId="69EF8AB7" w14:textId="77777777" w:rsidR="00190A9A" w:rsidRPr="008C74A3" w:rsidRDefault="00190A9A" w:rsidP="00803459">
      <w:pPr>
        <w:pStyle w:val="ListParagraph"/>
        <w:numPr>
          <w:ilvl w:val="1"/>
          <w:numId w:val="37"/>
        </w:numPr>
        <w:spacing w:after="120"/>
        <w:ind w:leftChars="0"/>
      </w:pPr>
      <w:r w:rsidRPr="008C74A3">
        <w:t xml:space="preserve">Definition of </w:t>
      </w:r>
      <w:proofErr w:type="gramStart"/>
      <w:r w:rsidRPr="008C74A3">
        <w:t>time period</w:t>
      </w:r>
      <w:proofErr w:type="gramEnd"/>
      <w:r w:rsidRPr="008C74A3">
        <w:t xml:space="preserve">(s) to which the reported information corresponds. This includes: </w:t>
      </w:r>
    </w:p>
    <w:p w14:paraId="25A97B0E" w14:textId="78F1A463" w:rsidR="00190A9A" w:rsidRPr="008C74A3" w:rsidRDefault="00190A9A" w:rsidP="005807D4">
      <w:pPr>
        <w:pStyle w:val="ListParagraph"/>
        <w:numPr>
          <w:ilvl w:val="0"/>
          <w:numId w:val="91"/>
        </w:numPr>
        <w:spacing w:after="120"/>
        <w:ind w:leftChars="0"/>
      </w:pPr>
      <w:r w:rsidRPr="008C74A3">
        <w:t xml:space="preserve">Whether any investments or assets were included or excluded </w:t>
      </w:r>
      <w:proofErr w:type="gramStart"/>
      <w:r w:rsidRPr="008C74A3">
        <w:t>as a result of</w:t>
      </w:r>
      <w:proofErr w:type="gramEnd"/>
      <w:r w:rsidRPr="008C74A3">
        <w:t xml:space="preserve"> entering or existing the portfolio during the reporting period; </w:t>
      </w:r>
    </w:p>
    <w:p w14:paraId="71E28320" w14:textId="1AEE7D0A" w:rsidR="00190A9A" w:rsidRPr="008C74A3" w:rsidRDefault="00190A9A" w:rsidP="005807D4">
      <w:pPr>
        <w:pStyle w:val="ListParagraph"/>
        <w:numPr>
          <w:ilvl w:val="0"/>
          <w:numId w:val="91"/>
        </w:numPr>
        <w:spacing w:after="120"/>
        <w:ind w:leftChars="0"/>
      </w:pPr>
      <w:r w:rsidRPr="008C74A3">
        <w:t xml:space="preserve">The </w:t>
      </w:r>
      <w:proofErr w:type="gramStart"/>
      <w:r w:rsidRPr="008C74A3">
        <w:t>time period</w:t>
      </w:r>
      <w:proofErr w:type="gramEnd"/>
      <w:r w:rsidRPr="008C74A3">
        <w:t xml:space="preserve">(s) of the information about </w:t>
      </w:r>
      <w:r w:rsidR="00734B44" w:rsidRPr="008C74A3">
        <w:t>stakeholder</w:t>
      </w:r>
      <w:r w:rsidRPr="008C74A3">
        <w:t xml:space="preserve">s and/or the natural environment (which may be prior to the reporting period); and </w:t>
      </w:r>
    </w:p>
    <w:p w14:paraId="19CD67ED" w14:textId="77777777" w:rsidR="00190A9A" w:rsidRPr="008C74A3" w:rsidRDefault="00190A9A" w:rsidP="005807D4">
      <w:pPr>
        <w:pStyle w:val="ListParagraph"/>
        <w:numPr>
          <w:ilvl w:val="0"/>
          <w:numId w:val="91"/>
        </w:numPr>
        <w:spacing w:after="120"/>
        <w:ind w:leftChars="0"/>
      </w:pPr>
      <w:r w:rsidRPr="008C74A3">
        <w:t xml:space="preserve">If relevant, whether changes in aggregate portfolio performance arise from changes in performance among existing portfolio companies versus from changes in portfolio composition (i.e., companies being added to or removed from the sample). </w:t>
      </w:r>
    </w:p>
    <w:p w14:paraId="19B27D77" w14:textId="0CB3F9D8" w:rsidR="00267336" w:rsidRPr="008C74A3" w:rsidRDefault="00267336" w:rsidP="004A31E6">
      <w:pPr>
        <w:pStyle w:val="ListParagraph"/>
        <w:spacing w:after="120"/>
        <w:ind w:leftChars="0" w:left="0"/>
      </w:pPr>
      <w:r w:rsidRPr="008C74A3">
        <w:rPr>
          <w:noProof/>
        </w:rPr>
        <w:lastRenderedPageBreak/>
        <mc:AlternateContent>
          <mc:Choice Requires="wps">
            <w:drawing>
              <wp:anchor distT="45720" distB="45720" distL="114300" distR="114300" simplePos="0" relativeHeight="251760640" behindDoc="0" locked="0" layoutInCell="1" allowOverlap="1" wp14:anchorId="56CE106D" wp14:editId="7666EF19">
                <wp:simplePos x="0" y="0"/>
                <wp:positionH relativeFrom="margin">
                  <wp:posOffset>0</wp:posOffset>
                </wp:positionH>
                <wp:positionV relativeFrom="paragraph">
                  <wp:posOffset>289560</wp:posOffset>
                </wp:positionV>
                <wp:extent cx="5919470" cy="1404620"/>
                <wp:effectExtent l="0" t="0" r="24130" b="24130"/>
                <wp:wrapSquare wrapText="bothSides"/>
                <wp:docPr id="2505524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404620"/>
                        </a:xfrm>
                        <a:prstGeom prst="rect">
                          <a:avLst/>
                        </a:prstGeom>
                        <a:solidFill>
                          <a:srgbClr val="FFFFFF"/>
                        </a:solidFill>
                        <a:ln w="9525">
                          <a:solidFill>
                            <a:srgbClr val="000000"/>
                          </a:solidFill>
                          <a:miter lim="800000"/>
                          <a:headEnd/>
                          <a:tailEnd/>
                        </a:ln>
                      </wps:spPr>
                      <wps:txbx>
                        <w:txbxContent>
                          <w:p w14:paraId="61FE6D3E" w14:textId="5B29E5B6" w:rsidR="00267336" w:rsidRPr="005807D4" w:rsidRDefault="00267336" w:rsidP="005807D4">
                            <w:pPr>
                              <w:pStyle w:val="ListParagraph"/>
                              <w:spacing w:after="120"/>
                              <w:ind w:leftChars="0" w:left="0"/>
                              <w:jc w:val="center"/>
                              <w:rPr>
                                <w:b/>
                                <w:bCs/>
                              </w:rPr>
                            </w:pPr>
                            <w:r w:rsidRPr="005807D4">
                              <w:rPr>
                                <w:b/>
                                <w:bCs/>
                              </w:rPr>
                              <w:t>Note on portfolio-level reporting</w:t>
                            </w:r>
                          </w:p>
                          <w:p w14:paraId="45986B35" w14:textId="3257810C" w:rsidR="00267336" w:rsidRDefault="00267336" w:rsidP="00267336">
                            <w:pPr>
                              <w:pStyle w:val="ListParagraph"/>
                              <w:spacing w:after="120"/>
                              <w:ind w:leftChars="0" w:left="0"/>
                            </w:pPr>
                            <w:r>
                              <w:t xml:space="preserve">There are two suggested approaches to portfolio-level reporting, which is optional. Preparers that wish to aggregate or synthesize results across the portfolio may use either or both. The first is to report against a common set of metrics across investments. This approach is often used by investors focusing on greenhouse gas emissions and/or other aspects of the climate or natural environment. </w:t>
                            </w:r>
                          </w:p>
                          <w:p w14:paraId="0355BB08" w14:textId="6152C2F4" w:rsidR="00267336" w:rsidRDefault="00267336" w:rsidP="00267336">
                            <w:pPr>
                              <w:pStyle w:val="ListParagraph"/>
                              <w:spacing w:after="120"/>
                              <w:ind w:leftChars="0" w:left="0"/>
                            </w:pPr>
                            <w:r>
                              <w:t>The second approach is to define what characteristics the impacts will have in common with reference to the five dimensions of impact or other criteria, even if the specific metrics differ by investment.</w:t>
                            </w:r>
                            <w:r>
                              <w:rPr>
                                <w:rStyle w:val="FootnoteReference"/>
                              </w:rPr>
                              <w:footnoteRef/>
                            </w:r>
                            <w:r>
                              <w:t xml:space="preserve"> In this approach, the preparer would use different metrics for different investments and provide a supporting narrative about how the metrics chosen align with the common characteristic(s) described. </w:t>
                            </w:r>
                          </w:p>
                          <w:p w14:paraId="0AF4CF2B" w14:textId="77777777" w:rsidR="00267336" w:rsidRDefault="00267336" w:rsidP="00267336">
                            <w:pPr>
                              <w:pStyle w:val="ListParagraph"/>
                              <w:spacing w:after="120"/>
                              <w:ind w:leftChars="0" w:left="0"/>
                            </w:pPr>
                            <w:r>
                              <w:t>Portfolio-wide metrics may take a variety of forms, including but not limited to:</w:t>
                            </w:r>
                          </w:p>
                          <w:p w14:paraId="6CBC4D01" w14:textId="1E306928" w:rsidR="00267336" w:rsidRDefault="00267336" w:rsidP="00267336">
                            <w:pPr>
                              <w:pStyle w:val="ListParagraph"/>
                              <w:numPr>
                                <w:ilvl w:val="0"/>
                                <w:numId w:val="38"/>
                              </w:numPr>
                              <w:spacing w:after="120"/>
                              <w:ind w:leftChars="0"/>
                            </w:pPr>
                            <w:r>
                              <w:t>Totals (i.e., sum of an impact metric across investments)</w:t>
                            </w:r>
                          </w:p>
                          <w:p w14:paraId="0EE31BE6" w14:textId="77777777" w:rsidR="00267336" w:rsidRDefault="00267336" w:rsidP="00267336">
                            <w:pPr>
                              <w:pStyle w:val="ListParagraph"/>
                              <w:numPr>
                                <w:ilvl w:val="0"/>
                                <w:numId w:val="38"/>
                              </w:numPr>
                              <w:spacing w:after="120"/>
                              <w:ind w:leftChars="0"/>
                            </w:pPr>
                            <w:r>
                              <w:t>Averages and/or medians (i.e., average, weighted average, or median of portfolio companies on an impact metric)</w:t>
                            </w:r>
                          </w:p>
                          <w:p w14:paraId="01369A3A" w14:textId="79EFB906" w:rsidR="008920DE" w:rsidRDefault="00267336" w:rsidP="00267336">
                            <w:pPr>
                              <w:pStyle w:val="ListParagraph"/>
                              <w:numPr>
                                <w:ilvl w:val="0"/>
                                <w:numId w:val="38"/>
                              </w:numPr>
                              <w:spacing w:after="120"/>
                              <w:ind w:leftChars="0"/>
                            </w:pPr>
                            <w:r>
                              <w:t>Measures of inequality</w:t>
                            </w:r>
                            <w:r>
                              <w:rPr>
                                <w:rStyle w:val="FootnoteReference"/>
                              </w:rPr>
                              <w:footnoteRef/>
                            </w:r>
                            <w:r>
                              <w:t xml:space="preserve">, </w:t>
                            </w:r>
                            <w:r w:rsidR="008920DE">
                              <w:t xml:space="preserve">such as </w:t>
                            </w:r>
                            <w:r>
                              <w:t xml:space="preserve">inequalities between groups (horizontal inequalities) </w:t>
                            </w:r>
                            <w:r w:rsidR="008920DE">
                              <w:t xml:space="preserve">and </w:t>
                            </w:r>
                            <w:r>
                              <w:t xml:space="preserve">between top and bottom performers (vertical inequalities); </w:t>
                            </w:r>
                          </w:p>
                          <w:p w14:paraId="39B1F5AF" w14:textId="7C9A0B92" w:rsidR="00267336" w:rsidRDefault="008920DE" w:rsidP="00267336">
                            <w:pPr>
                              <w:pStyle w:val="ListParagraph"/>
                              <w:numPr>
                                <w:ilvl w:val="0"/>
                                <w:numId w:val="38"/>
                              </w:numPr>
                              <w:spacing w:after="120"/>
                              <w:ind w:leftChars="0"/>
                            </w:pPr>
                            <w:r>
                              <w:t xml:space="preserve">Measures of </w:t>
                            </w:r>
                            <w:r w:rsidR="00267336">
                              <w:t>deprivation (i.e., the portion of a population measuring below a given threshold)</w:t>
                            </w:r>
                          </w:p>
                          <w:p w14:paraId="7B2B1E13" w14:textId="77777777" w:rsidR="00267336" w:rsidRDefault="00267336" w:rsidP="00267336">
                            <w:pPr>
                              <w:pStyle w:val="ListParagraph"/>
                              <w:numPr>
                                <w:ilvl w:val="0"/>
                                <w:numId w:val="38"/>
                              </w:numPr>
                              <w:spacing w:after="120"/>
                              <w:ind w:leftChars="0"/>
                            </w:pPr>
                            <w:r>
                              <w:t>Percentages (i.e., percentage of stakeholders that meet defined impact criteria)</w:t>
                            </w:r>
                          </w:p>
                          <w:p w14:paraId="402DC77F" w14:textId="26497ABF" w:rsidR="00267336" w:rsidRDefault="00267336" w:rsidP="00267336">
                            <w:pPr>
                              <w:pStyle w:val="ListParagraph"/>
                              <w:numPr>
                                <w:ilvl w:val="0"/>
                                <w:numId w:val="38"/>
                              </w:numPr>
                              <w:spacing w:after="120"/>
                              <w:ind w:leftChars="0"/>
                            </w:pPr>
                            <w:r>
                              <w:t>“Red-yellow-green”-style indictors where definitions and criteria for each are clearly described</w:t>
                            </w:r>
                          </w:p>
                          <w:p w14:paraId="4BEC013B" w14:textId="3CBACB90" w:rsidR="00267336" w:rsidRPr="008E187B" w:rsidRDefault="00267336" w:rsidP="00FB09AA">
                            <w:pPr>
                              <w:pStyle w:val="ListParagraph"/>
                              <w:spacing w:after="120"/>
                              <w:ind w:leftChars="0" w:left="0"/>
                            </w:pPr>
                            <w:r>
                              <w:t>See Appendix J for additional guidance on portfolio-level metrics.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CE106D" id="_x0000_s1035" type="#_x0000_t202" style="position:absolute;margin-left:0;margin-top:22.8pt;width:466.1pt;height:110.6pt;z-index:2517606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">
                <v:textbox style="mso-fit-shape-to-text:t">
                  <w:txbxContent>
                    <w:p w14:paraId="61FE6D3E" w14:textId="5B29E5B6" w:rsidR="00267336" w:rsidRPr="005807D4" w:rsidRDefault="00267336" w:rsidP="005807D4">
                      <w:pPr>
                        <w:pStyle w:val="ListParagraph"/>
                        <w:spacing w:after="120"/>
                        <w:ind w:leftChars="0" w:left="0"/>
                        <w:jc w:val="center"/>
                        <w:rPr>
                          <w:b/>
                          <w:bCs/>
                        </w:rPr>
                      </w:pPr>
                      <w:r w:rsidRPr="005807D4">
                        <w:rPr>
                          <w:b/>
                          <w:bCs/>
                        </w:rPr>
                        <w:t>Note on portfolio-level reporting</w:t>
                      </w:r>
                    </w:p>
                    <w:p w14:paraId="45986B35" w14:textId="3257810C" w:rsidR="00267336" w:rsidRDefault="00267336" w:rsidP="00267336">
                      <w:pPr>
                        <w:pStyle w:val="ListParagraph"/>
                        <w:spacing w:after="120"/>
                        <w:ind w:leftChars="0" w:left="0"/>
                      </w:pPr>
                      <w:r>
                        <w:t xml:space="preserve">There are two suggested approaches to portfolio-level reporting, which is optional. Preparers that wish to aggregate or synthesize results across the portfolio may use either or both. The first is to report against a common set of metrics across investments. This approach is often used by investors focusing on greenhouse gas emissions and/or other aspects of the climate or natural environment. </w:t>
                      </w:r>
                    </w:p>
                    <w:p w14:paraId="0355BB08" w14:textId="6152C2F4" w:rsidR="00267336" w:rsidRDefault="00267336" w:rsidP="00267336">
                      <w:pPr>
                        <w:pStyle w:val="ListParagraph"/>
                        <w:spacing w:after="120"/>
                        <w:ind w:leftChars="0" w:left="0"/>
                      </w:pPr>
                      <w:r>
                        <w:t>The second approach is to define what characteristics the impacts will have in common with reference to the five dimensions of impact or other criteria, even if the specific metrics differ by investment.</w:t>
                      </w:r>
                      <w:r>
                        <w:rPr>
                          <w:rStyle w:val="FootnoteReference"/>
                        </w:rPr>
                        <w:footnoteRef/>
                      </w:r>
                      <w:r>
                        <w:t xml:space="preserve"> In this approach, the preparer would use different metrics for different investments and provide a supporting narrative about how the metrics chosen align with the common characteristic(s) described. </w:t>
                      </w:r>
                    </w:p>
                    <w:p w14:paraId="0AF4CF2B" w14:textId="77777777" w:rsidR="00267336" w:rsidRDefault="00267336" w:rsidP="00267336">
                      <w:pPr>
                        <w:pStyle w:val="ListParagraph"/>
                        <w:spacing w:after="120"/>
                        <w:ind w:leftChars="0" w:left="0"/>
                      </w:pPr>
                      <w:r>
                        <w:t>Portfolio-wide metrics may take a variety of forms, including but not limited to:</w:t>
                      </w:r>
                    </w:p>
                    <w:p w14:paraId="6CBC4D01" w14:textId="1E306928" w:rsidR="00267336" w:rsidRDefault="00267336" w:rsidP="00267336">
                      <w:pPr>
                        <w:pStyle w:val="ListParagraph"/>
                        <w:numPr>
                          <w:ilvl w:val="0"/>
                          <w:numId w:val="38"/>
                        </w:numPr>
                        <w:spacing w:after="120"/>
                        <w:ind w:leftChars="0"/>
                      </w:pPr>
                      <w:r>
                        <w:t>Totals (i.e., sum of an impact metric across investments)</w:t>
                      </w:r>
                    </w:p>
                    <w:p w14:paraId="0EE31BE6" w14:textId="77777777" w:rsidR="00267336" w:rsidRDefault="00267336" w:rsidP="00267336">
                      <w:pPr>
                        <w:pStyle w:val="ListParagraph"/>
                        <w:numPr>
                          <w:ilvl w:val="0"/>
                          <w:numId w:val="38"/>
                        </w:numPr>
                        <w:spacing w:after="120"/>
                        <w:ind w:leftChars="0"/>
                      </w:pPr>
                      <w:r>
                        <w:t>Averages and/or medians (i.e., average, weighted average, or median of portfolio companies on an impact metric)</w:t>
                      </w:r>
                    </w:p>
                    <w:p w14:paraId="01369A3A" w14:textId="79EFB906" w:rsidR="008920DE" w:rsidRDefault="00267336" w:rsidP="00267336">
                      <w:pPr>
                        <w:pStyle w:val="ListParagraph"/>
                        <w:numPr>
                          <w:ilvl w:val="0"/>
                          <w:numId w:val="38"/>
                        </w:numPr>
                        <w:spacing w:after="120"/>
                        <w:ind w:leftChars="0"/>
                      </w:pPr>
                      <w:r>
                        <w:t>Measures of inequality</w:t>
                      </w:r>
                      <w:r>
                        <w:rPr>
                          <w:rStyle w:val="FootnoteReference"/>
                        </w:rPr>
                        <w:footnoteRef/>
                      </w:r>
                      <w:r>
                        <w:t xml:space="preserve">, </w:t>
                      </w:r>
                      <w:r w:rsidR="008920DE">
                        <w:t xml:space="preserve">such as </w:t>
                      </w:r>
                      <w:r>
                        <w:t xml:space="preserve">inequalities between groups (horizontal inequalities) </w:t>
                      </w:r>
                      <w:r w:rsidR="008920DE">
                        <w:t xml:space="preserve">and </w:t>
                      </w:r>
                      <w:r>
                        <w:t xml:space="preserve">between top and bottom performers (vertical inequalities); </w:t>
                      </w:r>
                    </w:p>
                    <w:p w14:paraId="39B1F5AF" w14:textId="7C9A0B92" w:rsidR="00267336" w:rsidRDefault="008920DE" w:rsidP="00267336">
                      <w:pPr>
                        <w:pStyle w:val="ListParagraph"/>
                        <w:numPr>
                          <w:ilvl w:val="0"/>
                          <w:numId w:val="38"/>
                        </w:numPr>
                        <w:spacing w:after="120"/>
                        <w:ind w:leftChars="0"/>
                      </w:pPr>
                      <w:r>
                        <w:t xml:space="preserve">Measures of </w:t>
                      </w:r>
                      <w:r w:rsidR="00267336">
                        <w:t>deprivation (i.e., the portion of a population measuring below a given threshold)</w:t>
                      </w:r>
                    </w:p>
                    <w:p w14:paraId="7B2B1E13" w14:textId="77777777" w:rsidR="00267336" w:rsidRDefault="00267336" w:rsidP="00267336">
                      <w:pPr>
                        <w:pStyle w:val="ListParagraph"/>
                        <w:numPr>
                          <w:ilvl w:val="0"/>
                          <w:numId w:val="38"/>
                        </w:numPr>
                        <w:spacing w:after="120"/>
                        <w:ind w:leftChars="0"/>
                      </w:pPr>
                      <w:r>
                        <w:t>Percentages (i.e., percentage of stakeholders that meet defined impact criteria)</w:t>
                      </w:r>
                    </w:p>
                    <w:p w14:paraId="402DC77F" w14:textId="26497ABF" w:rsidR="00267336" w:rsidRDefault="00267336" w:rsidP="00267336">
                      <w:pPr>
                        <w:pStyle w:val="ListParagraph"/>
                        <w:numPr>
                          <w:ilvl w:val="0"/>
                          <w:numId w:val="38"/>
                        </w:numPr>
                        <w:spacing w:after="120"/>
                        <w:ind w:leftChars="0"/>
                      </w:pPr>
                      <w:r>
                        <w:t>“Red-yellow-green”-style indictors where definitions and criteria for each are clearly described</w:t>
                      </w:r>
                    </w:p>
                    <w:p w14:paraId="4BEC013B" w14:textId="3CBACB90" w:rsidR="00267336" w:rsidRPr="008E187B" w:rsidRDefault="00267336" w:rsidP="00FB09AA">
                      <w:pPr>
                        <w:pStyle w:val="ListParagraph"/>
                        <w:spacing w:after="120"/>
                        <w:ind w:leftChars="0" w:left="0"/>
                      </w:pPr>
                      <w:r>
                        <w:t>See Appendix J for additional guidance on portfolio-level metrics.</w:t>
                      </w:r>
                    </w:p>
                  </w:txbxContent>
                </v:textbox>
                <w10:wrap type="square" anchorx="margin"/>
              </v:shape>
            </w:pict>
          </mc:Fallback>
        </mc:AlternateContent>
      </w:r>
      <w:r w:rsidR="00595575">
        <w:t>No prescribed format or templates</w:t>
      </w:r>
    </w:p>
    <w:p w14:paraId="1303AB40" w14:textId="6061592A" w:rsidR="000E213D" w:rsidRPr="008C74A3" w:rsidRDefault="005C1AB3" w:rsidP="002D5795">
      <w:pPr>
        <w:pStyle w:val="ListParagraph"/>
        <w:numPr>
          <w:ilvl w:val="1"/>
          <w:numId w:val="33"/>
        </w:numPr>
        <w:spacing w:after="120"/>
        <w:ind w:leftChars="0"/>
        <w:rPr>
          <w:u w:val="single"/>
        </w:rPr>
      </w:pPr>
      <w:r w:rsidRPr="008C74A3">
        <w:t xml:space="preserve">  </w:t>
      </w:r>
      <w:r w:rsidR="001A51F8" w:rsidRPr="008C74A3">
        <w:rPr>
          <w:u w:val="single"/>
        </w:rPr>
        <w:t>Unintended and/or n</w:t>
      </w:r>
      <w:r w:rsidR="000E213D" w:rsidRPr="008C74A3">
        <w:rPr>
          <w:u w:val="single"/>
        </w:rPr>
        <w:t xml:space="preserve">egative </w:t>
      </w:r>
      <w:r w:rsidR="001A51F8" w:rsidRPr="008C74A3">
        <w:rPr>
          <w:u w:val="single"/>
        </w:rPr>
        <w:t>i</w:t>
      </w:r>
      <w:r w:rsidR="000E213D" w:rsidRPr="008C74A3">
        <w:rPr>
          <w:u w:val="single"/>
        </w:rPr>
        <w:t>mpacts</w:t>
      </w:r>
    </w:p>
    <w:p w14:paraId="7B51FFBC" w14:textId="01909418" w:rsidR="000E213D" w:rsidRPr="008C74A3" w:rsidRDefault="00467B85" w:rsidP="004A31E6">
      <w:pPr>
        <w:spacing w:after="120"/>
      </w:pPr>
      <w:r w:rsidRPr="008C74A3">
        <w:t>If unintended and/or negative impacts are not addressed in Section 3.1, d</w:t>
      </w:r>
      <w:r w:rsidR="00DA2110" w:rsidRPr="008C74A3">
        <w:t xml:space="preserve">escribe </w:t>
      </w:r>
      <w:r w:rsidR="001A51F8" w:rsidRPr="008C74A3">
        <w:t xml:space="preserve">unintended and/or </w:t>
      </w:r>
      <w:r w:rsidR="000E213D" w:rsidRPr="008C74A3">
        <w:t xml:space="preserve">negative impacts that occurred in the reporting year, including both unintended negative impacts of </w:t>
      </w:r>
      <w:r w:rsidR="00B16219" w:rsidRPr="008C74A3">
        <w:t xml:space="preserve">investee </w:t>
      </w:r>
      <w:r w:rsidR="000E213D" w:rsidRPr="008C74A3">
        <w:t xml:space="preserve">companies and/or the </w:t>
      </w:r>
      <w:r w:rsidR="00DA2110" w:rsidRPr="008C74A3">
        <w:t xml:space="preserve">reporting </w:t>
      </w:r>
      <w:r w:rsidR="007D6D4A" w:rsidRPr="008C74A3">
        <w:t>entity</w:t>
      </w:r>
      <w:r w:rsidR="00DA2110" w:rsidRPr="008C74A3">
        <w:t xml:space="preserve"> itself</w:t>
      </w:r>
      <w:r w:rsidR="001A51F8" w:rsidRPr="008C74A3">
        <w:t>, along with actions taken to remedy the impact and/or avoid similar impacts in the future</w:t>
      </w:r>
      <w:r w:rsidR="000E213D" w:rsidRPr="008C74A3">
        <w:t>.</w:t>
      </w:r>
      <w:r w:rsidR="003A64F0" w:rsidRPr="008C74A3">
        <w:rPr>
          <w:rStyle w:val="FootnoteReference"/>
        </w:rPr>
        <w:footnoteReference w:id="70"/>
      </w:r>
      <w:r w:rsidR="000E213D" w:rsidRPr="008C74A3">
        <w:t xml:space="preserve"> The term “negative” can refer both to impacts that are </w:t>
      </w:r>
      <w:r w:rsidR="000E213D" w:rsidRPr="008C74A3">
        <w:lastRenderedPageBreak/>
        <w:t xml:space="preserve">beneath an acceptable or sustainable level or threshold, or impacts that worsened significantly during the period. </w:t>
      </w:r>
    </w:p>
    <w:p w14:paraId="79210DDF" w14:textId="77777777" w:rsidR="00DA2110" w:rsidRPr="008C74A3" w:rsidRDefault="00DA2110" w:rsidP="004A31E6">
      <w:pPr>
        <w:spacing w:after="120"/>
      </w:pPr>
      <w:r w:rsidRPr="008C74A3">
        <w:t>Preparers who publish an annual Principle Adverse Impact (PAI) Statement in accordance with the EU Sustainable Finance Disclosure Regulation (SFDR) may include a link to their most recent statement here.</w:t>
      </w:r>
      <w:r w:rsidRPr="008C74A3">
        <w:rPr>
          <w:rStyle w:val="FootnoteReference"/>
        </w:rPr>
        <w:footnoteReference w:id="71"/>
      </w:r>
      <w:r w:rsidRPr="008C74A3">
        <w:t xml:space="preserve"> Prepares may need to disclose additional unintended or negative impacts, beyond the specific topics mandated by SFDR.</w:t>
      </w:r>
    </w:p>
    <w:p w14:paraId="174C6917" w14:textId="738CFF4D" w:rsidR="005860AF" w:rsidRPr="008C74A3" w:rsidRDefault="005C1AB3" w:rsidP="002D5795">
      <w:pPr>
        <w:pStyle w:val="ListParagraph"/>
        <w:numPr>
          <w:ilvl w:val="1"/>
          <w:numId w:val="45"/>
        </w:numPr>
        <w:spacing w:after="120"/>
        <w:ind w:leftChars="0"/>
        <w:rPr>
          <w:u w:val="single"/>
        </w:rPr>
      </w:pPr>
      <w:r w:rsidRPr="008C74A3">
        <w:t xml:space="preserve">  </w:t>
      </w:r>
      <w:r w:rsidR="005860AF" w:rsidRPr="008C74A3">
        <w:rPr>
          <w:u w:val="single"/>
        </w:rPr>
        <w:t>Management Commentary</w:t>
      </w:r>
    </w:p>
    <w:p w14:paraId="6F0E8CC3" w14:textId="29E0568B" w:rsidR="000E213D" w:rsidRPr="008C74A3" w:rsidRDefault="000E213D" w:rsidP="004A31E6">
      <w:pPr>
        <w:spacing w:after="120"/>
      </w:pPr>
      <w:r w:rsidRPr="008C74A3">
        <w:t xml:space="preserve">Present the preparer’s overall assessment of impact performance during the period along with supporting rationale. </w:t>
      </w:r>
      <w:r w:rsidR="00BC539F" w:rsidRPr="008C74A3">
        <w:t>This is also an opportunity to share learnings that have emerged about impact</w:t>
      </w:r>
      <w:r w:rsidR="009736B2" w:rsidRPr="008C74A3">
        <w:t xml:space="preserve"> during the period</w:t>
      </w:r>
      <w:r w:rsidR="00BC539F" w:rsidRPr="008C74A3">
        <w:t xml:space="preserve">. </w:t>
      </w:r>
      <w:r w:rsidRPr="008C74A3">
        <w:t>In areas where performance is off track or impacts remain persistently below an acceptable level, please explai</w:t>
      </w:r>
      <w:r w:rsidR="001A51F8" w:rsidRPr="008C74A3">
        <w:t>n the drivers of performance as well as the plan for improvement</w:t>
      </w:r>
      <w:r w:rsidRPr="008C74A3">
        <w:t>.</w:t>
      </w:r>
    </w:p>
    <w:p w14:paraId="4D5D0DCD" w14:textId="5647D8DD" w:rsidR="0087231B" w:rsidRPr="008C74A3" w:rsidRDefault="0087231B">
      <w:pPr>
        <w:spacing w:after="160" w:line="259" w:lineRule="auto"/>
        <w:textAlignment w:val="auto"/>
        <w:rPr>
          <w:rFonts w:ascii="Interstate" w:hAnsi="Interstate"/>
          <w:b/>
          <w:bCs/>
          <w:sz w:val="24"/>
          <w:szCs w:val="24"/>
        </w:rPr>
      </w:pPr>
    </w:p>
    <w:p w14:paraId="1198D9A8" w14:textId="7C366211" w:rsidR="002706EB" w:rsidRPr="008C74A3" w:rsidRDefault="002706EB" w:rsidP="002D5795">
      <w:pPr>
        <w:pStyle w:val="Heading3"/>
        <w:numPr>
          <w:ilvl w:val="0"/>
          <w:numId w:val="45"/>
        </w:numPr>
      </w:pPr>
      <w:bookmarkStart w:id="49" w:name="_Toc148384192"/>
      <w:r w:rsidRPr="008C74A3">
        <w:t>Governance (Optional)</w:t>
      </w:r>
      <w:bookmarkEnd w:id="49"/>
    </w:p>
    <w:p w14:paraId="2FE2C252" w14:textId="228E0974" w:rsidR="002706EB" w:rsidRPr="008C74A3" w:rsidRDefault="002706EB" w:rsidP="0087231B">
      <w:pPr>
        <w:spacing w:after="120"/>
      </w:pPr>
      <w:r w:rsidRPr="008C74A3">
        <w:t xml:space="preserve">Note: This section is optional, particularly if the information has already been communicated to report users </w:t>
      </w:r>
      <w:r w:rsidR="0087231B" w:rsidRPr="008C74A3">
        <w:t>in other ways</w:t>
      </w:r>
      <w:r w:rsidRPr="008C74A3">
        <w:t>. Once written, this section may not need to be updated unless material changes have occurred.</w:t>
      </w:r>
      <w:r w:rsidR="00EA11C7" w:rsidRPr="008C74A3">
        <w:rPr>
          <w:rStyle w:val="FootnoteReference"/>
        </w:rPr>
        <w:footnoteReference w:id="72"/>
      </w:r>
      <w:r w:rsidRPr="008C74A3">
        <w:t xml:space="preserve"> </w:t>
      </w:r>
    </w:p>
    <w:p w14:paraId="725DD246" w14:textId="0A5817D3" w:rsidR="00EA11C7" w:rsidRPr="008C74A3" w:rsidRDefault="0087231B" w:rsidP="0087231B">
      <w:pPr>
        <w:spacing w:after="120"/>
      </w:pPr>
      <w:r w:rsidRPr="008C74A3">
        <w:t>4.1</w:t>
      </w:r>
      <w:r w:rsidR="002706EB" w:rsidRPr="008C74A3">
        <w:t xml:space="preserve">     </w:t>
      </w:r>
      <w:r w:rsidR="00EA11C7" w:rsidRPr="008C74A3">
        <w:rPr>
          <w:u w:val="single"/>
        </w:rPr>
        <w:t>Entity Governance</w:t>
      </w:r>
    </w:p>
    <w:p w14:paraId="7A9A01F3" w14:textId="1B9D088D" w:rsidR="00EA11C7" w:rsidRPr="008C74A3" w:rsidRDefault="002706EB" w:rsidP="0087231B">
      <w:pPr>
        <w:spacing w:after="120"/>
      </w:pPr>
      <w:r w:rsidRPr="008C74A3">
        <w:t>Describe the governance body(s) (which can include a board-level or internal committee or equivalent body) or individual(s) responsible for oversight of impact for the entity. Specifically, identify that body(s) or individual(s) and disclose information about:</w:t>
      </w:r>
    </w:p>
    <w:p w14:paraId="0A11A117" w14:textId="43247A93" w:rsidR="00EA11C7" w:rsidRPr="008C74A3" w:rsidRDefault="00EA11C7" w:rsidP="002D5795">
      <w:pPr>
        <w:pStyle w:val="ListParagraph"/>
        <w:numPr>
          <w:ilvl w:val="0"/>
          <w:numId w:val="38"/>
        </w:numPr>
        <w:spacing w:after="120"/>
        <w:ind w:leftChars="0"/>
      </w:pPr>
      <w:r w:rsidRPr="008C74A3">
        <w:t>H</w:t>
      </w:r>
      <w:r w:rsidR="002706EB" w:rsidRPr="008C74A3">
        <w:t>ow responsibilities for impact are reflected in the terms of reference, mandates, role descriptions</w:t>
      </w:r>
      <w:r w:rsidR="00C65861" w:rsidRPr="008C74A3">
        <w:t>,</w:t>
      </w:r>
      <w:r w:rsidR="002706EB" w:rsidRPr="008C74A3">
        <w:t xml:space="preserve"> and other related policies applicable to that body(s) or individual(s)</w:t>
      </w:r>
      <w:r w:rsidRPr="008C74A3">
        <w:t>;</w:t>
      </w:r>
    </w:p>
    <w:p w14:paraId="36BCCF00" w14:textId="77777777" w:rsidR="00EA11C7" w:rsidRPr="008C74A3" w:rsidRDefault="00EA11C7" w:rsidP="002D5795">
      <w:pPr>
        <w:pStyle w:val="ListParagraph"/>
        <w:numPr>
          <w:ilvl w:val="0"/>
          <w:numId w:val="38"/>
        </w:numPr>
        <w:spacing w:after="120"/>
        <w:ind w:leftChars="0"/>
      </w:pPr>
      <w:r w:rsidRPr="008C74A3">
        <w:t>H</w:t>
      </w:r>
      <w:r w:rsidR="002706EB" w:rsidRPr="008C74A3">
        <w:t>ow the body(s) or individual(s) determines whether appropriate skills and competencies are available or will be developed to oversee impact;</w:t>
      </w:r>
    </w:p>
    <w:p w14:paraId="0A545F94" w14:textId="77777777" w:rsidR="00EA11C7" w:rsidRPr="008C74A3" w:rsidRDefault="00EA11C7" w:rsidP="002D5795">
      <w:pPr>
        <w:pStyle w:val="ListParagraph"/>
        <w:numPr>
          <w:ilvl w:val="0"/>
          <w:numId w:val="38"/>
        </w:numPr>
        <w:spacing w:after="120"/>
        <w:ind w:leftChars="0"/>
      </w:pPr>
      <w:r w:rsidRPr="008C74A3">
        <w:t>H</w:t>
      </w:r>
      <w:r w:rsidR="002706EB" w:rsidRPr="008C74A3">
        <w:t>ow and how often the body(s) or individual(s) is informed about impact;</w:t>
      </w:r>
    </w:p>
    <w:p w14:paraId="120F6867" w14:textId="77777777" w:rsidR="00EA11C7" w:rsidRPr="008C74A3" w:rsidRDefault="00EA11C7" w:rsidP="002D5795">
      <w:pPr>
        <w:pStyle w:val="ListParagraph"/>
        <w:numPr>
          <w:ilvl w:val="0"/>
          <w:numId w:val="38"/>
        </w:numPr>
        <w:spacing w:after="120"/>
        <w:ind w:leftChars="0"/>
      </w:pPr>
      <w:r w:rsidRPr="008C74A3">
        <w:t>H</w:t>
      </w:r>
      <w:r w:rsidR="002706EB" w:rsidRPr="008C74A3">
        <w:t>ow the body(s) or individual(s) takes impact into account when overseeing the entity’s strategy, its decisions on major transactions and its risk management processes and related policies, including whether the body(s) or individual(s) has considered trade-offs associated with impact risk and return and financial risk and return; and</w:t>
      </w:r>
    </w:p>
    <w:p w14:paraId="161D2665" w14:textId="7A703AE1" w:rsidR="002706EB" w:rsidRPr="008C74A3" w:rsidRDefault="00EA11C7" w:rsidP="002D5795">
      <w:pPr>
        <w:pStyle w:val="ListParagraph"/>
        <w:numPr>
          <w:ilvl w:val="0"/>
          <w:numId w:val="38"/>
        </w:numPr>
        <w:spacing w:after="120"/>
        <w:ind w:leftChars="0"/>
      </w:pPr>
      <w:r w:rsidRPr="008C74A3">
        <w:lastRenderedPageBreak/>
        <w:t>H</w:t>
      </w:r>
      <w:r w:rsidR="002706EB" w:rsidRPr="008C74A3">
        <w:t>ow the body(s) or individual(s) oversees the setting of targets related to impact, and monitors progress towards those targets, including whether and how related performance metrics are included in remuneration policies.</w:t>
      </w:r>
    </w:p>
    <w:p w14:paraId="42590659" w14:textId="7C0FDB1C" w:rsidR="00EA11C7" w:rsidRPr="008C74A3" w:rsidRDefault="0087231B" w:rsidP="0087231B">
      <w:pPr>
        <w:spacing w:after="120"/>
      </w:pPr>
      <w:r w:rsidRPr="008C74A3">
        <w:t>4.2</w:t>
      </w:r>
      <w:r w:rsidR="002706EB" w:rsidRPr="008C74A3">
        <w:t xml:space="preserve">     </w:t>
      </w:r>
      <w:r w:rsidR="002706EB" w:rsidRPr="008C74A3">
        <w:rPr>
          <w:u w:val="single"/>
        </w:rPr>
        <w:t>Parent and Holding Company</w:t>
      </w:r>
      <w:r w:rsidR="00EA11C7" w:rsidRPr="008C74A3">
        <w:rPr>
          <w:u w:val="single"/>
        </w:rPr>
        <w:t xml:space="preserve"> Governance</w:t>
      </w:r>
      <w:r w:rsidR="002706EB" w:rsidRPr="008C74A3">
        <w:t xml:space="preserve"> (if relevant)</w:t>
      </w:r>
    </w:p>
    <w:p w14:paraId="7756C0F0" w14:textId="2922B2B6" w:rsidR="002706EB" w:rsidRPr="008C74A3" w:rsidRDefault="002706EB" w:rsidP="0087231B">
      <w:pPr>
        <w:spacing w:after="120"/>
      </w:pPr>
      <w:r w:rsidRPr="008C74A3">
        <w:t xml:space="preserve">Disclose the name of the </w:t>
      </w:r>
      <w:r w:rsidR="0087231B" w:rsidRPr="008C74A3">
        <w:t>entity’s</w:t>
      </w:r>
      <w:r w:rsidRPr="008C74A3">
        <w:t xml:space="preserve"> parent </w:t>
      </w:r>
      <w:r w:rsidR="0087231B" w:rsidRPr="008C74A3">
        <w:t xml:space="preserve">organization </w:t>
      </w:r>
      <w:r w:rsidRPr="008C74A3">
        <w:t xml:space="preserve">or holding company and the principal sustainable and responsible business practices to which that entity adheres. Describe the extent to which the </w:t>
      </w:r>
      <w:r w:rsidR="0087231B" w:rsidRPr="008C74A3">
        <w:t>entity’s</w:t>
      </w:r>
      <w:r w:rsidRPr="008C74A3">
        <w:t xml:space="preserve"> impact management practices and performance are representative of those of its parent </w:t>
      </w:r>
      <w:r w:rsidR="0087231B" w:rsidRPr="008C74A3">
        <w:t>organization</w:t>
      </w:r>
      <w:r w:rsidRPr="008C74A3">
        <w:t xml:space="preserve"> or holding company.</w:t>
      </w:r>
    </w:p>
    <w:p w14:paraId="42D8B812" w14:textId="5E2D5F8F" w:rsidR="0087231B" w:rsidRPr="008C74A3" w:rsidRDefault="0087231B" w:rsidP="0087231B">
      <w:pPr>
        <w:spacing w:after="120"/>
      </w:pPr>
      <w:r w:rsidRPr="008C74A3">
        <w:t>4.3</w:t>
      </w:r>
      <w:r w:rsidR="002706EB" w:rsidRPr="008C74A3">
        <w:t xml:space="preserve">     </w:t>
      </w:r>
      <w:r w:rsidRPr="008C74A3">
        <w:rPr>
          <w:u w:val="single"/>
        </w:rPr>
        <w:t>Diversity, Equity, and Inclusion</w:t>
      </w:r>
      <w:r w:rsidRPr="008C74A3">
        <w:t xml:space="preserve"> </w:t>
      </w:r>
    </w:p>
    <w:p w14:paraId="0BFA962C" w14:textId="1120B48C" w:rsidR="002706EB" w:rsidRPr="008C74A3" w:rsidRDefault="00267336" w:rsidP="0087231B">
      <w:pPr>
        <w:spacing w:after="120"/>
      </w:pPr>
      <w:r w:rsidRPr="008C74A3">
        <w:t xml:space="preserve">Describe the entity’s governance framework for diversity, equity, and inclusion (DEI). </w:t>
      </w:r>
      <w:r w:rsidR="002706EB" w:rsidRPr="008C74A3">
        <w:t>The</w:t>
      </w:r>
      <w:r w:rsidR="0087231B" w:rsidRPr="008C74A3">
        <w:t xml:space="preserve"> </w:t>
      </w:r>
      <w:r w:rsidR="00A36D5B" w:rsidRPr="008C74A3">
        <w:t xml:space="preserve">draft </w:t>
      </w:r>
      <w:r w:rsidR="002706EB" w:rsidRPr="008C74A3">
        <w:t xml:space="preserve">Norms are intended to be used in combination with other reporting mechanisms specifically focused on </w:t>
      </w:r>
      <w:r w:rsidRPr="008C74A3">
        <w:t>DEI</w:t>
      </w:r>
      <w:r w:rsidR="002706EB" w:rsidRPr="008C74A3">
        <w:t>. Preparers are encouraged to include or reference in their disclosures one or more of the following:</w:t>
      </w:r>
      <w:r w:rsidR="002706EB" w:rsidRPr="008C74A3">
        <w:rPr>
          <w:rStyle w:val="FootnoteReference"/>
        </w:rPr>
        <w:footnoteReference w:id="73"/>
      </w:r>
      <w:r w:rsidR="002706EB" w:rsidRPr="008C74A3">
        <w:br/>
      </w:r>
      <w:hyperlink r:id="rId28" w:history="1">
        <w:r w:rsidR="002706EB" w:rsidRPr="008C74A3">
          <w:rPr>
            <w:rStyle w:val="Hyperlink"/>
          </w:rPr>
          <w:t>GIIN’s IRIS+ Racial Equity Themes and Core Metrics Sets</w:t>
        </w:r>
      </w:hyperlink>
      <w:r w:rsidR="002706EB" w:rsidRPr="008C74A3">
        <w:br/>
      </w:r>
      <w:hyperlink r:id="rId29" w:history="1">
        <w:r w:rsidR="002706EB" w:rsidRPr="008C74A3">
          <w:rPr>
            <w:rStyle w:val="Hyperlink"/>
          </w:rPr>
          <w:t>ILPA Due Diligence Questionnaire (section 20) and Diversity Metrics Template</w:t>
        </w:r>
      </w:hyperlink>
      <w:r w:rsidR="002706EB" w:rsidRPr="008C74A3">
        <w:br/>
      </w:r>
      <w:hyperlink r:id="rId30" w:history="1">
        <w:r w:rsidR="002706EB" w:rsidRPr="008C74A3">
          <w:rPr>
            <w:rStyle w:val="Hyperlink"/>
          </w:rPr>
          <w:t>PRI Diversity, Equity, and Inclusion Due Diligence Questionnaire</w:t>
        </w:r>
      </w:hyperlink>
    </w:p>
    <w:p w14:paraId="07D0DBC6" w14:textId="2C9D2A9B" w:rsidR="0087231B" w:rsidRPr="008C74A3" w:rsidRDefault="0087231B" w:rsidP="0087231B">
      <w:pPr>
        <w:spacing w:after="120" w:line="259" w:lineRule="auto"/>
        <w:textAlignment w:val="auto"/>
        <w:rPr>
          <w:rFonts w:ascii="Interstate" w:hAnsi="Interstate"/>
          <w:b/>
          <w:bCs/>
          <w:sz w:val="24"/>
          <w:szCs w:val="24"/>
        </w:rPr>
      </w:pPr>
      <w:bookmarkStart w:id="50" w:name="_Toc146213979"/>
      <w:bookmarkStart w:id="51" w:name="_Toc146214171"/>
      <w:bookmarkStart w:id="52" w:name="_Toc146214136"/>
      <w:bookmarkStart w:id="53" w:name="_Toc146214328"/>
      <w:bookmarkStart w:id="54" w:name="_Toc146214137"/>
      <w:bookmarkStart w:id="55" w:name="_Toc146214329"/>
      <w:bookmarkEnd w:id="50"/>
      <w:bookmarkEnd w:id="51"/>
      <w:bookmarkEnd w:id="52"/>
      <w:bookmarkEnd w:id="53"/>
      <w:bookmarkEnd w:id="54"/>
      <w:bookmarkEnd w:id="55"/>
    </w:p>
    <w:p w14:paraId="5AE6A3F1" w14:textId="4F36E3E0" w:rsidR="00695D2D" w:rsidRPr="008C74A3" w:rsidRDefault="00695D2D" w:rsidP="002D5795">
      <w:pPr>
        <w:pStyle w:val="Heading3"/>
        <w:numPr>
          <w:ilvl w:val="0"/>
          <w:numId w:val="45"/>
        </w:numPr>
      </w:pPr>
      <w:bookmarkStart w:id="56" w:name="_Toc148384193"/>
      <w:r w:rsidRPr="008C74A3">
        <w:t>Case Study (Optional)</w:t>
      </w:r>
      <w:bookmarkEnd w:id="56"/>
    </w:p>
    <w:p w14:paraId="5D2C37FB" w14:textId="1616B37F" w:rsidR="00695D2D" w:rsidRPr="008C74A3" w:rsidRDefault="00695D2D" w:rsidP="00CF370B">
      <w:pPr>
        <w:spacing w:after="120"/>
      </w:pPr>
      <w:r w:rsidRPr="008C74A3">
        <w:t>This section presents one or more examples of</w:t>
      </w:r>
      <w:r w:rsidR="00CF370B" w:rsidRPr="008C74A3">
        <w:t xml:space="preserve"> the impacts of the</w:t>
      </w:r>
      <w:r w:rsidRPr="008C74A3">
        <w:t xml:space="preserve"> </w:t>
      </w:r>
      <w:r w:rsidR="00CF370B" w:rsidRPr="008C74A3">
        <w:t>entity’s</w:t>
      </w:r>
      <w:r w:rsidRPr="008C74A3">
        <w:t xml:space="preserve"> investments. </w:t>
      </w:r>
      <w:r w:rsidR="00CF370B" w:rsidRPr="008C74A3">
        <w:t>If included, c</w:t>
      </w:r>
      <w:r w:rsidR="00AB6EF3" w:rsidRPr="008C74A3">
        <w:t>ase studies should be selected and written in service of the qualitative characteristics of useful information</w:t>
      </w:r>
      <w:r w:rsidR="00CF370B" w:rsidRPr="008C74A3">
        <w:t xml:space="preserve"> above</w:t>
      </w:r>
      <w:r w:rsidR="00AB6EF3" w:rsidRPr="008C74A3">
        <w:t xml:space="preserve">. </w:t>
      </w:r>
      <w:r w:rsidR="00CF370B" w:rsidRPr="008C74A3">
        <w:t>There is</w:t>
      </w:r>
      <w:r w:rsidR="00AB6EF3" w:rsidRPr="008C74A3">
        <w:t xml:space="preserve"> significant risk that case studies d</w:t>
      </w:r>
      <w:r w:rsidR="0087231B" w:rsidRPr="008C74A3">
        <w:t xml:space="preserve">etract from rather than contribute to </w:t>
      </w:r>
      <w:r w:rsidR="00AB6EF3" w:rsidRPr="008C74A3">
        <w:t xml:space="preserve">a faithful representation of the impact of the </w:t>
      </w:r>
      <w:proofErr w:type="gramStart"/>
      <w:r w:rsidR="00AB6EF3" w:rsidRPr="008C74A3">
        <w:t>portfolio</w:t>
      </w:r>
      <w:r w:rsidR="009736B2" w:rsidRPr="008C74A3">
        <w:t xml:space="preserve"> as a whole</w:t>
      </w:r>
      <w:proofErr w:type="gramEnd"/>
      <w:r w:rsidR="00AB6EF3" w:rsidRPr="008C74A3">
        <w:t>.</w:t>
      </w:r>
      <w:r w:rsidR="00CF370B" w:rsidRPr="008C74A3">
        <w:t xml:space="preserve"> Case studies, individually and collectively, should not weight, emphasize, deemphasize</w:t>
      </w:r>
      <w:r w:rsidR="00C65861" w:rsidRPr="008C74A3">
        <w:t>,</w:t>
      </w:r>
      <w:r w:rsidR="00CF370B" w:rsidRPr="008C74A3">
        <w:t xml:space="preserve"> or otherwise manipulate information about impact to make it more likely that users will receive the report positively or negatively (i.e., </w:t>
      </w:r>
      <w:r w:rsidR="003D63B1" w:rsidRPr="008C74A3">
        <w:t>“</w:t>
      </w:r>
      <w:r w:rsidR="00CF370B" w:rsidRPr="008C74A3">
        <w:t>cherry-picking</w:t>
      </w:r>
      <w:r w:rsidR="003D63B1" w:rsidRPr="008C74A3">
        <w:t>”</w:t>
      </w:r>
      <w:r w:rsidR="00CF370B" w:rsidRPr="008C74A3">
        <w:t>).</w:t>
      </w:r>
      <w:r w:rsidR="00AB6EF3" w:rsidRPr="008C74A3">
        <w:rPr>
          <w:rStyle w:val="FootnoteReference"/>
        </w:rPr>
        <w:footnoteReference w:id="74"/>
      </w:r>
    </w:p>
    <w:p w14:paraId="046C7373" w14:textId="199DA01A" w:rsidR="00695D2D" w:rsidRPr="008C74A3" w:rsidRDefault="0087231B" w:rsidP="00CF370B">
      <w:pPr>
        <w:spacing w:after="120"/>
      </w:pPr>
      <w:r w:rsidRPr="008C74A3">
        <w:t>P</w:t>
      </w:r>
      <w:r w:rsidR="00695D2D" w:rsidRPr="008C74A3">
        <w:t xml:space="preserve">reparers </w:t>
      </w:r>
      <w:r w:rsidR="00295E15" w:rsidRPr="008C74A3">
        <w:t>are recommended to</w:t>
      </w:r>
      <w:r w:rsidR="00695D2D" w:rsidRPr="008C74A3">
        <w:t xml:space="preserve"> specify if the case(s) presented are</w:t>
      </w:r>
      <w:r w:rsidR="001A51F8" w:rsidRPr="008C74A3">
        <w:t>:</w:t>
      </w:r>
    </w:p>
    <w:p w14:paraId="4F95BF65" w14:textId="7D03C6D4" w:rsidR="00695D2D" w:rsidRPr="008C74A3" w:rsidRDefault="001A51F8" w:rsidP="002D5795">
      <w:pPr>
        <w:pStyle w:val="ListParagraph"/>
        <w:numPr>
          <w:ilvl w:val="0"/>
          <w:numId w:val="32"/>
        </w:numPr>
        <w:spacing w:after="120"/>
        <w:ind w:leftChars="0"/>
      </w:pPr>
      <w:r w:rsidRPr="008C74A3">
        <w:t>E</w:t>
      </w:r>
      <w:r w:rsidR="00695D2D" w:rsidRPr="008C74A3">
        <w:t xml:space="preserve">xemplary cases </w:t>
      </w:r>
      <w:r w:rsidR="006C033E" w:rsidRPr="008C74A3">
        <w:t>(positive, negative,</w:t>
      </w:r>
      <w:r w:rsidR="00695D2D" w:rsidRPr="008C74A3">
        <w:t xml:space="preserve"> best, worst, etc</w:t>
      </w:r>
      <w:r w:rsidRPr="008C74A3">
        <w:t>.</w:t>
      </w:r>
      <w:r w:rsidR="00695D2D" w:rsidRPr="008C74A3">
        <w:t>)</w:t>
      </w:r>
      <w:r w:rsidR="00C65861" w:rsidRPr="008C74A3">
        <w:t>;</w:t>
      </w:r>
      <w:r w:rsidRPr="008C74A3">
        <w:t xml:space="preserve"> </w:t>
      </w:r>
    </w:p>
    <w:p w14:paraId="3EDC5D82" w14:textId="11E366BC" w:rsidR="00695D2D" w:rsidRPr="008C74A3" w:rsidRDefault="00695D2D" w:rsidP="002D5795">
      <w:pPr>
        <w:pStyle w:val="ListParagraph"/>
        <w:numPr>
          <w:ilvl w:val="0"/>
          <w:numId w:val="32"/>
        </w:numPr>
        <w:spacing w:after="120"/>
        <w:ind w:leftChars="0"/>
      </w:pPr>
      <w:r w:rsidRPr="008C74A3">
        <w:t>Disconfirming cases (challen</w:t>
      </w:r>
      <w:r w:rsidR="001A51F8" w:rsidRPr="008C74A3">
        <w:t>ging</w:t>
      </w:r>
      <w:r w:rsidRPr="008C74A3">
        <w:t xml:space="preserve"> a theory, belief</w:t>
      </w:r>
      <w:r w:rsidR="003D63B1" w:rsidRPr="008C74A3">
        <w:t>,</w:t>
      </w:r>
      <w:r w:rsidRPr="008C74A3">
        <w:t xml:space="preserve"> or hypothesis; cases that present </w:t>
      </w:r>
      <w:r w:rsidR="00CF370B" w:rsidRPr="008C74A3">
        <w:t>contrasting</w:t>
      </w:r>
      <w:r w:rsidRPr="008C74A3">
        <w:t xml:space="preserve"> </w:t>
      </w:r>
      <w:r w:rsidR="00CF370B" w:rsidRPr="008C74A3">
        <w:t>outcomes and impacts</w:t>
      </w:r>
      <w:r w:rsidRPr="008C74A3">
        <w:t>)</w:t>
      </w:r>
      <w:r w:rsidR="00C65861" w:rsidRPr="008C74A3">
        <w:t>;</w:t>
      </w:r>
    </w:p>
    <w:p w14:paraId="26FC1992" w14:textId="1E58B620" w:rsidR="00695D2D" w:rsidRPr="008C74A3" w:rsidRDefault="006C033E" w:rsidP="002D5795">
      <w:pPr>
        <w:pStyle w:val="ListParagraph"/>
        <w:numPr>
          <w:ilvl w:val="0"/>
          <w:numId w:val="32"/>
        </w:numPr>
        <w:spacing w:after="120"/>
        <w:ind w:leftChars="0"/>
      </w:pPr>
      <w:r w:rsidRPr="008C74A3">
        <w:t xml:space="preserve">Typical cases that represent an average or median of a distribution </w:t>
      </w:r>
      <w:proofErr w:type="gramStart"/>
      <w:r w:rsidRPr="008C74A3">
        <w:t>with regard to</w:t>
      </w:r>
      <w:proofErr w:type="gramEnd"/>
      <w:r w:rsidRPr="008C74A3">
        <w:t xml:space="preserve"> defined criteria;</w:t>
      </w:r>
      <w:r w:rsidR="00C65861" w:rsidRPr="008C74A3">
        <w:t xml:space="preserve"> or</w:t>
      </w:r>
    </w:p>
    <w:p w14:paraId="306DCB9C" w14:textId="024600B8" w:rsidR="00695D2D" w:rsidRPr="008C74A3" w:rsidRDefault="001A51F8" w:rsidP="002D5795">
      <w:pPr>
        <w:pStyle w:val="ListParagraph"/>
        <w:numPr>
          <w:ilvl w:val="0"/>
          <w:numId w:val="32"/>
        </w:numPr>
        <w:spacing w:after="120"/>
        <w:ind w:leftChars="0"/>
      </w:pPr>
      <w:r w:rsidRPr="008C74A3">
        <w:t>C</w:t>
      </w:r>
      <w:r w:rsidR="00695D2D" w:rsidRPr="008C74A3">
        <w:t>omposite case</w:t>
      </w:r>
      <w:r w:rsidRPr="008C74A3">
        <w:t>s</w:t>
      </w:r>
      <w:r w:rsidR="00695D2D" w:rsidRPr="008C74A3">
        <w:t xml:space="preserve"> (or a set of profiles that are each a composite of real cases)</w:t>
      </w:r>
      <w:r w:rsidR="006C033E" w:rsidRPr="008C74A3">
        <w:t>.</w:t>
      </w:r>
      <w:r w:rsidR="00695D2D" w:rsidRPr="008C74A3">
        <w:t xml:space="preserve"> </w:t>
      </w:r>
    </w:p>
    <w:p w14:paraId="4AD25273" w14:textId="3D3E632D" w:rsidR="00AB6EF3" w:rsidRPr="008C74A3" w:rsidRDefault="00AB6EF3" w:rsidP="00CF370B">
      <w:pPr>
        <w:spacing w:after="120"/>
      </w:pPr>
      <w:r w:rsidRPr="008C74A3">
        <w:t xml:space="preserve">Towards this end, preparers </w:t>
      </w:r>
      <w:r w:rsidR="009736B2" w:rsidRPr="008C74A3">
        <w:t>should not</w:t>
      </w:r>
      <w:r w:rsidRPr="008C74A3">
        <w:t xml:space="preserve"> include only exemplary-</w:t>
      </w:r>
      <w:r w:rsidR="00CF370B" w:rsidRPr="008C74A3">
        <w:t>positive</w:t>
      </w:r>
      <w:r w:rsidRPr="008C74A3">
        <w:t xml:space="preserve"> cases</w:t>
      </w:r>
      <w:r w:rsidR="009736B2" w:rsidRPr="008C74A3">
        <w:t xml:space="preserve">. </w:t>
      </w:r>
      <w:r w:rsidRPr="008C74A3">
        <w:t>Exemplary-</w:t>
      </w:r>
      <w:r w:rsidR="006C033E" w:rsidRPr="008C74A3">
        <w:t>positive</w:t>
      </w:r>
      <w:r w:rsidRPr="008C74A3">
        <w:t xml:space="preserve"> cases are recommended to be paired with contrasting cases (e.g.,</w:t>
      </w:r>
      <w:r w:rsidR="00EF0AC5" w:rsidRPr="008C74A3">
        <w:t xml:space="preserve"> composite</w:t>
      </w:r>
      <w:r w:rsidRPr="008C74A3">
        <w:t xml:space="preserve"> exemplary-worst cases, </w:t>
      </w:r>
      <w:r w:rsidR="009736B2" w:rsidRPr="008C74A3">
        <w:lastRenderedPageBreak/>
        <w:t xml:space="preserve">disconfirming cases, or </w:t>
      </w:r>
      <w:r w:rsidRPr="008C74A3">
        <w:t>typical cases). Composite cases may be useful to communicate information about investees in a way that does not reveal confidential information about investees or compromise the preparer’s confidentiality agreements with investees.</w:t>
      </w:r>
    </w:p>
    <w:p w14:paraId="4496FE0F" w14:textId="77777777" w:rsidR="00CF370B" w:rsidRPr="008C74A3" w:rsidRDefault="00AB6EF3" w:rsidP="00CF370B">
      <w:pPr>
        <w:spacing w:after="120"/>
      </w:pPr>
      <w:r w:rsidRPr="008C74A3">
        <w:t xml:space="preserve">Preparers are encouraged to document their process for selecting and presenting their cases. The selection and presentation of a case requires judgement and interpretation, and a well-documented process can </w:t>
      </w:r>
      <w:r w:rsidR="00EF0AC5" w:rsidRPr="008C74A3">
        <w:t>enhance</w:t>
      </w:r>
      <w:r w:rsidRPr="008C74A3">
        <w:t xml:space="preserve"> confidence that the selection and summary is reasonable.</w:t>
      </w:r>
      <w:r w:rsidR="009736B2" w:rsidRPr="008C74A3">
        <w:t xml:space="preserve"> </w:t>
      </w:r>
    </w:p>
    <w:p w14:paraId="694F58B7" w14:textId="78B3B342" w:rsidR="00CF370B" w:rsidRPr="008C74A3" w:rsidRDefault="001A51F8" w:rsidP="00CF370B">
      <w:pPr>
        <w:spacing w:after="120"/>
      </w:pPr>
      <w:r w:rsidRPr="008C74A3">
        <w:t>Preparers are recommended to include the following information in case studies</w:t>
      </w:r>
      <w:r w:rsidR="003D63B1" w:rsidRPr="008C74A3">
        <w:t>:</w:t>
      </w:r>
    </w:p>
    <w:p w14:paraId="268A94A9" w14:textId="0B9D7062" w:rsidR="00CF370B" w:rsidRPr="008C74A3" w:rsidRDefault="00CF370B" w:rsidP="002D5795">
      <w:pPr>
        <w:pStyle w:val="ListParagraph"/>
        <w:numPr>
          <w:ilvl w:val="0"/>
          <w:numId w:val="82"/>
        </w:numPr>
        <w:spacing w:after="120"/>
        <w:ind w:leftChars="0"/>
        <w:rPr>
          <w:color w:val="000000" w:themeColor="text1"/>
        </w:rPr>
      </w:pPr>
      <w:r w:rsidRPr="008C74A3">
        <w:t>The process and rationale by which the preparer selected the case study;</w:t>
      </w:r>
    </w:p>
    <w:p w14:paraId="2001F41B" w14:textId="20F0D42E" w:rsidR="00CF370B" w:rsidRPr="008C74A3" w:rsidRDefault="00695D2D" w:rsidP="002D5795">
      <w:pPr>
        <w:pStyle w:val="ListParagraph"/>
        <w:numPr>
          <w:ilvl w:val="0"/>
          <w:numId w:val="82"/>
        </w:numPr>
        <w:spacing w:after="120"/>
        <w:ind w:leftChars="0"/>
        <w:rPr>
          <w:color w:val="000000" w:themeColor="text1"/>
        </w:rPr>
      </w:pPr>
      <w:r w:rsidRPr="008C74A3">
        <w:t>Impact thesis for the investment</w:t>
      </w:r>
      <w:r w:rsidR="003D63B1" w:rsidRPr="008C74A3">
        <w:t>;</w:t>
      </w:r>
    </w:p>
    <w:p w14:paraId="1A24C241" w14:textId="5A2AB508" w:rsidR="00CF370B" w:rsidRPr="008C74A3" w:rsidRDefault="00695D2D" w:rsidP="002D5795">
      <w:pPr>
        <w:pStyle w:val="ListParagraph"/>
        <w:numPr>
          <w:ilvl w:val="0"/>
          <w:numId w:val="82"/>
        </w:numPr>
        <w:spacing w:after="120"/>
        <w:ind w:leftChars="0"/>
        <w:rPr>
          <w:color w:val="000000" w:themeColor="text1"/>
        </w:rPr>
      </w:pPr>
      <w:r w:rsidRPr="008C74A3">
        <w:rPr>
          <w:rFonts w:eastAsia="MS Mincho"/>
        </w:rPr>
        <w:t>Overview of the investee including partner</w:t>
      </w:r>
      <w:r w:rsidR="00A65A58" w:rsidRPr="008C74A3">
        <w:rPr>
          <w:rFonts w:eastAsia="MS Mincho"/>
        </w:rPr>
        <w:t xml:space="preserve"> organizations relevant to impact creation</w:t>
      </w:r>
      <w:r w:rsidR="003D63B1" w:rsidRPr="008C74A3">
        <w:rPr>
          <w:rFonts w:eastAsia="MS Mincho"/>
        </w:rPr>
        <w:t>;</w:t>
      </w:r>
      <w:r w:rsidRPr="008C74A3">
        <w:rPr>
          <w:rFonts w:eastAsia="MS Mincho"/>
        </w:rPr>
        <w:t xml:space="preserve">   </w:t>
      </w:r>
    </w:p>
    <w:p w14:paraId="03B95C6B" w14:textId="242510E4" w:rsidR="00695D2D" w:rsidRPr="008C74A3" w:rsidRDefault="00695D2D" w:rsidP="002D5795">
      <w:pPr>
        <w:pStyle w:val="ListParagraph"/>
        <w:numPr>
          <w:ilvl w:val="0"/>
          <w:numId w:val="82"/>
        </w:numPr>
        <w:spacing w:after="120"/>
        <w:ind w:leftChars="0"/>
        <w:rPr>
          <w:color w:val="000000" w:themeColor="text1"/>
        </w:rPr>
      </w:pPr>
      <w:r w:rsidRPr="008C74A3">
        <w:t xml:space="preserve">Performance on material positive and negative impacts of the investment, </w:t>
      </w:r>
      <w:r w:rsidR="00CF370B" w:rsidRPr="008C74A3">
        <w:t>including</w:t>
      </w:r>
      <w:r w:rsidRPr="008C74A3">
        <w:t xml:space="preserve"> investor contribution, </w:t>
      </w:r>
      <w:r w:rsidR="00CF370B" w:rsidRPr="008C74A3">
        <w:t xml:space="preserve">in a manner </w:t>
      </w:r>
      <w:r w:rsidRPr="008C74A3">
        <w:t xml:space="preserve">consistent with </w:t>
      </w:r>
      <w:r w:rsidR="00FD2655" w:rsidRPr="008C74A3">
        <w:t>recommendations in</w:t>
      </w:r>
      <w:r w:rsidRPr="008C74A3">
        <w:t xml:space="preserve"> </w:t>
      </w:r>
      <w:r w:rsidR="004B609C" w:rsidRPr="008C74A3">
        <w:t>1. Entity</w:t>
      </w:r>
      <w:r w:rsidR="00C7691D" w:rsidRPr="008C74A3">
        <w:t xml:space="preserve"> Overview and Impact Thesis</w:t>
      </w:r>
      <w:r w:rsidRPr="008C74A3">
        <w:t xml:space="preserve"> and 3</w:t>
      </w:r>
      <w:r w:rsidR="00C7691D" w:rsidRPr="008C74A3">
        <w:t>. Impact Performance</w:t>
      </w:r>
      <w:r w:rsidR="00FD2655" w:rsidRPr="008C74A3">
        <w:t xml:space="preserve"> of the report</w:t>
      </w:r>
      <w:r w:rsidRPr="008C74A3">
        <w:t>.</w:t>
      </w:r>
      <w:r w:rsidRPr="008C74A3">
        <w:rPr>
          <w:rStyle w:val="FootnoteReference"/>
          <w:rFonts w:eastAsia="MS Mincho" w:cs="Arial"/>
        </w:rPr>
        <w:footnoteReference w:id="75"/>
      </w:r>
      <w:r w:rsidRPr="008C74A3">
        <w:rPr>
          <w:rFonts w:eastAsia="MS Mincho" w:cs="Arial"/>
        </w:rPr>
        <w:t xml:space="preserve"> </w:t>
      </w:r>
    </w:p>
    <w:p w14:paraId="59D8DD90" w14:textId="25D243E2" w:rsidR="00CF370B" w:rsidRPr="008C74A3" w:rsidRDefault="00CF370B">
      <w:pPr>
        <w:spacing w:after="160" w:line="259" w:lineRule="auto"/>
        <w:textAlignment w:val="auto"/>
        <w:rPr>
          <w:rFonts w:ascii="Interstate" w:hAnsi="Interstate"/>
          <w:b/>
          <w:bCs/>
          <w:sz w:val="24"/>
          <w:szCs w:val="24"/>
        </w:rPr>
      </w:pPr>
      <w:bookmarkStart w:id="57" w:name="_Toc146891722"/>
      <w:bookmarkEnd w:id="57"/>
    </w:p>
    <w:p w14:paraId="7F98BF96" w14:textId="40A6CB7A" w:rsidR="00695D2D" w:rsidRPr="008C74A3" w:rsidRDefault="009D23CB" w:rsidP="002D5795">
      <w:pPr>
        <w:pStyle w:val="Heading3"/>
        <w:numPr>
          <w:ilvl w:val="0"/>
          <w:numId w:val="45"/>
        </w:numPr>
      </w:pPr>
      <w:bookmarkStart w:id="58" w:name="_Toc148384194"/>
      <w:r w:rsidRPr="008C74A3">
        <w:t>Independent Review</w:t>
      </w:r>
      <w:r w:rsidR="00695D2D" w:rsidRPr="008C74A3">
        <w:t xml:space="preserve"> (Optional)</w:t>
      </w:r>
      <w:bookmarkEnd w:id="58"/>
    </w:p>
    <w:p w14:paraId="23B02326" w14:textId="74B737A4" w:rsidR="00AF7DD2" w:rsidRPr="008C74A3" w:rsidRDefault="00AF7DD2" w:rsidP="002D5795">
      <w:pPr>
        <w:pStyle w:val="ListParagraph"/>
        <w:numPr>
          <w:ilvl w:val="1"/>
          <w:numId w:val="83"/>
        </w:numPr>
        <w:spacing w:after="120"/>
        <w:ind w:leftChars="0"/>
      </w:pPr>
      <w:r w:rsidRPr="008C74A3">
        <w:t>If the preparer chose to receive any type of independent review, explain the type chosen and why</w:t>
      </w:r>
      <w:r w:rsidR="00621F44" w:rsidRPr="008C74A3">
        <w:t>.</w:t>
      </w:r>
      <w:r w:rsidRPr="008C74A3">
        <w:t xml:space="preserve"> </w:t>
      </w:r>
    </w:p>
    <w:p w14:paraId="5698F30F" w14:textId="1B4EBDB4" w:rsidR="00AF7DD2" w:rsidRPr="008C74A3" w:rsidRDefault="00AF7DD2" w:rsidP="002D5795">
      <w:pPr>
        <w:pStyle w:val="ListParagraph"/>
        <w:numPr>
          <w:ilvl w:val="1"/>
          <w:numId w:val="83"/>
        </w:numPr>
        <w:spacing w:after="120"/>
        <w:ind w:leftChars="0"/>
      </w:pPr>
      <w:r w:rsidRPr="008C74A3">
        <w:t>Paste the conclusion of the independent review, if sought.</w:t>
      </w:r>
    </w:p>
    <w:bookmarkEnd w:id="38"/>
    <w:p w14:paraId="4B85DEDD" w14:textId="6FEEA4DD" w:rsidR="008A5E02" w:rsidRPr="008C74A3" w:rsidRDefault="008A5E02" w:rsidP="00053BF7">
      <w:pPr>
        <w:spacing w:after="120"/>
        <w:rPr>
          <w:rStyle w:val="normaltextrun"/>
        </w:rPr>
      </w:pPr>
      <w:r w:rsidRPr="008C74A3">
        <w:rPr>
          <w:rStyle w:val="normaltextrun"/>
          <w:rFonts w:ascii="Interstate" w:hAnsi="Interstate"/>
          <w:b/>
          <w:bCs/>
          <w:sz w:val="24"/>
          <w:szCs w:val="24"/>
          <w:shd w:val="clear" w:color="auto" w:fill="FFFFFF"/>
        </w:rPr>
        <w:br w:type="page"/>
      </w:r>
    </w:p>
    <w:p w14:paraId="181E582C" w14:textId="2C129FA3" w:rsidR="004B37F6" w:rsidRPr="008C74A3" w:rsidRDefault="00287AC2" w:rsidP="0035138B">
      <w:pPr>
        <w:pStyle w:val="Heading2"/>
      </w:pPr>
      <w:bookmarkStart w:id="59" w:name="_Toc148384195"/>
      <w:r w:rsidRPr="008C74A3">
        <w:lastRenderedPageBreak/>
        <w:t>Frequently Asked Questions</w:t>
      </w:r>
      <w:bookmarkEnd w:id="59"/>
    </w:p>
    <w:p w14:paraId="17023B94" w14:textId="7B577CBB" w:rsidR="004B37F6" w:rsidRPr="008C74A3" w:rsidRDefault="004B37F6" w:rsidP="00E8768C">
      <w:pPr>
        <w:pStyle w:val="ListParagraph"/>
        <w:numPr>
          <w:ilvl w:val="0"/>
          <w:numId w:val="29"/>
        </w:numPr>
        <w:spacing w:after="120"/>
        <w:ind w:leftChars="0"/>
      </w:pPr>
      <w:r w:rsidRPr="008C74A3">
        <w:t>I have already published a</w:t>
      </w:r>
      <w:r w:rsidR="00287AC2" w:rsidRPr="008C74A3">
        <w:t xml:space="preserve">n impact </w:t>
      </w:r>
      <w:r w:rsidRPr="008C74A3">
        <w:t xml:space="preserve">report.  Do I have to prepare a completely new </w:t>
      </w:r>
      <w:r w:rsidR="00287AC2" w:rsidRPr="008C74A3">
        <w:t>one now</w:t>
      </w:r>
      <w:r w:rsidRPr="008C74A3">
        <w:t>?</w:t>
      </w:r>
      <w:r w:rsidR="00287AC2" w:rsidRPr="008C74A3">
        <w:t xml:space="preserve"> </w:t>
      </w:r>
    </w:p>
    <w:p w14:paraId="1152C9F7" w14:textId="2A2437E7" w:rsidR="00151EF4" w:rsidRPr="008C74A3" w:rsidRDefault="004B37F6" w:rsidP="00E8768C">
      <w:pPr>
        <w:spacing w:after="120"/>
      </w:pPr>
      <w:r w:rsidRPr="008C74A3">
        <w:t xml:space="preserve">An overarching assumption of the </w:t>
      </w:r>
      <w:r w:rsidR="008619D6" w:rsidRPr="008C74A3">
        <w:t>d</w:t>
      </w:r>
      <w:r w:rsidRPr="008C74A3">
        <w:t xml:space="preserve">raft Reporting Norms is that impact performance reports may be different from and complementary to documents that are produced primarily </w:t>
      </w:r>
      <w:r w:rsidR="008E187B" w:rsidRPr="008C74A3">
        <w:t>for the</w:t>
      </w:r>
      <w:r w:rsidRPr="008C74A3">
        <w:t xml:space="preserve"> purposes of marketing, communications, and fundraising. </w:t>
      </w:r>
      <w:r w:rsidR="00287AC2" w:rsidRPr="008C74A3">
        <w:t>Investors</w:t>
      </w:r>
      <w:r w:rsidRPr="008C74A3">
        <w:t xml:space="preserve"> may wish t</w:t>
      </w:r>
      <w:r w:rsidR="00AA4B60" w:rsidRPr="008C74A3">
        <w:t xml:space="preserve">o </w:t>
      </w:r>
      <w:r w:rsidRPr="008C74A3">
        <w:t>create both, just as publicly traded companies publish both annual reports that tend to be user-friendly for laypeople</w:t>
      </w:r>
      <w:r w:rsidR="00287AC2" w:rsidRPr="008C74A3">
        <w:t>,</w:t>
      </w:r>
      <w:r w:rsidRPr="008C74A3">
        <w:t xml:space="preserve"> </w:t>
      </w:r>
      <w:proofErr w:type="gramStart"/>
      <w:r w:rsidRPr="008C74A3">
        <w:t xml:space="preserve">and </w:t>
      </w:r>
      <w:r w:rsidR="00287AC2" w:rsidRPr="008C74A3">
        <w:t>also</w:t>
      </w:r>
      <w:proofErr w:type="gramEnd"/>
      <w:r w:rsidR="00287AC2" w:rsidRPr="008C74A3">
        <w:t xml:space="preserve"> </w:t>
      </w:r>
      <w:r w:rsidRPr="008C74A3">
        <w:t xml:space="preserve">reports required by regulatory </w:t>
      </w:r>
      <w:r w:rsidR="008E187B" w:rsidRPr="008C74A3">
        <w:t>bodies that</w:t>
      </w:r>
      <w:r w:rsidRPr="008C74A3">
        <w:t xml:space="preserve"> tend to be used by professional analysts and follow strict guidelines about format and content. Impact performance reports, as described here, are much more</w:t>
      </w:r>
      <w:r w:rsidRPr="008C74A3">
        <w:rPr>
          <w:caps/>
          <w:color w:val="4472C4" w:themeColor="accent1"/>
          <w:sz w:val="26"/>
          <w:szCs w:val="26"/>
        </w:rPr>
        <w:t xml:space="preserve"> </w:t>
      </w:r>
      <w:r w:rsidRPr="008C74A3">
        <w:t>akin to the latter. However, this does not preclude investors from creating other impact publications in addition to their impact performance report.</w:t>
      </w:r>
      <w:r w:rsidR="00151EF4" w:rsidRPr="008C74A3">
        <w:br/>
      </w:r>
    </w:p>
    <w:p w14:paraId="69DB3BC1" w14:textId="4ADE9B96" w:rsidR="00287AC2" w:rsidRPr="008C74A3" w:rsidRDefault="00287AC2" w:rsidP="00E8768C">
      <w:pPr>
        <w:pStyle w:val="ListParagraph"/>
        <w:numPr>
          <w:ilvl w:val="0"/>
          <w:numId w:val="29"/>
        </w:numPr>
        <w:spacing w:after="120"/>
        <w:ind w:leftChars="0"/>
      </w:pPr>
      <w:r w:rsidRPr="008C74A3">
        <w:t>Will this add to the number of reports I have to create?</w:t>
      </w:r>
    </w:p>
    <w:p w14:paraId="533863BA" w14:textId="0C16F264" w:rsidR="00287AC2" w:rsidRPr="008C74A3" w:rsidRDefault="00287AC2" w:rsidP="00E8768C">
      <w:pPr>
        <w:spacing w:after="120"/>
      </w:pPr>
      <w:r w:rsidRPr="008C74A3">
        <w:t xml:space="preserve">The intention is for impact performance reports prepared in alignment with the </w:t>
      </w:r>
      <w:r w:rsidR="0056067A" w:rsidRPr="008C74A3">
        <w:t xml:space="preserve">draft </w:t>
      </w:r>
      <w:r w:rsidRPr="008C74A3">
        <w:t xml:space="preserve">Norms to replace existing annual impact reports that you may already produce and send privately to your capital providers. Report users (typically asset owners and allocators) are encouraged to reference the Norms as their preferred approach to impact reporting, </w:t>
      </w:r>
      <w:r w:rsidR="00CB3FB0" w:rsidRPr="008C74A3">
        <w:t xml:space="preserve">to reduce the need for report preparers to produce customized reports for different users. </w:t>
      </w:r>
      <w:r w:rsidR="00151EF4" w:rsidRPr="008C74A3">
        <w:br/>
      </w:r>
    </w:p>
    <w:p w14:paraId="620F2E52" w14:textId="7E736490" w:rsidR="004B37F6" w:rsidRPr="008C74A3" w:rsidRDefault="004B37F6" w:rsidP="00E8768C">
      <w:pPr>
        <w:pStyle w:val="ListParagraph"/>
        <w:numPr>
          <w:ilvl w:val="0"/>
          <w:numId w:val="29"/>
        </w:numPr>
        <w:spacing w:after="120"/>
        <w:ind w:leftChars="0"/>
      </w:pPr>
      <w:r w:rsidRPr="008C74A3">
        <w:t>How is this different from existing frameworks</w:t>
      </w:r>
      <w:r w:rsidR="00151EF4" w:rsidRPr="008C74A3">
        <w:t>,</w:t>
      </w:r>
      <w:r w:rsidR="000C353E" w:rsidRPr="008C74A3">
        <w:t xml:space="preserve"> guidance, and</w:t>
      </w:r>
      <w:r w:rsidR="00151EF4" w:rsidRPr="008C74A3">
        <w:t xml:space="preserve"> standards</w:t>
      </w:r>
      <w:r w:rsidRPr="008C74A3">
        <w:t>?</w:t>
      </w:r>
    </w:p>
    <w:p w14:paraId="7B70E04B" w14:textId="69F143DD" w:rsidR="004B37F6" w:rsidRPr="008C74A3" w:rsidRDefault="004B37F6" w:rsidP="00E8768C">
      <w:pPr>
        <w:spacing w:after="120"/>
      </w:pPr>
      <w:r w:rsidRPr="008C74A3">
        <w:t xml:space="preserve">The </w:t>
      </w:r>
      <w:r w:rsidR="005D1B05" w:rsidRPr="008C74A3">
        <w:t>d</w:t>
      </w:r>
      <w:r w:rsidRPr="008C74A3">
        <w:t>raft Norms are unique in that</w:t>
      </w:r>
      <w:r w:rsidR="00CB3FB0" w:rsidRPr="008C74A3">
        <w:t>:</w:t>
      </w:r>
    </w:p>
    <w:p w14:paraId="1DD4C882" w14:textId="4A816A84" w:rsidR="00CB3FB0" w:rsidRPr="008C74A3" w:rsidRDefault="00CB3FB0" w:rsidP="00E8768C">
      <w:pPr>
        <w:pStyle w:val="ListParagraph"/>
        <w:numPr>
          <w:ilvl w:val="0"/>
          <w:numId w:val="39"/>
        </w:numPr>
        <w:spacing w:after="120"/>
        <w:ind w:leftChars="0"/>
      </w:pPr>
      <w:r w:rsidRPr="008C74A3">
        <w:t xml:space="preserve">They focus on </w:t>
      </w:r>
      <w:r w:rsidR="00FA599D" w:rsidRPr="008C74A3">
        <w:t>disclosure</w:t>
      </w:r>
      <w:r w:rsidRPr="008C74A3">
        <w:t xml:space="preserve"> of impact performance (i.e., on-the</w:t>
      </w:r>
      <w:r w:rsidR="00FA599D" w:rsidRPr="008C74A3">
        <w:t>-</w:t>
      </w:r>
      <w:r w:rsidRPr="008C74A3">
        <w:t>ground results) by investors</w:t>
      </w:r>
      <w:r w:rsidR="000C353E" w:rsidRPr="008C74A3">
        <w:t xml:space="preserve">, and </w:t>
      </w:r>
      <w:r w:rsidR="00FA599D" w:rsidRPr="008C74A3">
        <w:t xml:space="preserve">specifically </w:t>
      </w:r>
      <w:r w:rsidR="000C353E" w:rsidRPr="008C74A3">
        <w:t xml:space="preserve">on </w:t>
      </w:r>
      <w:r w:rsidR="00FA599D" w:rsidRPr="008C74A3">
        <w:t>the document</w:t>
      </w:r>
      <w:r w:rsidR="000C353E" w:rsidRPr="008C74A3">
        <w:t>s</w:t>
      </w:r>
      <w:r w:rsidR="00FA599D" w:rsidRPr="008C74A3">
        <w:t xml:space="preserve"> that investors produce </w:t>
      </w:r>
      <w:r w:rsidR="000C353E" w:rsidRPr="008C74A3">
        <w:t xml:space="preserve">on a recurring basis </w:t>
      </w:r>
      <w:r w:rsidR="00FA599D" w:rsidRPr="008C74A3">
        <w:t>to report on</w:t>
      </w:r>
      <w:r w:rsidR="000C353E" w:rsidRPr="008C74A3">
        <w:t xml:space="preserve"> their</w:t>
      </w:r>
      <w:r w:rsidR="00FA599D" w:rsidRPr="008C74A3">
        <w:t xml:space="preserve"> impact</w:t>
      </w:r>
      <w:r w:rsidR="001C4B06" w:rsidRPr="008C74A3">
        <w:t xml:space="preserve"> to capital providers</w:t>
      </w:r>
      <w:r w:rsidR="000C353E" w:rsidRPr="008C74A3">
        <w:t xml:space="preserve">. This is distinct and complementary to guidance and standards pertaining to </w:t>
      </w:r>
      <w:r w:rsidR="00FA599D" w:rsidRPr="008C74A3">
        <w:t xml:space="preserve">disclosure of </w:t>
      </w:r>
      <w:r w:rsidRPr="008C74A3">
        <w:t>impact management practices</w:t>
      </w:r>
      <w:r w:rsidR="000C353E" w:rsidRPr="008C74A3">
        <w:t xml:space="preserve"> on the one hand, and goals-based or thematic taxonomies, and/or standardized metrics and KPIs, on the other</w:t>
      </w:r>
      <w:r w:rsidR="00037A30" w:rsidRPr="008C74A3">
        <w:t>;</w:t>
      </w:r>
    </w:p>
    <w:p w14:paraId="34599BA7" w14:textId="61E01C5F" w:rsidR="004B37F6" w:rsidRPr="008C74A3" w:rsidRDefault="00CB3FB0" w:rsidP="00E8768C">
      <w:pPr>
        <w:pStyle w:val="ListParagraph"/>
        <w:numPr>
          <w:ilvl w:val="0"/>
          <w:numId w:val="39"/>
        </w:numPr>
        <w:spacing w:after="120"/>
        <w:ind w:leftChars="0"/>
      </w:pPr>
      <w:r w:rsidRPr="008C74A3">
        <w:t xml:space="preserve">They </w:t>
      </w:r>
      <w:r w:rsidR="00B443CE" w:rsidRPr="008C74A3">
        <w:t xml:space="preserve">usefully combine elements of </w:t>
      </w:r>
      <w:r w:rsidR="001C4B06" w:rsidRPr="008C74A3">
        <w:t xml:space="preserve">the </w:t>
      </w:r>
      <w:r w:rsidR="00B443CE" w:rsidRPr="008C74A3">
        <w:t>conceptual framework that supports</w:t>
      </w:r>
      <w:r w:rsidR="004B37F6" w:rsidRPr="008C74A3">
        <w:t xml:space="preserve"> financial reporting</w:t>
      </w:r>
      <w:r w:rsidR="00B443CE" w:rsidRPr="008C74A3">
        <w:t xml:space="preserve"> and best practices from the field of impact measurement and management</w:t>
      </w:r>
      <w:r w:rsidR="00037A30" w:rsidRPr="008C74A3">
        <w:t>;</w:t>
      </w:r>
    </w:p>
    <w:p w14:paraId="4782E4FA" w14:textId="21152867" w:rsidR="00151EF4" w:rsidRPr="008C74A3" w:rsidRDefault="00151EF4" w:rsidP="00E8768C">
      <w:pPr>
        <w:pStyle w:val="ListParagraph"/>
        <w:numPr>
          <w:ilvl w:val="0"/>
          <w:numId w:val="39"/>
        </w:numPr>
        <w:spacing w:after="120"/>
        <w:ind w:leftChars="0"/>
      </w:pPr>
      <w:r w:rsidRPr="008C74A3">
        <w:t>They are created through a process of open consultation</w:t>
      </w:r>
      <w:r w:rsidR="00CB3FB0" w:rsidRPr="008C74A3">
        <w:t xml:space="preserve"> facilitated</w:t>
      </w:r>
      <w:r w:rsidRPr="008C74A3">
        <w:t xml:space="preserve"> for the public good</w:t>
      </w:r>
      <w:r w:rsidR="00CB3FB0" w:rsidRPr="008C74A3">
        <w:t xml:space="preserve"> by a non-profit </w:t>
      </w:r>
      <w:r w:rsidRPr="008C74A3">
        <w:t xml:space="preserve">with relevant expertise; </w:t>
      </w:r>
      <w:r w:rsidR="00B443CE" w:rsidRPr="008C74A3">
        <w:t>and</w:t>
      </w:r>
    </w:p>
    <w:p w14:paraId="3F7C0BE0" w14:textId="7DA6D1C4" w:rsidR="00CA4225" w:rsidRPr="008C74A3" w:rsidRDefault="00151EF4" w:rsidP="00E8768C">
      <w:pPr>
        <w:pStyle w:val="ListParagraph"/>
        <w:numPr>
          <w:ilvl w:val="0"/>
          <w:numId w:val="39"/>
        </w:numPr>
        <w:spacing w:after="120"/>
        <w:ind w:leftChars="0"/>
      </w:pPr>
      <w:r w:rsidRPr="008C74A3">
        <w:t xml:space="preserve">They can serve as a shared and non-proprietary reference for a wide range of service providers (e.g., assurance providers, </w:t>
      </w:r>
      <w:r w:rsidR="001C4B06" w:rsidRPr="008C74A3">
        <w:t>consultants,</w:t>
      </w:r>
      <w:r w:rsidRPr="008C74A3">
        <w:t xml:space="preserve"> evaluators, verifiers, etc.)</w:t>
      </w:r>
      <w:r w:rsidR="00B443CE" w:rsidRPr="008C74A3">
        <w:t>.</w:t>
      </w:r>
      <w:r w:rsidRPr="008C74A3">
        <w:br/>
      </w:r>
    </w:p>
    <w:p w14:paraId="7FF4FDBE" w14:textId="2F779316" w:rsidR="004B37F6" w:rsidRPr="008C74A3" w:rsidRDefault="000E3E95" w:rsidP="00E8768C">
      <w:pPr>
        <w:pStyle w:val="ListParagraph"/>
        <w:numPr>
          <w:ilvl w:val="0"/>
          <w:numId w:val="29"/>
        </w:numPr>
        <w:spacing w:after="120"/>
        <w:ind w:leftChars="0"/>
      </w:pPr>
      <w:r w:rsidRPr="008C74A3">
        <w:t xml:space="preserve">Should I create a standalone impact performance report, or an </w:t>
      </w:r>
      <w:r w:rsidR="00D86449" w:rsidRPr="008C74A3">
        <w:t>I</w:t>
      </w:r>
      <w:r w:rsidRPr="008C74A3">
        <w:t xml:space="preserve">ntegrated </w:t>
      </w:r>
      <w:r w:rsidR="00D86449" w:rsidRPr="008C74A3">
        <w:t>R</w:t>
      </w:r>
      <w:r w:rsidRPr="008C74A3">
        <w:t>eport that also includes financial performance</w:t>
      </w:r>
      <w:r w:rsidR="00265224" w:rsidRPr="008C74A3">
        <w:t xml:space="preserve">? </w:t>
      </w:r>
    </w:p>
    <w:p w14:paraId="56BC6AAD" w14:textId="21D4C830" w:rsidR="005B2025" w:rsidRPr="008C74A3" w:rsidRDefault="000E3E95" w:rsidP="00E8768C">
      <w:pPr>
        <w:spacing w:after="120"/>
      </w:pPr>
      <w:r w:rsidRPr="008C74A3">
        <w:t xml:space="preserve">That is left to the preparer’s discretion. If used to create an </w:t>
      </w:r>
      <w:r w:rsidR="00D86449" w:rsidRPr="008C74A3">
        <w:t>I</w:t>
      </w:r>
      <w:r w:rsidRPr="008C74A3">
        <w:t xml:space="preserve">ntegrated </w:t>
      </w:r>
      <w:r w:rsidR="00D86449" w:rsidRPr="008C74A3">
        <w:t>R</w:t>
      </w:r>
      <w:r w:rsidRPr="008C74A3">
        <w:t xml:space="preserve">eport, the content and structure should be preserved as much as possible, and the characteristics of useful information should apply both to the </w:t>
      </w:r>
      <w:proofErr w:type="gramStart"/>
      <w:r w:rsidRPr="008C74A3">
        <w:t>report as a whole</w:t>
      </w:r>
      <w:proofErr w:type="gramEnd"/>
      <w:r w:rsidRPr="008C74A3">
        <w:t xml:space="preserve"> (including financial information as well) and to the presentation of impact within the report. Preparers of </w:t>
      </w:r>
      <w:r w:rsidR="00D86449" w:rsidRPr="008C74A3">
        <w:t>I</w:t>
      </w:r>
      <w:r w:rsidRPr="008C74A3">
        <w:t xml:space="preserve">ntegrated </w:t>
      </w:r>
      <w:r w:rsidR="00D86449" w:rsidRPr="008C74A3">
        <w:t>R</w:t>
      </w:r>
      <w:r w:rsidRPr="008C74A3">
        <w:t xml:space="preserve">eports are encouraged to explore the connections between </w:t>
      </w:r>
      <w:r w:rsidRPr="008C74A3">
        <w:lastRenderedPageBreak/>
        <w:t>the financial and impact information disclosed.</w:t>
      </w:r>
      <w:r w:rsidRPr="008C74A3">
        <w:br/>
      </w:r>
    </w:p>
    <w:p w14:paraId="36750A6A" w14:textId="69BA731F" w:rsidR="000E3E95" w:rsidRPr="008C74A3" w:rsidRDefault="000E3E95" w:rsidP="00E8768C">
      <w:pPr>
        <w:pStyle w:val="ListParagraph"/>
        <w:numPr>
          <w:ilvl w:val="0"/>
          <w:numId w:val="29"/>
        </w:numPr>
        <w:spacing w:after="120"/>
        <w:ind w:leftChars="0"/>
      </w:pPr>
      <w:r w:rsidRPr="008C74A3">
        <w:t xml:space="preserve">Do I need to make </w:t>
      </w:r>
      <w:r w:rsidR="00B443CE" w:rsidRPr="008C74A3">
        <w:t>the</w:t>
      </w:r>
      <w:r w:rsidRPr="008C74A3">
        <w:t xml:space="preserve"> report publicly available?</w:t>
      </w:r>
    </w:p>
    <w:p w14:paraId="206C48B6" w14:textId="43C17063" w:rsidR="001C4B06" w:rsidRPr="008C74A3" w:rsidRDefault="000E3E95" w:rsidP="00E8768C">
      <w:pPr>
        <w:spacing w:after="120"/>
      </w:pPr>
      <w:r w:rsidRPr="008C74A3">
        <w:t xml:space="preserve">That is left to the preparer’s discretion. </w:t>
      </w:r>
      <w:r w:rsidR="00AC26D1" w:rsidRPr="008C74A3">
        <w:t xml:space="preserve">In principle, public availability of reports is desirable because it enhances transparency, communication with </w:t>
      </w:r>
      <w:r w:rsidR="00734B44" w:rsidRPr="008C74A3">
        <w:t>stakeholder</w:t>
      </w:r>
      <w:r w:rsidR="00AC26D1" w:rsidRPr="008C74A3">
        <w:t xml:space="preserve">s, and potentially, accountability for impact. However, in some </w:t>
      </w:r>
      <w:r w:rsidRPr="008C74A3">
        <w:t>cases,</w:t>
      </w:r>
      <w:r w:rsidR="00AC26D1" w:rsidRPr="008C74A3">
        <w:t xml:space="preserve"> publishing negative information about investees or other parties will create legal and/or ethical challenges. Moreover, the </w:t>
      </w:r>
      <w:r w:rsidR="0056067A" w:rsidRPr="008C74A3">
        <w:t xml:space="preserve">draft </w:t>
      </w:r>
      <w:r w:rsidR="00AC26D1" w:rsidRPr="008C74A3">
        <w:t>Norms are a voluntary standard. It</w:t>
      </w:r>
      <w:r w:rsidR="001C4B06" w:rsidRPr="008C74A3">
        <w:t xml:space="preserve"> may be that p</w:t>
      </w:r>
      <w:r w:rsidR="00AC26D1" w:rsidRPr="008C74A3">
        <w:t xml:space="preserve">rivate entities </w:t>
      </w:r>
      <w:r w:rsidR="001C4B06" w:rsidRPr="008C74A3">
        <w:t>will not</w:t>
      </w:r>
      <w:r w:rsidR="00AC26D1" w:rsidRPr="008C74A3">
        <w:t xml:space="preserve"> publish a full and faithful representation of their impacts until required to do so by regulation. </w:t>
      </w:r>
    </w:p>
    <w:p w14:paraId="7004CCB6" w14:textId="384DEC3A" w:rsidR="000E3E95" w:rsidRPr="008C74A3" w:rsidRDefault="00AC26D1" w:rsidP="00E8768C">
      <w:pPr>
        <w:spacing w:after="120"/>
      </w:pPr>
      <w:r w:rsidRPr="008C74A3">
        <w:t>We offer two pieces of guidance to preparers:</w:t>
      </w:r>
    </w:p>
    <w:p w14:paraId="4411754C" w14:textId="77777777" w:rsidR="00E8768C" w:rsidRPr="008C74A3" w:rsidRDefault="00E8768C" w:rsidP="00E8768C">
      <w:pPr>
        <w:pStyle w:val="ListParagraph"/>
        <w:numPr>
          <w:ilvl w:val="0"/>
          <w:numId w:val="43"/>
        </w:numPr>
        <w:spacing w:after="120"/>
        <w:ind w:leftChars="0"/>
      </w:pPr>
      <w:r w:rsidRPr="008C74A3">
        <w:t>Faithful (i.e., complete, neutral, and accurate) representations of impact provided privately to capital providers are preferred over less-faithful representations of impact made publicly available.</w:t>
      </w:r>
    </w:p>
    <w:p w14:paraId="0C6506EE" w14:textId="594711E8" w:rsidR="00AC26D1" w:rsidRPr="008C74A3" w:rsidRDefault="00AC26D1" w:rsidP="00E8768C">
      <w:pPr>
        <w:pStyle w:val="ListParagraph"/>
        <w:numPr>
          <w:ilvl w:val="0"/>
          <w:numId w:val="43"/>
        </w:numPr>
        <w:spacing w:after="120"/>
        <w:ind w:leftChars="0"/>
      </w:pPr>
      <w:r w:rsidRPr="008C74A3">
        <w:t>The greater the reliance of the preparer on public funding (including non-profits reliant on tax-exempt status), the more likely it will be appropriate for them to make impact performance reports in alignment with the Norms publicly available.</w:t>
      </w:r>
      <w:r w:rsidR="00BB30F6" w:rsidRPr="008C74A3">
        <w:br/>
      </w:r>
    </w:p>
    <w:p w14:paraId="5B36E10D" w14:textId="2182EAC3" w:rsidR="00287AC2" w:rsidRPr="008C74A3" w:rsidRDefault="00287AC2" w:rsidP="00E8768C">
      <w:pPr>
        <w:pStyle w:val="ListParagraph"/>
        <w:numPr>
          <w:ilvl w:val="0"/>
          <w:numId w:val="29"/>
        </w:numPr>
        <w:spacing w:after="120"/>
        <w:ind w:leftChars="0"/>
      </w:pPr>
      <w:r w:rsidRPr="008C74A3">
        <w:t>Do I need to update every section of the report every year?</w:t>
      </w:r>
    </w:p>
    <w:p w14:paraId="6082B985" w14:textId="67C5653A" w:rsidR="008B0110" w:rsidRPr="008C74A3" w:rsidRDefault="00287AC2" w:rsidP="00E8768C">
      <w:pPr>
        <w:spacing w:after="120"/>
        <w:rPr>
          <w:rFonts w:eastAsia="MS Mincho" w:cs="Arial"/>
        </w:rPr>
      </w:pPr>
      <w:r w:rsidRPr="008C74A3">
        <w:t xml:space="preserve">No. </w:t>
      </w:r>
      <w:r w:rsidR="00BB30F6" w:rsidRPr="008C74A3">
        <w:t>P</w:t>
      </w:r>
      <w:r w:rsidRPr="008C74A3">
        <w:t xml:space="preserve">reparers </w:t>
      </w:r>
      <w:r w:rsidR="00BB30F6" w:rsidRPr="008C74A3">
        <w:t>would</w:t>
      </w:r>
      <w:r w:rsidRPr="008C74A3">
        <w:t xml:space="preserve"> need to update 3</w:t>
      </w:r>
      <w:r w:rsidR="00555D25" w:rsidRPr="008C74A3">
        <w:t xml:space="preserve">. </w:t>
      </w:r>
      <w:r w:rsidR="00BB30F6" w:rsidRPr="008C74A3">
        <w:t>Performance and, if desired,</w:t>
      </w:r>
      <w:r w:rsidRPr="008C74A3">
        <w:t xml:space="preserve"> </w:t>
      </w:r>
      <w:r w:rsidR="00555D25" w:rsidRPr="008C74A3">
        <w:t>5.</w:t>
      </w:r>
      <w:r w:rsidRPr="008C74A3">
        <w:t xml:space="preserve"> Case Stud</w:t>
      </w:r>
      <w:r w:rsidR="0056067A" w:rsidRPr="008C74A3">
        <w:t>y</w:t>
      </w:r>
      <w:r w:rsidRPr="008C74A3">
        <w:t xml:space="preserve"> every year. </w:t>
      </w:r>
      <w:r w:rsidR="00E8768C" w:rsidRPr="008C74A3">
        <w:t>P</w:t>
      </w:r>
      <w:r w:rsidRPr="008C74A3">
        <w:t xml:space="preserve">reparers can </w:t>
      </w:r>
      <w:r w:rsidR="00BB30F6" w:rsidRPr="008C74A3">
        <w:t xml:space="preserve">update </w:t>
      </w:r>
      <w:r w:rsidR="00E8768C" w:rsidRPr="008C74A3">
        <w:t xml:space="preserve">other sections </w:t>
      </w:r>
      <w:proofErr w:type="gramStart"/>
      <w:r w:rsidR="00BB30F6" w:rsidRPr="008C74A3">
        <w:t>if and when</w:t>
      </w:r>
      <w:proofErr w:type="gramEnd"/>
      <w:r w:rsidR="00BB30F6" w:rsidRPr="008C74A3">
        <w:t xml:space="preserve"> </w:t>
      </w:r>
      <w:r w:rsidRPr="008C74A3">
        <w:t xml:space="preserve">reported information has changed significantly from the previous year. </w:t>
      </w:r>
      <w:r w:rsidR="00BB30F6" w:rsidRPr="008C74A3">
        <w:rPr>
          <w:rFonts w:eastAsia="MS Mincho" w:cs="Arial"/>
        </w:rPr>
        <w:t xml:space="preserve">Notably, </w:t>
      </w:r>
      <w:r w:rsidRPr="008C74A3">
        <w:rPr>
          <w:rFonts w:eastAsia="MS Mincho" w:cs="Arial"/>
        </w:rPr>
        <w:t>impact management</w:t>
      </w:r>
      <w:r w:rsidR="00BB30F6" w:rsidRPr="008C74A3">
        <w:rPr>
          <w:rFonts w:eastAsia="MS Mincho" w:cs="Arial"/>
        </w:rPr>
        <w:t xml:space="preserve"> </w:t>
      </w:r>
      <w:r w:rsidR="00E8768C" w:rsidRPr="008C74A3">
        <w:rPr>
          <w:rFonts w:eastAsia="MS Mincho" w:cs="Arial"/>
        </w:rPr>
        <w:t>is</w:t>
      </w:r>
      <w:r w:rsidRPr="008C74A3">
        <w:rPr>
          <w:rFonts w:eastAsia="MS Mincho" w:cs="Arial"/>
        </w:rPr>
        <w:t xml:space="preserve"> ongoing throughout the investment lifecycle</w:t>
      </w:r>
      <w:r w:rsidR="00BB30F6" w:rsidRPr="008C74A3">
        <w:rPr>
          <w:rFonts w:eastAsia="MS Mincho" w:cs="Arial"/>
        </w:rPr>
        <w:t>, regardless of when reports are published or updated.</w:t>
      </w:r>
      <w:r w:rsidR="008B0110" w:rsidRPr="008C74A3">
        <w:rPr>
          <w:rFonts w:eastAsia="MS Mincho" w:cs="Arial"/>
        </w:rPr>
        <w:br/>
      </w:r>
    </w:p>
    <w:p w14:paraId="7E0E4B66" w14:textId="313D615A" w:rsidR="00287AC2" w:rsidRPr="008C74A3" w:rsidRDefault="00287AC2" w:rsidP="00E8768C">
      <w:pPr>
        <w:pStyle w:val="ListParagraph"/>
        <w:numPr>
          <w:ilvl w:val="0"/>
          <w:numId w:val="29"/>
        </w:numPr>
        <w:spacing w:after="120"/>
        <w:ind w:leftChars="0"/>
        <w:rPr>
          <w:rFonts w:eastAsia="MS Mincho" w:cs="Arial"/>
        </w:rPr>
      </w:pPr>
      <w:r w:rsidRPr="008C74A3">
        <w:t>I cannot follow the whole structure from the first year.</w:t>
      </w:r>
    </w:p>
    <w:p w14:paraId="3DC60F61" w14:textId="2B50B1B7" w:rsidR="008B0110" w:rsidRPr="008C74A3" w:rsidRDefault="00287AC2" w:rsidP="00E8768C">
      <w:pPr>
        <w:spacing w:after="120"/>
      </w:pPr>
      <w:r w:rsidRPr="008C74A3">
        <w:t xml:space="preserve">It is not necessary to </w:t>
      </w:r>
      <w:r w:rsidR="00FB71C5" w:rsidRPr="008C74A3">
        <w:t>follow the whole</w:t>
      </w:r>
      <w:r w:rsidRPr="008C74A3">
        <w:t xml:space="preserve"> </w:t>
      </w:r>
      <w:r w:rsidR="00FB71C5" w:rsidRPr="008C74A3">
        <w:t xml:space="preserve">structure </w:t>
      </w:r>
      <w:r w:rsidRPr="008C74A3">
        <w:t xml:space="preserve">from the first year. The </w:t>
      </w:r>
      <w:r w:rsidR="008619D6" w:rsidRPr="008C74A3">
        <w:t>d</w:t>
      </w:r>
      <w:r w:rsidRPr="008C74A3">
        <w:t xml:space="preserve">raft Norms are intentionally aspirational, and we recognize that many </w:t>
      </w:r>
      <w:r w:rsidR="00FB71C5" w:rsidRPr="008C74A3">
        <w:t xml:space="preserve">investors </w:t>
      </w:r>
      <w:r w:rsidRPr="008C74A3">
        <w:t xml:space="preserve">will not be able to provide all suggested content at first. Preparers are encouraged to use the </w:t>
      </w:r>
      <w:r w:rsidR="008619D6" w:rsidRPr="008C74A3">
        <w:t>d</w:t>
      </w:r>
      <w:r w:rsidRPr="008C74A3">
        <w:t xml:space="preserve">raft Norms to prepare their </w:t>
      </w:r>
      <w:r w:rsidR="005D1B05" w:rsidRPr="008C74A3">
        <w:t>i</w:t>
      </w:r>
      <w:r w:rsidRPr="008C74A3">
        <w:t xml:space="preserve">mpact </w:t>
      </w:r>
      <w:r w:rsidR="005D1B05" w:rsidRPr="008C74A3">
        <w:t>p</w:t>
      </w:r>
      <w:r w:rsidRPr="008C74A3">
        <w:t xml:space="preserve">erformance </w:t>
      </w:r>
      <w:r w:rsidR="005D1B05" w:rsidRPr="008C74A3">
        <w:t>r</w:t>
      </w:r>
      <w:r w:rsidRPr="008C74A3">
        <w:t xml:space="preserve">eport to the best of their ability under this new format using the data they have available. Particularly in the first few years of reporting, many </w:t>
      </w:r>
      <w:r w:rsidR="00FB71C5" w:rsidRPr="008C74A3">
        <w:t>preparers</w:t>
      </w:r>
      <w:r w:rsidRPr="008C74A3">
        <w:t xml:space="preserve"> may only partially be able to complete some sections. It is recommended that preparers take note of any additional data they might need to collect when first reviewing the </w:t>
      </w:r>
      <w:r w:rsidR="008619D6" w:rsidRPr="008C74A3">
        <w:t>d</w:t>
      </w:r>
      <w:r w:rsidRPr="008C74A3">
        <w:t xml:space="preserve">raft Reporting Norms and create a plan to be able to complete all sections within a reasonable timeframe. This timeframe may vary depending on the point in the fund’s lifecycle, limited partnership agreements, and </w:t>
      </w:r>
      <w:r w:rsidR="00B443CE" w:rsidRPr="008C74A3">
        <w:t>resources available</w:t>
      </w:r>
      <w:r w:rsidRPr="008C74A3">
        <w:t xml:space="preserve">. </w:t>
      </w:r>
      <w:r w:rsidR="00FB71C5" w:rsidRPr="008C74A3">
        <w:t>Report preparers</w:t>
      </w:r>
      <w:r w:rsidRPr="008C74A3">
        <w:t xml:space="preserve"> can also </w:t>
      </w:r>
      <w:r w:rsidR="00B443CE" w:rsidRPr="008C74A3">
        <w:t>engage with</w:t>
      </w:r>
      <w:r w:rsidRPr="008C74A3">
        <w:t xml:space="preserve"> their </w:t>
      </w:r>
      <w:r w:rsidR="00FB71C5" w:rsidRPr="008C74A3">
        <w:t>report users (i.e., capital providers)</w:t>
      </w:r>
      <w:r w:rsidRPr="008C74A3">
        <w:t xml:space="preserve"> to clarify expectations and discuss and agree on data needs with investees. Ideally, </w:t>
      </w:r>
      <w:r w:rsidR="00FB71C5" w:rsidRPr="008C74A3">
        <w:t>preparers</w:t>
      </w:r>
      <w:r w:rsidRPr="008C74A3">
        <w:t xml:space="preserve"> w</w:t>
      </w:r>
      <w:r w:rsidR="00FB71C5" w:rsidRPr="008C74A3">
        <w:t>ould</w:t>
      </w:r>
      <w:r w:rsidRPr="008C74A3">
        <w:t xml:space="preserve"> be able to cover all content within three years.</w:t>
      </w:r>
      <w:r w:rsidR="008B0110" w:rsidRPr="008C74A3">
        <w:br/>
      </w:r>
    </w:p>
    <w:p w14:paraId="243DECF8" w14:textId="51BE8109" w:rsidR="00287AC2" w:rsidRPr="008C74A3" w:rsidRDefault="00287AC2" w:rsidP="00E8768C">
      <w:pPr>
        <w:pStyle w:val="ListParagraph"/>
        <w:numPr>
          <w:ilvl w:val="0"/>
          <w:numId w:val="29"/>
        </w:numPr>
        <w:spacing w:after="120"/>
        <w:ind w:leftChars="0"/>
      </w:pPr>
      <w:r w:rsidRPr="008C74A3">
        <w:t>What if I (</w:t>
      </w:r>
      <w:r w:rsidR="00FB71C5" w:rsidRPr="008C74A3">
        <w:t>report preparer</w:t>
      </w:r>
      <w:r w:rsidRPr="008C74A3">
        <w:t>) manage multiple funds? Do I need to create one report for each fund?</w:t>
      </w:r>
    </w:p>
    <w:p w14:paraId="189E2861" w14:textId="79E02C59" w:rsidR="008B0110" w:rsidRPr="008C74A3" w:rsidRDefault="00B443CE" w:rsidP="00E8768C">
      <w:pPr>
        <w:spacing w:after="120"/>
      </w:pPr>
      <w:r w:rsidRPr="008C74A3">
        <w:t xml:space="preserve">Some information about multiple funds may </w:t>
      </w:r>
      <w:r w:rsidR="00287AC2" w:rsidRPr="008C74A3">
        <w:t xml:space="preserve">be described collectively, while other information should be described separately. For example, </w:t>
      </w:r>
      <w:r w:rsidR="005055AD" w:rsidRPr="008C74A3">
        <w:t>1.</w:t>
      </w:r>
      <w:r w:rsidR="00037A30" w:rsidRPr="008C74A3">
        <w:t xml:space="preserve"> </w:t>
      </w:r>
      <w:r w:rsidR="005055AD" w:rsidRPr="008C74A3">
        <w:t>I</w:t>
      </w:r>
      <w:r w:rsidR="00287AC2" w:rsidRPr="008C74A3">
        <w:t xml:space="preserve">nvestor </w:t>
      </w:r>
      <w:r w:rsidR="005055AD" w:rsidRPr="008C74A3">
        <w:t>O</w:t>
      </w:r>
      <w:r w:rsidR="00287AC2" w:rsidRPr="008C74A3">
        <w:t>verview</w:t>
      </w:r>
      <w:r w:rsidR="005055AD" w:rsidRPr="008C74A3">
        <w:t xml:space="preserve"> </w:t>
      </w:r>
      <w:r w:rsidR="008B0110" w:rsidRPr="008C74A3">
        <w:t xml:space="preserve">may be common to multiple funds within an </w:t>
      </w:r>
      <w:r w:rsidR="008B0110" w:rsidRPr="008C74A3">
        <w:lastRenderedPageBreak/>
        <w:t>organization, whereas</w:t>
      </w:r>
      <w:r w:rsidR="00287AC2" w:rsidRPr="008C74A3">
        <w:t xml:space="preserve"> the impact thesis and performance</w:t>
      </w:r>
      <w:r w:rsidR="008B0110" w:rsidRPr="008C74A3">
        <w:t xml:space="preserve"> would be separate </w:t>
      </w:r>
      <w:r w:rsidR="00287AC2" w:rsidRPr="008C74A3">
        <w:t>for each fund.</w:t>
      </w:r>
      <w:r w:rsidR="008B0110" w:rsidRPr="008C74A3">
        <w:br/>
      </w:r>
    </w:p>
    <w:p w14:paraId="23A8DF0C" w14:textId="412A409F" w:rsidR="00287AC2" w:rsidRPr="008C74A3" w:rsidRDefault="00287AC2" w:rsidP="00E8768C">
      <w:pPr>
        <w:pStyle w:val="ListParagraph"/>
        <w:numPr>
          <w:ilvl w:val="0"/>
          <w:numId w:val="29"/>
        </w:numPr>
        <w:spacing w:after="120"/>
        <w:ind w:leftChars="0"/>
      </w:pPr>
      <w:r w:rsidRPr="008C74A3">
        <w:t>Our current impact report includes interviews and photos. Can those be included in the impact performance report?</w:t>
      </w:r>
    </w:p>
    <w:p w14:paraId="08146480" w14:textId="01BF2E4B" w:rsidR="0083031C" w:rsidRPr="008C74A3" w:rsidRDefault="00287AC2" w:rsidP="00E8768C">
      <w:pPr>
        <w:spacing w:after="120"/>
      </w:pPr>
      <w:r w:rsidRPr="008C74A3">
        <w:t xml:space="preserve">For maximum consistency, comparability, and decision-usefulness for primary users, asset managers </w:t>
      </w:r>
      <w:r w:rsidR="00E8768C" w:rsidRPr="008C74A3">
        <w:t>are encouraged to</w:t>
      </w:r>
      <w:r w:rsidRPr="008C74A3">
        <w:t xml:space="preserve"> follow the report structure in the </w:t>
      </w:r>
      <w:r w:rsidR="008619D6" w:rsidRPr="008C74A3">
        <w:t>d</w:t>
      </w:r>
      <w:r w:rsidRPr="008C74A3">
        <w:t xml:space="preserve">raft Reporting Norms and employ a text-only format with common formatting rules. See </w:t>
      </w:r>
      <w:r w:rsidR="005D1B05" w:rsidRPr="008C74A3">
        <w:t>Section 2, note on formatting</w:t>
      </w:r>
      <w:r w:rsidRPr="008C74A3">
        <w:t>.</w:t>
      </w:r>
      <w:r w:rsidR="0083031C" w:rsidRPr="008C74A3">
        <w:br/>
      </w:r>
    </w:p>
    <w:p w14:paraId="281428E9" w14:textId="479A1E71" w:rsidR="00287AC2" w:rsidRPr="008C74A3" w:rsidRDefault="00287AC2" w:rsidP="00E8768C">
      <w:pPr>
        <w:pStyle w:val="ListParagraph"/>
        <w:numPr>
          <w:ilvl w:val="0"/>
          <w:numId w:val="29"/>
        </w:numPr>
        <w:spacing w:after="120"/>
        <w:ind w:leftChars="0"/>
      </w:pPr>
      <w:r w:rsidRPr="008C74A3">
        <w:t>I typically report only on impacts that are material to investors’ estimates of financial risk and return. For this approach to impact reporting would I need to expand my definition of materiality?</w:t>
      </w:r>
    </w:p>
    <w:p w14:paraId="28723482" w14:textId="02015597" w:rsidR="00287AC2" w:rsidRPr="008C74A3" w:rsidRDefault="00287AC2" w:rsidP="00E8768C">
      <w:pPr>
        <w:spacing w:after="120"/>
      </w:pPr>
      <w:r w:rsidRPr="008C74A3">
        <w:t xml:space="preserve">Yes. </w:t>
      </w:r>
      <w:r w:rsidR="0083031C" w:rsidRPr="008C74A3">
        <w:t xml:space="preserve">As noted, the primary users of an entity’s impact performance report are assumed to be its providers of capital (i.e., asset owners and allocators), though there are many other users as well. The objective of the impact performance report is assumed to be to provide information about the impact of the entity and its investees on the </w:t>
      </w:r>
      <w:r w:rsidR="00734B44" w:rsidRPr="008C74A3">
        <w:t>stakeholder</w:t>
      </w:r>
      <w:r w:rsidR="0083031C" w:rsidRPr="008C74A3">
        <w:t xml:space="preserve">s and/or aspects of the natural environment experiencing the impact, so that asset owners and allocators can make decisions that are informed by the interests and experiences of </w:t>
      </w:r>
      <w:r w:rsidR="00734B44" w:rsidRPr="008C74A3">
        <w:t>stakeholder</w:t>
      </w:r>
      <w:r w:rsidR="0083031C" w:rsidRPr="008C74A3">
        <w:t>s and the natural environment about whether and how to provide or withdraw capital and/or non-financial engagement to the entity.</w:t>
      </w:r>
    </w:p>
    <w:p w14:paraId="6CDB08F1" w14:textId="27173CEE" w:rsidR="0083031C" w:rsidRPr="008C74A3" w:rsidRDefault="0083031C" w:rsidP="00E8768C">
      <w:pPr>
        <w:spacing w:after="120"/>
      </w:pPr>
      <w:r w:rsidRPr="008C74A3">
        <w:t xml:space="preserve">An </w:t>
      </w:r>
      <w:r w:rsidR="00287AC2" w:rsidRPr="008C74A3">
        <w:t xml:space="preserve">impact performance report would </w:t>
      </w:r>
      <w:r w:rsidRPr="008C74A3">
        <w:t xml:space="preserve">typically </w:t>
      </w:r>
      <w:r w:rsidR="00287AC2" w:rsidRPr="008C74A3">
        <w:t xml:space="preserve">include information about outcomes and impacts of enterprises and investments that are significant to the </w:t>
      </w:r>
      <w:r w:rsidR="00734B44" w:rsidRPr="008C74A3">
        <w:t>stakeholder</w:t>
      </w:r>
      <w:r w:rsidR="00287AC2" w:rsidRPr="008C74A3">
        <w:t>s and aspects of the natural environment experiencing them. Existing financial reports include information that is material to investors’ estimates of enterprise value. There is considerable overlap between the two sets of information, but debate remains about the degree of overlap.</w:t>
      </w:r>
      <w:r w:rsidRPr="008C74A3">
        <w:t xml:space="preserve"> S</w:t>
      </w:r>
      <w:r w:rsidR="00287AC2" w:rsidRPr="008C74A3">
        <w:t xml:space="preserve">ince the target audience of the </w:t>
      </w:r>
      <w:r w:rsidR="008619D6" w:rsidRPr="008C74A3">
        <w:t>d</w:t>
      </w:r>
      <w:r w:rsidR="00287AC2" w:rsidRPr="008C74A3">
        <w:t xml:space="preserve">raft Norms is impact investors publishing impact performance reports, including impacts that are significant from the perspective of </w:t>
      </w:r>
      <w:r w:rsidR="00734B44" w:rsidRPr="008C74A3">
        <w:t>stakeholder</w:t>
      </w:r>
      <w:r w:rsidR="00287AC2" w:rsidRPr="008C74A3">
        <w:t xml:space="preserve">s and the natural environment </w:t>
      </w:r>
      <w:r w:rsidR="008B0110" w:rsidRPr="008C74A3">
        <w:t>is</w:t>
      </w:r>
      <w:r w:rsidR="00287AC2" w:rsidRPr="008C74A3">
        <w:t xml:space="preserve"> appropriate.</w:t>
      </w:r>
      <w:r w:rsidRPr="008C74A3">
        <w:br/>
      </w:r>
    </w:p>
    <w:p w14:paraId="2F9D0EEE" w14:textId="2B99F468" w:rsidR="00287AC2" w:rsidRPr="008C74A3" w:rsidRDefault="00287AC2" w:rsidP="00E8768C">
      <w:pPr>
        <w:pStyle w:val="ListParagraph"/>
        <w:numPr>
          <w:ilvl w:val="0"/>
          <w:numId w:val="29"/>
        </w:numPr>
        <w:spacing w:after="120"/>
        <w:ind w:leftChars="0"/>
      </w:pPr>
      <w:r w:rsidRPr="008C74A3">
        <w:t xml:space="preserve">What can </w:t>
      </w:r>
      <w:r w:rsidR="00E8768C" w:rsidRPr="008C74A3">
        <w:t>entities</w:t>
      </w:r>
      <w:r w:rsidRPr="008C74A3">
        <w:t xml:space="preserve"> do to increase the likelihood of receiving quality data on outcomes</w:t>
      </w:r>
      <w:r w:rsidR="00E8768C" w:rsidRPr="008C74A3">
        <w:t xml:space="preserve"> from investees</w:t>
      </w:r>
      <w:r w:rsidRPr="008C74A3">
        <w:t>?</w:t>
      </w:r>
    </w:p>
    <w:p w14:paraId="6A23D254" w14:textId="4E75FC8A" w:rsidR="00E0200B" w:rsidRPr="008C74A3" w:rsidRDefault="00E8768C" w:rsidP="00E8768C">
      <w:pPr>
        <w:spacing w:after="120"/>
      </w:pPr>
      <w:r w:rsidRPr="008C74A3">
        <w:t>Entities</w:t>
      </w:r>
      <w:r w:rsidR="00287AC2" w:rsidRPr="008C74A3">
        <w:t xml:space="preserve"> and investees can agree on expectations regarding material outcomes and </w:t>
      </w:r>
      <w:r w:rsidR="00734B44" w:rsidRPr="008C74A3">
        <w:t>stakeholder</w:t>
      </w:r>
      <w:r w:rsidR="00287AC2" w:rsidRPr="008C74A3">
        <w:t xml:space="preserve"> engagement and what data needs to be reported.  This can be documented in the investment term sheet. </w:t>
      </w:r>
      <w:r w:rsidRPr="008C74A3">
        <w:t xml:space="preserve">Entities </w:t>
      </w:r>
      <w:r w:rsidR="00287AC2" w:rsidRPr="008C74A3">
        <w:t xml:space="preserve">may choose to assist investees with </w:t>
      </w:r>
      <w:r w:rsidR="00734B44" w:rsidRPr="008C74A3">
        <w:t>stakeholder</w:t>
      </w:r>
      <w:r w:rsidR="00287AC2" w:rsidRPr="008C74A3">
        <w:t xml:space="preserve"> engagement by allocating resources such as covering incentive costs for surveys or providing meeting space for focus groups. They may require that investees document and report back on the process of </w:t>
      </w:r>
      <w:r w:rsidR="00734B44" w:rsidRPr="008C74A3">
        <w:t>stakeholder</w:t>
      </w:r>
      <w:r w:rsidR="00287AC2" w:rsidRPr="008C74A3">
        <w:t xml:space="preserve"> engagement, including how any lessons learned will be implemented to improve the process going forward. </w:t>
      </w:r>
      <w:r w:rsidRPr="008C74A3">
        <w:t>D</w:t>
      </w:r>
      <w:r w:rsidR="00287AC2" w:rsidRPr="008C74A3">
        <w:t>ata expectations should be commensurate with the size and capacities of the underlying investees.</w:t>
      </w:r>
      <w:r w:rsidR="00E0200B" w:rsidRPr="008C74A3">
        <w:br w:type="page"/>
      </w:r>
    </w:p>
    <w:p w14:paraId="08C1011D" w14:textId="7BA15C23" w:rsidR="002E1308" w:rsidRPr="008C74A3" w:rsidRDefault="002D7106" w:rsidP="00FD6EC1">
      <w:pPr>
        <w:pStyle w:val="Heading2"/>
      </w:pPr>
      <w:bookmarkStart w:id="60" w:name="_Toc148384196"/>
      <w:r w:rsidRPr="008C74A3">
        <w:lastRenderedPageBreak/>
        <w:t>Resources Referenced</w:t>
      </w:r>
      <w:bookmarkEnd w:id="60"/>
    </w:p>
    <w:p w14:paraId="00A659DA" w14:textId="074CD96B" w:rsidR="002E1308" w:rsidRPr="008C74A3" w:rsidRDefault="002E1308" w:rsidP="002E1308">
      <w:pPr>
        <w:ind w:left="720" w:hanging="720"/>
        <w:contextualSpacing/>
      </w:pPr>
      <w:r w:rsidRPr="008C74A3">
        <w:t xml:space="preserve">BlueMark, “Raising the Bar: Aligning on the Key Elements of Impact Performance Reporting,” </w:t>
      </w:r>
      <w:r w:rsidR="00402011" w:rsidRPr="008C74A3">
        <w:t>2022.</w:t>
      </w:r>
    </w:p>
    <w:p w14:paraId="08D1B180" w14:textId="6AFC2293" w:rsidR="002E1308" w:rsidRPr="008C74A3" w:rsidRDefault="002E1308" w:rsidP="002E1308">
      <w:pPr>
        <w:ind w:left="720" w:hanging="720"/>
        <w:contextualSpacing/>
      </w:pPr>
      <w:r w:rsidRPr="008C74A3">
        <w:t xml:space="preserve">Capitals Coalition. “Social &amp; Human Capital Protocol,” </w:t>
      </w:r>
      <w:hyperlink r:id="rId31" w:history="1">
        <w:r w:rsidR="00402011" w:rsidRPr="008C74A3">
          <w:rPr>
            <w:rStyle w:val="Hyperlink"/>
          </w:rPr>
          <w:t>https://capitalscoalition.org/wp-content/uploads/2021/01/Social_and_Human_Capital_Protocol.pdf</w:t>
        </w:r>
      </w:hyperlink>
      <w:r w:rsidR="00402011" w:rsidRPr="008C74A3">
        <w:t xml:space="preserve">. </w:t>
      </w:r>
    </w:p>
    <w:p w14:paraId="6F9342E8" w14:textId="70A7FC11" w:rsidR="002E1308" w:rsidRPr="008C74A3" w:rsidRDefault="002E1308" w:rsidP="002E1308">
      <w:pPr>
        <w:ind w:left="720" w:hanging="720"/>
        <w:contextualSpacing/>
      </w:pPr>
      <w:r w:rsidRPr="008C74A3">
        <w:t>CDP Worldwide. “Guidance for Companies.”</w:t>
      </w:r>
      <w:r w:rsidR="00402011" w:rsidRPr="008C74A3">
        <w:t xml:space="preserve"> </w:t>
      </w:r>
      <w:hyperlink r:id="rId32" w:history="1">
        <w:r w:rsidR="00402011" w:rsidRPr="008C74A3">
          <w:rPr>
            <w:rStyle w:val="Hyperlink"/>
          </w:rPr>
          <w:t>https://www.cdp.net/en/guidance/guidance-for-companies</w:t>
        </w:r>
      </w:hyperlink>
      <w:r w:rsidR="00402011" w:rsidRPr="008C74A3">
        <w:t xml:space="preserve">. </w:t>
      </w:r>
    </w:p>
    <w:p w14:paraId="7F7AA797" w14:textId="5DD517E8" w:rsidR="002E1308" w:rsidRPr="008C74A3" w:rsidRDefault="002E1308" w:rsidP="002E1308">
      <w:pPr>
        <w:ind w:left="720" w:hanging="720"/>
        <w:contextualSpacing/>
      </w:pPr>
      <w:r w:rsidRPr="008C74A3">
        <w:t>Climate Disclosure Standards Board. “CDSB Framework for Reporting Environmental Information, Natural Capital and Associated Business Impacts.”</w:t>
      </w:r>
      <w:r w:rsidR="00402011" w:rsidRPr="008C74A3">
        <w:t xml:space="preserve"> </w:t>
      </w:r>
      <w:hyperlink r:id="rId33" w:history="1">
        <w:r w:rsidR="00402011" w:rsidRPr="008C74A3">
          <w:rPr>
            <w:rStyle w:val="Hyperlink"/>
          </w:rPr>
          <w:t>https://www.cdsb.net/sites/default/files/cdsb_framework_2.1.pdf</w:t>
        </w:r>
      </w:hyperlink>
      <w:r w:rsidR="00402011" w:rsidRPr="008C74A3">
        <w:t xml:space="preserve"> </w:t>
      </w:r>
    </w:p>
    <w:p w14:paraId="1F7C4444" w14:textId="18E9E4F5" w:rsidR="002E1308" w:rsidRPr="008C74A3" w:rsidRDefault="002E1308" w:rsidP="002E1308">
      <w:pPr>
        <w:ind w:left="720" w:hanging="720"/>
        <w:contextualSpacing/>
      </w:pPr>
      <w:r w:rsidRPr="008C74A3">
        <w:t xml:space="preserve">Global Impact Investing Network, “Contributing Data,” </w:t>
      </w:r>
      <w:hyperlink r:id="rId34" w:history="1">
        <w:r w:rsidR="00402011" w:rsidRPr="008C74A3">
          <w:rPr>
            <w:rStyle w:val="Hyperlink"/>
          </w:rPr>
          <w:t>https://iris.thegiin.org/contributing-data/</w:t>
        </w:r>
      </w:hyperlink>
      <w:r w:rsidR="00402011" w:rsidRPr="008C74A3">
        <w:t xml:space="preserve">. </w:t>
      </w:r>
    </w:p>
    <w:p w14:paraId="7D53BAA4" w14:textId="1D46B5B1" w:rsidR="002E1308" w:rsidRPr="008C74A3" w:rsidRDefault="002E1308" w:rsidP="002E1308">
      <w:pPr>
        <w:ind w:left="720" w:hanging="720"/>
        <w:contextualSpacing/>
      </w:pPr>
      <w:r w:rsidRPr="008C74A3">
        <w:t xml:space="preserve">Global Impact Investing Network, “IRIS+ to Incorporate Stakeholder Voice”,  </w:t>
      </w:r>
      <w:hyperlink r:id="rId35" w:history="1">
        <w:r w:rsidR="00402011" w:rsidRPr="008C74A3">
          <w:rPr>
            <w:rStyle w:val="Hyperlink"/>
          </w:rPr>
          <w:t>https://s3.amazonaws.com/giin-web-assets/iris/assets/files/guidance/2019-02-25_IRIS-%20HT-Stakeholders%20Voice-R10.pdf</w:t>
        </w:r>
      </w:hyperlink>
      <w:r w:rsidR="00402011" w:rsidRPr="008C74A3">
        <w:t xml:space="preserve">. </w:t>
      </w:r>
    </w:p>
    <w:p w14:paraId="102C32E5" w14:textId="692313C8" w:rsidR="002E1308" w:rsidRPr="008C74A3" w:rsidRDefault="002E1308" w:rsidP="002E1308">
      <w:pPr>
        <w:ind w:left="720" w:hanging="720"/>
        <w:contextualSpacing/>
      </w:pPr>
      <w:r w:rsidRPr="008C74A3">
        <w:t>Global Impact Investing Network, “COMPASS: Methodology for Comparing and Assessing Impact</w:t>
      </w:r>
      <w:r w:rsidR="00402011" w:rsidRPr="008C74A3">
        <w:t>.</w:t>
      </w:r>
      <w:r w:rsidRPr="008C74A3">
        <w:t>”</w:t>
      </w:r>
    </w:p>
    <w:p w14:paraId="0AA944B3" w14:textId="5536C073" w:rsidR="002E1308" w:rsidRPr="008C74A3" w:rsidRDefault="002E1308" w:rsidP="002E1308">
      <w:pPr>
        <w:ind w:left="720" w:hanging="720"/>
        <w:contextualSpacing/>
      </w:pPr>
      <w:r w:rsidRPr="008C74A3">
        <w:t>Global Impact Investing Network. “IRIS+ Core Metric Sets,” 2023</w:t>
      </w:r>
      <w:r w:rsidR="00F85883" w:rsidRPr="008C74A3">
        <w:t>.</w:t>
      </w:r>
    </w:p>
    <w:p w14:paraId="1ABD41C6" w14:textId="1AC8B82B" w:rsidR="002E1308" w:rsidRPr="008C74A3" w:rsidRDefault="002E1308" w:rsidP="002E1308">
      <w:pPr>
        <w:ind w:left="720" w:hanging="720"/>
        <w:contextualSpacing/>
      </w:pPr>
      <w:r w:rsidRPr="008C74A3">
        <w:t>Global Reporting Initiative, “GRI 2: General Disclosures,” 2021</w:t>
      </w:r>
      <w:r w:rsidR="00F85883" w:rsidRPr="008C74A3">
        <w:t>.</w:t>
      </w:r>
    </w:p>
    <w:p w14:paraId="69910BFD" w14:textId="00AA3622" w:rsidR="002E1308" w:rsidRPr="008C74A3" w:rsidRDefault="002E1308" w:rsidP="002E1308">
      <w:pPr>
        <w:ind w:left="720" w:hanging="720"/>
        <w:contextualSpacing/>
      </w:pPr>
      <w:r w:rsidRPr="008C74A3">
        <w:t>Global Reporting Initiative, “GRI 3: Material Topics,” 2021.</w:t>
      </w:r>
    </w:p>
    <w:p w14:paraId="7C85D88D" w14:textId="529068B1" w:rsidR="002E1308" w:rsidRPr="008C74A3" w:rsidRDefault="002E1308" w:rsidP="002E1308">
      <w:pPr>
        <w:ind w:left="720" w:hanging="720"/>
        <w:contextualSpacing/>
      </w:pPr>
      <w:r w:rsidRPr="008C74A3">
        <w:t>Global Reporting Initiative. “GRI Standards English Language,” 2022</w:t>
      </w:r>
      <w:r w:rsidR="00402011" w:rsidRPr="008C74A3">
        <w:t>.</w:t>
      </w:r>
      <w:r w:rsidRPr="008C74A3">
        <w:t xml:space="preserve"> </w:t>
      </w:r>
    </w:p>
    <w:p w14:paraId="35D18BCA" w14:textId="750D54A0" w:rsidR="002E1308" w:rsidRPr="008C74A3" w:rsidRDefault="002E1308" w:rsidP="002E1308">
      <w:pPr>
        <w:ind w:left="720" w:hanging="720"/>
        <w:contextualSpacing/>
      </w:pPr>
      <w:r w:rsidRPr="008C74A3">
        <w:t>Gold Standard, “Climate Security and Sustainable Development Fund Certification Requirements,”2022</w:t>
      </w:r>
      <w:r w:rsidR="00402011" w:rsidRPr="008C74A3">
        <w:t>.</w:t>
      </w:r>
    </w:p>
    <w:p w14:paraId="42EC93E2" w14:textId="518C32D5" w:rsidR="002E1308" w:rsidRPr="008C74A3" w:rsidRDefault="002E1308" w:rsidP="002E1308">
      <w:pPr>
        <w:ind w:left="720" w:hanging="720"/>
        <w:contextualSpacing/>
      </w:pPr>
      <w:r w:rsidRPr="008C74A3">
        <w:t>Impact Frontiers, “Getting Started with Systems Mapping &amp; Impact Management,” 2023</w:t>
      </w:r>
      <w:r w:rsidR="00F85883" w:rsidRPr="008C74A3">
        <w:t>.</w:t>
      </w:r>
    </w:p>
    <w:p w14:paraId="08F2143B" w14:textId="06F2F83E" w:rsidR="002E1308" w:rsidRPr="008C74A3" w:rsidRDefault="002E1308" w:rsidP="002E1308">
      <w:pPr>
        <w:ind w:left="720" w:hanging="720"/>
        <w:contextualSpacing/>
      </w:pPr>
      <w:r w:rsidRPr="008C74A3">
        <w:t>Impact Frontiers, “Five Dimensions of Impact</w:t>
      </w:r>
      <w:r w:rsidR="00402011" w:rsidRPr="008C74A3">
        <w:t>.</w:t>
      </w:r>
      <w:r w:rsidRPr="008C74A3">
        <w:t>”</w:t>
      </w:r>
    </w:p>
    <w:p w14:paraId="49FEC7B7" w14:textId="45C0C1E8" w:rsidR="002E1308" w:rsidRPr="008C74A3" w:rsidRDefault="002E1308" w:rsidP="002E1308">
      <w:pPr>
        <w:ind w:left="720" w:hanging="720"/>
        <w:contextualSpacing/>
      </w:pPr>
      <w:r w:rsidRPr="008C74A3">
        <w:t>Impact Management Platform, “Actions of Impact Management</w:t>
      </w:r>
      <w:r w:rsidR="00402011" w:rsidRPr="008C74A3">
        <w:t>.</w:t>
      </w:r>
      <w:r w:rsidRPr="008C74A3">
        <w:t xml:space="preserve">” </w:t>
      </w:r>
    </w:p>
    <w:p w14:paraId="20165150" w14:textId="282E1073" w:rsidR="002E1308" w:rsidRPr="008C74A3" w:rsidRDefault="002E1308" w:rsidP="002E1308">
      <w:pPr>
        <w:ind w:left="720" w:hanging="720"/>
        <w:contextualSpacing/>
      </w:pPr>
      <w:r w:rsidRPr="008C74A3">
        <w:t xml:space="preserve">Institutional Limited Partners Association, “Due Diligence Questionnaire and Diversity Metrics Template,” </w:t>
      </w:r>
      <w:hyperlink r:id="rId36" w:history="1">
        <w:r w:rsidR="00402011" w:rsidRPr="008C74A3">
          <w:rPr>
            <w:rStyle w:val="Hyperlink"/>
          </w:rPr>
          <w:t>https://ilpa.org/due-diligence-questionnaire/</w:t>
        </w:r>
      </w:hyperlink>
      <w:r w:rsidR="00402011" w:rsidRPr="008C74A3">
        <w:t xml:space="preserve">. </w:t>
      </w:r>
    </w:p>
    <w:p w14:paraId="133A3AB0" w14:textId="77928980" w:rsidR="002E1308" w:rsidRPr="008C74A3" w:rsidRDefault="002E1308" w:rsidP="002E1308">
      <w:pPr>
        <w:ind w:left="720" w:hanging="720"/>
        <w:contextualSpacing/>
      </w:pPr>
      <w:r w:rsidRPr="008C74A3">
        <w:t xml:space="preserve">International Finance Corporation, “IFC Performance Standards on Environmental and Social Sustainability,” Infrastructure Tool Navigator, </w:t>
      </w:r>
      <w:hyperlink r:id="rId37" w:history="1">
        <w:r w:rsidR="00402011" w:rsidRPr="008C74A3">
          <w:rPr>
            <w:rStyle w:val="Hyperlink"/>
          </w:rPr>
          <w:t>https://sustainable-infrastructure-tools.org/tools/performance-standards-on-environmental-and-social-sustainability/</w:t>
        </w:r>
      </w:hyperlink>
      <w:r w:rsidR="00402011" w:rsidRPr="008C74A3">
        <w:t xml:space="preserve">. </w:t>
      </w:r>
    </w:p>
    <w:p w14:paraId="3BEA367F" w14:textId="7D959A3A" w:rsidR="002E1308" w:rsidRPr="008C74A3" w:rsidRDefault="002E1308" w:rsidP="002E1308">
      <w:pPr>
        <w:ind w:left="720" w:hanging="720"/>
        <w:contextualSpacing/>
      </w:pPr>
      <w:r w:rsidRPr="008C74A3">
        <w:t xml:space="preserve">International Finance Corporation, “Operating Principles for Impact Management,” June 2021, </w:t>
      </w:r>
      <w:hyperlink r:id="rId38" w:history="1">
        <w:r w:rsidR="00402011" w:rsidRPr="008C74A3">
          <w:rPr>
            <w:rStyle w:val="Hyperlink"/>
          </w:rPr>
          <w:t>https://www.impactprinciples.org/sites/default/files/2021-06/Impact%20Principles%20Brochure%20Revised.pdf</w:t>
        </w:r>
      </w:hyperlink>
      <w:r w:rsidR="00402011" w:rsidRPr="008C74A3">
        <w:t xml:space="preserve">. </w:t>
      </w:r>
    </w:p>
    <w:p w14:paraId="233987B2" w14:textId="5728D3F2" w:rsidR="002E1308" w:rsidRPr="008C74A3" w:rsidRDefault="002E1308" w:rsidP="002E1308">
      <w:pPr>
        <w:ind w:left="720" w:hanging="720"/>
        <w:contextualSpacing/>
      </w:pPr>
      <w:r w:rsidRPr="008C74A3">
        <w:t xml:space="preserve">International Finance Reporting Standards Foundation. “S1 General Requirements for Disclosure of Sustainability-Related Financial Information.” </w:t>
      </w:r>
      <w:hyperlink r:id="rId39" w:anchor="about" w:history="1">
        <w:r w:rsidR="00402011" w:rsidRPr="008C74A3">
          <w:rPr>
            <w:rStyle w:val="Hyperlink"/>
          </w:rPr>
          <w:t>https://www.ifrs.org/issued-standards/ifrs-sustainability-standards-navigator/ifrs-s1-general-requirements/#about</w:t>
        </w:r>
      </w:hyperlink>
      <w:r w:rsidR="00402011" w:rsidRPr="008C74A3">
        <w:t xml:space="preserve">. </w:t>
      </w:r>
    </w:p>
    <w:p w14:paraId="71177E2B" w14:textId="5FFA3FD8" w:rsidR="002E1308" w:rsidRPr="008C74A3" w:rsidRDefault="002E1308" w:rsidP="002E1308">
      <w:pPr>
        <w:ind w:left="720" w:hanging="720"/>
        <w:contextualSpacing/>
      </w:pPr>
      <w:r w:rsidRPr="008C74A3">
        <w:t xml:space="preserve">International Integrated Reporting Council. “Materiality Background Paper For &lt;IR&gt;,” 2013. </w:t>
      </w:r>
      <w:hyperlink r:id="rId40" w:history="1">
        <w:r w:rsidR="00402011" w:rsidRPr="008C74A3">
          <w:rPr>
            <w:rStyle w:val="Hyperlink"/>
          </w:rPr>
          <w:t>https://static1.squarespace.com/static/60dc51e3c58aef413ae5c975/t/6182616fde447d580b15232b/1635934577686/IR-Background-Paper-Materiality.pdf</w:t>
        </w:r>
      </w:hyperlink>
      <w:r w:rsidR="00402011" w:rsidRPr="008C74A3">
        <w:t xml:space="preserve">. </w:t>
      </w:r>
    </w:p>
    <w:p w14:paraId="072EED43" w14:textId="4B71EFA7" w:rsidR="00402011" w:rsidRPr="008C74A3" w:rsidRDefault="00402011" w:rsidP="00402011">
      <w:pPr>
        <w:ind w:left="720" w:hanging="720"/>
        <w:contextualSpacing/>
      </w:pPr>
      <w:r w:rsidRPr="008C74A3">
        <w:t xml:space="preserve">OECD, “Glossary of Key Terms in Evaluation and Results Based Management,” n.d., </w:t>
      </w:r>
      <w:hyperlink r:id="rId41" w:history="1">
        <w:r w:rsidRPr="008C74A3">
          <w:rPr>
            <w:rStyle w:val="Hyperlink"/>
          </w:rPr>
          <w:t>https://www.oecd.org/dac/evaluation/2754804.pdf</w:t>
        </w:r>
      </w:hyperlink>
      <w:r w:rsidRPr="008C74A3">
        <w:t xml:space="preserve">. </w:t>
      </w:r>
    </w:p>
    <w:p w14:paraId="2D5034E7" w14:textId="753E2160" w:rsidR="002E1308" w:rsidRPr="008C74A3" w:rsidRDefault="002E1308" w:rsidP="002E1308">
      <w:pPr>
        <w:ind w:left="720" w:hanging="720"/>
        <w:contextualSpacing/>
      </w:pPr>
      <w:r w:rsidRPr="008C74A3">
        <w:t xml:space="preserve">OECD, “OECD Due Diligence Guidance for Responsible Business Conduct,” 2018, </w:t>
      </w:r>
      <w:hyperlink r:id="rId42" w:history="1">
        <w:r w:rsidR="00402011" w:rsidRPr="008C74A3">
          <w:rPr>
            <w:rStyle w:val="Hyperlink"/>
          </w:rPr>
          <w:t>http://mneguidelines.oecd.org/OECD-Due-Diligence-Guidance-for-Responsible-Business-Conduct.pdf</w:t>
        </w:r>
      </w:hyperlink>
      <w:r w:rsidR="00402011" w:rsidRPr="008C74A3">
        <w:t xml:space="preserve">. </w:t>
      </w:r>
    </w:p>
    <w:p w14:paraId="790A505D" w14:textId="7A746B59" w:rsidR="002E1308" w:rsidRPr="008C74A3" w:rsidRDefault="002E1308" w:rsidP="002E1308">
      <w:pPr>
        <w:ind w:left="720" w:hanging="720"/>
        <w:contextualSpacing/>
      </w:pPr>
      <w:r w:rsidRPr="008C74A3">
        <w:t>OECD. “Measuring Well-Being and Progress: Well-Being Research.”</w:t>
      </w:r>
      <w:hyperlink r:id="rId43" w:history="1">
        <w:r w:rsidR="00402011" w:rsidRPr="008C74A3">
          <w:rPr>
            <w:rStyle w:val="Hyperlink"/>
          </w:rPr>
          <w:t>https://www.oecd.org/wise/measuring-well-being-and-progress.htm</w:t>
        </w:r>
      </w:hyperlink>
      <w:r w:rsidR="00402011" w:rsidRPr="008C74A3">
        <w:t xml:space="preserve">. </w:t>
      </w:r>
    </w:p>
    <w:p w14:paraId="4AA3F2D0" w14:textId="17BAFF65" w:rsidR="002E1308" w:rsidRPr="008C74A3" w:rsidRDefault="002E1308" w:rsidP="002E1308">
      <w:pPr>
        <w:ind w:left="720" w:hanging="720"/>
        <w:contextualSpacing/>
      </w:pPr>
      <w:r w:rsidRPr="008C74A3">
        <w:lastRenderedPageBreak/>
        <w:t>Rights Co LAB, “What is DEI? Market Signals of Diversity, Equity, and Inclusion,”2022</w:t>
      </w:r>
      <w:r w:rsidR="00402011" w:rsidRPr="008C74A3">
        <w:t>.</w:t>
      </w:r>
      <w:r w:rsidRPr="008C74A3">
        <w:t xml:space="preserve">  </w:t>
      </w:r>
      <w:hyperlink r:id="rId44" w:history="1">
        <w:r w:rsidR="00402011" w:rsidRPr="008C74A3">
          <w:rPr>
            <w:rStyle w:val="Hyperlink"/>
          </w:rPr>
          <w:t>https://rightscolab.org/wp-content/uploads/2022/08/DEI-Mapping-Report_RightsCoLab.pdf</w:t>
        </w:r>
      </w:hyperlink>
      <w:r w:rsidR="00402011" w:rsidRPr="008C74A3">
        <w:t xml:space="preserve">. </w:t>
      </w:r>
    </w:p>
    <w:p w14:paraId="0EA6F792" w14:textId="3C4D0A6D" w:rsidR="002E1308" w:rsidRPr="008C74A3" w:rsidRDefault="002E1308" w:rsidP="002E1308">
      <w:pPr>
        <w:ind w:left="720" w:hanging="720"/>
        <w:contextualSpacing/>
      </w:pPr>
      <w:r w:rsidRPr="008C74A3">
        <w:t xml:space="preserve">Social Value International. “Standard on Applying Principle 1: Involve Stakeholders,” </w:t>
      </w:r>
      <w:hyperlink r:id="rId45" w:history="1">
        <w:r w:rsidR="00402011" w:rsidRPr="008C74A3">
          <w:rPr>
            <w:rStyle w:val="Hyperlink"/>
          </w:rPr>
          <w:t>https://static1.squarespace.com/static/60dc51e3c58aef413ae5c975/t/60f058babaa9e46167496599/1626364102534/Standard-for-applying-Principle-1.pdf</w:t>
        </w:r>
      </w:hyperlink>
      <w:r w:rsidR="00402011" w:rsidRPr="008C74A3">
        <w:t xml:space="preserve">. </w:t>
      </w:r>
    </w:p>
    <w:p w14:paraId="367465FF" w14:textId="5B9D92B5" w:rsidR="002E1308" w:rsidRPr="008C74A3" w:rsidRDefault="002E1308" w:rsidP="002E1308">
      <w:pPr>
        <w:ind w:left="720" w:hanging="720"/>
        <w:contextualSpacing/>
      </w:pPr>
      <w:r w:rsidRPr="008C74A3">
        <w:t xml:space="preserve">Social Value International. “Standard on Applying Principle 4: Only Include What Is Material,” </w:t>
      </w:r>
      <w:hyperlink r:id="rId46" w:history="1">
        <w:r w:rsidR="00402011" w:rsidRPr="008C74A3">
          <w:rPr>
            <w:rStyle w:val="Hyperlink"/>
          </w:rPr>
          <w:t>https://socialvalueuk.org/wp-content/uploads/2022/12/Standard-for-applying-Principle-4.pdf</w:t>
        </w:r>
      </w:hyperlink>
      <w:r w:rsidR="00402011" w:rsidRPr="008C74A3">
        <w:t xml:space="preserve">. </w:t>
      </w:r>
    </w:p>
    <w:p w14:paraId="2A79A5D4" w14:textId="167823E3" w:rsidR="002E1308" w:rsidRPr="008C74A3" w:rsidRDefault="002E1308" w:rsidP="002E1308">
      <w:pPr>
        <w:ind w:left="720" w:hanging="720"/>
        <w:contextualSpacing/>
      </w:pPr>
      <w:r w:rsidRPr="008C74A3">
        <w:t xml:space="preserve">Social Value International. “Standards and Guidance.” Social Value International. </w:t>
      </w:r>
      <w:hyperlink r:id="rId47" w:history="1">
        <w:r w:rsidR="00402011" w:rsidRPr="008C74A3">
          <w:rPr>
            <w:rStyle w:val="Hyperlink"/>
          </w:rPr>
          <w:t>https://www.socialvalueint.org/standards-and-guidance</w:t>
        </w:r>
      </w:hyperlink>
      <w:r w:rsidR="00402011" w:rsidRPr="008C74A3">
        <w:t xml:space="preserve">. </w:t>
      </w:r>
    </w:p>
    <w:p w14:paraId="17DB86B7" w14:textId="18AF2F9B" w:rsidR="002E1308" w:rsidRPr="008C74A3" w:rsidRDefault="002E1308" w:rsidP="002E1308">
      <w:pPr>
        <w:ind w:left="720" w:hanging="720"/>
        <w:contextualSpacing/>
      </w:pPr>
      <w:r w:rsidRPr="008C74A3">
        <w:t xml:space="preserve">Social Value International. 2022. “The Purpose of the Principles of Social Value and the SVI Standards.” </w:t>
      </w:r>
      <w:hyperlink r:id="rId48" w:history="1">
        <w:r w:rsidR="00402011" w:rsidRPr="008C74A3">
          <w:rPr>
            <w:rStyle w:val="Hyperlink"/>
          </w:rPr>
          <w:t>https://socialvalueuk.org/wp-content/uploads/2022/12/ThePurposeofthePrinciplesofSocialValueandtheSVIStandards-1.pdf</w:t>
        </w:r>
      </w:hyperlink>
      <w:r w:rsidR="00402011" w:rsidRPr="008C74A3">
        <w:t xml:space="preserve">. </w:t>
      </w:r>
    </w:p>
    <w:p w14:paraId="3843B82A" w14:textId="637F7846" w:rsidR="002E1308" w:rsidRPr="008C74A3" w:rsidRDefault="002E1308" w:rsidP="00F85883">
      <w:pPr>
        <w:ind w:left="720" w:hanging="720"/>
        <w:contextualSpacing/>
      </w:pPr>
      <w:r w:rsidRPr="008C74A3">
        <w:t xml:space="preserve">Sustainability Accounting Standards Board. “SASB Conceptual Framework,” 2017, </w:t>
      </w:r>
      <w:hyperlink r:id="rId49" w:history="1">
        <w:r w:rsidR="00402011" w:rsidRPr="008C74A3">
          <w:rPr>
            <w:rStyle w:val="Hyperlink"/>
          </w:rPr>
          <w:t>http://www.sasb.org/wp-content/uploads/2019/05/SASB-Conceptual-Framework.pdf?source=post_page</w:t>
        </w:r>
      </w:hyperlink>
      <w:r w:rsidR="00402011" w:rsidRPr="008C74A3">
        <w:t xml:space="preserve">. </w:t>
      </w:r>
    </w:p>
    <w:p w14:paraId="18FCEA25" w14:textId="57E25817" w:rsidR="002E1308" w:rsidRPr="008C74A3" w:rsidRDefault="002E1308" w:rsidP="002E1308">
      <w:pPr>
        <w:ind w:left="720" w:hanging="720"/>
        <w:contextualSpacing/>
      </w:pPr>
      <w:r w:rsidRPr="008C74A3">
        <w:t xml:space="preserve">Task Force on Climate-Related Financial Disclosures. “Implementing the Recommendations of the Task Force on Climate-Related Financial Disclosures,” 2021. </w:t>
      </w:r>
      <w:hyperlink r:id="rId50" w:history="1">
        <w:r w:rsidR="00402011" w:rsidRPr="008C74A3">
          <w:rPr>
            <w:rStyle w:val="Hyperlink"/>
          </w:rPr>
          <w:t>https://assets.bbhub.io/company/sites/60/2021/07/2021-TCFD-Implementing_Guidance.pdf</w:t>
        </w:r>
      </w:hyperlink>
      <w:r w:rsidR="00402011" w:rsidRPr="008C74A3">
        <w:t xml:space="preserve">. </w:t>
      </w:r>
    </w:p>
    <w:p w14:paraId="39AF3A79" w14:textId="392734C6" w:rsidR="002E1308" w:rsidRPr="008C74A3" w:rsidRDefault="002E1308" w:rsidP="002E1308">
      <w:pPr>
        <w:ind w:left="720" w:hanging="720"/>
        <w:contextualSpacing/>
      </w:pPr>
      <w:r w:rsidRPr="008C74A3">
        <w:t xml:space="preserve">Task Force on Climate-Related Financial Disclosures. “Recommendations.” </w:t>
      </w:r>
      <w:hyperlink r:id="rId51" w:history="1">
        <w:r w:rsidR="00402011" w:rsidRPr="008C74A3">
          <w:rPr>
            <w:rStyle w:val="Hyperlink"/>
          </w:rPr>
          <w:t>https://www.fsb-tcfd.org/recommendations/</w:t>
        </w:r>
      </w:hyperlink>
      <w:r w:rsidR="00402011" w:rsidRPr="008C74A3">
        <w:t xml:space="preserve">. </w:t>
      </w:r>
    </w:p>
    <w:p w14:paraId="1263142B" w14:textId="00B400F1" w:rsidR="002E1308" w:rsidRPr="008C74A3" w:rsidRDefault="002E1308" w:rsidP="002E1308">
      <w:pPr>
        <w:ind w:left="720" w:hanging="720"/>
        <w:contextualSpacing/>
      </w:pPr>
      <w:r w:rsidRPr="008C74A3">
        <w:t xml:space="preserve">The Capitals Coalition. “Social &amp; Human Capital Protocol: A Primer for Business,” 2021. </w:t>
      </w:r>
      <w:hyperlink r:id="rId52" w:history="1">
        <w:r w:rsidR="00402011" w:rsidRPr="008C74A3">
          <w:rPr>
            <w:rStyle w:val="Hyperlink"/>
          </w:rPr>
          <w:t>https://capitalscoalition.org/wp-content/uploads/2021/12/Social-Human-Capital-Protocol-A-Primer-for-Business.pdf</w:t>
        </w:r>
      </w:hyperlink>
      <w:r w:rsidR="00402011" w:rsidRPr="008C74A3">
        <w:t xml:space="preserve"> </w:t>
      </w:r>
    </w:p>
    <w:p w14:paraId="7E0971C9" w14:textId="09C1EEFF" w:rsidR="002E1308" w:rsidRPr="008C74A3" w:rsidRDefault="002E1308" w:rsidP="002E1308">
      <w:pPr>
        <w:ind w:left="720" w:hanging="720"/>
        <w:contextualSpacing/>
      </w:pPr>
      <w:r w:rsidRPr="008C74A3">
        <w:t xml:space="preserve">The Institute of Chartered Accountants in England and Wales. 2019. “Three-Party Relationship.” Icaew.com. 2019. </w:t>
      </w:r>
      <w:hyperlink r:id="rId53" w:history="1">
        <w:r w:rsidR="00402011" w:rsidRPr="008C74A3">
          <w:rPr>
            <w:rStyle w:val="Hyperlink"/>
          </w:rPr>
          <w:t>https://www.icaew.com/technical/audit-and-assurance/assurance/process/scoping/what-is-feasible/three-party-relationship</w:t>
        </w:r>
      </w:hyperlink>
      <w:r w:rsidR="00402011" w:rsidRPr="008C74A3">
        <w:t xml:space="preserve">. </w:t>
      </w:r>
    </w:p>
    <w:p w14:paraId="4B5F26C0" w14:textId="6856AA83" w:rsidR="002E1308" w:rsidRPr="008C74A3" w:rsidRDefault="002E1308" w:rsidP="002E1308">
      <w:pPr>
        <w:ind w:left="720" w:hanging="720"/>
        <w:contextualSpacing/>
      </w:pPr>
      <w:r w:rsidRPr="008C74A3">
        <w:t xml:space="preserve">The United Nations Development Programme. “SDG Impact Standards for Enterprises,” 2021. </w:t>
      </w:r>
      <w:hyperlink r:id="rId54" w:history="1">
        <w:r w:rsidR="00402011" w:rsidRPr="008C74A3">
          <w:rPr>
            <w:rStyle w:val="Hyperlink"/>
          </w:rPr>
          <w:t>https://sdgimpact.undp.org/assets/SDG-Impact-Standards-for-Enterprises-Version1-EN.pdf</w:t>
        </w:r>
      </w:hyperlink>
      <w:r w:rsidR="00402011" w:rsidRPr="008C74A3">
        <w:t xml:space="preserve">. </w:t>
      </w:r>
    </w:p>
    <w:p w14:paraId="1C5E81D2" w14:textId="51D8FAA5" w:rsidR="002E1308" w:rsidRPr="008C74A3" w:rsidRDefault="002E1308" w:rsidP="002E1308">
      <w:pPr>
        <w:ind w:left="720" w:hanging="720"/>
        <w:contextualSpacing/>
      </w:pPr>
      <w:r w:rsidRPr="008C74A3">
        <w:t xml:space="preserve">The United Nations Development Programme, “Standards Guidance for the SDG Impact Standards for Private Equity Funds,” 2022, </w:t>
      </w:r>
      <w:hyperlink r:id="rId55" w:history="1">
        <w:r w:rsidR="00402011" w:rsidRPr="008C74A3">
          <w:rPr>
            <w:rStyle w:val="Hyperlink"/>
          </w:rPr>
          <w:t>https://sdgimpact.undp.org/assets/EN-SDG-Impact-Standards-for-Private-Equity-Funds-Version_1_0.pdf</w:t>
        </w:r>
      </w:hyperlink>
      <w:r w:rsidR="00402011" w:rsidRPr="008C74A3">
        <w:t xml:space="preserve">. </w:t>
      </w:r>
    </w:p>
    <w:p w14:paraId="70A7289B" w14:textId="670BB74D" w:rsidR="002E1308" w:rsidRPr="008C74A3" w:rsidRDefault="002E1308" w:rsidP="002E1308">
      <w:pPr>
        <w:ind w:left="720" w:hanging="720"/>
        <w:contextualSpacing/>
      </w:pPr>
      <w:r w:rsidRPr="008C74A3">
        <w:t xml:space="preserve">The United Nations Development Programme. 2020. “SDG Impact Standards for Private Equity Funds.” </w:t>
      </w:r>
      <w:hyperlink r:id="rId56" w:history="1">
        <w:r w:rsidR="00402011" w:rsidRPr="008C74A3">
          <w:rPr>
            <w:rStyle w:val="Hyperlink"/>
          </w:rPr>
          <w:t>https://sdgimpact.undp.org/assets/SDG-Impact-Standards-for-Private-Equity-Funds-Version_1_0.pdf</w:t>
        </w:r>
      </w:hyperlink>
      <w:r w:rsidR="00402011" w:rsidRPr="008C74A3">
        <w:t xml:space="preserve">. </w:t>
      </w:r>
    </w:p>
    <w:p w14:paraId="57CDC1E9" w14:textId="06ABC360" w:rsidR="002E1308" w:rsidRPr="008C74A3" w:rsidRDefault="002E1308" w:rsidP="002E1308">
      <w:pPr>
        <w:ind w:left="720" w:hanging="720"/>
        <w:contextualSpacing/>
      </w:pPr>
      <w:r w:rsidRPr="008C74A3">
        <w:t xml:space="preserve">The United Nations Development Programme. 2021. “SDG Impact Standards Glossary.” </w:t>
      </w:r>
      <w:hyperlink r:id="rId57" w:history="1">
        <w:r w:rsidR="00402011" w:rsidRPr="008C74A3">
          <w:rPr>
            <w:rStyle w:val="Hyperlink"/>
          </w:rPr>
          <w:t>https://sdgimpact.undp.org/assets/SDG-Impact-Standards-Glossary.pdf</w:t>
        </w:r>
      </w:hyperlink>
      <w:r w:rsidR="00402011" w:rsidRPr="008C74A3">
        <w:t xml:space="preserve">. </w:t>
      </w:r>
    </w:p>
    <w:p w14:paraId="0B94EE60" w14:textId="52B4E8D8" w:rsidR="002E1308" w:rsidRPr="008C74A3" w:rsidRDefault="002E1308" w:rsidP="002E1308">
      <w:pPr>
        <w:ind w:left="720" w:hanging="720"/>
        <w:contextualSpacing/>
      </w:pPr>
      <w:r w:rsidRPr="008C74A3">
        <w:t>United Nations, “Guiding Principles on Business and Human Rights</w:t>
      </w:r>
      <w:r w:rsidR="00402011" w:rsidRPr="008C74A3">
        <w:t>.</w:t>
      </w:r>
      <w:r w:rsidRPr="008C74A3">
        <w:t xml:space="preserve">” </w:t>
      </w:r>
      <w:hyperlink r:id="rId58" w:history="1">
        <w:r w:rsidR="00402011" w:rsidRPr="008C74A3">
          <w:rPr>
            <w:rStyle w:val="Hyperlink"/>
          </w:rPr>
          <w:t>www.ohchr.org/sites/default/files/documents/publications/guidingprinciplesbusinesshr_en.pdf</w:t>
        </w:r>
      </w:hyperlink>
      <w:r w:rsidR="00402011" w:rsidRPr="008C74A3">
        <w:t xml:space="preserve">. </w:t>
      </w:r>
    </w:p>
    <w:p w14:paraId="6B898D79" w14:textId="69BB46DF" w:rsidR="002E1308" w:rsidRPr="008C74A3" w:rsidRDefault="002E1308" w:rsidP="002E1308">
      <w:pPr>
        <w:ind w:left="720" w:hanging="720"/>
        <w:contextualSpacing/>
      </w:pPr>
      <w:r w:rsidRPr="008C74A3">
        <w:t>United Nations, “Homepage | UN Global Compact,” unglobalcompact.org</w:t>
      </w:r>
      <w:r w:rsidR="00402011" w:rsidRPr="008C74A3">
        <w:t xml:space="preserve">. </w:t>
      </w:r>
    </w:p>
    <w:p w14:paraId="1705486E" w14:textId="7FAF446E" w:rsidR="002E1308" w:rsidRPr="008C74A3" w:rsidRDefault="002E1308" w:rsidP="002E1308">
      <w:pPr>
        <w:ind w:left="720" w:hanging="720"/>
        <w:contextualSpacing/>
      </w:pPr>
      <w:r w:rsidRPr="008C74A3">
        <w:t xml:space="preserve">United Nations, “United Nations Declaration on the Rights of Indigenous Peoples,” Human Rights Quarterly 33, no. 3 (September 13, 2007), </w:t>
      </w:r>
      <w:hyperlink r:id="rId59" w:history="1">
        <w:r w:rsidR="00402011" w:rsidRPr="008C74A3">
          <w:rPr>
            <w:rStyle w:val="Hyperlink"/>
          </w:rPr>
          <w:t>https://doi.org/10.1353/hrq.2011.0040</w:t>
        </w:r>
      </w:hyperlink>
      <w:r w:rsidR="00402011" w:rsidRPr="008C74A3">
        <w:t xml:space="preserve">. </w:t>
      </w:r>
    </w:p>
    <w:p w14:paraId="2D257A17" w14:textId="0D842B9A" w:rsidR="007032B1" w:rsidRPr="008C74A3" w:rsidRDefault="002E1308" w:rsidP="00402011">
      <w:pPr>
        <w:ind w:left="720" w:hanging="720"/>
        <w:contextualSpacing/>
      </w:pPr>
      <w:r w:rsidRPr="008C74A3">
        <w:t xml:space="preserve">World Economic Forum. “Engaging All Affected Stakeholders Guidance for Investors, Funders, and Organizations,” 2017. </w:t>
      </w:r>
      <w:hyperlink r:id="rId60" w:history="1">
        <w:r w:rsidR="00402011" w:rsidRPr="008C74A3">
          <w:rPr>
            <w:rStyle w:val="Hyperlink"/>
          </w:rPr>
          <w:t>https://sptf.info/images/SIWG-WEF-AG3-Engaging-all-affected-stakeholders-December-2017.pdf</w:t>
        </w:r>
      </w:hyperlink>
      <w:r w:rsidR="00402011" w:rsidRPr="008C74A3">
        <w:t xml:space="preserve">. </w:t>
      </w:r>
    </w:p>
    <w:p w14:paraId="2CA0B0AA" w14:textId="77777777" w:rsidR="00065BA2" w:rsidRPr="008C74A3" w:rsidRDefault="00065BA2" w:rsidP="00DB1B70">
      <w:pPr>
        <w:sectPr w:rsidR="00065BA2" w:rsidRPr="008C74A3" w:rsidSect="00CE5777">
          <w:footerReference w:type="even" r:id="rId61"/>
          <w:footerReference w:type="default" r:id="rId62"/>
          <w:pgSz w:w="12240" w:h="15840" w:code="1"/>
          <w:pgMar w:top="1440" w:right="1440" w:bottom="1440" w:left="1440" w:header="720" w:footer="720" w:gutter="0"/>
          <w:lnNumType w:countBy="1" w:restart="continuous"/>
          <w:cols w:space="720"/>
          <w:docGrid w:linePitch="360"/>
        </w:sectPr>
      </w:pPr>
    </w:p>
    <w:p w14:paraId="38ACC161" w14:textId="59993B98" w:rsidR="000D6329" w:rsidRPr="008C74A3" w:rsidRDefault="00065BA2" w:rsidP="001F3DC0">
      <w:pPr>
        <w:pStyle w:val="Heading1"/>
      </w:pPr>
      <w:bookmarkStart w:id="61" w:name="_Toc146213859"/>
      <w:bookmarkStart w:id="62" w:name="_Toc148384197"/>
      <w:r w:rsidRPr="008C74A3">
        <w:lastRenderedPageBreak/>
        <w:t>Appendices</w:t>
      </w:r>
      <w:bookmarkEnd w:id="61"/>
      <w:bookmarkEnd w:id="62"/>
    </w:p>
    <w:p w14:paraId="234E4E6F" w14:textId="624D3846" w:rsidR="000D6329" w:rsidRPr="008C74A3" w:rsidRDefault="000D6329" w:rsidP="00DB1B70">
      <w:pPr>
        <w:pStyle w:val="Heading2"/>
      </w:pPr>
      <w:bookmarkStart w:id="63" w:name="_Toc146213860"/>
      <w:bookmarkStart w:id="64" w:name="_Toc148384198"/>
      <w:r w:rsidRPr="008C74A3">
        <w:t xml:space="preserve">Appendix A: </w:t>
      </w:r>
      <w:r w:rsidR="005F510A" w:rsidRPr="008C74A3">
        <w:t xml:space="preserve">Consultation </w:t>
      </w:r>
      <w:r w:rsidRPr="008C74A3">
        <w:t>Process</w:t>
      </w:r>
      <w:bookmarkEnd w:id="63"/>
      <w:r w:rsidR="005F510A" w:rsidRPr="008C74A3">
        <w:t xml:space="preserve"> To-Date</w:t>
      </w:r>
      <w:bookmarkEnd w:id="64"/>
    </w:p>
    <w:p w14:paraId="52CE0CE5" w14:textId="2ACC2E1F" w:rsidR="003C1642" w:rsidRPr="008C74A3" w:rsidRDefault="000D6329" w:rsidP="00DB1B70">
      <w:r w:rsidRPr="008C74A3">
        <w:t xml:space="preserve">Impact Frontiers, with the support of the Rockefeller Foundation, is facilitating a field-building initiative in 2023 and 2024 to build consensus on norms on impact performance reporting for investors. We launched the effort in Q4 2022, beginning with a review of reporting and assurance standards (see Appendix </w:t>
      </w:r>
      <w:r w:rsidR="00740A3E" w:rsidRPr="008C74A3">
        <w:t>C</w:t>
      </w:r>
      <w:r w:rsidRPr="008C74A3">
        <w:t xml:space="preserve">). We solicited input from asset managers, asset owners, verifiers, assurance providers, and standard-setters. </w:t>
      </w:r>
    </w:p>
    <w:p w14:paraId="68050774" w14:textId="444991AD" w:rsidR="00875FB3" w:rsidRPr="008C74A3" w:rsidRDefault="003C1642" w:rsidP="00DB1B70">
      <w:r w:rsidRPr="008C74A3">
        <w:t>Once we drafted an initial set of norms, we shared the draft with over 100 industry stakeholders and received feedback from 4</w:t>
      </w:r>
      <w:r w:rsidR="00405730" w:rsidRPr="008C74A3">
        <w:t xml:space="preserve">1 </w:t>
      </w:r>
      <w:r w:rsidRPr="008C74A3">
        <w:t xml:space="preserve">partners including 14 asset managers, four asset owners, seven consultants, five industry networks/associations, two research organizations, two advocacy organizations, and two </w:t>
      </w:r>
      <w:r w:rsidR="00875FB3" w:rsidRPr="008C74A3">
        <w:t>assurance and verification practitioners</w:t>
      </w:r>
      <w:r w:rsidRPr="008C74A3">
        <w:t xml:space="preserve">. </w:t>
      </w:r>
    </w:p>
    <w:p w14:paraId="51CBBD0E" w14:textId="1636351E" w:rsidR="00875FB3" w:rsidRPr="008C74A3" w:rsidRDefault="003C1642" w:rsidP="00DB1B70">
      <w:r w:rsidRPr="008C74A3">
        <w:t xml:space="preserve">In </w:t>
      </w:r>
      <w:r w:rsidR="00384F6E" w:rsidRPr="008C74A3">
        <w:t>Q3</w:t>
      </w:r>
      <w:r w:rsidRPr="008C74A3">
        <w:t xml:space="preserve"> 2023, Impact Frontiers also convened a group of 48 industry stakeholders</w:t>
      </w:r>
      <w:r w:rsidR="00384F6E" w:rsidRPr="008C74A3">
        <w:t xml:space="preserve"> in New York City</w:t>
      </w:r>
      <w:r w:rsidRPr="008C74A3">
        <w:t xml:space="preserve"> (including 14 asset managers and 20 asset owners) </w:t>
      </w:r>
      <w:r w:rsidR="00384F6E" w:rsidRPr="008C74A3">
        <w:t xml:space="preserve">and 21 in Tokyo (including 10 asset managers, 5 asset owners and 6 service providers, enterprises, and consultants) </w:t>
      </w:r>
      <w:r w:rsidRPr="008C74A3">
        <w:t xml:space="preserve">to discuss the common elements they considered necessary to include in impact performance reports and brainstorm ideas to overcome change management barriers.  </w:t>
      </w:r>
    </w:p>
    <w:p w14:paraId="3370259B" w14:textId="70736363" w:rsidR="003C1642" w:rsidRPr="008C74A3" w:rsidRDefault="003C1642" w:rsidP="00DB1B70">
      <w:r w:rsidRPr="008C74A3">
        <w:t>Impact Frontiers incorporated feedback received through both individual draft review and the in-person convening</w:t>
      </w:r>
      <w:r w:rsidR="00384F6E" w:rsidRPr="008C74A3">
        <w:t>s</w:t>
      </w:r>
      <w:r w:rsidRPr="008C74A3">
        <w:t xml:space="preserve"> into this public consultation draft. </w:t>
      </w:r>
    </w:p>
    <w:p w14:paraId="5D79AF0B" w14:textId="77777777" w:rsidR="000D6329" w:rsidRPr="008C74A3" w:rsidRDefault="000D6329" w:rsidP="00DB1B70"/>
    <w:p w14:paraId="3F013A60" w14:textId="77777777" w:rsidR="000D6329" w:rsidRPr="008C74A3" w:rsidRDefault="000D6329" w:rsidP="00DB1B70"/>
    <w:p w14:paraId="5AC09E0B" w14:textId="77777777" w:rsidR="00CA4225" w:rsidRPr="008C74A3" w:rsidRDefault="00CA4225" w:rsidP="00CA4225">
      <w:pPr>
        <w:pStyle w:val="Heading2"/>
        <w:sectPr w:rsidR="00CA4225" w:rsidRPr="008C74A3" w:rsidSect="00A8001F">
          <w:pgSz w:w="12240" w:h="15840" w:code="1"/>
          <w:pgMar w:top="1440" w:right="1440" w:bottom="1440" w:left="1440" w:header="720" w:footer="720" w:gutter="0"/>
          <w:cols w:space="720"/>
          <w:docGrid w:linePitch="360"/>
        </w:sectPr>
      </w:pPr>
      <w:bookmarkStart w:id="65" w:name="_Toc141449366"/>
      <w:bookmarkStart w:id="66" w:name="_Toc141449653"/>
      <w:bookmarkStart w:id="67" w:name="_Toc146213861"/>
    </w:p>
    <w:p w14:paraId="2B94A30A" w14:textId="07C12004" w:rsidR="00405730" w:rsidRPr="008C74A3" w:rsidRDefault="00405730" w:rsidP="00405730">
      <w:pPr>
        <w:pStyle w:val="Heading2"/>
      </w:pPr>
      <w:bookmarkStart w:id="68" w:name="_Toc148384199"/>
      <w:bookmarkStart w:id="69" w:name="_Hlk146552809"/>
      <w:r w:rsidRPr="008C74A3">
        <w:lastRenderedPageBreak/>
        <w:t xml:space="preserve">Appendix B: </w:t>
      </w:r>
      <w:r w:rsidR="002D4B4F" w:rsidRPr="008C74A3">
        <w:t>Acknowledgments</w:t>
      </w:r>
      <w:bookmarkEnd w:id="68"/>
      <w:r w:rsidRPr="008C74A3">
        <w:t xml:space="preserve"> </w:t>
      </w:r>
    </w:p>
    <w:p w14:paraId="1478CEF6" w14:textId="77777777" w:rsidR="0063626B" w:rsidRPr="008C74A3" w:rsidRDefault="00405730" w:rsidP="00E6135F">
      <w:r w:rsidRPr="008C74A3">
        <w:t xml:space="preserve">Impact Frontiers </w:t>
      </w:r>
      <w:r w:rsidR="007A218D" w:rsidRPr="008C74A3">
        <w:t>wishes to</w:t>
      </w:r>
      <w:r w:rsidRPr="008C74A3">
        <w:t xml:space="preserve"> recognize </w:t>
      </w:r>
      <w:r w:rsidR="00E6135F" w:rsidRPr="008C74A3">
        <w:t>the individuals below for reviewing and providing</w:t>
      </w:r>
      <w:r w:rsidR="004D4FD4" w:rsidRPr="008C74A3">
        <w:t xml:space="preserve"> written feedback on a pre-consultation draft</w:t>
      </w:r>
      <w:r w:rsidR="00E6135F" w:rsidRPr="008C74A3">
        <w:t xml:space="preserve"> of this document</w:t>
      </w:r>
      <w:r w:rsidRPr="008C74A3">
        <w:t xml:space="preserve">. Their close reading and thoughtful comments </w:t>
      </w:r>
      <w:r w:rsidR="00E6135F" w:rsidRPr="008C74A3">
        <w:t>led to a great number of significant improvements</w:t>
      </w:r>
      <w:r w:rsidRPr="008C74A3">
        <w:t xml:space="preserve">. </w:t>
      </w:r>
      <w:r w:rsidR="00E6135F" w:rsidRPr="008C74A3">
        <w:t>Their presence on this list should not</w:t>
      </w:r>
      <w:r w:rsidRPr="008C74A3">
        <w:t xml:space="preserve"> interpreted as an endorsement of this draft by them or their organizations</w:t>
      </w:r>
      <w:r w:rsidR="00E6135F" w:rsidRPr="008C74A3">
        <w:t>, and a</w:t>
      </w:r>
      <w:r w:rsidRPr="008C74A3">
        <w:t>ll errors remain our own.</w:t>
      </w:r>
    </w:p>
    <w:p w14:paraId="6FD874DA" w14:textId="53B2042C" w:rsidR="002D4B4F" w:rsidRPr="008C74A3" w:rsidRDefault="002D4B4F" w:rsidP="00E6135F">
      <w:pPr>
        <w:sectPr w:rsidR="002D4B4F" w:rsidRPr="008C74A3" w:rsidSect="00A8001F">
          <w:pgSz w:w="12240" w:h="15840" w:code="1"/>
          <w:pgMar w:top="1440" w:right="1440" w:bottom="1440" w:left="1440" w:header="720" w:footer="720" w:gutter="0"/>
          <w:cols w:space="720"/>
          <w:docGrid w:linePitch="360"/>
        </w:sectPr>
      </w:pPr>
    </w:p>
    <w:p w14:paraId="5FC6B130" w14:textId="550E4CA1" w:rsidR="00405730" w:rsidRPr="008C74A3" w:rsidRDefault="00405730" w:rsidP="0063626B">
      <w:pPr>
        <w:spacing w:after="0"/>
        <w:ind w:left="450" w:hanging="450"/>
      </w:pPr>
      <w:r w:rsidRPr="008C74A3">
        <w:t>Alice Kehoe, KKR</w:t>
      </w:r>
    </w:p>
    <w:p w14:paraId="60476F97" w14:textId="77777777" w:rsidR="00405730" w:rsidRPr="008C74A3" w:rsidRDefault="00405730" w:rsidP="0063626B">
      <w:pPr>
        <w:spacing w:after="0"/>
        <w:ind w:left="450" w:hanging="450"/>
      </w:pPr>
      <w:r w:rsidRPr="008C74A3">
        <w:t>Amelia Ahl, The Builders Fund</w:t>
      </w:r>
    </w:p>
    <w:p w14:paraId="2F90D45D" w14:textId="27DE9AB1" w:rsidR="00405730" w:rsidRPr="008C74A3" w:rsidRDefault="00E55420" w:rsidP="0063626B">
      <w:pPr>
        <w:spacing w:after="0"/>
        <w:ind w:left="450" w:hanging="450"/>
      </w:pPr>
      <w:r w:rsidRPr="008C74A3">
        <w:t>Arnau Picón Martínez</w:t>
      </w:r>
      <w:r w:rsidR="00405730" w:rsidRPr="008C74A3">
        <w:t xml:space="preserve">, </w:t>
      </w:r>
      <w:r w:rsidRPr="008C74A3">
        <w:t>EVPA</w:t>
      </w:r>
    </w:p>
    <w:p w14:paraId="01402CC3" w14:textId="004171A4" w:rsidR="0063626B" w:rsidRPr="008C74A3" w:rsidRDefault="0063626B" w:rsidP="0063626B">
      <w:pPr>
        <w:spacing w:after="0"/>
        <w:ind w:left="450" w:hanging="450"/>
      </w:pPr>
      <w:r w:rsidRPr="008C74A3">
        <w:t>Christina Leijonhufvud, Blue</w:t>
      </w:r>
      <w:r w:rsidR="00FB0463" w:rsidRPr="008C74A3">
        <w:t>M</w:t>
      </w:r>
      <w:r w:rsidRPr="008C74A3">
        <w:t>ark</w:t>
      </w:r>
    </w:p>
    <w:p w14:paraId="622FCBD3" w14:textId="441F5657" w:rsidR="00405730" w:rsidRPr="008C74A3" w:rsidRDefault="00405730" w:rsidP="0063626B">
      <w:pPr>
        <w:spacing w:after="0"/>
        <w:ind w:left="450" w:hanging="450"/>
      </w:pPr>
      <w:r w:rsidRPr="008C74A3">
        <w:t>Daniel Wanjira, Blue Haven Initiative</w:t>
      </w:r>
    </w:p>
    <w:p w14:paraId="5EAB47E6" w14:textId="29C9A42E" w:rsidR="00405730" w:rsidRPr="008C74A3" w:rsidRDefault="00405730" w:rsidP="0063626B">
      <w:pPr>
        <w:spacing w:after="0"/>
        <w:ind w:left="450" w:hanging="450"/>
      </w:pPr>
      <w:r w:rsidRPr="008C74A3">
        <w:t>David Krivanek, Impact Investing Institute</w:t>
      </w:r>
    </w:p>
    <w:p w14:paraId="6BF2321F" w14:textId="170A0DBA" w:rsidR="00405730" w:rsidRPr="008C74A3" w:rsidRDefault="00405730" w:rsidP="0063626B">
      <w:pPr>
        <w:spacing w:after="0"/>
        <w:ind w:left="450" w:hanging="450"/>
      </w:pPr>
      <w:r w:rsidRPr="008C74A3">
        <w:t>David Richmond, The Global Impact Investing Network</w:t>
      </w:r>
    </w:p>
    <w:p w14:paraId="4579BADC" w14:textId="7BEAC4F7" w:rsidR="00405730" w:rsidRPr="008C74A3" w:rsidRDefault="00405730" w:rsidP="0063626B">
      <w:pPr>
        <w:spacing w:after="0"/>
        <w:ind w:left="450" w:hanging="450"/>
      </w:pPr>
      <w:r w:rsidRPr="008C74A3">
        <w:t>Diane Damskey, The Global Impact Investing Network</w:t>
      </w:r>
    </w:p>
    <w:p w14:paraId="6A025D77" w14:textId="5B094558" w:rsidR="00405730" w:rsidRPr="008C74A3" w:rsidRDefault="00405730" w:rsidP="0063626B">
      <w:pPr>
        <w:spacing w:after="0"/>
        <w:ind w:left="450" w:hanging="450"/>
      </w:pPr>
      <w:r w:rsidRPr="008C74A3">
        <w:t>Diane Kulju, Impact Capital Managers</w:t>
      </w:r>
    </w:p>
    <w:p w14:paraId="77C88C5F" w14:textId="621454A8" w:rsidR="00405730" w:rsidRPr="008C74A3" w:rsidRDefault="00405730" w:rsidP="0063626B">
      <w:pPr>
        <w:spacing w:after="0"/>
        <w:ind w:left="450" w:hanging="450"/>
      </w:pPr>
      <w:r w:rsidRPr="008C74A3">
        <w:t>Elizabeth Boggs Davidsen, United States International Development Finance Corp</w:t>
      </w:r>
      <w:r w:rsidR="0063626B" w:rsidRPr="008C74A3">
        <w:t>.</w:t>
      </w:r>
    </w:p>
    <w:p w14:paraId="63BE1929" w14:textId="1980EDE9" w:rsidR="00405730" w:rsidRPr="008C74A3" w:rsidRDefault="00405730" w:rsidP="0063626B">
      <w:pPr>
        <w:spacing w:after="0"/>
        <w:ind w:left="450" w:hanging="450"/>
      </w:pPr>
      <w:r w:rsidRPr="008C74A3">
        <w:t>Ellen Carey Maginnis,</w:t>
      </w:r>
      <w:r w:rsidR="007A218D" w:rsidRPr="008C74A3">
        <w:t xml:space="preserve"> </w:t>
      </w:r>
      <w:r w:rsidR="00E55420" w:rsidRPr="008C74A3">
        <w:t>Independent Advisor</w:t>
      </w:r>
    </w:p>
    <w:p w14:paraId="17876AC6" w14:textId="57B3982B" w:rsidR="00405730" w:rsidRPr="008C74A3" w:rsidRDefault="00405730" w:rsidP="0063626B">
      <w:pPr>
        <w:spacing w:after="0"/>
        <w:ind w:left="450" w:hanging="450"/>
      </w:pPr>
      <w:r w:rsidRPr="008C74A3">
        <w:t>Elsa Savourey, UNPRI</w:t>
      </w:r>
    </w:p>
    <w:p w14:paraId="7018DF3D" w14:textId="713B85AC" w:rsidR="001920D9" w:rsidRPr="008C74A3" w:rsidRDefault="001920D9" w:rsidP="0063626B">
      <w:pPr>
        <w:spacing w:after="0"/>
        <w:ind w:left="450" w:hanging="450"/>
      </w:pPr>
      <w:r w:rsidRPr="008C74A3">
        <w:t>Flora Cameron Watt, Blackrock</w:t>
      </w:r>
    </w:p>
    <w:p w14:paraId="35D4F611" w14:textId="78D604A9" w:rsidR="0063626B" w:rsidRPr="008C74A3" w:rsidRDefault="0063626B" w:rsidP="0063626B">
      <w:pPr>
        <w:spacing w:after="0"/>
        <w:ind w:left="450" w:hanging="450"/>
      </w:pPr>
      <w:r w:rsidRPr="008C74A3">
        <w:t>Fumi Sugeno, SIIF</w:t>
      </w:r>
    </w:p>
    <w:p w14:paraId="510F1633" w14:textId="67445936" w:rsidR="0063626B" w:rsidRPr="008C74A3" w:rsidRDefault="0063626B" w:rsidP="0063626B">
      <w:pPr>
        <w:spacing w:after="0"/>
        <w:ind w:left="450" w:hanging="450"/>
      </w:pPr>
      <w:r w:rsidRPr="008C74A3">
        <w:t>Geoffroy Marcassoli, PWC</w:t>
      </w:r>
    </w:p>
    <w:p w14:paraId="4117FA48" w14:textId="2E116128" w:rsidR="00405730" w:rsidRPr="008C74A3" w:rsidRDefault="00405730" w:rsidP="0063626B">
      <w:pPr>
        <w:spacing w:after="0"/>
        <w:ind w:left="450" w:hanging="450"/>
      </w:pPr>
      <w:r w:rsidRPr="008C74A3">
        <w:t>Gregory Berry, Accountability Counsel</w:t>
      </w:r>
    </w:p>
    <w:p w14:paraId="643AF0F6" w14:textId="77777777" w:rsidR="00E55420" w:rsidRPr="008C74A3" w:rsidRDefault="00E55420" w:rsidP="0063626B">
      <w:pPr>
        <w:spacing w:after="0"/>
        <w:ind w:left="450" w:hanging="450"/>
      </w:pPr>
      <w:r w:rsidRPr="008C74A3">
        <w:t xml:space="preserve">Georgina Muri, Dalberg </w:t>
      </w:r>
    </w:p>
    <w:p w14:paraId="4FE97984" w14:textId="0802887E" w:rsidR="00405730" w:rsidRPr="008C74A3" w:rsidRDefault="00405730" w:rsidP="0063626B">
      <w:pPr>
        <w:spacing w:after="0"/>
        <w:ind w:left="450" w:hanging="450"/>
      </w:pPr>
      <w:r w:rsidRPr="008C74A3">
        <w:t>Hannah Schiff, Developing World Markets</w:t>
      </w:r>
    </w:p>
    <w:p w14:paraId="4AE7A33B" w14:textId="28994543" w:rsidR="00405730" w:rsidRPr="008C74A3" w:rsidRDefault="00405730" w:rsidP="0063626B">
      <w:pPr>
        <w:spacing w:after="0"/>
        <w:ind w:left="450" w:hanging="450"/>
      </w:pPr>
      <w:r w:rsidRPr="008C74A3">
        <w:t xml:space="preserve">Harvey Koh, </w:t>
      </w:r>
      <w:r w:rsidR="00E55420" w:rsidRPr="008C74A3">
        <w:t>Independent Advisor</w:t>
      </w:r>
    </w:p>
    <w:p w14:paraId="336DE5F3" w14:textId="3C4A9ACC" w:rsidR="00405730" w:rsidRPr="008C74A3" w:rsidRDefault="00405730" w:rsidP="0063626B">
      <w:pPr>
        <w:spacing w:after="0"/>
        <w:ind w:left="450" w:hanging="450"/>
      </w:pPr>
      <w:r w:rsidRPr="008C74A3">
        <w:t xml:space="preserve">Jake Levy, </w:t>
      </w:r>
      <w:r w:rsidR="00E6135F" w:rsidRPr="008C74A3">
        <w:t xml:space="preserve">Project </w:t>
      </w:r>
      <w:r w:rsidRPr="008C74A3">
        <w:t>Snowball</w:t>
      </w:r>
    </w:p>
    <w:p w14:paraId="1A1B7B1D" w14:textId="5DABC003" w:rsidR="00405730" w:rsidRPr="008C74A3" w:rsidRDefault="00405730" w:rsidP="0063626B">
      <w:pPr>
        <w:spacing w:after="0"/>
        <w:ind w:left="450" w:hanging="450"/>
      </w:pPr>
      <w:r w:rsidRPr="008C74A3">
        <w:t>Jeremy Nicholls,</w:t>
      </w:r>
      <w:r w:rsidR="007A218D" w:rsidRPr="008C74A3">
        <w:t xml:space="preserve"> UNDP SDG Impact Standards</w:t>
      </w:r>
    </w:p>
    <w:p w14:paraId="2B4EC73A" w14:textId="20859ECA" w:rsidR="00405730" w:rsidRPr="008C74A3" w:rsidRDefault="00405730" w:rsidP="0063626B">
      <w:pPr>
        <w:spacing w:after="0"/>
        <w:ind w:left="450" w:hanging="450"/>
      </w:pPr>
      <w:r w:rsidRPr="008C74A3">
        <w:t>John Berger, TONIIC</w:t>
      </w:r>
    </w:p>
    <w:p w14:paraId="083DBEAF" w14:textId="4B27CACE" w:rsidR="00405730" w:rsidRPr="008C74A3" w:rsidRDefault="00405730" w:rsidP="0063626B">
      <w:pPr>
        <w:spacing w:after="0"/>
        <w:ind w:left="450" w:hanging="450"/>
      </w:pPr>
      <w:r w:rsidRPr="008C74A3">
        <w:t>Kate Ruff, Common Approach</w:t>
      </w:r>
      <w:r w:rsidR="00E6135F" w:rsidRPr="008C74A3">
        <w:t xml:space="preserve"> to Impact Measurement</w:t>
      </w:r>
    </w:p>
    <w:p w14:paraId="6CE3BD7F" w14:textId="106B31CF" w:rsidR="0066607A" w:rsidRPr="008C74A3" w:rsidRDefault="0066607A" w:rsidP="0063626B">
      <w:pPr>
        <w:spacing w:after="0"/>
        <w:ind w:left="450" w:hanging="450"/>
      </w:pPr>
      <w:r w:rsidRPr="008C74A3">
        <w:t>Kindra Mohr, Business for Social Responsibility</w:t>
      </w:r>
    </w:p>
    <w:p w14:paraId="43C90568" w14:textId="63B15E8B" w:rsidR="00405730" w:rsidRPr="008C74A3" w:rsidRDefault="00405730" w:rsidP="0063626B">
      <w:pPr>
        <w:spacing w:after="0"/>
        <w:ind w:left="450" w:hanging="450"/>
      </w:pPr>
      <w:r w:rsidRPr="008C74A3">
        <w:t xml:space="preserve">Kusi Hornberger, Dalberg </w:t>
      </w:r>
    </w:p>
    <w:p w14:paraId="11E14BB6" w14:textId="6582BD9F" w:rsidR="00405730" w:rsidRPr="008C74A3" w:rsidRDefault="00405730" w:rsidP="0063626B">
      <w:pPr>
        <w:spacing w:after="0"/>
        <w:ind w:left="450" w:hanging="450"/>
      </w:pPr>
      <w:r w:rsidRPr="008C74A3">
        <w:t>Leticia Emme, United States International Development Finance Corp</w:t>
      </w:r>
      <w:r w:rsidR="0063626B" w:rsidRPr="008C74A3">
        <w:t>.</w:t>
      </w:r>
    </w:p>
    <w:p w14:paraId="3EBBE488" w14:textId="744DF0AF" w:rsidR="00405730" w:rsidRPr="008C74A3" w:rsidRDefault="00405730" w:rsidP="0063626B">
      <w:pPr>
        <w:spacing w:after="0"/>
        <w:ind w:left="450" w:hanging="450"/>
      </w:pPr>
      <w:r w:rsidRPr="008C74A3">
        <w:t>Luyen Tran, I</w:t>
      </w:r>
      <w:r w:rsidR="00E6135F" w:rsidRPr="008C74A3">
        <w:t>nternational Finance Corp.</w:t>
      </w:r>
    </w:p>
    <w:p w14:paraId="493B14B7" w14:textId="3C6506D0" w:rsidR="00405730" w:rsidRPr="008C74A3" w:rsidRDefault="00405730" w:rsidP="0063626B">
      <w:pPr>
        <w:spacing w:after="0"/>
        <w:ind w:left="450" w:hanging="450"/>
      </w:pPr>
      <w:r w:rsidRPr="008C74A3">
        <w:t>Mariam Morling, PWC</w:t>
      </w:r>
    </w:p>
    <w:p w14:paraId="4F4F7EE3" w14:textId="30AD89D6" w:rsidR="0063626B" w:rsidRPr="008C74A3" w:rsidRDefault="0063626B" w:rsidP="0063626B">
      <w:pPr>
        <w:spacing w:after="0"/>
        <w:ind w:left="450" w:hanging="450"/>
      </w:pPr>
      <w:r w:rsidRPr="008C74A3">
        <w:t>Mark Ingram, Brightlight</w:t>
      </w:r>
    </w:p>
    <w:p w14:paraId="7A968C1D" w14:textId="2DE89958" w:rsidR="00405730" w:rsidRPr="008C74A3" w:rsidRDefault="00405730" w:rsidP="0063626B">
      <w:pPr>
        <w:spacing w:after="0"/>
        <w:ind w:left="450" w:hanging="450"/>
      </w:pPr>
      <w:r w:rsidRPr="008C74A3">
        <w:t>Matt Ripley, The Good Economy</w:t>
      </w:r>
    </w:p>
    <w:p w14:paraId="7C8A3A5B" w14:textId="441BA77F" w:rsidR="00405730" w:rsidRPr="008C74A3" w:rsidRDefault="00405730" w:rsidP="0063626B">
      <w:pPr>
        <w:spacing w:after="0"/>
        <w:ind w:left="450" w:hanging="450"/>
      </w:pPr>
      <w:r w:rsidRPr="008C74A3">
        <w:t>Michael Borenstein, Schroders</w:t>
      </w:r>
    </w:p>
    <w:p w14:paraId="5DED9EA2" w14:textId="12BA5015" w:rsidR="00405730" w:rsidRPr="008C74A3" w:rsidRDefault="00405730" w:rsidP="0063626B">
      <w:pPr>
        <w:spacing w:after="0"/>
        <w:ind w:left="450" w:hanging="450"/>
      </w:pPr>
      <w:r w:rsidRPr="008C74A3">
        <w:t>Michael Brown, Wharton ESG Initiative</w:t>
      </w:r>
    </w:p>
    <w:p w14:paraId="7FEB8424" w14:textId="2D4612DA" w:rsidR="00405730" w:rsidRPr="008C74A3" w:rsidRDefault="00405730" w:rsidP="0063626B">
      <w:pPr>
        <w:spacing w:after="0"/>
        <w:ind w:left="450" w:hanging="450"/>
      </w:pPr>
      <w:r w:rsidRPr="008C74A3">
        <w:t>Michael Etzel, Bridge</w:t>
      </w:r>
      <w:r w:rsidR="00FB0463" w:rsidRPr="008C74A3">
        <w:t>s</w:t>
      </w:r>
      <w:r w:rsidRPr="008C74A3">
        <w:t>pan</w:t>
      </w:r>
    </w:p>
    <w:p w14:paraId="09394A60" w14:textId="0195673F" w:rsidR="00405730" w:rsidRPr="008C74A3" w:rsidRDefault="00405730" w:rsidP="0063626B">
      <w:pPr>
        <w:spacing w:after="0"/>
        <w:ind w:left="450" w:hanging="450"/>
      </w:pPr>
      <w:r w:rsidRPr="008C74A3">
        <w:t>Olivia Prentice, Bridges Fund Management</w:t>
      </w:r>
    </w:p>
    <w:p w14:paraId="75E6EA90" w14:textId="1293110B" w:rsidR="00405730" w:rsidRPr="008C74A3" w:rsidRDefault="00405730" w:rsidP="0063626B">
      <w:pPr>
        <w:spacing w:after="0"/>
        <w:ind w:left="450" w:hanging="450"/>
      </w:pPr>
      <w:r w:rsidRPr="008C74A3">
        <w:t>Oyin Oduya, Wellington Management</w:t>
      </w:r>
    </w:p>
    <w:p w14:paraId="36C17E2A" w14:textId="43B0FEE1" w:rsidR="00405730" w:rsidRPr="008C74A3" w:rsidRDefault="00405730" w:rsidP="0063626B">
      <w:pPr>
        <w:spacing w:after="0"/>
        <w:ind w:left="450" w:hanging="450"/>
      </w:pPr>
      <w:r w:rsidRPr="008C74A3">
        <w:t>Paddy Carter, British International Investment</w:t>
      </w:r>
    </w:p>
    <w:p w14:paraId="3811E1A8" w14:textId="38FBAFCE" w:rsidR="00405730" w:rsidRPr="008C74A3" w:rsidRDefault="00405730" w:rsidP="0063626B">
      <w:pPr>
        <w:spacing w:after="0"/>
        <w:ind w:left="450" w:hanging="450"/>
      </w:pPr>
      <w:r w:rsidRPr="008C74A3">
        <w:t>Paige Chapel, Aeris Insight</w:t>
      </w:r>
    </w:p>
    <w:p w14:paraId="210AC00D" w14:textId="2C4F500F" w:rsidR="00405730" w:rsidRPr="008C74A3" w:rsidRDefault="00405730" w:rsidP="0063626B">
      <w:pPr>
        <w:spacing w:after="0"/>
        <w:ind w:left="450" w:hanging="450"/>
      </w:pPr>
      <w:r w:rsidRPr="008C74A3">
        <w:t>Quyen Tran, BlackRock</w:t>
      </w:r>
    </w:p>
    <w:p w14:paraId="70263076" w14:textId="77777777" w:rsidR="00E55420" w:rsidRPr="008C74A3" w:rsidRDefault="00E55420" w:rsidP="0063626B">
      <w:pPr>
        <w:spacing w:after="0"/>
        <w:ind w:left="450" w:hanging="450"/>
      </w:pPr>
      <w:r w:rsidRPr="008C74A3">
        <w:t xml:space="preserve">Rachel Keeler, Dalberg </w:t>
      </w:r>
    </w:p>
    <w:p w14:paraId="34767A48" w14:textId="73ED42BD" w:rsidR="00405730" w:rsidRPr="008C74A3" w:rsidRDefault="00405730" w:rsidP="0063626B">
      <w:pPr>
        <w:spacing w:after="0"/>
        <w:ind w:left="450" w:hanging="450"/>
      </w:pPr>
      <w:r w:rsidRPr="008C74A3">
        <w:t>Ryan Clancy, Rally Assets</w:t>
      </w:r>
    </w:p>
    <w:p w14:paraId="124A4AE9" w14:textId="507E63DE" w:rsidR="00E55420" w:rsidRPr="008C74A3" w:rsidRDefault="00E55420" w:rsidP="0063626B">
      <w:pPr>
        <w:spacing w:after="0"/>
        <w:ind w:left="450" w:hanging="450"/>
      </w:pPr>
      <w:r w:rsidRPr="008C74A3">
        <w:t>Saloni Atal, Dalberg</w:t>
      </w:r>
    </w:p>
    <w:p w14:paraId="0FE2762D" w14:textId="041E1CFA" w:rsidR="0066607A" w:rsidRPr="008C74A3" w:rsidRDefault="0066607A" w:rsidP="0063626B">
      <w:pPr>
        <w:spacing w:after="0"/>
        <w:ind w:left="450" w:hanging="450"/>
      </w:pPr>
      <w:r w:rsidRPr="008C74A3">
        <w:t>Sarah Forster, The Good Economy</w:t>
      </w:r>
    </w:p>
    <w:p w14:paraId="372F8FA1" w14:textId="792CB4C3" w:rsidR="0063626B" w:rsidRPr="008C74A3" w:rsidRDefault="0063626B" w:rsidP="0063626B">
      <w:pPr>
        <w:spacing w:after="0"/>
        <w:ind w:left="450" w:hanging="450"/>
      </w:pPr>
      <w:r w:rsidRPr="008C74A3">
        <w:t>Sarah Gelfand, Blue</w:t>
      </w:r>
      <w:r w:rsidR="00FB0463" w:rsidRPr="008C74A3">
        <w:t>M</w:t>
      </w:r>
      <w:r w:rsidRPr="008C74A3">
        <w:t>ark</w:t>
      </w:r>
    </w:p>
    <w:p w14:paraId="403DE18A" w14:textId="0329D8DC" w:rsidR="00405730" w:rsidRPr="008C74A3" w:rsidRDefault="00405730" w:rsidP="0063626B">
      <w:pPr>
        <w:spacing w:after="0"/>
        <w:ind w:left="450" w:hanging="450"/>
      </w:pPr>
      <w:r w:rsidRPr="008C74A3">
        <w:t xml:space="preserve">Sasha Dichter, 60 </w:t>
      </w:r>
      <w:r w:rsidR="00E55420" w:rsidRPr="008C74A3">
        <w:t>D</w:t>
      </w:r>
      <w:r w:rsidRPr="008C74A3">
        <w:t>ecibels</w:t>
      </w:r>
    </w:p>
    <w:p w14:paraId="21024C9E" w14:textId="2DA4DD80" w:rsidR="00405730" w:rsidRPr="008C74A3" w:rsidRDefault="00405730" w:rsidP="0063626B">
      <w:pPr>
        <w:spacing w:after="0"/>
        <w:ind w:left="450" w:hanging="450"/>
      </w:pPr>
      <w:r w:rsidRPr="008C74A3">
        <w:t>Sasha Zoueva, The Rockefeller Foundation</w:t>
      </w:r>
    </w:p>
    <w:p w14:paraId="022EAF10" w14:textId="4522EAFD" w:rsidR="0063626B" w:rsidRPr="008C74A3" w:rsidRDefault="0063626B" w:rsidP="0063626B">
      <w:pPr>
        <w:spacing w:after="0"/>
        <w:ind w:left="450" w:hanging="450"/>
      </w:pPr>
      <w:r w:rsidRPr="008C74A3">
        <w:t>Silky Raheja, ABC Impact</w:t>
      </w:r>
    </w:p>
    <w:p w14:paraId="325D3A12" w14:textId="457DB251" w:rsidR="0063626B" w:rsidRPr="008C74A3" w:rsidRDefault="0063626B" w:rsidP="0063626B">
      <w:pPr>
        <w:spacing w:after="0"/>
        <w:ind w:left="450" w:hanging="450"/>
      </w:pPr>
      <w:r w:rsidRPr="008C74A3">
        <w:t>Stephanie Robertson, Social Value Canada</w:t>
      </w:r>
    </w:p>
    <w:p w14:paraId="3FA57F7E" w14:textId="66AEB0E0" w:rsidR="008C1A70" w:rsidRPr="008C74A3" w:rsidRDefault="008C1A70" w:rsidP="0063626B">
      <w:pPr>
        <w:spacing w:after="0"/>
        <w:ind w:left="450" w:hanging="450"/>
      </w:pPr>
      <w:r w:rsidRPr="008C74A3">
        <w:t>Sugandhi Matta, ABC Impact</w:t>
      </w:r>
    </w:p>
    <w:p w14:paraId="704208EF" w14:textId="3A1C36B5" w:rsidR="00405730" w:rsidRPr="008C74A3" w:rsidRDefault="00405730" w:rsidP="0063626B">
      <w:pPr>
        <w:spacing w:after="0"/>
        <w:ind w:left="450" w:hanging="450"/>
      </w:pPr>
      <w:r w:rsidRPr="008C74A3">
        <w:t>Tim Macready, Bright</w:t>
      </w:r>
      <w:r w:rsidR="00E6135F" w:rsidRPr="008C74A3">
        <w:t>l</w:t>
      </w:r>
      <w:r w:rsidRPr="008C74A3">
        <w:t>ight</w:t>
      </w:r>
    </w:p>
    <w:p w14:paraId="305DBA3A" w14:textId="07854EFD" w:rsidR="00405730" w:rsidRPr="008C74A3" w:rsidRDefault="00405730" w:rsidP="0063626B">
      <w:pPr>
        <w:spacing w:after="0"/>
        <w:ind w:left="450" w:hanging="450"/>
      </w:pPr>
      <w:r w:rsidRPr="008C74A3">
        <w:t xml:space="preserve">Tom Adams, 60 </w:t>
      </w:r>
      <w:r w:rsidR="00E55420" w:rsidRPr="008C74A3">
        <w:t>D</w:t>
      </w:r>
      <w:r w:rsidRPr="008C74A3">
        <w:t>ecibels</w:t>
      </w:r>
    </w:p>
    <w:p w14:paraId="16BE1139" w14:textId="2DFE41D5" w:rsidR="00405730" w:rsidRPr="008C74A3" w:rsidRDefault="00405730" w:rsidP="0063626B">
      <w:pPr>
        <w:spacing w:after="0"/>
        <w:ind w:left="450" w:hanging="450"/>
      </w:pPr>
      <w:r w:rsidRPr="008C74A3">
        <w:t>Tristan Hackett, BlueMark</w:t>
      </w:r>
    </w:p>
    <w:p w14:paraId="14A77C7F" w14:textId="196BE202" w:rsidR="00405730" w:rsidRPr="008C74A3" w:rsidRDefault="00405730" w:rsidP="0063626B">
      <w:pPr>
        <w:spacing w:after="0"/>
        <w:ind w:left="450" w:hanging="450"/>
      </w:pPr>
      <w:r w:rsidRPr="008C74A3">
        <w:t>Tynesia Boyea-Robinson, CapEQ</w:t>
      </w:r>
    </w:p>
    <w:p w14:paraId="58D2BBDE" w14:textId="31A2E2C5" w:rsidR="00405730" w:rsidRPr="008C74A3" w:rsidRDefault="000A67F2" w:rsidP="0063626B">
      <w:pPr>
        <w:spacing w:after="0"/>
        <w:ind w:left="450" w:hanging="450"/>
      </w:pPr>
      <w:r w:rsidRPr="008C74A3">
        <w:t>Verónica </w:t>
      </w:r>
      <w:r w:rsidR="00405730" w:rsidRPr="008C74A3">
        <w:t>Ol</w:t>
      </w:r>
      <w:r w:rsidR="004D4FD4" w:rsidRPr="008C74A3">
        <w:t>aza</w:t>
      </w:r>
      <w:r w:rsidR="00405730" w:rsidRPr="008C74A3">
        <w:t>b</w:t>
      </w:r>
      <w:r w:rsidR="004D4FD4" w:rsidRPr="008C74A3">
        <w:t>a</w:t>
      </w:r>
      <w:r w:rsidR="00405730" w:rsidRPr="008C74A3">
        <w:t xml:space="preserve">l, </w:t>
      </w:r>
      <w:r w:rsidR="002D4B4F" w:rsidRPr="008C74A3">
        <w:t>BHP Foundation</w:t>
      </w:r>
    </w:p>
    <w:p w14:paraId="5E07C5BB" w14:textId="77777777" w:rsidR="0063626B" w:rsidRPr="008C74A3" w:rsidRDefault="0063626B" w:rsidP="00405730">
      <w:pPr>
        <w:sectPr w:rsidR="0063626B" w:rsidRPr="008C74A3" w:rsidSect="0063626B">
          <w:type w:val="continuous"/>
          <w:pgSz w:w="12240" w:h="15840" w:code="1"/>
          <w:pgMar w:top="1440" w:right="1440" w:bottom="1440" w:left="1440" w:header="720" w:footer="720" w:gutter="0"/>
          <w:cols w:num="2" w:space="720"/>
          <w:docGrid w:linePitch="360"/>
        </w:sectPr>
      </w:pPr>
    </w:p>
    <w:p w14:paraId="0A5F3A2A" w14:textId="77777777" w:rsidR="00CD6B9B" w:rsidRPr="008C74A3" w:rsidRDefault="00CD6B9B" w:rsidP="00F8680B"/>
    <w:p w14:paraId="3C7B229B" w14:textId="5B017B09" w:rsidR="00F8680B" w:rsidRPr="008C74A3" w:rsidRDefault="00F8680B" w:rsidP="00F8680B">
      <w:r w:rsidRPr="008C74A3">
        <w:t>We would also like to thank the approximately fifty participants in a workshop on impact performance reporting held at Rockefeller Foundation on September 8 in New York City for their contributions to the content of the Norms as well as their guidance on design of the pilot / transition phase.</w:t>
      </w:r>
      <w:r w:rsidR="00FF1A81" w:rsidRPr="008C74A3">
        <w:t xml:space="preserve"> </w:t>
      </w:r>
      <w:r w:rsidRPr="008C74A3">
        <w:t xml:space="preserve">Additionally, we would like to thank twenty </w:t>
      </w:r>
      <w:r w:rsidR="004B609C" w:rsidRPr="008C74A3">
        <w:t xml:space="preserve">one </w:t>
      </w:r>
      <w:r w:rsidRPr="008C74A3">
        <w:t xml:space="preserve">institutional investors who participated in the </w:t>
      </w:r>
      <w:r w:rsidR="004B609C" w:rsidRPr="008C74A3">
        <w:t xml:space="preserve">workshop </w:t>
      </w:r>
      <w:r w:rsidR="00CD6B9B" w:rsidRPr="008C74A3">
        <w:t xml:space="preserve">in Tokyo </w:t>
      </w:r>
      <w:r w:rsidR="004B609C" w:rsidRPr="008C74A3">
        <w:t>co</w:t>
      </w:r>
      <w:r w:rsidRPr="008C74A3">
        <w:t xml:space="preserve">-hosted </w:t>
      </w:r>
      <w:r w:rsidR="004B609C" w:rsidRPr="008C74A3">
        <w:t>by SIMI</w:t>
      </w:r>
      <w:r w:rsidRPr="008C74A3">
        <w:t xml:space="preserve"> and </w:t>
      </w:r>
      <w:r w:rsidR="00F52D2C" w:rsidRPr="008C74A3">
        <w:t xml:space="preserve">the </w:t>
      </w:r>
      <w:r w:rsidRPr="008C74A3">
        <w:t>Japan Impact</w:t>
      </w:r>
      <w:r w:rsidR="00F52D2C" w:rsidRPr="008C74A3">
        <w:t>-D</w:t>
      </w:r>
      <w:r w:rsidRPr="008C74A3">
        <w:t>riven Financing Initiative providing a global perspective</w:t>
      </w:r>
      <w:r w:rsidR="004B609C" w:rsidRPr="008C74A3">
        <w:t>.</w:t>
      </w:r>
    </w:p>
    <w:p w14:paraId="79712AA2" w14:textId="77777777" w:rsidR="00CD6B9B" w:rsidRPr="008C74A3" w:rsidRDefault="002D4B4F" w:rsidP="00405730">
      <w:pPr>
        <w:sectPr w:rsidR="00CD6B9B" w:rsidRPr="008C74A3" w:rsidSect="0063626B">
          <w:type w:val="continuous"/>
          <w:pgSz w:w="12240" w:h="15840" w:code="1"/>
          <w:pgMar w:top="1440" w:right="1440" w:bottom="1440" w:left="1440" w:header="720" w:footer="720" w:gutter="0"/>
          <w:cols w:space="720"/>
          <w:docGrid w:linePitch="360"/>
        </w:sectPr>
      </w:pPr>
      <w:r w:rsidRPr="008C74A3">
        <w:t>Finally, we wish to thank the Rockefeller Foundation for making this work possible</w:t>
      </w:r>
      <w:bookmarkEnd w:id="69"/>
      <w:r w:rsidR="008C1A70" w:rsidRPr="008C74A3">
        <w:t>.</w:t>
      </w:r>
    </w:p>
    <w:p w14:paraId="271C0FF7" w14:textId="135B9BF8" w:rsidR="00405730" w:rsidRPr="008C74A3" w:rsidRDefault="00405730" w:rsidP="00405730"/>
    <w:p w14:paraId="1FCF8659" w14:textId="193A631B" w:rsidR="00065BA2" w:rsidRPr="008C74A3" w:rsidRDefault="00065BA2" w:rsidP="001F3DC0">
      <w:pPr>
        <w:pStyle w:val="Heading2"/>
      </w:pPr>
      <w:bookmarkStart w:id="70" w:name="_Toc148384200"/>
      <w:r w:rsidRPr="008C74A3">
        <w:t xml:space="preserve">Appendix </w:t>
      </w:r>
      <w:r w:rsidR="00FA3ED3" w:rsidRPr="008C74A3">
        <w:t>C</w:t>
      </w:r>
      <w:r w:rsidRPr="008C74A3">
        <w:t>: Standards and Resources Consulted on Reporting and Assurance</w:t>
      </w:r>
      <w:bookmarkEnd w:id="65"/>
      <w:bookmarkEnd w:id="66"/>
      <w:bookmarkEnd w:id="67"/>
      <w:bookmarkEnd w:id="70"/>
      <w:r w:rsidRPr="008C74A3">
        <w:t xml:space="preserve"> </w:t>
      </w:r>
    </w:p>
    <w:p w14:paraId="7761C930" w14:textId="77777777" w:rsidR="00065BA2" w:rsidRPr="008C74A3" w:rsidRDefault="00000000" w:rsidP="002D5795">
      <w:pPr>
        <w:pStyle w:val="ListParagraph"/>
        <w:numPr>
          <w:ilvl w:val="0"/>
          <w:numId w:val="25"/>
        </w:numPr>
        <w:ind w:leftChars="0"/>
      </w:pPr>
      <w:hyperlink r:id="rId63" w:history="1">
        <w:r w:rsidR="00065BA2" w:rsidRPr="008C74A3">
          <w:rPr>
            <w:color w:val="0563C1" w:themeColor="hyperlink"/>
            <w:u w:val="single"/>
          </w:rPr>
          <w:t>Assurance and Engagements Other Than Audits or Reviews of Historical Information</w:t>
        </w:r>
      </w:hyperlink>
      <w:r w:rsidR="00065BA2" w:rsidRPr="008C74A3">
        <w:t xml:space="preserve"> (ISAE3000 (Revised)) </w:t>
      </w:r>
    </w:p>
    <w:p w14:paraId="7D7033DD" w14:textId="77777777" w:rsidR="00065BA2" w:rsidRPr="008C74A3" w:rsidRDefault="00000000" w:rsidP="002D5795">
      <w:pPr>
        <w:pStyle w:val="ListParagraph"/>
        <w:numPr>
          <w:ilvl w:val="0"/>
          <w:numId w:val="25"/>
        </w:numPr>
        <w:ind w:leftChars="0"/>
      </w:pPr>
      <w:hyperlink r:id="rId64" w:history="1">
        <w:r w:rsidR="00065BA2" w:rsidRPr="008C74A3">
          <w:rPr>
            <w:color w:val="0563C1" w:themeColor="hyperlink"/>
            <w:u w:val="single"/>
          </w:rPr>
          <w:t>Non-Authoritative Guidance on Applying ISAE3000 (Revised) to Sustainability and Other Extended Reporting Engagements</w:t>
        </w:r>
      </w:hyperlink>
      <w:r w:rsidR="00065BA2" w:rsidRPr="008C74A3">
        <w:t xml:space="preserve"> by The International Auditing and Assurance Standards Board (IAASB)</w:t>
      </w:r>
    </w:p>
    <w:p w14:paraId="5482A809" w14:textId="77777777" w:rsidR="00065BA2" w:rsidRPr="008C74A3" w:rsidRDefault="00000000" w:rsidP="002D5795">
      <w:pPr>
        <w:pStyle w:val="ListParagraph"/>
        <w:numPr>
          <w:ilvl w:val="0"/>
          <w:numId w:val="25"/>
        </w:numPr>
        <w:ind w:leftChars="0"/>
      </w:pPr>
      <w:hyperlink r:id="rId65" w:history="1">
        <w:r w:rsidR="00065BA2" w:rsidRPr="008C74A3">
          <w:rPr>
            <w:color w:val="0563C1" w:themeColor="hyperlink"/>
            <w:u w:val="single"/>
          </w:rPr>
          <w:t>AA1000 Assurance Standard</w:t>
        </w:r>
      </w:hyperlink>
      <w:r w:rsidR="00065BA2" w:rsidRPr="008C74A3">
        <w:t xml:space="preserve"> by AccountAbility</w:t>
      </w:r>
    </w:p>
    <w:p w14:paraId="337539C3" w14:textId="77777777" w:rsidR="00065BA2" w:rsidRPr="008C74A3" w:rsidRDefault="00000000" w:rsidP="002D5795">
      <w:pPr>
        <w:pStyle w:val="ListParagraph"/>
        <w:numPr>
          <w:ilvl w:val="0"/>
          <w:numId w:val="25"/>
        </w:numPr>
        <w:ind w:leftChars="0"/>
      </w:pPr>
      <w:hyperlink r:id="rId66" w:history="1">
        <w:r w:rsidR="00065BA2" w:rsidRPr="008C74A3">
          <w:rPr>
            <w:color w:val="0563C1" w:themeColor="hyperlink"/>
            <w:u w:val="single"/>
          </w:rPr>
          <w:t>International Standard on Related Services 4400</w:t>
        </w:r>
      </w:hyperlink>
      <w:r w:rsidR="00065BA2" w:rsidRPr="008C74A3">
        <w:t xml:space="preserve"> (ISRS4400 (Revised)) by the IAASB.ISAE 3000</w:t>
      </w:r>
    </w:p>
    <w:p w14:paraId="3335B52C" w14:textId="77777777" w:rsidR="00065BA2" w:rsidRPr="008C74A3" w:rsidRDefault="00000000" w:rsidP="002D5795">
      <w:pPr>
        <w:pStyle w:val="ListParagraph"/>
        <w:numPr>
          <w:ilvl w:val="0"/>
          <w:numId w:val="25"/>
        </w:numPr>
        <w:ind w:leftChars="0"/>
      </w:pPr>
      <w:hyperlink r:id="rId67" w:history="1">
        <w:r w:rsidR="00065BA2" w:rsidRPr="008C74A3">
          <w:rPr>
            <w:color w:val="0563C1" w:themeColor="hyperlink"/>
            <w:u w:val="single"/>
          </w:rPr>
          <w:t>Raising the Bar: Aligning on the Key Elements of Impact Performance Reporting</w:t>
        </w:r>
      </w:hyperlink>
      <w:r w:rsidR="00065BA2" w:rsidRPr="008C74A3">
        <w:t xml:space="preserve"> by BlueMark</w:t>
      </w:r>
    </w:p>
    <w:p w14:paraId="2E742FD4" w14:textId="77777777" w:rsidR="00065BA2" w:rsidRPr="008C74A3" w:rsidRDefault="00000000" w:rsidP="002D5795">
      <w:pPr>
        <w:pStyle w:val="ListParagraph"/>
        <w:numPr>
          <w:ilvl w:val="0"/>
          <w:numId w:val="25"/>
        </w:numPr>
        <w:ind w:leftChars="0"/>
      </w:pPr>
      <w:hyperlink r:id="rId68" w:history="1">
        <w:r w:rsidR="00065BA2" w:rsidRPr="008C74A3">
          <w:rPr>
            <w:color w:val="0563C1" w:themeColor="hyperlink"/>
            <w:u w:val="single"/>
          </w:rPr>
          <w:t>Raising the Bar 2: BlueMark’s Framework for Evaluating Impact Reporting</w:t>
        </w:r>
      </w:hyperlink>
      <w:r w:rsidR="00065BA2" w:rsidRPr="008C74A3">
        <w:t xml:space="preserve"> by BlueMark</w:t>
      </w:r>
    </w:p>
    <w:p w14:paraId="3A5B9F7F" w14:textId="77777777" w:rsidR="00065BA2" w:rsidRPr="008C74A3" w:rsidRDefault="00065BA2" w:rsidP="00DB1B70"/>
    <w:p w14:paraId="796237DE" w14:textId="77777777" w:rsidR="00D33AB7" w:rsidRPr="008C74A3" w:rsidRDefault="00D33AB7" w:rsidP="00D33AB7">
      <w:pPr>
        <w:pStyle w:val="Heading2"/>
        <w:rPr>
          <w:shd w:val="clear" w:color="auto" w:fill="FFFFFF"/>
        </w:rPr>
        <w:sectPr w:rsidR="00D33AB7" w:rsidRPr="008C74A3" w:rsidSect="00CD6B9B">
          <w:pgSz w:w="12240" w:h="15840" w:code="1"/>
          <w:pgMar w:top="1440" w:right="1440" w:bottom="1440" w:left="1440" w:header="720" w:footer="720" w:gutter="0"/>
          <w:cols w:space="720"/>
          <w:docGrid w:linePitch="360"/>
        </w:sectPr>
      </w:pPr>
      <w:bookmarkStart w:id="71" w:name="_Toc146213873"/>
    </w:p>
    <w:p w14:paraId="6C5BC9A4" w14:textId="5ABFA569" w:rsidR="00D33AB7" w:rsidRPr="008C74A3" w:rsidRDefault="00D33AB7" w:rsidP="00D33AB7">
      <w:pPr>
        <w:pStyle w:val="Heading2"/>
        <w:rPr>
          <w:shd w:val="clear" w:color="auto" w:fill="FFFFFF"/>
        </w:rPr>
      </w:pPr>
      <w:bookmarkStart w:id="72" w:name="_Toc148384201"/>
      <w:r w:rsidRPr="008C74A3">
        <w:rPr>
          <w:shd w:val="clear" w:color="auto" w:fill="FFFFFF"/>
        </w:rPr>
        <w:lastRenderedPageBreak/>
        <w:t>Appendix D: System Map for Investors and Financial Institutions</w:t>
      </w:r>
      <w:bookmarkEnd w:id="71"/>
      <w:bookmarkEnd w:id="72"/>
    </w:p>
    <w:p w14:paraId="18538F7E" w14:textId="77777777" w:rsidR="00D33AB7" w:rsidRPr="008C74A3" w:rsidRDefault="00D33AB7" w:rsidP="00D33AB7">
      <w:r w:rsidRPr="008C74A3">
        <w:t xml:space="preserve">Note: For a higher-resolution view and additional detail, please visit Impact Management Platform, </w:t>
      </w:r>
      <w:hyperlink r:id="rId69" w:history="1">
        <w:r w:rsidRPr="008C74A3">
          <w:rPr>
            <w:rStyle w:val="Hyperlink"/>
          </w:rPr>
          <w:t>https://impactmanagementplatform.org/system-map/</w:t>
        </w:r>
      </w:hyperlink>
      <w:r w:rsidRPr="008C74A3">
        <w:t>.</w:t>
      </w:r>
    </w:p>
    <w:p w14:paraId="58B49270" w14:textId="3708740E" w:rsidR="00D33AB7" w:rsidRPr="008C74A3" w:rsidRDefault="00402011" w:rsidP="00D33AB7">
      <w:r w:rsidRPr="008C74A3">
        <w:rPr>
          <w:noProof/>
        </w:rPr>
        <mc:AlternateContent>
          <mc:Choice Requires="wps">
            <w:drawing>
              <wp:anchor distT="0" distB="0" distL="114300" distR="114300" simplePos="0" relativeHeight="251751424" behindDoc="0" locked="0" layoutInCell="1" allowOverlap="1" wp14:anchorId="016077C1" wp14:editId="4E48F335">
                <wp:simplePos x="0" y="0"/>
                <wp:positionH relativeFrom="column">
                  <wp:posOffset>-7620</wp:posOffset>
                </wp:positionH>
                <wp:positionV relativeFrom="paragraph">
                  <wp:posOffset>1702435</wp:posOffset>
                </wp:positionV>
                <wp:extent cx="857250" cy="274320"/>
                <wp:effectExtent l="0" t="0" r="19050" b="11430"/>
                <wp:wrapNone/>
                <wp:docPr id="1847599067" name="Speech Bubble: Rectangle with Corners Rounded 41"/>
                <wp:cNvGraphicFramePr/>
                <a:graphic xmlns:a="http://schemas.openxmlformats.org/drawingml/2006/main">
                  <a:graphicData uri="http://schemas.microsoft.com/office/word/2010/wordprocessingShape">
                    <wps:wsp>
                      <wps:cNvSpPr/>
                      <wps:spPr>
                        <a:xfrm>
                          <a:off x="0" y="0"/>
                          <a:ext cx="857250" cy="274320"/>
                        </a:xfrm>
                        <a:prstGeom prst="wedgeRoundRectCallout">
                          <a:avLst>
                            <a:gd name="adj1" fmla="val -32874"/>
                            <a:gd name="adj2" fmla="val -669"/>
                            <a:gd name="adj3" fmla="val 16667"/>
                          </a:avLst>
                        </a:prstGeom>
                      </wps:spPr>
                      <wps:style>
                        <a:lnRef idx="2">
                          <a:schemeClr val="dk1"/>
                        </a:lnRef>
                        <a:fillRef idx="1">
                          <a:schemeClr val="lt1"/>
                        </a:fillRef>
                        <a:effectRef idx="0">
                          <a:schemeClr val="dk1"/>
                        </a:effectRef>
                        <a:fontRef idx="minor">
                          <a:schemeClr val="dk1"/>
                        </a:fontRef>
                      </wps:style>
                      <wps:txbx>
                        <w:txbxContent>
                          <w:p w14:paraId="28C9FF7F" w14:textId="463FDDBC" w:rsidR="00D33AB7" w:rsidRPr="00174259" w:rsidRDefault="00D33AB7" w:rsidP="00402011">
                            <w:pPr>
                              <w:jc w:val="center"/>
                            </w:pPr>
                            <w:r w:rsidRPr="00174259">
                              <w:t>“Generic”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6077C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41" o:spid="_x0000_s1036" type="#_x0000_t62" style="position:absolute;margin-left:-.6pt;margin-top:134.05pt;width:67.5pt;height:21.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" adj="3699,10655" fillcolor="white [3201]" strokecolor="black [3200]" strokeweight="1pt">
                <v:textbox>
                  <w:txbxContent>
                    <w:p w14:paraId="28C9FF7F" w14:textId="463FDDBC" w:rsidR="00D33AB7" w:rsidRPr="00174259" w:rsidRDefault="00D33AB7" w:rsidP="00402011">
                      <w:pPr>
                        <w:jc w:val="center"/>
                      </w:pPr>
                      <w:r w:rsidRPr="00174259">
                        <w:t>“Generic”</w:t>
                      </w:r>
                    </w:p>
                  </w:txbxContent>
                </v:textbox>
              </v:shape>
            </w:pict>
          </mc:Fallback>
        </mc:AlternateContent>
      </w:r>
      <w:r w:rsidR="00D33AB7" w:rsidRPr="008C74A3">
        <w:rPr>
          <w:noProof/>
        </w:rPr>
        <mc:AlternateContent>
          <mc:Choice Requires="wps">
            <w:drawing>
              <wp:anchor distT="0" distB="0" distL="114300" distR="114300" simplePos="0" relativeHeight="251756544" behindDoc="0" locked="0" layoutInCell="1" allowOverlap="1" wp14:anchorId="2262BF56" wp14:editId="41530841">
                <wp:simplePos x="0" y="0"/>
                <wp:positionH relativeFrom="margin">
                  <wp:align>left</wp:align>
                </wp:positionH>
                <wp:positionV relativeFrom="paragraph">
                  <wp:posOffset>5650230</wp:posOffset>
                </wp:positionV>
                <wp:extent cx="1375410" cy="449580"/>
                <wp:effectExtent l="0" t="209550" r="15240" b="26670"/>
                <wp:wrapNone/>
                <wp:docPr id="965015199" name="Speech Bubble: Rectangle with Corners Rounded 41"/>
                <wp:cNvGraphicFramePr/>
                <a:graphic xmlns:a="http://schemas.openxmlformats.org/drawingml/2006/main">
                  <a:graphicData uri="http://schemas.microsoft.com/office/word/2010/wordprocessingShape">
                    <wps:wsp>
                      <wps:cNvSpPr/>
                      <wps:spPr>
                        <a:xfrm>
                          <a:off x="914400" y="6850380"/>
                          <a:ext cx="1375410" cy="449580"/>
                        </a:xfrm>
                        <a:prstGeom prst="wedgeRoundRectCallout">
                          <a:avLst>
                            <a:gd name="adj1" fmla="val -26148"/>
                            <a:gd name="adj2" fmla="val -90831"/>
                            <a:gd name="adj3" fmla="val 16667"/>
                          </a:avLst>
                        </a:prstGeom>
                      </wps:spPr>
                      <wps:style>
                        <a:lnRef idx="2">
                          <a:schemeClr val="dk1"/>
                        </a:lnRef>
                        <a:fillRef idx="1">
                          <a:schemeClr val="lt1"/>
                        </a:fillRef>
                        <a:effectRef idx="0">
                          <a:schemeClr val="dk1"/>
                        </a:effectRef>
                        <a:fontRef idx="minor">
                          <a:schemeClr val="dk1"/>
                        </a:fontRef>
                      </wps:style>
                      <wps:txbx>
                        <w:txbxContent>
                          <w:p w14:paraId="542DF742" w14:textId="77777777" w:rsidR="00D33AB7" w:rsidRPr="00174259" w:rsidRDefault="00D33AB7" w:rsidP="00D33AB7">
                            <w:r w:rsidRPr="00174259">
                              <w:t>“</w:t>
                            </w:r>
                            <w:r>
                              <w:t>Development finance institutions</w:t>
                            </w:r>
                            <w:r w:rsidRPr="00174259">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2BF56" id="_x0000_s1037" type="#_x0000_t62" style="position:absolute;margin-left:0;margin-top:444.9pt;width:108.3pt;height:35.4pt;z-index:251756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" adj="5152,-8819" fillcolor="white [3201]" strokecolor="black [3200]" strokeweight="1pt">
                <v:textbox>
                  <w:txbxContent>
                    <w:p w14:paraId="542DF742" w14:textId="77777777" w:rsidR="00D33AB7" w:rsidRPr="00174259" w:rsidRDefault="00D33AB7" w:rsidP="00D33AB7">
                      <w:r w:rsidRPr="00174259">
                        <w:t>“</w:t>
                      </w:r>
                      <w:r>
                        <w:t>Development finance institutions</w:t>
                      </w:r>
                      <w:r w:rsidRPr="00174259">
                        <w:t>”</w:t>
                      </w:r>
                    </w:p>
                  </w:txbxContent>
                </v:textbox>
                <w10:wrap anchorx="margin"/>
              </v:shape>
            </w:pict>
          </mc:Fallback>
        </mc:AlternateContent>
      </w:r>
      <w:r w:rsidR="00D33AB7" w:rsidRPr="008C74A3">
        <w:rPr>
          <w:noProof/>
        </w:rPr>
        <mc:AlternateContent>
          <mc:Choice Requires="wps">
            <w:drawing>
              <wp:anchor distT="0" distB="0" distL="114300" distR="114300" simplePos="0" relativeHeight="251754496" behindDoc="0" locked="0" layoutInCell="1" allowOverlap="1" wp14:anchorId="2970806E" wp14:editId="5BFBB521">
                <wp:simplePos x="0" y="0"/>
                <wp:positionH relativeFrom="column">
                  <wp:posOffset>853440</wp:posOffset>
                </wp:positionH>
                <wp:positionV relativeFrom="paragraph">
                  <wp:posOffset>4625340</wp:posOffset>
                </wp:positionV>
                <wp:extent cx="1143000" cy="449580"/>
                <wp:effectExtent l="438150" t="228600" r="19050" b="26670"/>
                <wp:wrapNone/>
                <wp:docPr id="1969108467" name="Speech Bubble: Rectangle with Corners Rounded 41"/>
                <wp:cNvGraphicFramePr/>
                <a:graphic xmlns:a="http://schemas.openxmlformats.org/drawingml/2006/main">
                  <a:graphicData uri="http://schemas.microsoft.com/office/word/2010/wordprocessingShape">
                    <wps:wsp>
                      <wps:cNvSpPr/>
                      <wps:spPr>
                        <a:xfrm>
                          <a:off x="0" y="0"/>
                          <a:ext cx="1143000" cy="449580"/>
                        </a:xfrm>
                        <a:prstGeom prst="wedgeRoundRectCallout">
                          <a:avLst>
                            <a:gd name="adj1" fmla="val -84874"/>
                            <a:gd name="adj2" fmla="val -95915"/>
                            <a:gd name="adj3" fmla="val 16667"/>
                          </a:avLst>
                        </a:prstGeom>
                      </wps:spPr>
                      <wps:style>
                        <a:lnRef idx="2">
                          <a:schemeClr val="dk1"/>
                        </a:lnRef>
                        <a:fillRef idx="1">
                          <a:schemeClr val="lt1"/>
                        </a:fillRef>
                        <a:effectRef idx="0">
                          <a:schemeClr val="dk1"/>
                        </a:effectRef>
                        <a:fontRef idx="minor">
                          <a:schemeClr val="dk1"/>
                        </a:fontRef>
                      </wps:style>
                      <wps:txbx>
                        <w:txbxContent>
                          <w:p w14:paraId="02738A0E" w14:textId="77777777" w:rsidR="00D33AB7" w:rsidRPr="00174259" w:rsidRDefault="00D33AB7" w:rsidP="00D33AB7">
                            <w:r w:rsidRPr="00174259">
                              <w:t>“Impact Investors”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0806E" id="_x0000_s1038" type="#_x0000_t62" style="position:absolute;margin-left:67.2pt;margin-top:364.2pt;width:90pt;height:35.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" adj="-7533,-9918" fillcolor="white [3201]" strokecolor="black [3200]" strokeweight="1pt">
                <v:textbox>
                  <w:txbxContent>
                    <w:p w14:paraId="02738A0E" w14:textId="77777777" w:rsidR="00D33AB7" w:rsidRPr="00174259" w:rsidRDefault="00D33AB7" w:rsidP="00D33AB7">
                      <w:r w:rsidRPr="00174259">
                        <w:t>“Impact Investors”</w:t>
                      </w:r>
                    </w:p>
                  </w:txbxContent>
                </v:textbox>
              </v:shape>
            </w:pict>
          </mc:Fallback>
        </mc:AlternateContent>
      </w:r>
      <w:r w:rsidR="00D33AB7" w:rsidRPr="008C74A3">
        <w:rPr>
          <w:noProof/>
        </w:rPr>
        <mc:AlternateContent>
          <mc:Choice Requires="wps">
            <w:drawing>
              <wp:anchor distT="0" distB="0" distL="114300" distR="114300" simplePos="0" relativeHeight="251755520" behindDoc="0" locked="0" layoutInCell="1" allowOverlap="1" wp14:anchorId="6260A387" wp14:editId="306E6B81">
                <wp:simplePos x="0" y="0"/>
                <wp:positionH relativeFrom="column">
                  <wp:posOffset>15240</wp:posOffset>
                </wp:positionH>
                <wp:positionV relativeFrom="paragraph">
                  <wp:posOffset>5002530</wp:posOffset>
                </wp:positionV>
                <wp:extent cx="777240" cy="274320"/>
                <wp:effectExtent l="0" t="0" r="22860" b="11430"/>
                <wp:wrapNone/>
                <wp:docPr id="845381457" name="Speech Bubble: Rectangle with Corners Rounded 41"/>
                <wp:cNvGraphicFramePr/>
                <a:graphic xmlns:a="http://schemas.openxmlformats.org/drawingml/2006/main">
                  <a:graphicData uri="http://schemas.microsoft.com/office/word/2010/wordprocessingShape">
                    <wps:wsp>
                      <wps:cNvSpPr/>
                      <wps:spPr>
                        <a:xfrm>
                          <a:off x="0" y="0"/>
                          <a:ext cx="777240" cy="274320"/>
                        </a:xfrm>
                        <a:prstGeom prst="wedgeRoundRectCallout">
                          <a:avLst>
                            <a:gd name="adj1" fmla="val -32874"/>
                            <a:gd name="adj2" fmla="val -669"/>
                            <a:gd name="adj3" fmla="val 16667"/>
                          </a:avLst>
                        </a:prstGeom>
                      </wps:spPr>
                      <wps:style>
                        <a:lnRef idx="2">
                          <a:schemeClr val="dk1"/>
                        </a:lnRef>
                        <a:fillRef idx="1">
                          <a:schemeClr val="lt1"/>
                        </a:fillRef>
                        <a:effectRef idx="0">
                          <a:schemeClr val="dk1"/>
                        </a:effectRef>
                        <a:fontRef idx="minor">
                          <a:schemeClr val="dk1"/>
                        </a:fontRef>
                      </wps:style>
                      <wps:txbx>
                        <w:txbxContent>
                          <w:p w14:paraId="2583DDDB" w14:textId="77777777" w:rsidR="00D33AB7" w:rsidRPr="00174259" w:rsidRDefault="00D33AB7" w:rsidP="00D33AB7">
                            <w:r w:rsidRPr="00174259">
                              <w:t>“</w:t>
                            </w:r>
                            <w:r>
                              <w:t>Insurers</w:t>
                            </w:r>
                            <w:r w:rsidRPr="00174259">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0A387" id="_x0000_s1039" type="#_x0000_t62" style="position:absolute;margin-left:1.2pt;margin-top:393.9pt;width:61.2pt;height:21.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" adj="3699,10655" fillcolor="white [3201]" strokecolor="black [3200]" strokeweight="1pt">
                <v:textbox>
                  <w:txbxContent>
                    <w:p w14:paraId="2583DDDB" w14:textId="77777777" w:rsidR="00D33AB7" w:rsidRPr="00174259" w:rsidRDefault="00D33AB7" w:rsidP="00D33AB7">
                      <w:r w:rsidRPr="00174259">
                        <w:t>“</w:t>
                      </w:r>
                      <w:r>
                        <w:t>Insurers</w:t>
                      </w:r>
                      <w:r w:rsidRPr="00174259">
                        <w:t>”</w:t>
                      </w:r>
                    </w:p>
                  </w:txbxContent>
                </v:textbox>
              </v:shape>
            </w:pict>
          </mc:Fallback>
        </mc:AlternateContent>
      </w:r>
      <w:r w:rsidR="00D33AB7" w:rsidRPr="008C74A3">
        <w:rPr>
          <w:noProof/>
        </w:rPr>
        <mc:AlternateContent>
          <mc:Choice Requires="wps">
            <w:drawing>
              <wp:anchor distT="0" distB="0" distL="114300" distR="114300" simplePos="0" relativeHeight="251753472" behindDoc="0" locked="0" layoutInCell="1" allowOverlap="1" wp14:anchorId="171EF833" wp14:editId="1A24892E">
                <wp:simplePos x="0" y="0"/>
                <wp:positionH relativeFrom="margin">
                  <wp:align>left</wp:align>
                </wp:positionH>
                <wp:positionV relativeFrom="paragraph">
                  <wp:posOffset>3768090</wp:posOffset>
                </wp:positionV>
                <wp:extent cx="777240" cy="274320"/>
                <wp:effectExtent l="0" t="0" r="22860" b="11430"/>
                <wp:wrapNone/>
                <wp:docPr id="1630752069" name="Speech Bubble: Rectangle with Corners Rounded 41"/>
                <wp:cNvGraphicFramePr/>
                <a:graphic xmlns:a="http://schemas.openxmlformats.org/drawingml/2006/main">
                  <a:graphicData uri="http://schemas.microsoft.com/office/word/2010/wordprocessingShape">
                    <wps:wsp>
                      <wps:cNvSpPr/>
                      <wps:spPr>
                        <a:xfrm>
                          <a:off x="0" y="0"/>
                          <a:ext cx="777240" cy="274320"/>
                        </a:xfrm>
                        <a:prstGeom prst="wedgeRoundRectCallout">
                          <a:avLst>
                            <a:gd name="adj1" fmla="val -32874"/>
                            <a:gd name="adj2" fmla="val -669"/>
                            <a:gd name="adj3" fmla="val 16667"/>
                          </a:avLst>
                        </a:prstGeom>
                      </wps:spPr>
                      <wps:style>
                        <a:lnRef idx="2">
                          <a:schemeClr val="dk1"/>
                        </a:lnRef>
                        <a:fillRef idx="1">
                          <a:schemeClr val="lt1"/>
                        </a:fillRef>
                        <a:effectRef idx="0">
                          <a:schemeClr val="dk1"/>
                        </a:effectRef>
                        <a:fontRef idx="minor">
                          <a:schemeClr val="dk1"/>
                        </a:fontRef>
                      </wps:style>
                      <wps:txbx>
                        <w:txbxContent>
                          <w:p w14:paraId="4EE2D8D3" w14:textId="77777777" w:rsidR="00D33AB7" w:rsidRPr="00174259" w:rsidRDefault="00D33AB7" w:rsidP="00D33AB7">
                            <w:r w:rsidRPr="00174259">
                              <w:t>“Investors”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EF833" id="_x0000_s1040" type="#_x0000_t62" style="position:absolute;margin-left:0;margin-top:296.7pt;width:61.2pt;height:21.6pt;z-index:2517534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" adj="3699,10655" fillcolor="white [3201]" strokecolor="black [3200]" strokeweight="1pt">
                <v:textbox>
                  <w:txbxContent>
                    <w:p w14:paraId="4EE2D8D3" w14:textId="77777777" w:rsidR="00D33AB7" w:rsidRPr="00174259" w:rsidRDefault="00D33AB7" w:rsidP="00D33AB7">
                      <w:r w:rsidRPr="00174259">
                        <w:t>“Investors”</w:t>
                      </w:r>
                    </w:p>
                  </w:txbxContent>
                </v:textbox>
                <w10:wrap anchorx="margin"/>
              </v:shape>
            </w:pict>
          </mc:Fallback>
        </mc:AlternateContent>
      </w:r>
      <w:r w:rsidR="00D33AB7" w:rsidRPr="008C74A3">
        <w:rPr>
          <w:noProof/>
        </w:rPr>
        <mc:AlternateContent>
          <mc:Choice Requires="wps">
            <w:drawing>
              <wp:anchor distT="0" distB="0" distL="114300" distR="114300" simplePos="0" relativeHeight="251752448" behindDoc="0" locked="0" layoutInCell="1" allowOverlap="1" wp14:anchorId="06AF7C96" wp14:editId="55130B5F">
                <wp:simplePos x="0" y="0"/>
                <wp:positionH relativeFrom="margin">
                  <wp:align>left</wp:align>
                </wp:positionH>
                <wp:positionV relativeFrom="paragraph">
                  <wp:posOffset>2739390</wp:posOffset>
                </wp:positionV>
                <wp:extent cx="777240" cy="274320"/>
                <wp:effectExtent l="0" t="0" r="22860" b="11430"/>
                <wp:wrapNone/>
                <wp:docPr id="232257303" name="Speech Bubble: Rectangle with Corners Rounded 41"/>
                <wp:cNvGraphicFramePr/>
                <a:graphic xmlns:a="http://schemas.openxmlformats.org/drawingml/2006/main">
                  <a:graphicData uri="http://schemas.microsoft.com/office/word/2010/wordprocessingShape">
                    <wps:wsp>
                      <wps:cNvSpPr/>
                      <wps:spPr>
                        <a:xfrm>
                          <a:off x="0" y="0"/>
                          <a:ext cx="777240" cy="274320"/>
                        </a:xfrm>
                        <a:prstGeom prst="wedgeRoundRectCallout">
                          <a:avLst>
                            <a:gd name="adj1" fmla="val -32874"/>
                            <a:gd name="adj2" fmla="val -669"/>
                            <a:gd name="adj3" fmla="val 16667"/>
                          </a:avLst>
                        </a:prstGeom>
                      </wps:spPr>
                      <wps:style>
                        <a:lnRef idx="2">
                          <a:schemeClr val="dk1"/>
                        </a:lnRef>
                        <a:fillRef idx="1">
                          <a:schemeClr val="lt1"/>
                        </a:fillRef>
                        <a:effectRef idx="0">
                          <a:schemeClr val="dk1"/>
                        </a:effectRef>
                        <a:fontRef idx="minor">
                          <a:schemeClr val="dk1"/>
                        </a:fontRef>
                      </wps:style>
                      <wps:txbx>
                        <w:txbxContent>
                          <w:p w14:paraId="6FA50552" w14:textId="77777777" w:rsidR="00D33AB7" w:rsidRPr="00174259" w:rsidRDefault="00D33AB7" w:rsidP="00D33AB7">
                            <w:r w:rsidRPr="00174259">
                              <w:t>“Banks”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F7C96" id="_x0000_s1041" type="#_x0000_t62" style="position:absolute;margin-left:0;margin-top:215.7pt;width:61.2pt;height:21.6pt;z-index:2517524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" adj="3699,10655" fillcolor="white [3201]" strokecolor="black [3200]" strokeweight="1pt">
                <v:textbox>
                  <w:txbxContent>
                    <w:p w14:paraId="6FA50552" w14:textId="77777777" w:rsidR="00D33AB7" w:rsidRPr="00174259" w:rsidRDefault="00D33AB7" w:rsidP="00D33AB7">
                      <w:r w:rsidRPr="00174259">
                        <w:t>“Banks”</w:t>
                      </w:r>
                    </w:p>
                  </w:txbxContent>
                </v:textbox>
                <w10:wrap anchorx="margin"/>
              </v:shape>
            </w:pict>
          </mc:Fallback>
        </mc:AlternateContent>
      </w:r>
      <w:r w:rsidR="00D33AB7" w:rsidRPr="008C74A3">
        <w:rPr>
          <w:noProof/>
        </w:rPr>
        <mc:AlternateContent>
          <mc:Choice Requires="wps">
            <w:drawing>
              <wp:anchor distT="0" distB="0" distL="114300" distR="114300" simplePos="0" relativeHeight="251749376" behindDoc="0" locked="0" layoutInCell="1" allowOverlap="1" wp14:anchorId="3B3E327F" wp14:editId="57C3CFC6">
                <wp:simplePos x="0" y="0"/>
                <wp:positionH relativeFrom="column">
                  <wp:posOffset>5547360</wp:posOffset>
                </wp:positionH>
                <wp:positionV relativeFrom="paragraph">
                  <wp:posOffset>1013460</wp:posOffset>
                </wp:positionV>
                <wp:extent cx="1120140" cy="323850"/>
                <wp:effectExtent l="381000" t="95250" r="22860" b="19050"/>
                <wp:wrapNone/>
                <wp:docPr id="1351767349" name="Speech Bubble: Rectangle with Corners Rounded 41"/>
                <wp:cNvGraphicFramePr/>
                <a:graphic xmlns:a="http://schemas.openxmlformats.org/drawingml/2006/main">
                  <a:graphicData uri="http://schemas.microsoft.com/office/word/2010/wordprocessingShape">
                    <wps:wsp>
                      <wps:cNvSpPr/>
                      <wps:spPr>
                        <a:xfrm>
                          <a:off x="0" y="0"/>
                          <a:ext cx="1120140" cy="323850"/>
                        </a:xfrm>
                        <a:prstGeom prst="wedgeRoundRectCallout">
                          <a:avLst>
                            <a:gd name="adj1" fmla="val -79813"/>
                            <a:gd name="adj2" fmla="val -66551"/>
                            <a:gd name="adj3" fmla="val 16667"/>
                          </a:avLst>
                        </a:prstGeom>
                      </wps:spPr>
                      <wps:style>
                        <a:lnRef idx="2">
                          <a:schemeClr val="dk1"/>
                        </a:lnRef>
                        <a:fillRef idx="1">
                          <a:schemeClr val="lt1"/>
                        </a:fillRef>
                        <a:effectRef idx="0">
                          <a:schemeClr val="dk1"/>
                        </a:effectRef>
                        <a:fontRef idx="minor">
                          <a:schemeClr val="dk1"/>
                        </a:fontRef>
                      </wps:style>
                      <wps:txbx>
                        <w:txbxContent>
                          <w:p w14:paraId="685B6368" w14:textId="77777777" w:rsidR="00D33AB7" w:rsidRPr="00174259" w:rsidRDefault="00D33AB7" w:rsidP="00D33AB7">
                            <w:r w:rsidRPr="00174259">
                              <w:t>“Disclosure”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E327F" id="_x0000_s1042" type="#_x0000_t62" style="position:absolute;margin-left:436.8pt;margin-top:79.8pt;width:88.2pt;height:2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" adj="-6440,-3575" fillcolor="white [3201]" strokecolor="black [3200]" strokeweight="1pt">
                <v:textbox>
                  <w:txbxContent>
                    <w:p w14:paraId="685B6368" w14:textId="77777777" w:rsidR="00D33AB7" w:rsidRPr="00174259" w:rsidRDefault="00D33AB7" w:rsidP="00D33AB7">
                      <w:r w:rsidRPr="00174259">
                        <w:t>“Disclosure”</w:t>
                      </w:r>
                    </w:p>
                  </w:txbxContent>
                </v:textbox>
              </v:shape>
            </w:pict>
          </mc:Fallback>
        </mc:AlternateContent>
      </w:r>
      <w:r w:rsidR="00D33AB7" w:rsidRPr="008C74A3">
        <w:rPr>
          <w:noProof/>
        </w:rPr>
        <mc:AlternateContent>
          <mc:Choice Requires="wps">
            <w:drawing>
              <wp:anchor distT="0" distB="0" distL="114300" distR="114300" simplePos="0" relativeHeight="251750400" behindDoc="0" locked="0" layoutInCell="1" allowOverlap="1" wp14:anchorId="6D4B4EBB" wp14:editId="5C1E60C1">
                <wp:simplePos x="0" y="0"/>
                <wp:positionH relativeFrom="column">
                  <wp:posOffset>5532120</wp:posOffset>
                </wp:positionH>
                <wp:positionV relativeFrom="paragraph">
                  <wp:posOffset>3307080</wp:posOffset>
                </wp:positionV>
                <wp:extent cx="1120140" cy="1055370"/>
                <wp:effectExtent l="209550" t="0" r="22860" b="11430"/>
                <wp:wrapNone/>
                <wp:docPr id="877042822" name="Speech Bubble: Rectangle with Corners Rounded 41"/>
                <wp:cNvGraphicFramePr/>
                <a:graphic xmlns:a="http://schemas.openxmlformats.org/drawingml/2006/main">
                  <a:graphicData uri="http://schemas.microsoft.com/office/word/2010/wordprocessingShape">
                    <wps:wsp>
                      <wps:cNvSpPr/>
                      <wps:spPr>
                        <a:xfrm>
                          <a:off x="0" y="0"/>
                          <a:ext cx="1120140" cy="1055370"/>
                        </a:xfrm>
                        <a:prstGeom prst="wedgeRoundRectCallout">
                          <a:avLst>
                            <a:gd name="adj1" fmla="val -67568"/>
                            <a:gd name="adj2" fmla="val 6373"/>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501766F" w14:textId="77777777" w:rsidR="00D33AB7" w:rsidRDefault="00D33AB7" w:rsidP="00D33AB7">
                            <w:r>
                              <w:t>Impact Performance Reporting Norms fill this gap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B4EBB" id="_x0000_s1043" type="#_x0000_t62" style="position:absolute;margin-left:435.6pt;margin-top:260.4pt;width:88.2pt;height:83.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" adj="-3795,12177" fillcolor="#4472c4 [3204]" strokecolor="#09101d [484]" strokeweight="1pt">
                <v:textbox>
                  <w:txbxContent>
                    <w:p w14:paraId="1501766F" w14:textId="77777777" w:rsidR="00D33AB7" w:rsidRDefault="00D33AB7" w:rsidP="00D33AB7">
                      <w:r>
                        <w:t>Impact Performance Reporting Norms fill this gap</w:t>
                      </w:r>
                    </w:p>
                  </w:txbxContent>
                </v:textbox>
              </v:shape>
            </w:pict>
          </mc:Fallback>
        </mc:AlternateContent>
      </w:r>
      <w:r w:rsidR="00D33AB7" w:rsidRPr="008C74A3">
        <w:rPr>
          <w:noProof/>
        </w:rPr>
        <mc:AlternateContent>
          <mc:Choice Requires="wps">
            <w:drawing>
              <wp:anchor distT="0" distB="0" distL="114300" distR="114300" simplePos="0" relativeHeight="251748352" behindDoc="0" locked="0" layoutInCell="1" allowOverlap="1" wp14:anchorId="2A993C34" wp14:editId="53A76F15">
                <wp:simplePos x="0" y="0"/>
                <wp:positionH relativeFrom="column">
                  <wp:posOffset>4697730</wp:posOffset>
                </wp:positionH>
                <wp:positionV relativeFrom="paragraph">
                  <wp:posOffset>3246120</wp:posOffset>
                </wp:positionV>
                <wp:extent cx="632460" cy="2426970"/>
                <wp:effectExtent l="19050" t="19050" r="15240" b="11430"/>
                <wp:wrapNone/>
                <wp:docPr id="63048723" name="Rectangle: Rounded Corners 40"/>
                <wp:cNvGraphicFramePr/>
                <a:graphic xmlns:a="http://schemas.openxmlformats.org/drawingml/2006/main">
                  <a:graphicData uri="http://schemas.microsoft.com/office/word/2010/wordprocessingShape">
                    <wps:wsp>
                      <wps:cNvSpPr/>
                      <wps:spPr>
                        <a:xfrm>
                          <a:off x="0" y="0"/>
                          <a:ext cx="632460" cy="2426970"/>
                        </a:xfrm>
                        <a:prstGeom prst="roundRect">
                          <a:avLst/>
                        </a:prstGeom>
                        <a:noFill/>
                        <a:ln w="28575">
                          <a:solidFill>
                            <a:srgbClr val="FF0000"/>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74293825" w14:textId="77777777" w:rsidR="00D33AB7" w:rsidRDefault="00D33AB7" w:rsidP="00D33A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A993C34" id="Rectangle: Rounded Corners 40" o:spid="_x0000_s1044" style="position:absolute;margin-left:369.9pt;margin-top:255.6pt;width:49.8pt;height:191.1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" filled="f" strokecolor="red" strokeweight="2.25pt">
                <v:stroke dashstyle="3 1" joinstyle="miter"/>
                <v:textbox>
                  <w:txbxContent>
                    <w:p w14:paraId="74293825" w14:textId="77777777" w:rsidR="00D33AB7" w:rsidRDefault="00D33AB7" w:rsidP="00D33AB7"/>
                  </w:txbxContent>
                </v:textbox>
              </v:roundrect>
            </w:pict>
          </mc:Fallback>
        </mc:AlternateContent>
      </w:r>
      <w:r w:rsidR="00D33AB7" w:rsidRPr="008C74A3">
        <w:rPr>
          <w:noProof/>
        </w:rPr>
        <w:drawing>
          <wp:inline distT="0" distB="0" distL="0" distR="0" wp14:anchorId="595D4A73" wp14:editId="74A058EC">
            <wp:extent cx="5943600" cy="5793105"/>
            <wp:effectExtent l="0" t="0" r="3175" b="7620"/>
            <wp:docPr id="177174802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70">
                      <a:extLst>
                        <a:ext uri="{28A0092B-C50C-407E-A947-70E740481C1C}">
                          <a14:useLocalDpi xmlns:a14="http://schemas.microsoft.com/office/drawing/2010/main"/>
                        </a:ext>
                      </a:extLst>
                    </a:blip>
                    <a:srcRect/>
                    <a:stretch>
                      <a:fillRect/>
                    </a:stretch>
                  </pic:blipFill>
                  <pic:spPr bwMode="auto">
                    <a:xfrm>
                      <a:off x="0" y="0"/>
                      <a:ext cx="5943600" cy="5793105"/>
                    </a:xfrm>
                    <a:prstGeom prst="rect">
                      <a:avLst/>
                    </a:prstGeom>
                    <a:noFill/>
                    <a:ln>
                      <a:noFill/>
                    </a:ln>
                  </pic:spPr>
                </pic:pic>
              </a:graphicData>
            </a:graphic>
          </wp:inline>
        </w:drawing>
      </w:r>
    </w:p>
    <w:p w14:paraId="6802AFEA" w14:textId="77777777" w:rsidR="00065BA2" w:rsidRPr="008C74A3" w:rsidRDefault="00065BA2" w:rsidP="00DB1B70">
      <w:pPr>
        <w:sectPr w:rsidR="00065BA2" w:rsidRPr="008C74A3" w:rsidSect="00A8001F">
          <w:pgSz w:w="12240" w:h="15840" w:code="1"/>
          <w:pgMar w:top="1440" w:right="1440" w:bottom="1440" w:left="1440" w:header="720" w:footer="720" w:gutter="0"/>
          <w:cols w:space="720"/>
          <w:docGrid w:linePitch="360"/>
        </w:sectPr>
      </w:pPr>
    </w:p>
    <w:p w14:paraId="4A23899C" w14:textId="0539A290" w:rsidR="00065BA2" w:rsidRPr="008C74A3" w:rsidRDefault="00065BA2" w:rsidP="001F3DC0">
      <w:pPr>
        <w:pStyle w:val="Heading2"/>
      </w:pPr>
      <w:bookmarkStart w:id="73" w:name="_Toc141449367"/>
      <w:bookmarkStart w:id="74" w:name="_Toc141449654"/>
      <w:bookmarkStart w:id="75" w:name="_Toc146213862"/>
      <w:bookmarkStart w:id="76" w:name="_Toc148384202"/>
      <w:r w:rsidRPr="008C74A3">
        <w:lastRenderedPageBreak/>
        <w:t xml:space="preserve">Appendix </w:t>
      </w:r>
      <w:r w:rsidR="00FA3ED3" w:rsidRPr="008C74A3">
        <w:t>E</w:t>
      </w:r>
      <w:r w:rsidRPr="008C74A3">
        <w:t>: Materiality Definitions by Major Frameworks and Standards</w:t>
      </w:r>
      <w:bookmarkEnd w:id="73"/>
      <w:bookmarkEnd w:id="74"/>
      <w:bookmarkEnd w:id="75"/>
      <w:bookmarkEnd w:id="76"/>
    </w:p>
    <w:tbl>
      <w:tblPr>
        <w:tblStyle w:val="TableGrid"/>
        <w:tblW w:w="9432" w:type="dxa"/>
        <w:tblInd w:w="85" w:type="dxa"/>
        <w:tblLayout w:type="fixed"/>
        <w:tblLook w:val="06A0" w:firstRow="1" w:lastRow="0" w:firstColumn="1" w:lastColumn="0" w:noHBand="1" w:noVBand="1"/>
      </w:tblPr>
      <w:tblGrid>
        <w:gridCol w:w="900"/>
        <w:gridCol w:w="1530"/>
        <w:gridCol w:w="7002"/>
      </w:tblGrid>
      <w:tr w:rsidR="00065BA2" w:rsidRPr="008C74A3" w14:paraId="7F3470CA" w14:textId="77777777" w:rsidTr="00C66963">
        <w:trPr>
          <w:trHeight w:val="551"/>
        </w:trPr>
        <w:tc>
          <w:tcPr>
            <w:tcW w:w="900" w:type="dxa"/>
            <w:vAlign w:val="center"/>
          </w:tcPr>
          <w:p w14:paraId="50630B33" w14:textId="77777777" w:rsidR="00065BA2" w:rsidRPr="008C74A3" w:rsidRDefault="00065BA2" w:rsidP="00DB1B70"/>
        </w:tc>
        <w:tc>
          <w:tcPr>
            <w:tcW w:w="1530" w:type="dxa"/>
            <w:vAlign w:val="center"/>
          </w:tcPr>
          <w:p w14:paraId="02B18217" w14:textId="77777777" w:rsidR="00065BA2" w:rsidRPr="008C74A3" w:rsidRDefault="00065BA2" w:rsidP="00DB1B70">
            <w:r w:rsidRPr="008C74A3">
              <w:t>Intended Preparer</w:t>
            </w:r>
          </w:p>
        </w:tc>
        <w:tc>
          <w:tcPr>
            <w:tcW w:w="7002" w:type="dxa"/>
            <w:vAlign w:val="center"/>
          </w:tcPr>
          <w:p w14:paraId="6ED868AC" w14:textId="77777777" w:rsidR="00065BA2" w:rsidRPr="008C74A3" w:rsidRDefault="00065BA2" w:rsidP="00DB1B70">
            <w:r w:rsidRPr="008C74A3">
              <w:t>Definition</w:t>
            </w:r>
          </w:p>
        </w:tc>
      </w:tr>
      <w:tr w:rsidR="00065BA2" w:rsidRPr="008C74A3" w14:paraId="58743818" w14:textId="77777777" w:rsidTr="00C66963">
        <w:trPr>
          <w:trHeight w:val="551"/>
        </w:trPr>
        <w:tc>
          <w:tcPr>
            <w:tcW w:w="900" w:type="dxa"/>
            <w:vAlign w:val="center"/>
          </w:tcPr>
          <w:p w14:paraId="19D7F224" w14:textId="77777777" w:rsidR="00065BA2" w:rsidRPr="008C74A3" w:rsidRDefault="00065BA2" w:rsidP="00DB1B70">
            <w:r w:rsidRPr="008C74A3">
              <w:t>CDP</w:t>
            </w:r>
          </w:p>
        </w:tc>
        <w:tc>
          <w:tcPr>
            <w:tcW w:w="1530" w:type="dxa"/>
            <w:vAlign w:val="center"/>
          </w:tcPr>
          <w:p w14:paraId="0C711331" w14:textId="77777777" w:rsidR="00065BA2" w:rsidRPr="008C74A3" w:rsidRDefault="00065BA2" w:rsidP="00DB1B70">
            <w:r w:rsidRPr="008C74A3">
              <w:t>Investors, governments, and corporations</w:t>
            </w:r>
          </w:p>
        </w:tc>
        <w:tc>
          <w:tcPr>
            <w:tcW w:w="7002" w:type="dxa"/>
            <w:vAlign w:val="center"/>
          </w:tcPr>
          <w:p w14:paraId="68F9F68C" w14:textId="77777777" w:rsidR="00065BA2" w:rsidRPr="008C74A3" w:rsidRDefault="00065BA2" w:rsidP="00DB1B70">
            <w:r w:rsidRPr="008C74A3">
              <w:t>“CDP questionnaires reflect the double-materiality perspective: information necessary for understanding impacts of the company (&lt;&lt;inside-out&gt;&gt;) on the environment and information necessary for understanding position, performance and development of the company regarding climate change and environmental degradation (&lt;&lt;outside in&gt;&gt;).”</w:t>
            </w:r>
            <w:r w:rsidRPr="008C74A3">
              <w:rPr>
                <w:vertAlign w:val="superscript"/>
              </w:rPr>
              <w:footnoteReference w:id="76"/>
            </w:r>
          </w:p>
        </w:tc>
      </w:tr>
      <w:tr w:rsidR="00065BA2" w:rsidRPr="008C74A3" w14:paraId="6CB72A45" w14:textId="77777777" w:rsidTr="00C66963">
        <w:trPr>
          <w:trHeight w:val="551"/>
        </w:trPr>
        <w:tc>
          <w:tcPr>
            <w:tcW w:w="900" w:type="dxa"/>
            <w:vAlign w:val="center"/>
          </w:tcPr>
          <w:p w14:paraId="7D98C562" w14:textId="77777777" w:rsidR="00065BA2" w:rsidRPr="008C74A3" w:rsidRDefault="00065BA2" w:rsidP="00DB1B70">
            <w:r w:rsidRPr="008C74A3">
              <w:t>CDSB</w:t>
            </w:r>
          </w:p>
        </w:tc>
        <w:tc>
          <w:tcPr>
            <w:tcW w:w="1530" w:type="dxa"/>
            <w:vAlign w:val="center"/>
          </w:tcPr>
          <w:p w14:paraId="68D94A8B" w14:textId="77777777" w:rsidR="00065BA2" w:rsidRPr="008C74A3" w:rsidRDefault="00065BA2" w:rsidP="00DB1B70">
            <w:r w:rsidRPr="008C74A3">
              <w:t>Corporations</w:t>
            </w:r>
          </w:p>
        </w:tc>
        <w:tc>
          <w:tcPr>
            <w:tcW w:w="7002" w:type="dxa"/>
            <w:vAlign w:val="center"/>
          </w:tcPr>
          <w:p w14:paraId="730D9FC4" w14:textId="77777777" w:rsidR="00065BA2" w:rsidRPr="008C74A3" w:rsidRDefault="00065BA2" w:rsidP="00DB1B70">
            <w:r w:rsidRPr="008C74A3">
              <w:t>“Environmental information is material if (1) the environmental impacts or results it describes are, due to their size and nature, expected to have significant positive or negative effect on organization’s current, past or future financial condition and operational results and its ability to execute its strategy or (2) omitting, misstating, or misinterpreting it could influence decisions that users of mainstream reports make about the organization.”</w:t>
            </w:r>
            <w:r w:rsidRPr="008C74A3">
              <w:rPr>
                <w:vertAlign w:val="superscript"/>
              </w:rPr>
              <w:footnoteReference w:id="77"/>
            </w:r>
          </w:p>
        </w:tc>
      </w:tr>
      <w:tr w:rsidR="00792403" w:rsidRPr="008C74A3" w14:paraId="457A2CF2" w14:textId="77777777" w:rsidTr="00C66963">
        <w:trPr>
          <w:trHeight w:val="551"/>
        </w:trPr>
        <w:tc>
          <w:tcPr>
            <w:tcW w:w="900" w:type="dxa"/>
            <w:vAlign w:val="center"/>
          </w:tcPr>
          <w:p w14:paraId="51087E65" w14:textId="5F045DFA" w:rsidR="00792403" w:rsidRPr="008C74A3" w:rsidRDefault="00792403" w:rsidP="00792403">
            <w:r w:rsidRPr="008C74A3">
              <w:rPr>
                <w:color w:val="000000" w:themeColor="text1"/>
              </w:rPr>
              <w:t>CSRD</w:t>
            </w:r>
          </w:p>
        </w:tc>
        <w:tc>
          <w:tcPr>
            <w:tcW w:w="1530" w:type="dxa"/>
            <w:vAlign w:val="center"/>
          </w:tcPr>
          <w:p w14:paraId="4DE5D377" w14:textId="4596365B" w:rsidR="00792403" w:rsidRPr="008C74A3" w:rsidRDefault="00792403" w:rsidP="00792403">
            <w:r w:rsidRPr="008C74A3">
              <w:rPr>
                <w:color w:val="000000" w:themeColor="text1"/>
              </w:rPr>
              <w:t>Corporations</w:t>
            </w:r>
          </w:p>
        </w:tc>
        <w:tc>
          <w:tcPr>
            <w:tcW w:w="7002" w:type="dxa"/>
            <w:vAlign w:val="center"/>
          </w:tcPr>
          <w:p w14:paraId="04EE4FDB" w14:textId="79B92E29" w:rsidR="00792403" w:rsidRPr="008C74A3" w:rsidRDefault="00792403" w:rsidP="00792403">
            <w:r w:rsidRPr="008C74A3">
              <w:rPr>
                <w:color w:val="333333"/>
                <w:shd w:val="clear" w:color="auto" w:fill="FFFFFF"/>
              </w:rPr>
              <w:t xml:space="preserve">“Article 19a(1) and Article 29a(1) of Directive 2013/34/EU require reporting not only on information to the extent necessary for an understanding of the undertaking’s development, performance and position, but also on information necessary for an understanding of the impact of the undertaking’s activities on environmental, social and employee matters, respect for human rights, anti-corruption and bribery matters. Those Articles therefore require undertakings to report both on the impacts of the activities of the undertaking on people and the environment, and on how sustainability matters affect the undertaking. That is referred to as the double materiality perspective, in which the risks to the undertaking and the impacts of the undertaking each represent one materiality perspective. The fitness check on corporate reporting shows that those two perspectives are often not well understood or applied. It is therefore necessary to clarify that undertakings should consider each materiality perspective in its own right, and should disclose information that is </w:t>
            </w:r>
            <w:r w:rsidRPr="008C74A3">
              <w:rPr>
                <w:color w:val="333333"/>
                <w:shd w:val="clear" w:color="auto" w:fill="FFFFFF"/>
              </w:rPr>
              <w:lastRenderedPageBreak/>
              <w:t>material from both perspectives as well as information that is material from only one perspective.”</w:t>
            </w:r>
            <w:r w:rsidRPr="008C74A3">
              <w:rPr>
                <w:rStyle w:val="FootnoteReference"/>
                <w:color w:val="333333"/>
                <w:shd w:val="clear" w:color="auto" w:fill="FFFFFF"/>
              </w:rPr>
              <w:footnoteReference w:id="78"/>
            </w:r>
          </w:p>
        </w:tc>
      </w:tr>
      <w:tr w:rsidR="00792403" w:rsidRPr="008C74A3" w14:paraId="2E373045" w14:textId="77777777" w:rsidTr="00C66963">
        <w:trPr>
          <w:trHeight w:val="551"/>
        </w:trPr>
        <w:tc>
          <w:tcPr>
            <w:tcW w:w="900" w:type="dxa"/>
            <w:vAlign w:val="center"/>
          </w:tcPr>
          <w:p w14:paraId="5EEFE0CD" w14:textId="63F23ED9" w:rsidR="00792403" w:rsidRPr="008C74A3" w:rsidRDefault="00792403" w:rsidP="00792403">
            <w:r w:rsidRPr="008C74A3">
              <w:rPr>
                <w:color w:val="000000" w:themeColor="text1"/>
              </w:rPr>
              <w:lastRenderedPageBreak/>
              <w:t>ESRS</w:t>
            </w:r>
          </w:p>
        </w:tc>
        <w:tc>
          <w:tcPr>
            <w:tcW w:w="1530" w:type="dxa"/>
            <w:vAlign w:val="center"/>
          </w:tcPr>
          <w:p w14:paraId="338FFCE1" w14:textId="5F61EDBC" w:rsidR="00792403" w:rsidRPr="008C74A3" w:rsidRDefault="00792403" w:rsidP="00792403">
            <w:r w:rsidRPr="008C74A3">
              <w:rPr>
                <w:color w:val="000000" w:themeColor="text1"/>
              </w:rPr>
              <w:t>Corporations</w:t>
            </w:r>
          </w:p>
        </w:tc>
        <w:tc>
          <w:tcPr>
            <w:tcW w:w="7002" w:type="dxa"/>
            <w:vAlign w:val="center"/>
          </w:tcPr>
          <w:p w14:paraId="172020B2" w14:textId="58C7F335" w:rsidR="00792403" w:rsidRPr="008C74A3" w:rsidRDefault="00792403" w:rsidP="00792403">
            <w:pPr>
              <w:rPr>
                <w:color w:val="000000" w:themeColor="text1"/>
              </w:rPr>
            </w:pPr>
            <w:r w:rsidRPr="008C74A3">
              <w:rPr>
                <w:color w:val="000000" w:themeColor="text1"/>
              </w:rPr>
              <w:t>“A sustainability matter is “material” when it meets the criteria defined for impact materiality (see section 3.4 of this Standard) or financial materiality (see section 3.5 of this Standard), or both.</w:t>
            </w:r>
          </w:p>
          <w:p w14:paraId="35E50680" w14:textId="4692FB7F" w:rsidR="00792403" w:rsidRPr="008C74A3" w:rsidRDefault="00792403" w:rsidP="00792403">
            <w:r w:rsidRPr="008C74A3">
              <w:rPr>
                <w:color w:val="000000" w:themeColor="text1"/>
              </w:rPr>
              <w:t xml:space="preserve">Impact materiality and financial materiality assessments are inter-related and the interdependencies between these two dimensions shall be considered. In general, the starting point is the assessment of impacts, although there may also be material risks and opportunities that are not related to the undertaking’s impacts. A sustainability impact may be financially material from inception or become financially material, when it could reasonably be expected to affect the undertaking’s financial position, financial performance, cash flows, its access to finance or cost of capital over the short-, medium- or long-term. Impacts are captured by the impact materiality perspective irrespective of </w:t>
            </w:r>
            <w:proofErr w:type="gramStart"/>
            <w:r w:rsidRPr="008C74A3">
              <w:rPr>
                <w:color w:val="000000" w:themeColor="text1"/>
              </w:rPr>
              <w:t>whether or not</w:t>
            </w:r>
            <w:proofErr w:type="gramEnd"/>
            <w:r w:rsidRPr="008C74A3">
              <w:rPr>
                <w:color w:val="000000" w:themeColor="text1"/>
              </w:rPr>
              <w:t xml:space="preserve"> they are financially material.”</w:t>
            </w:r>
            <w:r w:rsidRPr="008C74A3">
              <w:rPr>
                <w:rStyle w:val="FootnoteReference"/>
                <w:color w:val="000000" w:themeColor="text1"/>
              </w:rPr>
              <w:t xml:space="preserve"> </w:t>
            </w:r>
            <w:r w:rsidRPr="008C74A3">
              <w:rPr>
                <w:rStyle w:val="FootnoteReference"/>
                <w:color w:val="000000" w:themeColor="text1"/>
              </w:rPr>
              <w:footnoteReference w:id="79"/>
            </w:r>
          </w:p>
        </w:tc>
      </w:tr>
      <w:tr w:rsidR="00065BA2" w:rsidRPr="008C74A3" w14:paraId="77EDFD3C" w14:textId="77777777" w:rsidTr="00C66963">
        <w:trPr>
          <w:trHeight w:val="551"/>
        </w:trPr>
        <w:tc>
          <w:tcPr>
            <w:tcW w:w="900" w:type="dxa"/>
            <w:vAlign w:val="center"/>
          </w:tcPr>
          <w:p w14:paraId="49DD93E0" w14:textId="77777777" w:rsidR="00065BA2" w:rsidRPr="008C74A3" w:rsidRDefault="00065BA2" w:rsidP="00DB1B70">
            <w:r w:rsidRPr="008C74A3">
              <w:t>GRI</w:t>
            </w:r>
          </w:p>
        </w:tc>
        <w:tc>
          <w:tcPr>
            <w:tcW w:w="1530" w:type="dxa"/>
            <w:vAlign w:val="center"/>
          </w:tcPr>
          <w:p w14:paraId="547EC720" w14:textId="77777777" w:rsidR="00065BA2" w:rsidRPr="008C74A3" w:rsidRDefault="00065BA2" w:rsidP="00DB1B70">
            <w:r w:rsidRPr="008C74A3">
              <w:t>Corporations</w:t>
            </w:r>
          </w:p>
        </w:tc>
        <w:tc>
          <w:tcPr>
            <w:tcW w:w="7002" w:type="dxa"/>
            <w:vAlign w:val="center"/>
          </w:tcPr>
          <w:p w14:paraId="1EA9ECCB" w14:textId="77777777" w:rsidR="00065BA2" w:rsidRPr="008C74A3" w:rsidRDefault="00065BA2" w:rsidP="00DB1B70">
            <w:pPr>
              <w:rPr>
                <w:sz w:val="20"/>
                <w:szCs w:val="20"/>
              </w:rPr>
            </w:pPr>
            <w:r w:rsidRPr="008C74A3">
              <w:t>“Material Topics: topics that represent the organization’s most significant impacts on the economy, environment, and people, including impacts on their human rights.”</w:t>
            </w:r>
            <w:r w:rsidRPr="008C74A3">
              <w:rPr>
                <w:vertAlign w:val="superscript"/>
              </w:rPr>
              <w:footnoteReference w:id="80"/>
            </w:r>
          </w:p>
        </w:tc>
      </w:tr>
      <w:tr w:rsidR="00065BA2" w:rsidRPr="008C74A3" w14:paraId="59963665" w14:textId="77777777" w:rsidTr="00C66963">
        <w:trPr>
          <w:trHeight w:val="551"/>
        </w:trPr>
        <w:tc>
          <w:tcPr>
            <w:tcW w:w="900" w:type="dxa"/>
            <w:vAlign w:val="center"/>
          </w:tcPr>
          <w:p w14:paraId="0018F0AB" w14:textId="77777777" w:rsidR="00065BA2" w:rsidRPr="008C74A3" w:rsidRDefault="00065BA2" w:rsidP="00DB1B70">
            <w:r w:rsidRPr="008C74A3">
              <w:t>IFRS S1</w:t>
            </w:r>
          </w:p>
        </w:tc>
        <w:tc>
          <w:tcPr>
            <w:tcW w:w="1530" w:type="dxa"/>
            <w:vAlign w:val="center"/>
          </w:tcPr>
          <w:p w14:paraId="57D58BFD" w14:textId="77777777" w:rsidR="00065BA2" w:rsidRPr="008C74A3" w:rsidRDefault="00065BA2" w:rsidP="00DB1B70">
            <w:r w:rsidRPr="008C74A3">
              <w:t>Corporations</w:t>
            </w:r>
          </w:p>
        </w:tc>
        <w:tc>
          <w:tcPr>
            <w:tcW w:w="7002" w:type="dxa"/>
            <w:vAlign w:val="center"/>
          </w:tcPr>
          <w:p w14:paraId="366847C6" w14:textId="55154428" w:rsidR="00065BA2" w:rsidRPr="008C74A3" w:rsidRDefault="00065BA2" w:rsidP="00DB1B70">
            <w:pPr>
              <w:rPr>
                <w:sz w:val="20"/>
                <w:szCs w:val="20"/>
              </w:rPr>
            </w:pPr>
            <w:r w:rsidRPr="008C74A3">
              <w:t>“Material sustainability-related financial information provides insights into factors that could reasonably be expected to influence primary users’</w:t>
            </w:r>
            <w:r w:rsidR="00E40742" w:rsidRPr="008C74A3">
              <w:rPr>
                <w:rStyle w:val="FootnoteReference"/>
                <w:color w:val="000000" w:themeColor="text1"/>
              </w:rPr>
              <w:footnoteReference w:id="81"/>
            </w:r>
            <w:r w:rsidRPr="008C74A3">
              <w:t xml:space="preserve"> assessments of an entity’s enterprise value. The information relates to activities, interactions and relationships and to the use of resources along the entity’s value chain if it could influence the assessment primary users make of its enterprise value. It can include information about sustainability-related risks and opportunities with low-probability and high-impact outcomes.”</w:t>
            </w:r>
            <w:r w:rsidRPr="008C74A3">
              <w:rPr>
                <w:vertAlign w:val="superscript"/>
              </w:rPr>
              <w:footnoteReference w:id="82"/>
            </w:r>
            <w:r w:rsidRPr="008C74A3">
              <w:t xml:space="preserve"> </w:t>
            </w:r>
          </w:p>
        </w:tc>
      </w:tr>
      <w:tr w:rsidR="00065BA2" w:rsidRPr="008C74A3" w14:paraId="14864084" w14:textId="77777777" w:rsidTr="00C66963">
        <w:trPr>
          <w:trHeight w:val="551"/>
        </w:trPr>
        <w:tc>
          <w:tcPr>
            <w:tcW w:w="900" w:type="dxa"/>
            <w:vAlign w:val="center"/>
          </w:tcPr>
          <w:p w14:paraId="72B194C2" w14:textId="77777777" w:rsidR="00065BA2" w:rsidRPr="008C74A3" w:rsidRDefault="00065BA2" w:rsidP="00DB1B70">
            <w:r w:rsidRPr="008C74A3">
              <w:lastRenderedPageBreak/>
              <w:t>IIRC</w:t>
            </w:r>
          </w:p>
        </w:tc>
        <w:tc>
          <w:tcPr>
            <w:tcW w:w="1530" w:type="dxa"/>
            <w:vAlign w:val="center"/>
          </w:tcPr>
          <w:p w14:paraId="21A4CF0A" w14:textId="77777777" w:rsidR="00065BA2" w:rsidRPr="008C74A3" w:rsidRDefault="00065BA2" w:rsidP="00DB1B70">
            <w:r w:rsidRPr="008C74A3">
              <w:t>Corporations</w:t>
            </w:r>
          </w:p>
        </w:tc>
        <w:tc>
          <w:tcPr>
            <w:tcW w:w="7002" w:type="dxa"/>
            <w:vAlign w:val="center"/>
          </w:tcPr>
          <w:p w14:paraId="4AA77026" w14:textId="77777777" w:rsidR="00065BA2" w:rsidRPr="008C74A3" w:rsidRDefault="00065BA2" w:rsidP="00DB1B70">
            <w:pPr>
              <w:rPr>
                <w:sz w:val="20"/>
                <w:szCs w:val="20"/>
              </w:rPr>
            </w:pPr>
            <w:r w:rsidRPr="008C74A3">
              <w:t xml:space="preserve">“For the purposes of [Integrated Reporting], a matter is material if it is of such relevance and importance that it could substantively influence the assessments of providers of financial capital </w:t>
            </w:r>
            <w:proofErr w:type="gramStart"/>
            <w:r w:rsidRPr="008C74A3">
              <w:t>with regard to</w:t>
            </w:r>
            <w:proofErr w:type="gramEnd"/>
            <w:r w:rsidRPr="008C74A3">
              <w:t xml:space="preserve"> the organization’s ability to create value over the short, medium, and long term. In determining </w:t>
            </w:r>
            <w:proofErr w:type="gramStart"/>
            <w:r w:rsidRPr="008C74A3">
              <w:t>whether or not</w:t>
            </w:r>
            <w:proofErr w:type="gramEnd"/>
            <w:r w:rsidRPr="008C74A3">
              <w:t xml:space="preserve"> a matter is material, senior management and those charged with governance should consider whether or not the matter substantively affects, or has the potential to substantively affect, the organization’s strategy, its business model, or one of more of the capitals it uses or affects.”</w:t>
            </w:r>
            <w:r w:rsidRPr="008C74A3">
              <w:rPr>
                <w:vertAlign w:val="superscript"/>
              </w:rPr>
              <w:footnoteReference w:id="83"/>
            </w:r>
          </w:p>
        </w:tc>
      </w:tr>
      <w:tr w:rsidR="00065BA2" w:rsidRPr="008C74A3" w14:paraId="51E11264" w14:textId="77777777" w:rsidTr="00C66963">
        <w:trPr>
          <w:trHeight w:val="551"/>
        </w:trPr>
        <w:tc>
          <w:tcPr>
            <w:tcW w:w="900" w:type="dxa"/>
            <w:vAlign w:val="center"/>
          </w:tcPr>
          <w:p w14:paraId="7D65D234" w14:textId="77777777" w:rsidR="00065BA2" w:rsidRPr="008C74A3" w:rsidRDefault="00065BA2" w:rsidP="00DB1B70">
            <w:r w:rsidRPr="008C74A3">
              <w:t>SASB</w:t>
            </w:r>
            <w:r w:rsidRPr="008C74A3">
              <w:rPr>
                <w:sz w:val="20"/>
                <w:szCs w:val="20"/>
                <w:vertAlign w:val="superscript"/>
              </w:rPr>
              <w:footnoteReference w:id="84"/>
            </w:r>
          </w:p>
        </w:tc>
        <w:tc>
          <w:tcPr>
            <w:tcW w:w="1530" w:type="dxa"/>
            <w:vAlign w:val="center"/>
          </w:tcPr>
          <w:p w14:paraId="463E1551" w14:textId="77777777" w:rsidR="00065BA2" w:rsidRPr="008C74A3" w:rsidRDefault="00065BA2" w:rsidP="00DB1B70">
            <w:r w:rsidRPr="008C74A3">
              <w:t>Corporations</w:t>
            </w:r>
          </w:p>
        </w:tc>
        <w:tc>
          <w:tcPr>
            <w:tcW w:w="7002" w:type="dxa"/>
            <w:vAlign w:val="center"/>
          </w:tcPr>
          <w:p w14:paraId="56C4AB00" w14:textId="77777777" w:rsidR="00065BA2" w:rsidRPr="008C74A3" w:rsidRDefault="00065BA2" w:rsidP="00DB1B70">
            <w:pPr>
              <w:rPr>
                <w:sz w:val="20"/>
                <w:szCs w:val="20"/>
              </w:rPr>
            </w:pPr>
            <w:r w:rsidRPr="008C74A3">
              <w:t>“In identifying sustainability topics that are reasonably likely to have material impacts, the SASB applies the definition of ‘materiality’ established under the U.S. securities laws. According to the U.S. Supreme Court, information is material if there is ‘a substantial likelihood that the disclosure of the omitted fact would have been viewed by the reasonable investor as having significantly altered the “total mix” of the information made available.’”</w:t>
            </w:r>
            <w:r w:rsidRPr="008C74A3">
              <w:rPr>
                <w:vertAlign w:val="superscript"/>
              </w:rPr>
              <w:footnoteReference w:id="85"/>
            </w:r>
          </w:p>
        </w:tc>
      </w:tr>
      <w:tr w:rsidR="00065BA2" w:rsidRPr="008C74A3" w14:paraId="0ABC3705" w14:textId="77777777" w:rsidTr="00C66963">
        <w:trPr>
          <w:trHeight w:val="551"/>
        </w:trPr>
        <w:tc>
          <w:tcPr>
            <w:tcW w:w="900" w:type="dxa"/>
            <w:vAlign w:val="center"/>
          </w:tcPr>
          <w:p w14:paraId="428B55AD" w14:textId="77777777" w:rsidR="00065BA2" w:rsidRPr="008C74A3" w:rsidRDefault="00065BA2" w:rsidP="00DB1B70">
            <w:r w:rsidRPr="008C74A3">
              <w:t>SDG Impact</w:t>
            </w:r>
          </w:p>
        </w:tc>
        <w:tc>
          <w:tcPr>
            <w:tcW w:w="1530" w:type="dxa"/>
            <w:vAlign w:val="center"/>
          </w:tcPr>
          <w:p w14:paraId="7662B565" w14:textId="77777777" w:rsidR="00065BA2" w:rsidRPr="008C74A3" w:rsidRDefault="00065BA2" w:rsidP="00DB1B70">
            <w:r w:rsidRPr="008C74A3">
              <w:t>Three versions: for Enterprise; for Private Equity Funds; for Bond Issuers</w:t>
            </w:r>
          </w:p>
        </w:tc>
        <w:tc>
          <w:tcPr>
            <w:tcW w:w="7002" w:type="dxa"/>
            <w:vAlign w:val="center"/>
          </w:tcPr>
          <w:p w14:paraId="43D5E4F1" w14:textId="77777777" w:rsidR="00065BA2" w:rsidRPr="008C74A3" w:rsidRDefault="00065BA2" w:rsidP="00DB1B70">
            <w:r w:rsidRPr="008C74A3">
              <w:t xml:space="preserve">“Material impacts in the context of these Standards are those impacts that affect the wellbeing of Stakeholders experiencing them and that would influence decisions of the entity acting in the interest of those Stakeholders, to maximise wellbeing and achieve sustainability and the SDGs by 2030 taking into account the sustainability risks and opportunities that are most significant for the entity's own value creation, because strong, resilient, and sustainable entities will have more capacity to contribute positively to sustainable development and the SDGs. </w:t>
            </w:r>
          </w:p>
          <w:p w14:paraId="7FBCD820" w14:textId="77777777" w:rsidR="00065BA2" w:rsidRPr="008C74A3" w:rsidRDefault="00065BA2" w:rsidP="00DB1B70">
            <w:pPr>
              <w:rPr>
                <w:sz w:val="20"/>
                <w:szCs w:val="20"/>
              </w:rPr>
            </w:pPr>
            <w:r w:rsidRPr="008C74A3">
              <w:t>Having a formal assessment process to determine which impacts are material helps entities identify which impacts to prioritise and manage to optimise their contribution to sustainability and achievement of the SDGs and maximise well-being of people and planet.”</w:t>
            </w:r>
            <w:r w:rsidRPr="008C74A3">
              <w:rPr>
                <w:vertAlign w:val="superscript"/>
              </w:rPr>
              <w:footnoteReference w:id="86"/>
            </w:r>
            <w:r w:rsidRPr="008C74A3">
              <w:t xml:space="preserve"> </w:t>
            </w:r>
          </w:p>
        </w:tc>
      </w:tr>
      <w:tr w:rsidR="00065BA2" w:rsidRPr="008C74A3" w14:paraId="7A621EAD" w14:textId="77777777" w:rsidTr="00C66963">
        <w:trPr>
          <w:trHeight w:val="551"/>
        </w:trPr>
        <w:tc>
          <w:tcPr>
            <w:tcW w:w="900" w:type="dxa"/>
            <w:vAlign w:val="center"/>
          </w:tcPr>
          <w:p w14:paraId="719763CD" w14:textId="77777777" w:rsidR="00065BA2" w:rsidRPr="008C74A3" w:rsidRDefault="00065BA2" w:rsidP="00DB1B70">
            <w:r w:rsidRPr="008C74A3">
              <w:t>SVI</w:t>
            </w:r>
          </w:p>
        </w:tc>
        <w:tc>
          <w:tcPr>
            <w:tcW w:w="1530" w:type="dxa"/>
            <w:vAlign w:val="center"/>
          </w:tcPr>
          <w:p w14:paraId="57DC9706" w14:textId="77777777" w:rsidR="00065BA2" w:rsidRPr="008C74A3" w:rsidRDefault="00065BA2" w:rsidP="00DB1B70">
            <w:r w:rsidRPr="008C74A3">
              <w:t>Enterprises</w:t>
            </w:r>
          </w:p>
        </w:tc>
        <w:tc>
          <w:tcPr>
            <w:tcW w:w="7002" w:type="dxa"/>
            <w:vAlign w:val="center"/>
          </w:tcPr>
          <w:p w14:paraId="449A9C11" w14:textId="77777777" w:rsidR="00065BA2" w:rsidRPr="008C74A3" w:rsidRDefault="00065BA2" w:rsidP="00DB1B70">
            <w:pPr>
              <w:rPr>
                <w:sz w:val="20"/>
                <w:szCs w:val="20"/>
              </w:rPr>
            </w:pPr>
            <w:r w:rsidRPr="008C74A3">
              <w:t xml:space="preserve">“An impact is material when it is </w:t>
            </w:r>
            <w:r w:rsidRPr="008C74A3">
              <w:rPr>
                <w:i/>
                <w:iCs/>
              </w:rPr>
              <w:t>relevant</w:t>
            </w:r>
            <w:r w:rsidRPr="008C74A3">
              <w:t xml:space="preserve"> and </w:t>
            </w:r>
            <w:r w:rsidRPr="008C74A3">
              <w:rPr>
                <w:i/>
                <w:iCs/>
              </w:rPr>
              <w:t>significant</w:t>
            </w:r>
            <w:r w:rsidRPr="008C74A3">
              <w:t xml:space="preserve"> for decisions to optimize wellbeing of a stakeholder group. Significance is based on the combination of a) impact scale (i.e., number of people experiencing the impact)</w:t>
            </w:r>
            <w:r w:rsidRPr="008C74A3">
              <w:rPr>
                <w:vertAlign w:val="superscript"/>
              </w:rPr>
              <w:footnoteReference w:id="87"/>
            </w:r>
            <w:r w:rsidRPr="008C74A3">
              <w:t xml:space="preserve">; b) impact value (i.e., the value or worth of that impact to those </w:t>
            </w:r>
            <w:r w:rsidRPr="008C74A3">
              <w:lastRenderedPageBreak/>
              <w:t xml:space="preserve">experiencing it </w:t>
            </w:r>
            <w:proofErr w:type="gramStart"/>
            <w:r w:rsidRPr="008C74A3">
              <w:t>in light of</w:t>
            </w:r>
            <w:proofErr w:type="gramEnd"/>
            <w:r w:rsidRPr="008C74A3">
              <w:t xml:space="preserve"> all of the dimensions of the impact); and c) total impact value (the aggregate value or worth of impacts across all affected stakeholders). Impacts that are not significant can also be considered material if they are relevant to organizational objectives and/ or relate to societal norms.”</w:t>
            </w:r>
            <w:r w:rsidRPr="008C74A3">
              <w:rPr>
                <w:vertAlign w:val="superscript"/>
              </w:rPr>
              <w:footnoteReference w:id="88"/>
            </w:r>
          </w:p>
        </w:tc>
      </w:tr>
      <w:tr w:rsidR="00065BA2" w:rsidRPr="008C74A3" w14:paraId="70993736" w14:textId="77777777" w:rsidTr="00C66963">
        <w:trPr>
          <w:trHeight w:val="551"/>
        </w:trPr>
        <w:tc>
          <w:tcPr>
            <w:tcW w:w="900" w:type="dxa"/>
            <w:vAlign w:val="center"/>
          </w:tcPr>
          <w:p w14:paraId="213FBF45" w14:textId="77777777" w:rsidR="00065BA2" w:rsidRPr="008C74A3" w:rsidRDefault="00065BA2" w:rsidP="00DB1B70">
            <w:r w:rsidRPr="008C74A3">
              <w:lastRenderedPageBreak/>
              <w:t>TCFD</w:t>
            </w:r>
          </w:p>
        </w:tc>
        <w:tc>
          <w:tcPr>
            <w:tcW w:w="1530" w:type="dxa"/>
            <w:vAlign w:val="center"/>
          </w:tcPr>
          <w:p w14:paraId="25998D9D" w14:textId="77777777" w:rsidR="00065BA2" w:rsidRPr="008C74A3" w:rsidRDefault="00065BA2" w:rsidP="00DB1B70">
            <w:r w:rsidRPr="008C74A3">
              <w:t xml:space="preserve">Mainly public companies; investors may also follow </w:t>
            </w:r>
          </w:p>
        </w:tc>
        <w:tc>
          <w:tcPr>
            <w:tcW w:w="7002" w:type="dxa"/>
            <w:vAlign w:val="center"/>
          </w:tcPr>
          <w:p w14:paraId="0EDA87D2" w14:textId="77777777" w:rsidR="00065BA2" w:rsidRPr="008C74A3" w:rsidRDefault="00065BA2" w:rsidP="00DB1B70">
            <w:pPr>
              <w:rPr>
                <w:sz w:val="20"/>
                <w:szCs w:val="20"/>
              </w:rPr>
            </w:pPr>
            <w:r w:rsidRPr="008C74A3">
              <w:t>“Organizations should determine materiality for climate-related issues consistent with how they determine the materiality of other information included in their financial filings.”</w:t>
            </w:r>
            <w:r w:rsidRPr="008C74A3">
              <w:rPr>
                <w:vertAlign w:val="superscript"/>
              </w:rPr>
              <w:footnoteReference w:id="89"/>
            </w:r>
          </w:p>
        </w:tc>
      </w:tr>
    </w:tbl>
    <w:p w14:paraId="40E80E19" w14:textId="77777777" w:rsidR="00065BA2" w:rsidRPr="008C74A3" w:rsidRDefault="00065BA2" w:rsidP="00DB1B70">
      <w:pPr>
        <w:sectPr w:rsidR="00065BA2" w:rsidRPr="008C74A3" w:rsidSect="00A8001F">
          <w:pgSz w:w="12240" w:h="15840" w:code="1"/>
          <w:pgMar w:top="1440" w:right="1440" w:bottom="1440" w:left="1440" w:header="720" w:footer="720" w:gutter="0"/>
          <w:cols w:space="720"/>
          <w:docGrid w:linePitch="360"/>
        </w:sectPr>
      </w:pPr>
      <w:r w:rsidRPr="008C74A3">
        <w:br w:type="page"/>
      </w:r>
    </w:p>
    <w:p w14:paraId="2171BC1C" w14:textId="0F1E13A1" w:rsidR="00065BA2" w:rsidRPr="008C74A3" w:rsidRDefault="00065BA2" w:rsidP="001F3DC0">
      <w:pPr>
        <w:pStyle w:val="Heading2"/>
      </w:pPr>
      <w:bookmarkStart w:id="77" w:name="_Toc141449368"/>
      <w:bookmarkStart w:id="78" w:name="_Toc141449655"/>
      <w:bookmarkStart w:id="79" w:name="_Toc146213863"/>
      <w:bookmarkStart w:id="80" w:name="_Toc148384203"/>
      <w:r w:rsidRPr="008C74A3">
        <w:lastRenderedPageBreak/>
        <w:t xml:space="preserve">Appendix </w:t>
      </w:r>
      <w:r w:rsidR="00FA3ED3" w:rsidRPr="008C74A3">
        <w:t>F</w:t>
      </w:r>
      <w:r w:rsidRPr="008C74A3">
        <w:t>: Applying the Fundamental Qualitative Characteristics</w:t>
      </w:r>
      <w:bookmarkEnd w:id="77"/>
      <w:bookmarkEnd w:id="78"/>
      <w:bookmarkEnd w:id="79"/>
      <w:bookmarkEnd w:id="80"/>
    </w:p>
    <w:p w14:paraId="234A4EA6" w14:textId="6E061A9D" w:rsidR="00065BA2" w:rsidRPr="008C74A3" w:rsidRDefault="0096659E" w:rsidP="00DB1B70">
      <w:r w:rsidRPr="008C74A3">
        <w:t>The Conceptual Framework on Financial Reporting</w:t>
      </w:r>
      <w:r w:rsidR="00065BA2" w:rsidRPr="008C74A3">
        <w:t xml:space="preserve"> provides the following guidance on application of the fundamental qualitative characteristics of useful information:</w:t>
      </w:r>
    </w:p>
    <w:p w14:paraId="2D992250" w14:textId="2B78C0E5" w:rsidR="00065BA2" w:rsidRPr="008C74A3" w:rsidRDefault="00065BA2" w:rsidP="00DB1B70">
      <w:r w:rsidRPr="008C74A3">
        <w:t>2.21</w:t>
      </w:r>
      <w:r w:rsidR="0096659E" w:rsidRPr="008C74A3">
        <w:tab/>
      </w:r>
      <w:r w:rsidRPr="008C74A3">
        <w:t>The most efficient and effective process for applying the fundamental qualitative characteristics would usually be as follows (subject to the effects of enhancing characteristics and the cost constraint, which are not considered in this example). First, identify an economic phenomenon, information about which is capable of being useful to users of the reporting entity’s financial information. Second, identify the type of information about that phenomenon that would be most relevant. Third, determine whether that information is available and whether it can provide a faithful representation of the economic phenomenon. If so, the process of satisfying the fundamental qualitative characteristics ends at that point. If not, the process is repeated with the next most relevant type of information.</w:t>
      </w:r>
    </w:p>
    <w:p w14:paraId="0A053D3C" w14:textId="7FDFC914" w:rsidR="00065BA2" w:rsidRPr="008C74A3" w:rsidRDefault="00065BA2" w:rsidP="00DB1B70">
      <w:r w:rsidRPr="008C74A3">
        <w:t>2.22</w:t>
      </w:r>
      <w:r w:rsidR="0096659E" w:rsidRPr="008C74A3">
        <w:tab/>
      </w:r>
      <w:r w:rsidRPr="008C74A3">
        <w:t xml:space="preserve">In some cases, a trade-off between the fundamental qualitative characteristics may need to be made </w:t>
      </w:r>
      <w:proofErr w:type="gramStart"/>
      <w:r w:rsidRPr="008C74A3">
        <w:t>in order to</w:t>
      </w:r>
      <w:proofErr w:type="gramEnd"/>
      <w:r w:rsidRPr="008C74A3">
        <w:t xml:space="preserve"> meet the objective of financial reporting, which is to provide useful information about economic phenomena. For example, the most relevant information about a phenomenon may be a highly uncertain estimate. In some cases, the level of measurement uncertainty involved in making that estimate may be so high that it may be questionable whether the estimate would provide a sufficiently faithful representation of that phenomenon. In some such cases, the most useful information may be the highly uncertain estimate, accompanied by a description of the estimate and an explanation of the uncertainties that affect it. In other such cases, if that information would not provide a sufficiently faithful representation of that phenomenon, the most useful information may include an estimate of another type that is slightly less relevant but is subject to lower measurement uncertainty. In limited circumstances, there may be no estimate that provides useful information. In those limited circumstances, it may be necessary to provide information that does not rely on an estimate.</w:t>
      </w:r>
    </w:p>
    <w:p w14:paraId="6ABD7195" w14:textId="65B13807" w:rsidR="00065BA2" w:rsidRPr="008C74A3" w:rsidRDefault="00065BA2" w:rsidP="00DB1B70">
      <w:r w:rsidRPr="008C74A3">
        <w:t>2.39</w:t>
      </w:r>
      <w:r w:rsidR="0096659E" w:rsidRPr="008C74A3">
        <w:tab/>
      </w:r>
      <w:r w:rsidRPr="008C74A3">
        <w:t>Cost is a pervasive constraint on the information that can be provided by financial reporting. Reporting financial information imposes costs, and it is important that those costs are justified by the benefits of reporting that information. There are several types of costs and benefits to consider.</w:t>
      </w:r>
    </w:p>
    <w:p w14:paraId="0427A022" w14:textId="66E5E0BB" w:rsidR="00065BA2" w:rsidRPr="008C74A3" w:rsidRDefault="00065BA2" w:rsidP="00DB1B70">
      <w:r w:rsidRPr="008C74A3">
        <w:t>2.40</w:t>
      </w:r>
      <w:r w:rsidR="0096659E" w:rsidRPr="008C74A3">
        <w:t xml:space="preserve"> </w:t>
      </w:r>
      <w:r w:rsidR="0096659E" w:rsidRPr="008C74A3">
        <w:tab/>
      </w:r>
      <w:r w:rsidRPr="008C74A3">
        <w:t>Providers of financial information expend most of the effort involved in collecting, processing, verifying and disseminating financial information, but users ultimately bear those costs in the form of reduced returns. Users of financial information also incur costs of analysing and interpreting the information provided. If needed information is not provided, users incur additional costs to obtain that information elsewhere or to estimate it.</w:t>
      </w:r>
    </w:p>
    <w:p w14:paraId="760C87C3" w14:textId="2BE8F5DE" w:rsidR="00065BA2" w:rsidRPr="008C74A3" w:rsidRDefault="00065BA2" w:rsidP="00DB1B70">
      <w:r w:rsidRPr="008C74A3">
        <w:t>2.41</w:t>
      </w:r>
      <w:r w:rsidR="0096659E" w:rsidRPr="008C74A3">
        <w:tab/>
      </w:r>
      <w:r w:rsidRPr="008C74A3">
        <w:t xml:space="preserve">Reporting financial information that is relevant and faithfully represents what it purports to represent helps users to make decisions with more confidence. This results in more efficient functioning of capital markets and a lower cost of capital for the </w:t>
      </w:r>
      <w:proofErr w:type="gramStart"/>
      <w:r w:rsidRPr="008C74A3">
        <w:t>economy as a whole</w:t>
      </w:r>
      <w:proofErr w:type="gramEnd"/>
      <w:r w:rsidRPr="008C74A3">
        <w:t>. An individual investor, lender or other creditor also receives benefits by making more informed decisions. However, it is not possible for general purpose financial reports to provide all the information that every user finds relevant.</w:t>
      </w:r>
    </w:p>
    <w:p w14:paraId="3DDA5C36" w14:textId="23F1DCFA" w:rsidR="00065BA2" w:rsidRPr="008C74A3" w:rsidRDefault="00065BA2" w:rsidP="00DB1B70">
      <w:r w:rsidRPr="008C74A3">
        <w:lastRenderedPageBreak/>
        <w:t>2.42</w:t>
      </w:r>
      <w:r w:rsidR="0096659E" w:rsidRPr="008C74A3">
        <w:tab/>
      </w:r>
      <w:r w:rsidRPr="008C74A3">
        <w:t>In applying the cost constraint, the Board assesses whether the benefits of reporting particular information are likely to justify the costs incurred to provide and use that information. When applying the cost constraint in developing a proposed Standard, the Board seeks information from providers of financial information, users, auditors, academics and others about the expected nature and quantity of the benefits and costs of that Standard. In most situations, assessments are based on a combination of quantitative and qualitative information.</w:t>
      </w:r>
    </w:p>
    <w:p w14:paraId="2AB43D75" w14:textId="2B92240C" w:rsidR="00D33AB7" w:rsidRPr="008C74A3" w:rsidRDefault="00065BA2" w:rsidP="00467B85">
      <w:pPr>
        <w:sectPr w:rsidR="00D33AB7" w:rsidRPr="008C74A3" w:rsidSect="00A8001F">
          <w:pgSz w:w="12240" w:h="15840" w:code="1"/>
          <w:pgMar w:top="1440" w:right="1440" w:bottom="1440" w:left="1440" w:header="720" w:footer="720" w:gutter="0"/>
          <w:cols w:space="720"/>
          <w:docGrid w:linePitch="360"/>
        </w:sectPr>
      </w:pPr>
      <w:r w:rsidRPr="008C74A3">
        <w:t>2.43</w:t>
      </w:r>
      <w:r w:rsidR="0096659E" w:rsidRPr="008C74A3">
        <w:tab/>
      </w:r>
      <w:r w:rsidRPr="008C74A3">
        <w:t>Because of the inherent subjectivity, different individuals’ assessments of the costs and benefits of reporting particular items of financial information will vary. Therefore, the Board seeks to consider costs and benefits in relation to financial reporting generally, and not just in relation to individual reporting entities. That does not mean that assessments of costs and benefits always justify the same reporting requirements for all entities. Differences may be appropriate because of different sizes of entities, different ways of raising capital (publicly or privately), different users’ needs or other fact</w:t>
      </w:r>
      <w:r w:rsidR="00467B85" w:rsidRPr="008C74A3">
        <w:t>ors.</w:t>
      </w:r>
    </w:p>
    <w:p w14:paraId="08D94BAA" w14:textId="007B56AE" w:rsidR="00D33AB7" w:rsidRPr="008C74A3" w:rsidRDefault="00D33AB7" w:rsidP="00D33AB7">
      <w:pPr>
        <w:pStyle w:val="Heading2"/>
      </w:pPr>
      <w:bookmarkStart w:id="81" w:name="_Toc148384204"/>
      <w:r w:rsidRPr="008C74A3">
        <w:lastRenderedPageBreak/>
        <w:t xml:space="preserve">Appendix </w:t>
      </w:r>
      <w:r w:rsidR="00D9253A" w:rsidRPr="008C74A3">
        <w:t>G</w:t>
      </w:r>
      <w:r w:rsidRPr="008C74A3">
        <w:t>: Guidance on Stakeholder Engagement</w:t>
      </w:r>
      <w:bookmarkEnd w:id="81"/>
    </w:p>
    <w:p w14:paraId="1338790D" w14:textId="7C02A268" w:rsidR="00D33AB7" w:rsidRPr="008C74A3" w:rsidRDefault="00D33AB7" w:rsidP="00D33AB7">
      <w:r w:rsidRPr="008C74A3">
        <w:t xml:space="preserve">The </w:t>
      </w:r>
      <w:r w:rsidR="00DF5E57" w:rsidRPr="008C74A3">
        <w:t xml:space="preserve">content of this appendix is </w:t>
      </w:r>
      <w:r w:rsidRPr="008C74A3">
        <w:t>based on practice standards from</w:t>
      </w:r>
      <w:r w:rsidRPr="008C74A3">
        <w:rPr>
          <w:rFonts w:ascii="Calibri" w:hAnsi="Calibri" w:cs="Calibri"/>
        </w:rPr>
        <w:t xml:space="preserve"> </w:t>
      </w:r>
      <w:r w:rsidRPr="008C74A3">
        <w:t>the GRI, Social Value International, the World Economic Forum and</w:t>
      </w:r>
      <w:r w:rsidR="00DF5E57" w:rsidRPr="008C74A3">
        <w:t xml:space="preserve"> the UNDP</w:t>
      </w:r>
      <w:r w:rsidRPr="008C74A3">
        <w:t xml:space="preserve"> SDG Impact</w:t>
      </w:r>
      <w:r w:rsidR="00DF5E57" w:rsidRPr="008C74A3">
        <w:t xml:space="preserve"> Standards</w:t>
      </w:r>
      <w:r w:rsidRPr="008C74A3">
        <w:t>. </w:t>
      </w:r>
    </w:p>
    <w:p w14:paraId="7888955A" w14:textId="632F57AA" w:rsidR="00D33AB7" w:rsidRPr="008C74A3" w:rsidRDefault="00D33AB7" w:rsidP="00D33AB7">
      <w:r w:rsidRPr="008C74A3">
        <w:t xml:space="preserve">The process of direct stakeholder engagement begins with identifying stakeholders. This </w:t>
      </w:r>
      <w:r w:rsidR="00DF5E57" w:rsidRPr="008C74A3">
        <w:t>could include</w:t>
      </w:r>
      <w:r w:rsidRPr="008C74A3">
        <w:t xml:space="preserve"> anyone that can affect or be affected by the activity. The list will likely need to be revised as analysis progresses. As stakeholders are involved in discussions, they may identify additional stakeholder groups or segments within groups. </w:t>
      </w:r>
    </w:p>
    <w:p w14:paraId="2AD68F4A" w14:textId="2A42FCE9" w:rsidR="00D33AB7" w:rsidRPr="008C74A3" w:rsidRDefault="00D33AB7" w:rsidP="00D33AB7">
      <w:r w:rsidRPr="008C74A3">
        <w:t>Once stakeholders are identified, there are typically two phases of data collection: a qualitative phase and a quantitative phase. In cases of smaller stakeholder groups, it may be appropriate to cover both phases concurrently. </w:t>
      </w:r>
    </w:p>
    <w:p w14:paraId="0443CB73" w14:textId="41825A5E" w:rsidR="00D33AB7" w:rsidRPr="008C74A3" w:rsidRDefault="00D33AB7" w:rsidP="00D33AB7">
      <w:r w:rsidRPr="008C74A3">
        <w:t>In the</w:t>
      </w:r>
      <w:r w:rsidR="00241983" w:rsidRPr="008C74A3">
        <w:t xml:space="preserve"> first,</w:t>
      </w:r>
      <w:r w:rsidRPr="008C74A3">
        <w:t xml:space="preserve"> qualitative phase, a representative sample of all identified stakeholder groups is involved in discussions about what outcomes they experience that matter to them and thus are material to include in reporting. Potential qualitative research methods can include focus groups, interviews, and surveys. It is recommended to choose the method that will best suit the given stakeholder group (</w:t>
      </w:r>
      <w:proofErr w:type="gramStart"/>
      <w:r w:rsidRPr="008C74A3">
        <w:t>taking into account</w:t>
      </w:r>
      <w:proofErr w:type="gramEnd"/>
      <w:r w:rsidRPr="008C74A3">
        <w:t xml:space="preserve"> language and other potential barriers), and to use open questioning that allows stakeholders the opportunity to disclose unexpected information. </w:t>
      </w:r>
      <w:r w:rsidR="00241983" w:rsidRPr="008C74A3">
        <w:t>Results of this phase may be especially useful in determining what outcomes and impacts are significant to the stakeholders experiencing them, and thus should be included in the report in the service of the completeness and neutrality aspects of faithful representation.</w:t>
      </w:r>
    </w:p>
    <w:p w14:paraId="37E0ABC8" w14:textId="4AC933F0" w:rsidR="00D33AB7" w:rsidRPr="008C74A3" w:rsidRDefault="00D33AB7" w:rsidP="00D33AB7">
      <w:r w:rsidRPr="008C74A3">
        <w:t>In the quantitative phase, a larger sample is engaged to determine the quantity, duration, value, and causality of relevant outcomes. Methods can include meetings or surveys, and frequency of data collection can be determined based on circumstances and resource capacity. </w:t>
      </w:r>
      <w:r w:rsidR="00241983" w:rsidRPr="008C74A3">
        <w:t>Results from research of this nature enhances the accuracy aspect of faithful representation.</w:t>
      </w:r>
    </w:p>
    <w:p w14:paraId="412AE98E" w14:textId="77777777" w:rsidR="00D33AB7" w:rsidRPr="008C74A3" w:rsidRDefault="00D33AB7" w:rsidP="00D33AB7">
      <w:r w:rsidRPr="008C74A3">
        <w:t>Once the results of stakeholder engagement are gathered, communicating these results back to stakeholders and explaining how learnings will be implemented to improve strategy, operations, and the stakeholder engagement process itself can help establish trust and accountability. This can influence the ongoing success of stakeholder involvement and engagement activities.  </w:t>
      </w:r>
    </w:p>
    <w:p w14:paraId="44388195" w14:textId="41769BEB" w:rsidR="0055074A" w:rsidRPr="008C74A3" w:rsidRDefault="00DF5E57" w:rsidP="00DF5E57">
      <w:r w:rsidRPr="008C74A3">
        <w:t>Preparers and investees can refer to existing standards for more specific guidance on identifying stakeholders, research and data collection methods, considerations for scope and frequency of data collection, resource requirements, and guidance on developing questions. Developing a systematic approach to stakeholder engagement based on best practices and codifying it in a planning document or policy can help clarify roles and expectations, improve efficiency, and minimize demands on stakeholders. </w:t>
      </w:r>
    </w:p>
    <w:p w14:paraId="08B647E1" w14:textId="5A44FE2D" w:rsidR="0055074A" w:rsidRPr="008C74A3" w:rsidRDefault="0055074A" w:rsidP="00DF5E57">
      <w:r w:rsidRPr="008C74A3">
        <w:t xml:space="preserve">In general, the investee would be the entity </w:t>
      </w:r>
      <w:r w:rsidR="004B609C" w:rsidRPr="008C74A3">
        <w:t>best positioned</w:t>
      </w:r>
      <w:r w:rsidRPr="008C74A3">
        <w:t xml:space="preserve"> to engage with its stakeholders, with investors playing a support of role in ensuring that stakeholder engagement happens with appropriate frequency and intensity, and in ways that are</w:t>
      </w:r>
      <w:r w:rsidR="007D2287" w:rsidRPr="008C74A3">
        <w:t xml:space="preserve"> not perceived as extractive by the stakeholders themselves, and that are</w:t>
      </w:r>
      <w:r w:rsidRPr="008C74A3">
        <w:t xml:space="preserve"> </w:t>
      </w:r>
      <w:r w:rsidR="007D2287" w:rsidRPr="008C74A3">
        <w:t>coordinated rather than</w:t>
      </w:r>
      <w:r w:rsidRPr="008C74A3">
        <w:t xml:space="preserve"> duplicative across investors.</w:t>
      </w:r>
    </w:p>
    <w:p w14:paraId="78995815" w14:textId="77777777" w:rsidR="00DF5E57" w:rsidRPr="008C74A3" w:rsidRDefault="00DF5E57" w:rsidP="00D33AB7">
      <w:pPr>
        <w:rPr>
          <w:rFonts w:ascii="Segoe UI" w:hAnsi="Segoe UI"/>
          <w:sz w:val="18"/>
          <w:szCs w:val="18"/>
        </w:rPr>
      </w:pPr>
    </w:p>
    <w:p w14:paraId="264EB485" w14:textId="77777777" w:rsidR="00D33AB7" w:rsidRPr="008C74A3" w:rsidRDefault="00D33AB7" w:rsidP="00D33AB7">
      <w:pPr>
        <w:rPr>
          <w:rFonts w:ascii="Segoe UI" w:hAnsi="Segoe UI"/>
          <w:sz w:val="18"/>
          <w:szCs w:val="18"/>
        </w:rPr>
      </w:pPr>
      <w:r w:rsidRPr="008C74A3">
        <w:rPr>
          <w:b/>
          <w:bCs/>
          <w:noProof/>
        </w:rPr>
        <w:drawing>
          <wp:inline distT="0" distB="0" distL="0" distR="0" wp14:anchorId="34546345" wp14:editId="5D6B336A">
            <wp:extent cx="5570855" cy="4257675"/>
            <wp:effectExtent l="0" t="0" r="0" b="9525"/>
            <wp:docPr id="1145118974" name="Picture 1145118974"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 Box"/>
                    <pic:cNvPicPr>
                      <a:picLocks noChangeAspect="1" noChangeArrowheads="1"/>
                    </pic:cNvPicPr>
                  </pic:nvPicPr>
                  <pic:blipFill>
                    <a:blip r:embed="rId71">
                      <a:extLst>
                        <a:ext uri="{28A0092B-C50C-407E-A947-70E740481C1C}">
                          <a14:useLocalDpi xmlns:a14="http://schemas.microsoft.com/office/drawing/2010/main"/>
                        </a:ext>
                      </a:extLst>
                    </a:blip>
                    <a:srcRect/>
                    <a:stretch>
                      <a:fillRect/>
                    </a:stretch>
                  </pic:blipFill>
                  <pic:spPr bwMode="auto">
                    <a:xfrm>
                      <a:off x="0" y="0"/>
                      <a:ext cx="5570855" cy="4257675"/>
                    </a:xfrm>
                    <a:prstGeom prst="rect">
                      <a:avLst/>
                    </a:prstGeom>
                    <a:noFill/>
                    <a:ln>
                      <a:noFill/>
                    </a:ln>
                  </pic:spPr>
                </pic:pic>
              </a:graphicData>
            </a:graphic>
          </wp:inline>
        </w:drawing>
      </w:r>
      <w:r w:rsidRPr="008C74A3">
        <w:t> </w:t>
      </w:r>
    </w:p>
    <w:p w14:paraId="4AC2F596" w14:textId="77777777" w:rsidR="00D33AB7" w:rsidRPr="008C74A3" w:rsidRDefault="00D33AB7" w:rsidP="00D33AB7">
      <w:r w:rsidRPr="008C74A3">
        <w:t> </w:t>
      </w:r>
    </w:p>
    <w:p w14:paraId="53698E56" w14:textId="77777777" w:rsidR="00D33AB7" w:rsidRPr="008C74A3" w:rsidRDefault="00D33AB7" w:rsidP="00D33AB7"/>
    <w:p w14:paraId="13865568" w14:textId="77777777" w:rsidR="00D33AB7" w:rsidRPr="008C74A3" w:rsidRDefault="00D33AB7" w:rsidP="00D33AB7"/>
    <w:p w14:paraId="2C7CD44A" w14:textId="77777777" w:rsidR="00D33AB7" w:rsidRPr="008C74A3" w:rsidRDefault="00D33AB7" w:rsidP="00D33AB7"/>
    <w:p w14:paraId="33E6AC27" w14:textId="77777777" w:rsidR="00D33AB7" w:rsidRPr="008C74A3" w:rsidRDefault="00D33AB7" w:rsidP="00D33AB7">
      <w:pPr>
        <w:pStyle w:val="Heading2"/>
        <w:sectPr w:rsidR="00D33AB7" w:rsidRPr="008C74A3" w:rsidSect="00A8001F">
          <w:pgSz w:w="12240" w:h="15840" w:code="1"/>
          <w:pgMar w:top="1440" w:right="1440" w:bottom="1440" w:left="1440" w:header="720" w:footer="720" w:gutter="0"/>
          <w:cols w:space="720"/>
          <w:docGrid w:linePitch="360"/>
        </w:sectPr>
      </w:pPr>
      <w:bookmarkStart w:id="82" w:name="_Toc146213866"/>
    </w:p>
    <w:p w14:paraId="4BE8D8B3" w14:textId="551AACE9" w:rsidR="00D33AB7" w:rsidRPr="008C74A3" w:rsidRDefault="00D33AB7" w:rsidP="00D33AB7">
      <w:pPr>
        <w:pStyle w:val="Heading2"/>
      </w:pPr>
      <w:bookmarkStart w:id="83" w:name="_Toc148384205"/>
      <w:r w:rsidRPr="008C74A3">
        <w:lastRenderedPageBreak/>
        <w:t xml:space="preserve">Appendix </w:t>
      </w:r>
      <w:r w:rsidR="00D9253A" w:rsidRPr="008C74A3">
        <w:t>H</w:t>
      </w:r>
      <w:r w:rsidRPr="008C74A3">
        <w:t xml:space="preserve">: </w:t>
      </w:r>
      <w:r w:rsidR="00DF5E57" w:rsidRPr="008C74A3">
        <w:t xml:space="preserve">Materiality </w:t>
      </w:r>
      <w:r w:rsidRPr="008C74A3">
        <w:t>at fund impact thesis level and portfolio company level</w:t>
      </w:r>
      <w:bookmarkEnd w:id="82"/>
      <w:bookmarkEnd w:id="83"/>
    </w:p>
    <w:p w14:paraId="3ECE1F3F" w14:textId="3FDC3A49" w:rsidR="00D33AB7" w:rsidRPr="008C74A3" w:rsidRDefault="00D33AB7" w:rsidP="00D33AB7">
      <w:r w:rsidRPr="008C74A3">
        <w:t xml:space="preserve">The Draft Reporting Norms assume </w:t>
      </w:r>
      <w:r w:rsidR="00505460" w:rsidRPr="008C74A3">
        <w:t xml:space="preserve">consideration of </w:t>
      </w:r>
      <w:r w:rsidR="00DF5E57" w:rsidRPr="008C74A3">
        <w:t xml:space="preserve">outcomes significant to </w:t>
      </w:r>
      <w:r w:rsidRPr="008C74A3">
        <w:t>stakeholder</w:t>
      </w:r>
      <w:r w:rsidR="00505460" w:rsidRPr="008C74A3">
        <w:t>s and the natural environment both in the portfolio-level impact thesis and in reporting on the impacts of individual investees or assets</w:t>
      </w:r>
      <w:r w:rsidRPr="008C74A3">
        <w:t>.</w:t>
      </w:r>
    </w:p>
    <w:p w14:paraId="129FE818" w14:textId="2FB96B18" w:rsidR="00505460" w:rsidRPr="008C74A3" w:rsidRDefault="00F84E45" w:rsidP="00D33AB7">
      <w:r w:rsidRPr="008C74A3">
        <w:t xml:space="preserve">1. </w:t>
      </w:r>
      <w:r w:rsidR="00D33AB7" w:rsidRPr="008C74A3">
        <w:t xml:space="preserve">Investor Overview and Impact Thesis assumes that preparers will determine one or more material outcomes that they aim to pursue through a process of </w:t>
      </w:r>
      <w:r w:rsidR="00505460" w:rsidRPr="008C74A3">
        <w:t xml:space="preserve">stakeholder identification and </w:t>
      </w:r>
      <w:r w:rsidR="00D33AB7" w:rsidRPr="008C74A3">
        <w:t xml:space="preserve">materiality assessment. After identifying possible outcomes that are likely to be material to </w:t>
      </w:r>
      <w:r w:rsidR="00734B44" w:rsidRPr="008C74A3">
        <w:t>stakeholder</w:t>
      </w:r>
      <w:r w:rsidR="00D33AB7" w:rsidRPr="008C74A3">
        <w:t>s and the natural environment</w:t>
      </w:r>
      <w:r w:rsidR="00505460" w:rsidRPr="008C74A3">
        <w:t xml:space="preserve"> and mapping out the impact pathway (see Terms &amp; Definitions) </w:t>
      </w:r>
      <w:r w:rsidR="00D33AB7" w:rsidRPr="008C74A3">
        <w:t xml:space="preserve">preparers determine which outcomes are likely to be material to </w:t>
      </w:r>
      <w:r w:rsidR="00734B44" w:rsidRPr="008C74A3">
        <w:t>stakeholder</w:t>
      </w:r>
      <w:r w:rsidR="00D33AB7" w:rsidRPr="008C74A3">
        <w:t xml:space="preserve">s and the natural environment and hence likely to be included in impact reports. </w:t>
      </w:r>
    </w:p>
    <w:p w14:paraId="04919406" w14:textId="2E35431F" w:rsidR="00D33AB7" w:rsidRPr="008C74A3" w:rsidRDefault="00D33AB7" w:rsidP="00D33AB7">
      <w:r w:rsidRPr="008C74A3">
        <w:t>Preparers will likely consult a variety of sources when seeking to understand stakeholder perspectives for a materiality assessment. The ideal source of information is direct stakeholder engagement.</w:t>
      </w:r>
      <w:r w:rsidRPr="008C74A3">
        <w:rPr>
          <w:vertAlign w:val="superscript"/>
        </w:rPr>
        <w:footnoteReference w:id="90"/>
      </w:r>
      <w:r w:rsidRPr="008C74A3">
        <w:t xml:space="preserve"> </w:t>
      </w:r>
      <w:r w:rsidRPr="008C74A3">
        <w:rPr>
          <w:vertAlign w:val="superscript"/>
        </w:rPr>
        <w:footnoteReference w:id="91"/>
      </w:r>
      <w:r w:rsidRPr="008C74A3">
        <w:t xml:space="preserve"> </w:t>
      </w:r>
      <w:r w:rsidRPr="008C74A3">
        <w:rPr>
          <w:vertAlign w:val="superscript"/>
        </w:rPr>
        <w:footnoteReference w:id="92"/>
      </w:r>
      <w:r w:rsidRPr="008C74A3">
        <w:t xml:space="preserve"> However, engaging directly with </w:t>
      </w:r>
      <w:r w:rsidR="00734B44" w:rsidRPr="008C74A3">
        <w:t>stakeholder</w:t>
      </w:r>
      <w:r w:rsidRPr="008C74A3">
        <w:t xml:space="preserve">s might be challenging for most </w:t>
      </w:r>
      <w:r w:rsidR="00505460" w:rsidRPr="008C74A3">
        <w:t>report preparers</w:t>
      </w:r>
      <w:r w:rsidRPr="008C74A3">
        <w:t xml:space="preserve"> at the impact thesis stage. An alternative option is to engage with third-party organizations which directly engage with stakeholders</w:t>
      </w:r>
      <w:r w:rsidR="00505460" w:rsidRPr="008C74A3">
        <w:t xml:space="preserve"> – for instance, </w:t>
      </w:r>
      <w:r w:rsidRPr="008C74A3">
        <w:t>civil society organizations</w:t>
      </w:r>
      <w:r w:rsidRPr="008C74A3">
        <w:rPr>
          <w:rFonts w:eastAsia="Corbel" w:cs="Corbel"/>
        </w:rPr>
        <w:t xml:space="preserve">, </w:t>
      </w:r>
      <w:r w:rsidRPr="008C74A3">
        <w:t>grassroots NGOs, industry associations, international organizations, and professional research institutions.</w:t>
      </w:r>
      <w:r w:rsidR="00505460" w:rsidRPr="008C74A3">
        <w:rPr>
          <w:vertAlign w:val="superscript"/>
        </w:rPr>
        <w:footnoteReference w:id="93"/>
      </w:r>
      <w:r w:rsidR="00505460" w:rsidRPr="008C74A3">
        <w:t xml:space="preserve"> </w:t>
      </w:r>
      <w:r w:rsidR="00505460" w:rsidRPr="008C74A3">
        <w:rPr>
          <w:vertAlign w:val="superscript"/>
        </w:rPr>
        <w:footnoteReference w:id="94"/>
      </w:r>
      <w:r w:rsidR="00505460" w:rsidRPr="008C74A3">
        <w:t xml:space="preserve"> </w:t>
      </w:r>
      <w:r w:rsidRPr="008C74A3">
        <w:t xml:space="preserve"> </w:t>
      </w:r>
      <w:r w:rsidRPr="008C74A3">
        <w:rPr>
          <w:rFonts w:eastAsia="Corbel" w:cs="Corbel"/>
        </w:rPr>
        <w:t xml:space="preserve">Additionally, </w:t>
      </w:r>
      <w:r w:rsidR="00505460" w:rsidRPr="008C74A3">
        <w:t>report</w:t>
      </w:r>
      <w:r w:rsidRPr="008C74A3">
        <w:t xml:space="preserve"> </w:t>
      </w:r>
      <w:r w:rsidR="00505460" w:rsidRPr="008C74A3">
        <w:t xml:space="preserve">preparers </w:t>
      </w:r>
      <w:r w:rsidRPr="008C74A3">
        <w:t>can conduct secondary research leveraging academic papers or resources from standard-setters that define</w:t>
      </w:r>
      <w:r w:rsidR="00505460" w:rsidRPr="008C74A3">
        <w:t xml:space="preserve"> likely</w:t>
      </w:r>
      <w:r w:rsidRPr="008C74A3">
        <w:t xml:space="preserve"> relevant outcomes for specific impact areas (</w:t>
      </w:r>
      <w:r w:rsidR="004B609C" w:rsidRPr="008C74A3">
        <w:t>e.g.,</w:t>
      </w:r>
      <w:r w:rsidRPr="008C74A3">
        <w:t xml:space="preserve"> SDG targets, GRI). </w:t>
      </w:r>
    </w:p>
    <w:p w14:paraId="5FE85F61" w14:textId="465A9EA8" w:rsidR="00D33AB7" w:rsidRPr="008C74A3" w:rsidRDefault="00D33AB7" w:rsidP="00D33AB7">
      <w:r w:rsidRPr="008C74A3">
        <w:t xml:space="preserve">After an investment is executed, asset managers will rely on investees to manage and disclose their performance on the outcomes set out above. Once they receive information from investees on the level of outcomes or impacts experienced by </w:t>
      </w:r>
      <w:r w:rsidR="00734B44" w:rsidRPr="008C74A3">
        <w:t>stakeholder</w:t>
      </w:r>
      <w:r w:rsidRPr="008C74A3">
        <w:t xml:space="preserve">s or the natural environment (or proxies for the same), it falls to preparers to make final determinations on what information is material to report to users. </w:t>
      </w:r>
      <w:r w:rsidR="00505460" w:rsidRPr="008C74A3">
        <w:t>Preparers</w:t>
      </w:r>
      <w:r w:rsidRPr="008C74A3">
        <w:t xml:space="preserve"> can incorporate perspectives from investee-level materiality assessments in a continuous feedback loop to refine their portfolio-level materiality assessment.</w:t>
      </w:r>
    </w:p>
    <w:p w14:paraId="56CA3B83" w14:textId="77777777" w:rsidR="00D33AB7" w:rsidRPr="008C74A3" w:rsidRDefault="00D33AB7" w:rsidP="00DB1B70">
      <w:pPr>
        <w:sectPr w:rsidR="00D33AB7" w:rsidRPr="008C74A3" w:rsidSect="00A8001F">
          <w:pgSz w:w="12240" w:h="15840" w:code="1"/>
          <w:pgMar w:top="1440" w:right="1440" w:bottom="1440" w:left="1440" w:header="720" w:footer="720" w:gutter="0"/>
          <w:cols w:space="720"/>
          <w:docGrid w:linePitch="360"/>
        </w:sectPr>
      </w:pPr>
    </w:p>
    <w:p w14:paraId="4167EE15" w14:textId="682CE5E0" w:rsidR="00FA3ED3" w:rsidRPr="008C74A3" w:rsidRDefault="002E38FB" w:rsidP="00BC0975">
      <w:pPr>
        <w:pStyle w:val="Heading2"/>
      </w:pPr>
      <w:bookmarkStart w:id="84" w:name="_Toc146213865"/>
      <w:bookmarkStart w:id="85" w:name="_Toc148384206"/>
      <w:bookmarkStart w:id="86" w:name="_Toc141449370"/>
      <w:bookmarkStart w:id="87" w:name="_Toc141449657"/>
      <w:r w:rsidRPr="008C74A3">
        <w:lastRenderedPageBreak/>
        <w:t xml:space="preserve">Appendix </w:t>
      </w:r>
      <w:r w:rsidR="00D9253A" w:rsidRPr="008C74A3">
        <w:t>I</w:t>
      </w:r>
      <w:r w:rsidRPr="008C74A3">
        <w:t xml:space="preserve">: </w:t>
      </w:r>
      <w:bookmarkEnd w:id="84"/>
      <w:r w:rsidR="00BC0975" w:rsidRPr="008C74A3">
        <w:t>Examples of tables for p</w:t>
      </w:r>
      <w:r w:rsidR="00740A3E" w:rsidRPr="008C74A3">
        <w:t>ortfolio-wide and investment-by-investment reporting</w:t>
      </w:r>
      <w:bookmarkEnd w:id="85"/>
      <w:r w:rsidR="00740A3E" w:rsidRPr="008C74A3">
        <w:t xml:space="preserve"> </w:t>
      </w:r>
    </w:p>
    <w:p w14:paraId="41EE0118" w14:textId="6CAC5F06" w:rsidR="002E38FB" w:rsidRPr="008C74A3" w:rsidRDefault="00FA3ED3" w:rsidP="001F3DC0">
      <w:pPr>
        <w:pStyle w:val="NoSpacing"/>
      </w:pPr>
      <w:r w:rsidRPr="008C74A3" w:rsidDel="00FA3ED3">
        <w:t xml:space="preserve"> </w:t>
      </w:r>
      <w:r w:rsidR="00BC0975" w:rsidRPr="008C74A3">
        <w:t>The following table presents an illustrative example of arrangement of portfolio-level impact data:</w:t>
      </w:r>
    </w:p>
    <w:p w14:paraId="6B574C83" w14:textId="77777777" w:rsidR="00BC0975" w:rsidRPr="008C74A3" w:rsidRDefault="00BC0975" w:rsidP="001F3DC0">
      <w:pPr>
        <w:pStyle w:val="NoSpacing"/>
      </w:pPr>
    </w:p>
    <w:tbl>
      <w:tblPr>
        <w:tblStyle w:val="TableGrid"/>
        <w:tblOverlap w:val="never"/>
        <w:tblW w:w="9085" w:type="dxa"/>
        <w:tblLayout w:type="fixed"/>
        <w:tblLook w:val="04A0" w:firstRow="1" w:lastRow="0" w:firstColumn="1" w:lastColumn="0" w:noHBand="0" w:noVBand="1"/>
      </w:tblPr>
      <w:tblGrid>
        <w:gridCol w:w="1075"/>
        <w:gridCol w:w="990"/>
        <w:gridCol w:w="810"/>
        <w:gridCol w:w="900"/>
        <w:gridCol w:w="900"/>
        <w:gridCol w:w="900"/>
        <w:gridCol w:w="810"/>
        <w:gridCol w:w="810"/>
        <w:gridCol w:w="810"/>
        <w:gridCol w:w="1080"/>
      </w:tblGrid>
      <w:tr w:rsidR="009756D8" w:rsidRPr="008C74A3" w14:paraId="2F7DE8A0" w14:textId="77777777" w:rsidTr="00BC0975">
        <w:trPr>
          <w:trHeight w:val="300"/>
        </w:trPr>
        <w:tc>
          <w:tcPr>
            <w:tcW w:w="1075" w:type="dxa"/>
            <w:vMerge w:val="restart"/>
            <w:shd w:val="clear" w:color="auto" w:fill="D9D9D9" w:themeFill="background1" w:themeFillShade="D9"/>
            <w:vAlign w:val="center"/>
          </w:tcPr>
          <w:p w14:paraId="1CE75B34" w14:textId="6B3719D5" w:rsidR="009756D8" w:rsidRPr="008C74A3" w:rsidRDefault="009756D8" w:rsidP="009756D8">
            <w:pPr>
              <w:pStyle w:val="NoSpacing"/>
              <w:rPr>
                <w:sz w:val="18"/>
                <w:szCs w:val="18"/>
              </w:rPr>
            </w:pPr>
            <w:r w:rsidRPr="008C74A3">
              <w:rPr>
                <w:sz w:val="18"/>
                <w:szCs w:val="18"/>
              </w:rPr>
              <w:t>Material outcomes</w:t>
            </w:r>
          </w:p>
        </w:tc>
        <w:tc>
          <w:tcPr>
            <w:tcW w:w="1800" w:type="dxa"/>
            <w:gridSpan w:val="2"/>
            <w:shd w:val="clear" w:color="auto" w:fill="D9D9D9" w:themeFill="background1" w:themeFillShade="D9"/>
            <w:vAlign w:val="center"/>
          </w:tcPr>
          <w:p w14:paraId="652C71BE" w14:textId="1D6F0503" w:rsidR="009756D8" w:rsidRPr="008C74A3" w:rsidRDefault="009756D8" w:rsidP="00BC0975">
            <w:pPr>
              <w:pStyle w:val="NoSpacing"/>
              <w:jc w:val="center"/>
              <w:rPr>
                <w:sz w:val="18"/>
                <w:szCs w:val="18"/>
              </w:rPr>
            </w:pPr>
            <w:r w:rsidRPr="008C74A3">
              <w:rPr>
                <w:sz w:val="18"/>
                <w:szCs w:val="18"/>
              </w:rPr>
              <w:t>Metrics</w:t>
            </w:r>
          </w:p>
        </w:tc>
        <w:tc>
          <w:tcPr>
            <w:tcW w:w="900" w:type="dxa"/>
            <w:shd w:val="clear" w:color="auto" w:fill="D9D9D9" w:themeFill="background1" w:themeFillShade="D9"/>
            <w:vAlign w:val="center"/>
          </w:tcPr>
          <w:p w14:paraId="751481E1" w14:textId="27FF1124" w:rsidR="009756D8" w:rsidRPr="008C74A3" w:rsidRDefault="009756D8" w:rsidP="00BC0975">
            <w:pPr>
              <w:pStyle w:val="NoSpacing"/>
              <w:jc w:val="center"/>
              <w:rPr>
                <w:sz w:val="18"/>
                <w:szCs w:val="18"/>
              </w:rPr>
            </w:pPr>
            <w:r w:rsidRPr="008C74A3">
              <w:rPr>
                <w:sz w:val="18"/>
                <w:szCs w:val="18"/>
              </w:rPr>
              <w:t>Baseline</w:t>
            </w:r>
          </w:p>
        </w:tc>
        <w:tc>
          <w:tcPr>
            <w:tcW w:w="900" w:type="dxa"/>
            <w:shd w:val="clear" w:color="auto" w:fill="D9D9D9" w:themeFill="background1" w:themeFillShade="D9"/>
            <w:vAlign w:val="center"/>
          </w:tcPr>
          <w:p w14:paraId="2EC7783F" w14:textId="6E5D1BDA" w:rsidR="009756D8" w:rsidRPr="008C74A3" w:rsidRDefault="009756D8" w:rsidP="00BC0975">
            <w:pPr>
              <w:pStyle w:val="NoSpacing"/>
              <w:jc w:val="center"/>
              <w:rPr>
                <w:sz w:val="18"/>
                <w:szCs w:val="18"/>
              </w:rPr>
            </w:pPr>
            <w:r w:rsidRPr="008C74A3">
              <w:rPr>
                <w:sz w:val="18"/>
                <w:szCs w:val="18"/>
              </w:rPr>
              <w:t>Target</w:t>
            </w:r>
          </w:p>
        </w:tc>
        <w:tc>
          <w:tcPr>
            <w:tcW w:w="900" w:type="dxa"/>
            <w:vMerge w:val="restart"/>
            <w:shd w:val="clear" w:color="auto" w:fill="D9D9D9" w:themeFill="background1" w:themeFillShade="D9"/>
            <w:vAlign w:val="center"/>
          </w:tcPr>
          <w:p w14:paraId="31E19861" w14:textId="3542ACE3" w:rsidR="009756D8" w:rsidRPr="008C74A3" w:rsidRDefault="009756D8" w:rsidP="00BC0975">
            <w:pPr>
              <w:pStyle w:val="NoSpacing"/>
              <w:jc w:val="center"/>
              <w:rPr>
                <w:sz w:val="18"/>
                <w:szCs w:val="18"/>
              </w:rPr>
            </w:pPr>
          </w:p>
          <w:p w14:paraId="5F724C3E" w14:textId="7B109168" w:rsidR="009756D8" w:rsidRPr="008C74A3" w:rsidRDefault="009756D8" w:rsidP="00BC0975">
            <w:pPr>
              <w:pStyle w:val="NoSpacing"/>
              <w:jc w:val="center"/>
              <w:rPr>
                <w:sz w:val="18"/>
                <w:szCs w:val="18"/>
              </w:rPr>
            </w:pPr>
            <w:r w:rsidRPr="008C74A3">
              <w:rPr>
                <w:sz w:val="18"/>
                <w:szCs w:val="18"/>
              </w:rPr>
              <w:t>Threshold</w:t>
            </w:r>
          </w:p>
          <w:p w14:paraId="355CC4C1" w14:textId="063AEB3A" w:rsidR="009756D8" w:rsidRPr="008C74A3" w:rsidRDefault="009756D8" w:rsidP="00BC0975">
            <w:pPr>
              <w:pStyle w:val="NoSpacing"/>
              <w:jc w:val="center"/>
              <w:rPr>
                <w:sz w:val="18"/>
                <w:szCs w:val="18"/>
              </w:rPr>
            </w:pPr>
          </w:p>
        </w:tc>
        <w:tc>
          <w:tcPr>
            <w:tcW w:w="2430" w:type="dxa"/>
            <w:gridSpan w:val="3"/>
            <w:shd w:val="clear" w:color="auto" w:fill="D9D9D9" w:themeFill="background1" w:themeFillShade="D9"/>
            <w:vAlign w:val="center"/>
          </w:tcPr>
          <w:p w14:paraId="622FA820" w14:textId="17ECBA4A" w:rsidR="009756D8" w:rsidRPr="008C74A3" w:rsidRDefault="009756D8" w:rsidP="00BC0975">
            <w:pPr>
              <w:pStyle w:val="NoSpacing"/>
              <w:jc w:val="center"/>
              <w:rPr>
                <w:sz w:val="18"/>
                <w:szCs w:val="18"/>
              </w:rPr>
            </w:pPr>
            <w:r w:rsidRPr="008C74A3">
              <w:rPr>
                <w:sz w:val="18"/>
                <w:szCs w:val="18"/>
              </w:rPr>
              <w:t>Performance</w:t>
            </w:r>
          </w:p>
        </w:tc>
        <w:tc>
          <w:tcPr>
            <w:tcW w:w="1080" w:type="dxa"/>
            <w:vMerge w:val="restart"/>
            <w:shd w:val="clear" w:color="auto" w:fill="D9D9D9" w:themeFill="background1" w:themeFillShade="D9"/>
            <w:vAlign w:val="center"/>
          </w:tcPr>
          <w:p w14:paraId="5951BAF3" w14:textId="71D4FD0A" w:rsidR="009756D8" w:rsidRPr="008C74A3" w:rsidRDefault="009756D8" w:rsidP="00BC0975">
            <w:pPr>
              <w:pStyle w:val="NoSpacing"/>
              <w:jc w:val="center"/>
              <w:rPr>
                <w:sz w:val="18"/>
                <w:szCs w:val="18"/>
              </w:rPr>
            </w:pPr>
            <w:r w:rsidRPr="008C74A3">
              <w:rPr>
                <w:sz w:val="18"/>
                <w:szCs w:val="18"/>
              </w:rPr>
              <w:t>Significant investees</w:t>
            </w:r>
          </w:p>
        </w:tc>
      </w:tr>
      <w:tr w:rsidR="009756D8" w:rsidRPr="008C74A3" w14:paraId="63D78468" w14:textId="77777777" w:rsidTr="00BC0975">
        <w:trPr>
          <w:trHeight w:val="300"/>
        </w:trPr>
        <w:tc>
          <w:tcPr>
            <w:tcW w:w="1075" w:type="dxa"/>
            <w:vMerge/>
          </w:tcPr>
          <w:p w14:paraId="03F49997" w14:textId="77777777" w:rsidR="009756D8" w:rsidRPr="008C74A3" w:rsidRDefault="009756D8" w:rsidP="009756D8">
            <w:pPr>
              <w:pStyle w:val="NoSpacing"/>
              <w:rPr>
                <w:sz w:val="18"/>
                <w:szCs w:val="18"/>
              </w:rPr>
            </w:pPr>
          </w:p>
        </w:tc>
        <w:tc>
          <w:tcPr>
            <w:tcW w:w="990" w:type="dxa"/>
            <w:shd w:val="clear" w:color="auto" w:fill="D9D9D9" w:themeFill="background1" w:themeFillShade="D9"/>
            <w:vAlign w:val="center"/>
          </w:tcPr>
          <w:p w14:paraId="59B4EA27" w14:textId="0DD7CB1A" w:rsidR="009756D8" w:rsidRPr="008C74A3" w:rsidRDefault="009756D8" w:rsidP="00BC0975">
            <w:pPr>
              <w:pStyle w:val="NoSpacing"/>
              <w:jc w:val="center"/>
              <w:rPr>
                <w:sz w:val="18"/>
                <w:szCs w:val="18"/>
              </w:rPr>
            </w:pPr>
            <w:r w:rsidRPr="008C74A3">
              <w:rPr>
                <w:sz w:val="18"/>
                <w:szCs w:val="18"/>
              </w:rPr>
              <w:t>Name of metric</w:t>
            </w:r>
          </w:p>
        </w:tc>
        <w:tc>
          <w:tcPr>
            <w:tcW w:w="810" w:type="dxa"/>
            <w:shd w:val="clear" w:color="auto" w:fill="D9D9D9" w:themeFill="background1" w:themeFillShade="D9"/>
            <w:vAlign w:val="center"/>
          </w:tcPr>
          <w:p w14:paraId="0C87D222" w14:textId="1BA92D81" w:rsidR="009756D8" w:rsidRPr="008C74A3" w:rsidRDefault="004B609C" w:rsidP="00BC0975">
            <w:pPr>
              <w:pStyle w:val="NoSpacing"/>
              <w:jc w:val="center"/>
              <w:rPr>
                <w:sz w:val="18"/>
                <w:szCs w:val="18"/>
              </w:rPr>
            </w:pPr>
            <w:r w:rsidRPr="008C74A3">
              <w:rPr>
                <w:sz w:val="18"/>
                <w:szCs w:val="18"/>
              </w:rPr>
              <w:t>Rationale</w:t>
            </w:r>
          </w:p>
        </w:tc>
        <w:tc>
          <w:tcPr>
            <w:tcW w:w="900" w:type="dxa"/>
            <w:shd w:val="clear" w:color="auto" w:fill="D9D9D9" w:themeFill="background1" w:themeFillShade="D9"/>
            <w:vAlign w:val="center"/>
          </w:tcPr>
          <w:p w14:paraId="51950E69" w14:textId="099F1B39" w:rsidR="009756D8" w:rsidRPr="008C74A3" w:rsidRDefault="009756D8" w:rsidP="00BC0975">
            <w:pPr>
              <w:pStyle w:val="NoSpacing"/>
              <w:jc w:val="center"/>
              <w:rPr>
                <w:sz w:val="18"/>
                <w:szCs w:val="18"/>
              </w:rPr>
            </w:pPr>
            <w:r w:rsidRPr="008C74A3">
              <w:rPr>
                <w:sz w:val="18"/>
                <w:szCs w:val="18"/>
              </w:rPr>
              <w:t>Year</w:t>
            </w:r>
          </w:p>
        </w:tc>
        <w:tc>
          <w:tcPr>
            <w:tcW w:w="900" w:type="dxa"/>
            <w:shd w:val="clear" w:color="auto" w:fill="D9D9D9" w:themeFill="background1" w:themeFillShade="D9"/>
            <w:vAlign w:val="center"/>
          </w:tcPr>
          <w:p w14:paraId="5E56A47D" w14:textId="37E40B63" w:rsidR="009756D8" w:rsidRPr="008C74A3" w:rsidRDefault="009756D8" w:rsidP="00BC0975">
            <w:pPr>
              <w:pStyle w:val="NoSpacing"/>
              <w:jc w:val="center"/>
              <w:rPr>
                <w:sz w:val="18"/>
                <w:szCs w:val="18"/>
              </w:rPr>
            </w:pPr>
            <w:r w:rsidRPr="008C74A3">
              <w:rPr>
                <w:sz w:val="18"/>
                <w:szCs w:val="18"/>
              </w:rPr>
              <w:t>Year</w:t>
            </w:r>
          </w:p>
        </w:tc>
        <w:tc>
          <w:tcPr>
            <w:tcW w:w="900" w:type="dxa"/>
            <w:vMerge/>
            <w:vAlign w:val="center"/>
          </w:tcPr>
          <w:p w14:paraId="3CF14127" w14:textId="77777777" w:rsidR="009756D8" w:rsidRPr="008C74A3" w:rsidRDefault="009756D8" w:rsidP="00BC0975">
            <w:pPr>
              <w:pStyle w:val="NoSpacing"/>
              <w:jc w:val="center"/>
              <w:rPr>
                <w:sz w:val="18"/>
                <w:szCs w:val="18"/>
              </w:rPr>
            </w:pPr>
          </w:p>
        </w:tc>
        <w:tc>
          <w:tcPr>
            <w:tcW w:w="810" w:type="dxa"/>
            <w:shd w:val="clear" w:color="auto" w:fill="D9D9D9" w:themeFill="background1" w:themeFillShade="D9"/>
            <w:vAlign w:val="center"/>
          </w:tcPr>
          <w:p w14:paraId="0E5D44AC" w14:textId="6CB721B3" w:rsidR="009756D8" w:rsidRPr="008C74A3" w:rsidRDefault="009756D8" w:rsidP="00BC0975">
            <w:pPr>
              <w:pStyle w:val="NoSpacing"/>
              <w:jc w:val="center"/>
              <w:rPr>
                <w:sz w:val="18"/>
                <w:szCs w:val="18"/>
              </w:rPr>
            </w:pPr>
            <w:r w:rsidRPr="008C74A3">
              <w:rPr>
                <w:sz w:val="18"/>
                <w:szCs w:val="18"/>
              </w:rPr>
              <w:t xml:space="preserve">2 </w:t>
            </w:r>
            <w:r w:rsidR="004B609C" w:rsidRPr="008C74A3">
              <w:rPr>
                <w:sz w:val="18"/>
                <w:szCs w:val="18"/>
              </w:rPr>
              <w:t>years prior</w:t>
            </w:r>
          </w:p>
        </w:tc>
        <w:tc>
          <w:tcPr>
            <w:tcW w:w="810" w:type="dxa"/>
            <w:shd w:val="clear" w:color="auto" w:fill="D9D9D9" w:themeFill="background1" w:themeFillShade="D9"/>
            <w:vAlign w:val="center"/>
          </w:tcPr>
          <w:p w14:paraId="2B20233F" w14:textId="41C74593" w:rsidR="009756D8" w:rsidRPr="008C74A3" w:rsidRDefault="009756D8" w:rsidP="00BC0975">
            <w:pPr>
              <w:pStyle w:val="NoSpacing"/>
              <w:jc w:val="center"/>
              <w:rPr>
                <w:sz w:val="18"/>
                <w:szCs w:val="18"/>
              </w:rPr>
            </w:pPr>
            <w:r w:rsidRPr="008C74A3">
              <w:rPr>
                <w:sz w:val="18"/>
                <w:szCs w:val="18"/>
              </w:rPr>
              <w:t>Prior year</w:t>
            </w:r>
          </w:p>
        </w:tc>
        <w:tc>
          <w:tcPr>
            <w:tcW w:w="810" w:type="dxa"/>
            <w:shd w:val="clear" w:color="auto" w:fill="D9D9D9" w:themeFill="background1" w:themeFillShade="D9"/>
            <w:vAlign w:val="center"/>
          </w:tcPr>
          <w:p w14:paraId="0AF4FA89" w14:textId="14C4E941" w:rsidR="009756D8" w:rsidRPr="008C74A3" w:rsidRDefault="009756D8" w:rsidP="00BC0975">
            <w:pPr>
              <w:pStyle w:val="NoSpacing"/>
              <w:jc w:val="center"/>
              <w:rPr>
                <w:sz w:val="18"/>
                <w:szCs w:val="18"/>
              </w:rPr>
            </w:pPr>
            <w:r w:rsidRPr="008C74A3">
              <w:rPr>
                <w:sz w:val="18"/>
                <w:szCs w:val="18"/>
              </w:rPr>
              <w:t>Current year</w:t>
            </w:r>
          </w:p>
        </w:tc>
        <w:tc>
          <w:tcPr>
            <w:tcW w:w="1080" w:type="dxa"/>
            <w:vMerge/>
          </w:tcPr>
          <w:p w14:paraId="733C1AA8" w14:textId="77777777" w:rsidR="009756D8" w:rsidRPr="008C74A3" w:rsidRDefault="009756D8" w:rsidP="009756D8">
            <w:pPr>
              <w:pStyle w:val="NoSpacing"/>
              <w:rPr>
                <w:sz w:val="18"/>
                <w:szCs w:val="18"/>
              </w:rPr>
            </w:pPr>
          </w:p>
        </w:tc>
      </w:tr>
      <w:tr w:rsidR="009756D8" w:rsidRPr="008C74A3" w14:paraId="566661A4" w14:textId="77777777" w:rsidTr="00BC0975">
        <w:trPr>
          <w:trHeight w:val="300"/>
        </w:trPr>
        <w:tc>
          <w:tcPr>
            <w:tcW w:w="1075" w:type="dxa"/>
          </w:tcPr>
          <w:p w14:paraId="7BA327B2" w14:textId="77777777" w:rsidR="009756D8" w:rsidRPr="008C74A3" w:rsidRDefault="009756D8" w:rsidP="00AA2BA5">
            <w:pPr>
              <w:pStyle w:val="NoSpacing"/>
              <w:rPr>
                <w:sz w:val="18"/>
                <w:szCs w:val="18"/>
              </w:rPr>
            </w:pPr>
            <w:r w:rsidRPr="008C74A3">
              <w:rPr>
                <w:sz w:val="18"/>
                <w:szCs w:val="18"/>
              </w:rPr>
              <w:t>Outcome 1</w:t>
            </w:r>
          </w:p>
        </w:tc>
        <w:tc>
          <w:tcPr>
            <w:tcW w:w="990" w:type="dxa"/>
          </w:tcPr>
          <w:p w14:paraId="3D36DB9D" w14:textId="77777777" w:rsidR="009756D8" w:rsidRPr="008C74A3" w:rsidRDefault="009756D8" w:rsidP="00AA2BA5">
            <w:pPr>
              <w:pStyle w:val="NoSpacing"/>
              <w:rPr>
                <w:sz w:val="18"/>
                <w:szCs w:val="18"/>
              </w:rPr>
            </w:pPr>
            <w:r w:rsidRPr="008C74A3">
              <w:rPr>
                <w:sz w:val="18"/>
                <w:szCs w:val="18"/>
              </w:rPr>
              <w:t>Metric 1.1</w:t>
            </w:r>
          </w:p>
        </w:tc>
        <w:tc>
          <w:tcPr>
            <w:tcW w:w="810" w:type="dxa"/>
          </w:tcPr>
          <w:p w14:paraId="7C93EAED" w14:textId="77777777" w:rsidR="009756D8" w:rsidRPr="008C74A3" w:rsidRDefault="009756D8" w:rsidP="00AA2BA5">
            <w:pPr>
              <w:pStyle w:val="NoSpacing"/>
              <w:rPr>
                <w:sz w:val="18"/>
                <w:szCs w:val="18"/>
              </w:rPr>
            </w:pPr>
          </w:p>
        </w:tc>
        <w:tc>
          <w:tcPr>
            <w:tcW w:w="900" w:type="dxa"/>
          </w:tcPr>
          <w:p w14:paraId="51A87E95" w14:textId="77777777" w:rsidR="009756D8" w:rsidRPr="008C74A3" w:rsidRDefault="009756D8" w:rsidP="00AA2BA5">
            <w:pPr>
              <w:pStyle w:val="NoSpacing"/>
              <w:rPr>
                <w:sz w:val="18"/>
                <w:szCs w:val="18"/>
              </w:rPr>
            </w:pPr>
          </w:p>
        </w:tc>
        <w:tc>
          <w:tcPr>
            <w:tcW w:w="900" w:type="dxa"/>
          </w:tcPr>
          <w:p w14:paraId="480CF6F7" w14:textId="77777777" w:rsidR="009756D8" w:rsidRPr="008C74A3" w:rsidRDefault="009756D8" w:rsidP="00AA2BA5">
            <w:pPr>
              <w:pStyle w:val="NoSpacing"/>
              <w:rPr>
                <w:sz w:val="18"/>
                <w:szCs w:val="18"/>
              </w:rPr>
            </w:pPr>
          </w:p>
        </w:tc>
        <w:tc>
          <w:tcPr>
            <w:tcW w:w="900" w:type="dxa"/>
          </w:tcPr>
          <w:p w14:paraId="346B3D98" w14:textId="77777777" w:rsidR="009756D8" w:rsidRPr="008C74A3" w:rsidRDefault="009756D8" w:rsidP="00AA2BA5">
            <w:pPr>
              <w:pStyle w:val="NoSpacing"/>
              <w:rPr>
                <w:sz w:val="18"/>
                <w:szCs w:val="18"/>
              </w:rPr>
            </w:pPr>
          </w:p>
        </w:tc>
        <w:tc>
          <w:tcPr>
            <w:tcW w:w="810" w:type="dxa"/>
            <w:shd w:val="clear" w:color="auto" w:fill="auto"/>
          </w:tcPr>
          <w:p w14:paraId="1126BE39" w14:textId="77777777" w:rsidR="009756D8" w:rsidRPr="008C74A3" w:rsidRDefault="009756D8" w:rsidP="00AA2BA5">
            <w:pPr>
              <w:pStyle w:val="NoSpacing"/>
              <w:rPr>
                <w:sz w:val="18"/>
                <w:szCs w:val="18"/>
              </w:rPr>
            </w:pPr>
          </w:p>
        </w:tc>
        <w:tc>
          <w:tcPr>
            <w:tcW w:w="810" w:type="dxa"/>
            <w:shd w:val="clear" w:color="auto" w:fill="auto"/>
          </w:tcPr>
          <w:p w14:paraId="165C478F" w14:textId="77777777" w:rsidR="009756D8" w:rsidRPr="008C74A3" w:rsidRDefault="009756D8" w:rsidP="00AA2BA5">
            <w:pPr>
              <w:pStyle w:val="NoSpacing"/>
              <w:rPr>
                <w:sz w:val="18"/>
                <w:szCs w:val="18"/>
              </w:rPr>
            </w:pPr>
          </w:p>
        </w:tc>
        <w:tc>
          <w:tcPr>
            <w:tcW w:w="810" w:type="dxa"/>
            <w:shd w:val="clear" w:color="auto" w:fill="auto"/>
          </w:tcPr>
          <w:p w14:paraId="6D31EAED" w14:textId="77777777" w:rsidR="009756D8" w:rsidRPr="008C74A3" w:rsidRDefault="009756D8" w:rsidP="00AA2BA5">
            <w:pPr>
              <w:pStyle w:val="NoSpacing"/>
              <w:rPr>
                <w:sz w:val="18"/>
                <w:szCs w:val="18"/>
              </w:rPr>
            </w:pPr>
          </w:p>
        </w:tc>
        <w:tc>
          <w:tcPr>
            <w:tcW w:w="1080" w:type="dxa"/>
          </w:tcPr>
          <w:p w14:paraId="2F0E65DB" w14:textId="77777777" w:rsidR="009756D8" w:rsidRPr="008C74A3" w:rsidRDefault="009756D8" w:rsidP="00AA2BA5">
            <w:pPr>
              <w:pStyle w:val="NoSpacing"/>
              <w:rPr>
                <w:sz w:val="18"/>
                <w:szCs w:val="18"/>
              </w:rPr>
            </w:pPr>
          </w:p>
        </w:tc>
      </w:tr>
      <w:tr w:rsidR="009756D8" w:rsidRPr="008C74A3" w14:paraId="76DD1C60" w14:textId="77777777" w:rsidTr="00BC0975">
        <w:trPr>
          <w:trHeight w:val="300"/>
        </w:trPr>
        <w:tc>
          <w:tcPr>
            <w:tcW w:w="1075" w:type="dxa"/>
          </w:tcPr>
          <w:p w14:paraId="30BCBDAD" w14:textId="77777777" w:rsidR="009756D8" w:rsidRPr="008C74A3" w:rsidRDefault="009756D8" w:rsidP="00AA2BA5">
            <w:pPr>
              <w:pStyle w:val="NoSpacing"/>
              <w:rPr>
                <w:sz w:val="18"/>
                <w:szCs w:val="18"/>
              </w:rPr>
            </w:pPr>
            <w:r w:rsidRPr="008C74A3">
              <w:rPr>
                <w:sz w:val="18"/>
                <w:szCs w:val="18"/>
              </w:rPr>
              <w:t>Outcome 2</w:t>
            </w:r>
          </w:p>
        </w:tc>
        <w:tc>
          <w:tcPr>
            <w:tcW w:w="990" w:type="dxa"/>
          </w:tcPr>
          <w:p w14:paraId="53C55B4E" w14:textId="77777777" w:rsidR="009756D8" w:rsidRPr="008C74A3" w:rsidRDefault="009756D8" w:rsidP="00AA2BA5">
            <w:pPr>
              <w:pStyle w:val="NoSpacing"/>
              <w:rPr>
                <w:sz w:val="18"/>
                <w:szCs w:val="18"/>
              </w:rPr>
            </w:pPr>
            <w:r w:rsidRPr="008C74A3">
              <w:rPr>
                <w:sz w:val="18"/>
                <w:szCs w:val="18"/>
              </w:rPr>
              <w:t>Metric 2.1</w:t>
            </w:r>
          </w:p>
        </w:tc>
        <w:tc>
          <w:tcPr>
            <w:tcW w:w="810" w:type="dxa"/>
          </w:tcPr>
          <w:p w14:paraId="554CA7C9" w14:textId="77777777" w:rsidR="009756D8" w:rsidRPr="008C74A3" w:rsidRDefault="009756D8" w:rsidP="00AA2BA5">
            <w:pPr>
              <w:pStyle w:val="NoSpacing"/>
              <w:rPr>
                <w:sz w:val="18"/>
                <w:szCs w:val="18"/>
              </w:rPr>
            </w:pPr>
          </w:p>
        </w:tc>
        <w:tc>
          <w:tcPr>
            <w:tcW w:w="900" w:type="dxa"/>
          </w:tcPr>
          <w:p w14:paraId="78CDABCC" w14:textId="77777777" w:rsidR="009756D8" w:rsidRPr="008C74A3" w:rsidRDefault="009756D8" w:rsidP="00AA2BA5">
            <w:pPr>
              <w:pStyle w:val="NoSpacing"/>
              <w:rPr>
                <w:sz w:val="18"/>
                <w:szCs w:val="18"/>
              </w:rPr>
            </w:pPr>
          </w:p>
        </w:tc>
        <w:tc>
          <w:tcPr>
            <w:tcW w:w="900" w:type="dxa"/>
          </w:tcPr>
          <w:p w14:paraId="0544B2E4" w14:textId="77777777" w:rsidR="009756D8" w:rsidRPr="008C74A3" w:rsidRDefault="009756D8" w:rsidP="00AA2BA5">
            <w:pPr>
              <w:pStyle w:val="NoSpacing"/>
              <w:rPr>
                <w:sz w:val="18"/>
                <w:szCs w:val="18"/>
              </w:rPr>
            </w:pPr>
          </w:p>
        </w:tc>
        <w:tc>
          <w:tcPr>
            <w:tcW w:w="900" w:type="dxa"/>
          </w:tcPr>
          <w:p w14:paraId="378F7905" w14:textId="77777777" w:rsidR="009756D8" w:rsidRPr="008C74A3" w:rsidRDefault="009756D8" w:rsidP="00AA2BA5">
            <w:pPr>
              <w:pStyle w:val="NoSpacing"/>
              <w:rPr>
                <w:sz w:val="18"/>
                <w:szCs w:val="18"/>
              </w:rPr>
            </w:pPr>
          </w:p>
        </w:tc>
        <w:tc>
          <w:tcPr>
            <w:tcW w:w="810" w:type="dxa"/>
            <w:shd w:val="clear" w:color="auto" w:fill="auto"/>
          </w:tcPr>
          <w:p w14:paraId="16228465" w14:textId="77777777" w:rsidR="009756D8" w:rsidRPr="008C74A3" w:rsidRDefault="009756D8" w:rsidP="00AA2BA5">
            <w:pPr>
              <w:pStyle w:val="NoSpacing"/>
              <w:rPr>
                <w:sz w:val="18"/>
                <w:szCs w:val="18"/>
              </w:rPr>
            </w:pPr>
          </w:p>
        </w:tc>
        <w:tc>
          <w:tcPr>
            <w:tcW w:w="810" w:type="dxa"/>
            <w:shd w:val="clear" w:color="auto" w:fill="auto"/>
          </w:tcPr>
          <w:p w14:paraId="453DC66C" w14:textId="77777777" w:rsidR="009756D8" w:rsidRPr="008C74A3" w:rsidRDefault="009756D8" w:rsidP="00AA2BA5">
            <w:pPr>
              <w:pStyle w:val="NoSpacing"/>
              <w:rPr>
                <w:sz w:val="18"/>
                <w:szCs w:val="18"/>
              </w:rPr>
            </w:pPr>
          </w:p>
        </w:tc>
        <w:tc>
          <w:tcPr>
            <w:tcW w:w="810" w:type="dxa"/>
            <w:shd w:val="clear" w:color="auto" w:fill="auto"/>
          </w:tcPr>
          <w:p w14:paraId="6DF1EBC2" w14:textId="77777777" w:rsidR="009756D8" w:rsidRPr="008C74A3" w:rsidRDefault="009756D8" w:rsidP="00AA2BA5">
            <w:pPr>
              <w:pStyle w:val="NoSpacing"/>
              <w:rPr>
                <w:sz w:val="18"/>
                <w:szCs w:val="18"/>
              </w:rPr>
            </w:pPr>
          </w:p>
        </w:tc>
        <w:tc>
          <w:tcPr>
            <w:tcW w:w="1080" w:type="dxa"/>
          </w:tcPr>
          <w:p w14:paraId="74EE5919" w14:textId="77777777" w:rsidR="009756D8" w:rsidRPr="008C74A3" w:rsidRDefault="009756D8" w:rsidP="00AA2BA5">
            <w:pPr>
              <w:pStyle w:val="NoSpacing"/>
              <w:rPr>
                <w:sz w:val="18"/>
                <w:szCs w:val="18"/>
              </w:rPr>
            </w:pPr>
          </w:p>
        </w:tc>
      </w:tr>
      <w:tr w:rsidR="009756D8" w:rsidRPr="008C74A3" w14:paraId="6DF610A5" w14:textId="77777777" w:rsidTr="00BC0975">
        <w:trPr>
          <w:trHeight w:val="300"/>
        </w:trPr>
        <w:tc>
          <w:tcPr>
            <w:tcW w:w="1075" w:type="dxa"/>
          </w:tcPr>
          <w:p w14:paraId="1B96784D" w14:textId="77777777" w:rsidR="009756D8" w:rsidRPr="008C74A3" w:rsidRDefault="009756D8" w:rsidP="00AA2BA5">
            <w:pPr>
              <w:pStyle w:val="NoSpacing"/>
              <w:rPr>
                <w:sz w:val="18"/>
                <w:szCs w:val="18"/>
              </w:rPr>
            </w:pPr>
            <w:r w:rsidRPr="008C74A3">
              <w:rPr>
                <w:sz w:val="18"/>
                <w:szCs w:val="18"/>
              </w:rPr>
              <w:t>Outcome 3</w:t>
            </w:r>
          </w:p>
        </w:tc>
        <w:tc>
          <w:tcPr>
            <w:tcW w:w="990" w:type="dxa"/>
          </w:tcPr>
          <w:p w14:paraId="7691EB53" w14:textId="77777777" w:rsidR="009756D8" w:rsidRPr="008C74A3" w:rsidRDefault="009756D8" w:rsidP="00AA2BA5">
            <w:pPr>
              <w:pStyle w:val="NoSpacing"/>
              <w:rPr>
                <w:sz w:val="18"/>
                <w:szCs w:val="18"/>
              </w:rPr>
            </w:pPr>
            <w:r w:rsidRPr="008C74A3">
              <w:rPr>
                <w:sz w:val="18"/>
                <w:szCs w:val="18"/>
              </w:rPr>
              <w:t>Metric 3.1</w:t>
            </w:r>
          </w:p>
        </w:tc>
        <w:tc>
          <w:tcPr>
            <w:tcW w:w="810" w:type="dxa"/>
          </w:tcPr>
          <w:p w14:paraId="56FDC8AF" w14:textId="77777777" w:rsidR="009756D8" w:rsidRPr="008C74A3" w:rsidRDefault="009756D8" w:rsidP="00AA2BA5">
            <w:pPr>
              <w:pStyle w:val="NoSpacing"/>
              <w:rPr>
                <w:sz w:val="18"/>
                <w:szCs w:val="18"/>
              </w:rPr>
            </w:pPr>
          </w:p>
        </w:tc>
        <w:tc>
          <w:tcPr>
            <w:tcW w:w="900" w:type="dxa"/>
          </w:tcPr>
          <w:p w14:paraId="6108D33D" w14:textId="77777777" w:rsidR="009756D8" w:rsidRPr="008C74A3" w:rsidRDefault="009756D8" w:rsidP="00AA2BA5">
            <w:pPr>
              <w:pStyle w:val="NoSpacing"/>
              <w:rPr>
                <w:sz w:val="18"/>
                <w:szCs w:val="18"/>
              </w:rPr>
            </w:pPr>
          </w:p>
        </w:tc>
        <w:tc>
          <w:tcPr>
            <w:tcW w:w="900" w:type="dxa"/>
          </w:tcPr>
          <w:p w14:paraId="2A9CBA0E" w14:textId="77777777" w:rsidR="009756D8" w:rsidRPr="008C74A3" w:rsidRDefault="009756D8" w:rsidP="00AA2BA5">
            <w:pPr>
              <w:pStyle w:val="NoSpacing"/>
              <w:rPr>
                <w:sz w:val="18"/>
                <w:szCs w:val="18"/>
              </w:rPr>
            </w:pPr>
          </w:p>
        </w:tc>
        <w:tc>
          <w:tcPr>
            <w:tcW w:w="900" w:type="dxa"/>
          </w:tcPr>
          <w:p w14:paraId="599A7E54" w14:textId="77777777" w:rsidR="009756D8" w:rsidRPr="008C74A3" w:rsidRDefault="009756D8" w:rsidP="00AA2BA5">
            <w:pPr>
              <w:pStyle w:val="NoSpacing"/>
              <w:rPr>
                <w:sz w:val="18"/>
                <w:szCs w:val="18"/>
              </w:rPr>
            </w:pPr>
          </w:p>
        </w:tc>
        <w:tc>
          <w:tcPr>
            <w:tcW w:w="810" w:type="dxa"/>
            <w:shd w:val="clear" w:color="auto" w:fill="auto"/>
          </w:tcPr>
          <w:p w14:paraId="16ED5527" w14:textId="77777777" w:rsidR="009756D8" w:rsidRPr="008C74A3" w:rsidRDefault="009756D8" w:rsidP="00AA2BA5">
            <w:pPr>
              <w:pStyle w:val="NoSpacing"/>
              <w:rPr>
                <w:sz w:val="18"/>
                <w:szCs w:val="18"/>
              </w:rPr>
            </w:pPr>
          </w:p>
        </w:tc>
        <w:tc>
          <w:tcPr>
            <w:tcW w:w="810" w:type="dxa"/>
            <w:shd w:val="clear" w:color="auto" w:fill="auto"/>
          </w:tcPr>
          <w:p w14:paraId="29E87D94" w14:textId="77777777" w:rsidR="009756D8" w:rsidRPr="008C74A3" w:rsidRDefault="009756D8" w:rsidP="00AA2BA5">
            <w:pPr>
              <w:pStyle w:val="NoSpacing"/>
              <w:rPr>
                <w:sz w:val="18"/>
                <w:szCs w:val="18"/>
              </w:rPr>
            </w:pPr>
          </w:p>
        </w:tc>
        <w:tc>
          <w:tcPr>
            <w:tcW w:w="810" w:type="dxa"/>
            <w:shd w:val="clear" w:color="auto" w:fill="auto"/>
          </w:tcPr>
          <w:p w14:paraId="57266A62" w14:textId="77777777" w:rsidR="009756D8" w:rsidRPr="008C74A3" w:rsidRDefault="009756D8" w:rsidP="00AA2BA5">
            <w:pPr>
              <w:pStyle w:val="NoSpacing"/>
              <w:rPr>
                <w:sz w:val="18"/>
                <w:szCs w:val="18"/>
              </w:rPr>
            </w:pPr>
          </w:p>
        </w:tc>
        <w:tc>
          <w:tcPr>
            <w:tcW w:w="1080" w:type="dxa"/>
          </w:tcPr>
          <w:p w14:paraId="77CC26B6" w14:textId="77777777" w:rsidR="009756D8" w:rsidRPr="008C74A3" w:rsidRDefault="009756D8" w:rsidP="00AA2BA5">
            <w:pPr>
              <w:pStyle w:val="NoSpacing"/>
              <w:rPr>
                <w:sz w:val="18"/>
                <w:szCs w:val="18"/>
              </w:rPr>
            </w:pPr>
          </w:p>
        </w:tc>
      </w:tr>
    </w:tbl>
    <w:p w14:paraId="204EB4CE" w14:textId="7C9E4899" w:rsidR="002E38FB" w:rsidRPr="008C74A3" w:rsidRDefault="002E38FB" w:rsidP="00DB1B70"/>
    <w:p w14:paraId="067AF843" w14:textId="71397ACC" w:rsidR="002E38FB" w:rsidRPr="008C74A3" w:rsidRDefault="00BC0975" w:rsidP="00DB1B70">
      <w:r w:rsidRPr="008C74A3">
        <w:t>The following table presents an illustrative example of arrangement of investee or asset-level impact data:</w:t>
      </w:r>
    </w:p>
    <w:tbl>
      <w:tblPr>
        <w:tblStyle w:val="TableGrid"/>
        <w:tblW w:w="9090" w:type="dxa"/>
        <w:tblInd w:w="-5" w:type="dxa"/>
        <w:tblLayout w:type="fixed"/>
        <w:tblLook w:val="04A0" w:firstRow="1" w:lastRow="0" w:firstColumn="1" w:lastColumn="0" w:noHBand="0" w:noVBand="1"/>
      </w:tblPr>
      <w:tblGrid>
        <w:gridCol w:w="1080"/>
        <w:gridCol w:w="990"/>
        <w:gridCol w:w="900"/>
        <w:gridCol w:w="810"/>
        <w:gridCol w:w="900"/>
        <w:gridCol w:w="900"/>
        <w:gridCol w:w="900"/>
        <w:gridCol w:w="870"/>
        <w:gridCol w:w="870"/>
        <w:gridCol w:w="870"/>
      </w:tblGrid>
      <w:tr w:rsidR="002E38FB" w:rsidRPr="008C74A3" w14:paraId="56B91F89" w14:textId="77777777" w:rsidTr="00BC0975">
        <w:trPr>
          <w:trHeight w:val="300"/>
        </w:trPr>
        <w:tc>
          <w:tcPr>
            <w:tcW w:w="1080" w:type="dxa"/>
            <w:vMerge w:val="restart"/>
            <w:shd w:val="clear" w:color="auto" w:fill="D0CECE" w:themeFill="background2" w:themeFillShade="E6"/>
            <w:vAlign w:val="center"/>
          </w:tcPr>
          <w:p w14:paraId="3692E95F" w14:textId="77777777" w:rsidR="002E38FB" w:rsidRPr="008C74A3" w:rsidRDefault="002E38FB" w:rsidP="00DB1B70">
            <w:pPr>
              <w:pStyle w:val="NoSpacing"/>
              <w:rPr>
                <w:sz w:val="18"/>
                <w:szCs w:val="18"/>
              </w:rPr>
            </w:pPr>
          </w:p>
          <w:p w14:paraId="3D0FC2D8" w14:textId="77777777" w:rsidR="002E38FB" w:rsidRPr="008C74A3" w:rsidRDefault="002E38FB" w:rsidP="00DB1B70">
            <w:pPr>
              <w:pStyle w:val="NoSpacing"/>
              <w:rPr>
                <w:sz w:val="18"/>
                <w:szCs w:val="18"/>
              </w:rPr>
            </w:pPr>
            <w:r w:rsidRPr="008C74A3">
              <w:rPr>
                <w:sz w:val="18"/>
                <w:szCs w:val="18"/>
              </w:rPr>
              <w:t>Investee name</w:t>
            </w:r>
          </w:p>
        </w:tc>
        <w:tc>
          <w:tcPr>
            <w:tcW w:w="990" w:type="dxa"/>
            <w:vMerge w:val="restart"/>
            <w:shd w:val="clear" w:color="auto" w:fill="D0CECE" w:themeFill="background2" w:themeFillShade="E6"/>
            <w:vAlign w:val="center"/>
          </w:tcPr>
          <w:p w14:paraId="20B2B070" w14:textId="77777777" w:rsidR="002E38FB" w:rsidRPr="008C74A3" w:rsidRDefault="002E38FB" w:rsidP="00DB1B70">
            <w:pPr>
              <w:pStyle w:val="NoSpacing"/>
              <w:rPr>
                <w:sz w:val="18"/>
                <w:szCs w:val="18"/>
              </w:rPr>
            </w:pPr>
            <w:r w:rsidRPr="008C74A3">
              <w:rPr>
                <w:sz w:val="18"/>
                <w:szCs w:val="18"/>
              </w:rPr>
              <w:t xml:space="preserve">(A) </w:t>
            </w:r>
          </w:p>
          <w:p w14:paraId="0227759C" w14:textId="77777777" w:rsidR="002E38FB" w:rsidRPr="008C74A3" w:rsidRDefault="002E38FB" w:rsidP="00DB1B70">
            <w:pPr>
              <w:pStyle w:val="NoSpacing"/>
              <w:rPr>
                <w:sz w:val="18"/>
                <w:szCs w:val="18"/>
              </w:rPr>
            </w:pPr>
            <w:r w:rsidRPr="008C74A3">
              <w:rPr>
                <w:sz w:val="18"/>
                <w:szCs w:val="18"/>
              </w:rPr>
              <w:t>Material</w:t>
            </w:r>
          </w:p>
          <w:p w14:paraId="3ED788A3" w14:textId="77777777" w:rsidR="002E38FB" w:rsidRPr="008C74A3" w:rsidRDefault="002E38FB" w:rsidP="00DB1B70">
            <w:pPr>
              <w:pStyle w:val="NoSpacing"/>
              <w:rPr>
                <w:sz w:val="18"/>
                <w:szCs w:val="18"/>
              </w:rPr>
            </w:pPr>
            <w:r w:rsidRPr="008C74A3">
              <w:rPr>
                <w:sz w:val="18"/>
                <w:szCs w:val="18"/>
              </w:rPr>
              <w:t>Outcomes</w:t>
            </w:r>
          </w:p>
        </w:tc>
        <w:tc>
          <w:tcPr>
            <w:tcW w:w="1710" w:type="dxa"/>
            <w:gridSpan w:val="2"/>
            <w:vMerge w:val="restart"/>
            <w:shd w:val="clear" w:color="auto" w:fill="D0CECE" w:themeFill="background2" w:themeFillShade="E6"/>
            <w:vAlign w:val="center"/>
          </w:tcPr>
          <w:p w14:paraId="6DA19A13" w14:textId="00AA82CE" w:rsidR="002E38FB" w:rsidRPr="008C74A3" w:rsidRDefault="002E38FB" w:rsidP="00BC0975">
            <w:pPr>
              <w:pStyle w:val="NoSpacing"/>
              <w:jc w:val="center"/>
              <w:rPr>
                <w:sz w:val="18"/>
                <w:szCs w:val="18"/>
              </w:rPr>
            </w:pPr>
            <w:r w:rsidRPr="008C74A3">
              <w:rPr>
                <w:sz w:val="18"/>
                <w:szCs w:val="18"/>
              </w:rPr>
              <w:t>(B) Me</w:t>
            </w:r>
            <w:r w:rsidR="00DA6397" w:rsidRPr="008C74A3">
              <w:rPr>
                <w:sz w:val="18"/>
                <w:szCs w:val="18"/>
              </w:rPr>
              <w:t>tri</w:t>
            </w:r>
            <w:r w:rsidRPr="008C74A3">
              <w:rPr>
                <w:sz w:val="18"/>
                <w:szCs w:val="18"/>
              </w:rPr>
              <w:t>cs</w:t>
            </w:r>
          </w:p>
        </w:tc>
        <w:tc>
          <w:tcPr>
            <w:tcW w:w="900" w:type="dxa"/>
            <w:vMerge w:val="restart"/>
            <w:shd w:val="clear" w:color="auto" w:fill="D9D9D9" w:themeFill="background1" w:themeFillShade="D9"/>
            <w:vAlign w:val="center"/>
          </w:tcPr>
          <w:p w14:paraId="6BA0B8F8" w14:textId="77777777" w:rsidR="002E38FB" w:rsidRPr="008C74A3" w:rsidRDefault="002E38FB" w:rsidP="00BC0975">
            <w:pPr>
              <w:pStyle w:val="NoSpacing"/>
              <w:jc w:val="center"/>
              <w:rPr>
                <w:sz w:val="18"/>
                <w:szCs w:val="18"/>
              </w:rPr>
            </w:pPr>
            <w:r w:rsidRPr="008C74A3">
              <w:rPr>
                <w:sz w:val="18"/>
                <w:szCs w:val="18"/>
              </w:rPr>
              <w:t>(C) Baseline</w:t>
            </w:r>
          </w:p>
        </w:tc>
        <w:tc>
          <w:tcPr>
            <w:tcW w:w="900" w:type="dxa"/>
            <w:vMerge w:val="restart"/>
            <w:shd w:val="clear" w:color="auto" w:fill="D9D9D9" w:themeFill="background1" w:themeFillShade="D9"/>
            <w:vAlign w:val="center"/>
          </w:tcPr>
          <w:p w14:paraId="0FE4FBDB" w14:textId="2868D1EF" w:rsidR="002E38FB" w:rsidRPr="008C74A3" w:rsidRDefault="002E38FB" w:rsidP="00BC0975">
            <w:pPr>
              <w:pStyle w:val="NoSpacing"/>
              <w:jc w:val="center"/>
              <w:rPr>
                <w:sz w:val="18"/>
                <w:szCs w:val="18"/>
              </w:rPr>
            </w:pPr>
            <w:r w:rsidRPr="008C74A3">
              <w:rPr>
                <w:sz w:val="18"/>
                <w:szCs w:val="18"/>
              </w:rPr>
              <w:t>(D</w:t>
            </w:r>
            <w:r w:rsidR="00DA6397" w:rsidRPr="008C74A3">
              <w:rPr>
                <w:sz w:val="18"/>
                <w:szCs w:val="18"/>
              </w:rPr>
              <w:t>) T</w:t>
            </w:r>
            <w:r w:rsidRPr="008C74A3">
              <w:rPr>
                <w:sz w:val="18"/>
                <w:szCs w:val="18"/>
              </w:rPr>
              <w:t>arget</w:t>
            </w:r>
          </w:p>
        </w:tc>
        <w:tc>
          <w:tcPr>
            <w:tcW w:w="900" w:type="dxa"/>
            <w:vMerge w:val="restart"/>
            <w:shd w:val="clear" w:color="auto" w:fill="D9D9D9" w:themeFill="background1" w:themeFillShade="D9"/>
            <w:vAlign w:val="center"/>
          </w:tcPr>
          <w:p w14:paraId="5E9EBA7A" w14:textId="45A736EC" w:rsidR="002E38FB" w:rsidRPr="008C74A3" w:rsidRDefault="002E38FB" w:rsidP="00BC0975">
            <w:pPr>
              <w:pStyle w:val="NoSpacing"/>
              <w:jc w:val="center"/>
              <w:rPr>
                <w:sz w:val="18"/>
                <w:szCs w:val="18"/>
              </w:rPr>
            </w:pPr>
            <w:r w:rsidRPr="008C74A3">
              <w:rPr>
                <w:sz w:val="18"/>
                <w:szCs w:val="18"/>
              </w:rPr>
              <w:t>(E) Threshold</w:t>
            </w:r>
          </w:p>
        </w:tc>
        <w:tc>
          <w:tcPr>
            <w:tcW w:w="2610" w:type="dxa"/>
            <w:gridSpan w:val="3"/>
            <w:shd w:val="clear" w:color="auto" w:fill="D9D9D9" w:themeFill="background1" w:themeFillShade="D9"/>
            <w:vAlign w:val="center"/>
          </w:tcPr>
          <w:p w14:paraId="0A64C3D3" w14:textId="77777777" w:rsidR="002E38FB" w:rsidRPr="008C74A3" w:rsidRDefault="002E38FB" w:rsidP="00BC0975">
            <w:pPr>
              <w:pStyle w:val="NoSpacing"/>
              <w:jc w:val="center"/>
              <w:rPr>
                <w:sz w:val="18"/>
                <w:szCs w:val="18"/>
              </w:rPr>
            </w:pPr>
            <w:r w:rsidRPr="008C74A3">
              <w:rPr>
                <w:sz w:val="18"/>
                <w:szCs w:val="18"/>
              </w:rPr>
              <w:t>(F) Performance</w:t>
            </w:r>
          </w:p>
        </w:tc>
      </w:tr>
      <w:tr w:rsidR="002E38FB" w:rsidRPr="008C74A3" w14:paraId="61F13E7E" w14:textId="77777777" w:rsidTr="00BC0975">
        <w:trPr>
          <w:trHeight w:val="300"/>
        </w:trPr>
        <w:tc>
          <w:tcPr>
            <w:tcW w:w="1080" w:type="dxa"/>
            <w:vMerge/>
            <w:shd w:val="clear" w:color="auto" w:fill="D0CECE" w:themeFill="background2" w:themeFillShade="E6"/>
          </w:tcPr>
          <w:p w14:paraId="16FBB937" w14:textId="77777777" w:rsidR="002E38FB" w:rsidRPr="008C74A3" w:rsidRDefault="002E38FB" w:rsidP="00DB1B70">
            <w:pPr>
              <w:pStyle w:val="NoSpacing"/>
              <w:rPr>
                <w:sz w:val="18"/>
                <w:szCs w:val="18"/>
              </w:rPr>
            </w:pPr>
          </w:p>
        </w:tc>
        <w:tc>
          <w:tcPr>
            <w:tcW w:w="990" w:type="dxa"/>
            <w:vMerge/>
            <w:shd w:val="clear" w:color="auto" w:fill="D0CECE" w:themeFill="background2" w:themeFillShade="E6"/>
          </w:tcPr>
          <w:p w14:paraId="51FD42C7" w14:textId="77777777" w:rsidR="002E38FB" w:rsidRPr="008C74A3" w:rsidRDefault="002E38FB" w:rsidP="00DB1B70">
            <w:pPr>
              <w:pStyle w:val="NoSpacing"/>
              <w:rPr>
                <w:sz w:val="18"/>
                <w:szCs w:val="18"/>
              </w:rPr>
            </w:pPr>
          </w:p>
        </w:tc>
        <w:tc>
          <w:tcPr>
            <w:tcW w:w="1710" w:type="dxa"/>
            <w:gridSpan w:val="2"/>
            <w:vMerge/>
            <w:shd w:val="clear" w:color="auto" w:fill="D0CECE" w:themeFill="background2" w:themeFillShade="E6"/>
            <w:vAlign w:val="center"/>
          </w:tcPr>
          <w:p w14:paraId="7BF7B74A" w14:textId="77777777" w:rsidR="002E38FB" w:rsidRPr="008C74A3" w:rsidRDefault="002E38FB" w:rsidP="00BC0975">
            <w:pPr>
              <w:pStyle w:val="NoSpacing"/>
              <w:jc w:val="center"/>
              <w:rPr>
                <w:sz w:val="18"/>
                <w:szCs w:val="18"/>
              </w:rPr>
            </w:pPr>
          </w:p>
        </w:tc>
        <w:tc>
          <w:tcPr>
            <w:tcW w:w="900" w:type="dxa"/>
            <w:vMerge/>
            <w:shd w:val="clear" w:color="auto" w:fill="D9D9D9" w:themeFill="background1" w:themeFillShade="D9"/>
            <w:vAlign w:val="center"/>
          </w:tcPr>
          <w:p w14:paraId="693F7A68" w14:textId="77777777" w:rsidR="002E38FB" w:rsidRPr="008C74A3" w:rsidRDefault="002E38FB" w:rsidP="00BC0975">
            <w:pPr>
              <w:pStyle w:val="NoSpacing"/>
              <w:jc w:val="center"/>
              <w:rPr>
                <w:sz w:val="18"/>
                <w:szCs w:val="18"/>
              </w:rPr>
            </w:pPr>
          </w:p>
        </w:tc>
        <w:tc>
          <w:tcPr>
            <w:tcW w:w="900" w:type="dxa"/>
            <w:vMerge/>
            <w:shd w:val="clear" w:color="auto" w:fill="D9D9D9" w:themeFill="background1" w:themeFillShade="D9"/>
            <w:vAlign w:val="center"/>
          </w:tcPr>
          <w:p w14:paraId="4347D09B" w14:textId="77777777" w:rsidR="002E38FB" w:rsidRPr="008C74A3" w:rsidRDefault="002E38FB" w:rsidP="00BC0975">
            <w:pPr>
              <w:pStyle w:val="NoSpacing"/>
              <w:jc w:val="center"/>
              <w:rPr>
                <w:sz w:val="18"/>
                <w:szCs w:val="18"/>
              </w:rPr>
            </w:pPr>
          </w:p>
        </w:tc>
        <w:tc>
          <w:tcPr>
            <w:tcW w:w="900" w:type="dxa"/>
            <w:vMerge/>
            <w:shd w:val="clear" w:color="auto" w:fill="D9D9D9" w:themeFill="background1" w:themeFillShade="D9"/>
            <w:vAlign w:val="center"/>
          </w:tcPr>
          <w:p w14:paraId="351AA892" w14:textId="77777777" w:rsidR="002E38FB" w:rsidRPr="008C74A3" w:rsidRDefault="002E38FB" w:rsidP="00BC0975">
            <w:pPr>
              <w:pStyle w:val="NoSpacing"/>
              <w:jc w:val="center"/>
              <w:rPr>
                <w:sz w:val="18"/>
                <w:szCs w:val="18"/>
              </w:rPr>
            </w:pPr>
          </w:p>
        </w:tc>
        <w:tc>
          <w:tcPr>
            <w:tcW w:w="870" w:type="dxa"/>
            <w:vMerge w:val="restart"/>
            <w:shd w:val="clear" w:color="auto" w:fill="D9D9D9" w:themeFill="background1" w:themeFillShade="D9"/>
            <w:vAlign w:val="center"/>
          </w:tcPr>
          <w:p w14:paraId="5AC1AFD8" w14:textId="6306AD4F" w:rsidR="002E38FB" w:rsidRPr="008C74A3" w:rsidRDefault="002E38FB" w:rsidP="00BC0975">
            <w:pPr>
              <w:pStyle w:val="NoSpacing"/>
              <w:jc w:val="center"/>
              <w:rPr>
                <w:sz w:val="18"/>
                <w:szCs w:val="18"/>
              </w:rPr>
            </w:pPr>
            <w:r w:rsidRPr="008C74A3">
              <w:rPr>
                <w:sz w:val="18"/>
                <w:szCs w:val="18"/>
              </w:rPr>
              <w:t xml:space="preserve">2 </w:t>
            </w:r>
            <w:r w:rsidR="004B609C" w:rsidRPr="008C74A3">
              <w:rPr>
                <w:sz w:val="18"/>
                <w:szCs w:val="18"/>
              </w:rPr>
              <w:t>years prior</w:t>
            </w:r>
          </w:p>
        </w:tc>
        <w:tc>
          <w:tcPr>
            <w:tcW w:w="870" w:type="dxa"/>
            <w:vMerge w:val="restart"/>
            <w:shd w:val="clear" w:color="auto" w:fill="D9D9D9" w:themeFill="background1" w:themeFillShade="D9"/>
            <w:vAlign w:val="center"/>
          </w:tcPr>
          <w:p w14:paraId="5383E442" w14:textId="77777777" w:rsidR="002E38FB" w:rsidRPr="008C74A3" w:rsidRDefault="002E38FB" w:rsidP="00BC0975">
            <w:pPr>
              <w:pStyle w:val="NoSpacing"/>
              <w:jc w:val="center"/>
              <w:rPr>
                <w:sz w:val="18"/>
                <w:szCs w:val="18"/>
              </w:rPr>
            </w:pPr>
            <w:r w:rsidRPr="008C74A3">
              <w:rPr>
                <w:sz w:val="18"/>
                <w:szCs w:val="18"/>
              </w:rPr>
              <w:t>Prior year</w:t>
            </w:r>
          </w:p>
        </w:tc>
        <w:tc>
          <w:tcPr>
            <w:tcW w:w="870" w:type="dxa"/>
            <w:vMerge w:val="restart"/>
            <w:shd w:val="clear" w:color="auto" w:fill="D9D9D9" w:themeFill="background1" w:themeFillShade="D9"/>
            <w:vAlign w:val="center"/>
          </w:tcPr>
          <w:p w14:paraId="05D89C4F" w14:textId="77777777" w:rsidR="002E38FB" w:rsidRPr="008C74A3" w:rsidRDefault="002E38FB" w:rsidP="00BC0975">
            <w:pPr>
              <w:pStyle w:val="NoSpacing"/>
              <w:jc w:val="center"/>
              <w:rPr>
                <w:sz w:val="18"/>
                <w:szCs w:val="18"/>
              </w:rPr>
            </w:pPr>
            <w:r w:rsidRPr="008C74A3">
              <w:rPr>
                <w:sz w:val="18"/>
                <w:szCs w:val="18"/>
              </w:rPr>
              <w:t>Current year</w:t>
            </w:r>
          </w:p>
        </w:tc>
      </w:tr>
      <w:tr w:rsidR="002E38FB" w:rsidRPr="008C74A3" w14:paraId="2365DDFF" w14:textId="77777777" w:rsidTr="00BC0975">
        <w:trPr>
          <w:trHeight w:val="300"/>
        </w:trPr>
        <w:tc>
          <w:tcPr>
            <w:tcW w:w="1080" w:type="dxa"/>
            <w:vMerge/>
            <w:shd w:val="clear" w:color="auto" w:fill="D0CECE" w:themeFill="background2" w:themeFillShade="E6"/>
          </w:tcPr>
          <w:p w14:paraId="7EF73FA9" w14:textId="77777777" w:rsidR="002E38FB" w:rsidRPr="008C74A3" w:rsidRDefault="002E38FB" w:rsidP="00DB1B70">
            <w:pPr>
              <w:pStyle w:val="NoSpacing"/>
              <w:rPr>
                <w:sz w:val="18"/>
                <w:szCs w:val="18"/>
              </w:rPr>
            </w:pPr>
          </w:p>
        </w:tc>
        <w:tc>
          <w:tcPr>
            <w:tcW w:w="990" w:type="dxa"/>
            <w:vMerge/>
            <w:shd w:val="clear" w:color="auto" w:fill="D0CECE" w:themeFill="background2" w:themeFillShade="E6"/>
          </w:tcPr>
          <w:p w14:paraId="6E523911" w14:textId="77777777" w:rsidR="002E38FB" w:rsidRPr="008C74A3" w:rsidRDefault="002E38FB" w:rsidP="00DB1B70">
            <w:pPr>
              <w:pStyle w:val="NoSpacing"/>
              <w:rPr>
                <w:sz w:val="18"/>
                <w:szCs w:val="18"/>
              </w:rPr>
            </w:pPr>
          </w:p>
        </w:tc>
        <w:tc>
          <w:tcPr>
            <w:tcW w:w="900" w:type="dxa"/>
            <w:shd w:val="clear" w:color="auto" w:fill="D0CECE" w:themeFill="background2" w:themeFillShade="E6"/>
            <w:vAlign w:val="center"/>
          </w:tcPr>
          <w:p w14:paraId="636438FC" w14:textId="77777777" w:rsidR="002E38FB" w:rsidRPr="008C74A3" w:rsidRDefault="002E38FB" w:rsidP="00BC0975">
            <w:pPr>
              <w:pStyle w:val="NoSpacing"/>
              <w:jc w:val="center"/>
              <w:rPr>
                <w:sz w:val="18"/>
                <w:szCs w:val="18"/>
              </w:rPr>
            </w:pPr>
            <w:r w:rsidRPr="008C74A3">
              <w:rPr>
                <w:sz w:val="18"/>
                <w:szCs w:val="18"/>
              </w:rPr>
              <w:t>Name of metric</w:t>
            </w:r>
          </w:p>
        </w:tc>
        <w:tc>
          <w:tcPr>
            <w:tcW w:w="810" w:type="dxa"/>
            <w:shd w:val="clear" w:color="auto" w:fill="D9D9D9" w:themeFill="background1" w:themeFillShade="D9"/>
            <w:vAlign w:val="center"/>
          </w:tcPr>
          <w:p w14:paraId="16EB0679" w14:textId="63324B20" w:rsidR="002E38FB" w:rsidRPr="008C74A3" w:rsidRDefault="004B609C" w:rsidP="00BC0975">
            <w:pPr>
              <w:pStyle w:val="NoSpacing"/>
              <w:jc w:val="center"/>
              <w:rPr>
                <w:sz w:val="18"/>
                <w:szCs w:val="18"/>
              </w:rPr>
            </w:pPr>
            <w:r w:rsidRPr="008C74A3">
              <w:rPr>
                <w:sz w:val="18"/>
                <w:szCs w:val="18"/>
              </w:rPr>
              <w:t>Rationale</w:t>
            </w:r>
          </w:p>
        </w:tc>
        <w:tc>
          <w:tcPr>
            <w:tcW w:w="900" w:type="dxa"/>
            <w:shd w:val="clear" w:color="auto" w:fill="D9D9D9" w:themeFill="background1" w:themeFillShade="D9"/>
            <w:vAlign w:val="center"/>
          </w:tcPr>
          <w:p w14:paraId="51640B26" w14:textId="77777777" w:rsidR="002E38FB" w:rsidRPr="008C74A3" w:rsidRDefault="002E38FB" w:rsidP="00BC0975">
            <w:pPr>
              <w:pStyle w:val="NoSpacing"/>
              <w:jc w:val="center"/>
              <w:rPr>
                <w:sz w:val="18"/>
                <w:szCs w:val="18"/>
              </w:rPr>
            </w:pPr>
            <w:r w:rsidRPr="008C74A3">
              <w:rPr>
                <w:sz w:val="18"/>
                <w:szCs w:val="18"/>
              </w:rPr>
              <w:t>Year</w:t>
            </w:r>
          </w:p>
        </w:tc>
        <w:tc>
          <w:tcPr>
            <w:tcW w:w="900" w:type="dxa"/>
            <w:shd w:val="clear" w:color="auto" w:fill="D9D9D9" w:themeFill="background1" w:themeFillShade="D9"/>
            <w:vAlign w:val="center"/>
          </w:tcPr>
          <w:p w14:paraId="060C9DAE" w14:textId="77777777" w:rsidR="002E38FB" w:rsidRPr="008C74A3" w:rsidRDefault="002E38FB" w:rsidP="00BC0975">
            <w:pPr>
              <w:pStyle w:val="NoSpacing"/>
              <w:jc w:val="center"/>
              <w:rPr>
                <w:sz w:val="18"/>
                <w:szCs w:val="18"/>
              </w:rPr>
            </w:pPr>
            <w:r w:rsidRPr="008C74A3">
              <w:rPr>
                <w:sz w:val="18"/>
                <w:szCs w:val="18"/>
              </w:rPr>
              <w:t>Year</w:t>
            </w:r>
          </w:p>
        </w:tc>
        <w:tc>
          <w:tcPr>
            <w:tcW w:w="900" w:type="dxa"/>
            <w:vMerge/>
            <w:shd w:val="clear" w:color="auto" w:fill="D9D9D9" w:themeFill="background1" w:themeFillShade="D9"/>
            <w:vAlign w:val="center"/>
          </w:tcPr>
          <w:p w14:paraId="2D09CCC4" w14:textId="77777777" w:rsidR="002E38FB" w:rsidRPr="008C74A3" w:rsidRDefault="002E38FB" w:rsidP="00BC0975">
            <w:pPr>
              <w:pStyle w:val="NoSpacing"/>
              <w:jc w:val="center"/>
              <w:rPr>
                <w:sz w:val="18"/>
                <w:szCs w:val="18"/>
              </w:rPr>
            </w:pPr>
          </w:p>
        </w:tc>
        <w:tc>
          <w:tcPr>
            <w:tcW w:w="870" w:type="dxa"/>
            <w:vMerge/>
            <w:shd w:val="clear" w:color="auto" w:fill="D9D9D9" w:themeFill="background1" w:themeFillShade="D9"/>
            <w:vAlign w:val="center"/>
          </w:tcPr>
          <w:p w14:paraId="6C0149A7" w14:textId="77777777" w:rsidR="002E38FB" w:rsidRPr="008C74A3" w:rsidRDefault="002E38FB" w:rsidP="00BC0975">
            <w:pPr>
              <w:pStyle w:val="NoSpacing"/>
              <w:jc w:val="center"/>
              <w:rPr>
                <w:sz w:val="18"/>
                <w:szCs w:val="18"/>
              </w:rPr>
            </w:pPr>
          </w:p>
        </w:tc>
        <w:tc>
          <w:tcPr>
            <w:tcW w:w="870" w:type="dxa"/>
            <w:vMerge/>
            <w:shd w:val="clear" w:color="auto" w:fill="D9D9D9" w:themeFill="background1" w:themeFillShade="D9"/>
            <w:vAlign w:val="center"/>
          </w:tcPr>
          <w:p w14:paraId="08736C54" w14:textId="77777777" w:rsidR="002E38FB" w:rsidRPr="008C74A3" w:rsidRDefault="002E38FB" w:rsidP="00BC0975">
            <w:pPr>
              <w:pStyle w:val="NoSpacing"/>
              <w:jc w:val="center"/>
              <w:rPr>
                <w:sz w:val="18"/>
                <w:szCs w:val="18"/>
              </w:rPr>
            </w:pPr>
          </w:p>
        </w:tc>
        <w:tc>
          <w:tcPr>
            <w:tcW w:w="870" w:type="dxa"/>
            <w:vMerge/>
            <w:shd w:val="clear" w:color="auto" w:fill="D9D9D9" w:themeFill="background1" w:themeFillShade="D9"/>
            <w:vAlign w:val="center"/>
          </w:tcPr>
          <w:p w14:paraId="4F0F9221" w14:textId="77777777" w:rsidR="002E38FB" w:rsidRPr="008C74A3" w:rsidRDefault="002E38FB" w:rsidP="00BC0975">
            <w:pPr>
              <w:pStyle w:val="NoSpacing"/>
              <w:jc w:val="center"/>
              <w:rPr>
                <w:sz w:val="18"/>
                <w:szCs w:val="18"/>
              </w:rPr>
            </w:pPr>
          </w:p>
        </w:tc>
      </w:tr>
      <w:tr w:rsidR="002E38FB" w:rsidRPr="008C74A3" w14:paraId="4982C37F" w14:textId="77777777" w:rsidTr="00BC0975">
        <w:trPr>
          <w:trHeight w:val="300"/>
        </w:trPr>
        <w:tc>
          <w:tcPr>
            <w:tcW w:w="1080" w:type="dxa"/>
            <w:vMerge w:val="restart"/>
            <w:vAlign w:val="center"/>
          </w:tcPr>
          <w:p w14:paraId="16024998" w14:textId="77777777" w:rsidR="002E38FB" w:rsidRPr="008C74A3" w:rsidRDefault="002E38FB" w:rsidP="00DB1B70">
            <w:pPr>
              <w:pStyle w:val="NoSpacing"/>
              <w:rPr>
                <w:sz w:val="18"/>
                <w:szCs w:val="18"/>
              </w:rPr>
            </w:pPr>
            <w:r w:rsidRPr="008C74A3">
              <w:rPr>
                <w:sz w:val="18"/>
                <w:szCs w:val="18"/>
              </w:rPr>
              <w:t xml:space="preserve">Company X </w:t>
            </w:r>
          </w:p>
        </w:tc>
        <w:tc>
          <w:tcPr>
            <w:tcW w:w="990" w:type="dxa"/>
            <w:vAlign w:val="center"/>
          </w:tcPr>
          <w:p w14:paraId="70CE0A68" w14:textId="77777777" w:rsidR="002E38FB" w:rsidRPr="008C74A3" w:rsidRDefault="002E38FB" w:rsidP="00DB1B70">
            <w:pPr>
              <w:pStyle w:val="NoSpacing"/>
              <w:rPr>
                <w:sz w:val="18"/>
                <w:szCs w:val="18"/>
              </w:rPr>
            </w:pPr>
            <w:r w:rsidRPr="008C74A3">
              <w:rPr>
                <w:sz w:val="18"/>
                <w:szCs w:val="18"/>
              </w:rPr>
              <w:t xml:space="preserve">Outcome </w:t>
            </w:r>
          </w:p>
        </w:tc>
        <w:tc>
          <w:tcPr>
            <w:tcW w:w="900" w:type="dxa"/>
            <w:vAlign w:val="center"/>
          </w:tcPr>
          <w:p w14:paraId="2B722ED8" w14:textId="77777777" w:rsidR="002E38FB" w:rsidRPr="008C74A3" w:rsidRDefault="002E38FB" w:rsidP="00DB1B70">
            <w:pPr>
              <w:pStyle w:val="NoSpacing"/>
              <w:rPr>
                <w:sz w:val="18"/>
                <w:szCs w:val="18"/>
              </w:rPr>
            </w:pPr>
            <w:r w:rsidRPr="008C74A3">
              <w:rPr>
                <w:sz w:val="18"/>
                <w:szCs w:val="18"/>
              </w:rPr>
              <w:t>Metric</w:t>
            </w:r>
          </w:p>
        </w:tc>
        <w:tc>
          <w:tcPr>
            <w:tcW w:w="810" w:type="dxa"/>
          </w:tcPr>
          <w:p w14:paraId="567BE012" w14:textId="77777777" w:rsidR="002E38FB" w:rsidRPr="008C74A3" w:rsidRDefault="002E38FB" w:rsidP="00DB1B70">
            <w:pPr>
              <w:pStyle w:val="NoSpacing"/>
              <w:rPr>
                <w:sz w:val="18"/>
                <w:szCs w:val="18"/>
              </w:rPr>
            </w:pPr>
          </w:p>
        </w:tc>
        <w:tc>
          <w:tcPr>
            <w:tcW w:w="900" w:type="dxa"/>
          </w:tcPr>
          <w:p w14:paraId="694FF6F1" w14:textId="77777777" w:rsidR="002E38FB" w:rsidRPr="008C74A3" w:rsidRDefault="002E38FB" w:rsidP="00DB1B70">
            <w:pPr>
              <w:pStyle w:val="NoSpacing"/>
              <w:rPr>
                <w:sz w:val="18"/>
                <w:szCs w:val="18"/>
              </w:rPr>
            </w:pPr>
          </w:p>
        </w:tc>
        <w:tc>
          <w:tcPr>
            <w:tcW w:w="900" w:type="dxa"/>
          </w:tcPr>
          <w:p w14:paraId="3BC164AD" w14:textId="77777777" w:rsidR="002E38FB" w:rsidRPr="008C74A3" w:rsidRDefault="002E38FB" w:rsidP="00DB1B70">
            <w:pPr>
              <w:pStyle w:val="NoSpacing"/>
              <w:rPr>
                <w:sz w:val="18"/>
                <w:szCs w:val="18"/>
              </w:rPr>
            </w:pPr>
          </w:p>
        </w:tc>
        <w:tc>
          <w:tcPr>
            <w:tcW w:w="900" w:type="dxa"/>
          </w:tcPr>
          <w:p w14:paraId="0540149F" w14:textId="77777777" w:rsidR="002E38FB" w:rsidRPr="008C74A3" w:rsidRDefault="002E38FB" w:rsidP="00DB1B70">
            <w:pPr>
              <w:pStyle w:val="NoSpacing"/>
              <w:rPr>
                <w:sz w:val="18"/>
                <w:szCs w:val="18"/>
              </w:rPr>
            </w:pPr>
          </w:p>
        </w:tc>
        <w:tc>
          <w:tcPr>
            <w:tcW w:w="870" w:type="dxa"/>
          </w:tcPr>
          <w:p w14:paraId="0663CE17" w14:textId="77777777" w:rsidR="002E38FB" w:rsidRPr="008C74A3" w:rsidRDefault="002E38FB" w:rsidP="00DB1B70">
            <w:pPr>
              <w:pStyle w:val="NoSpacing"/>
              <w:rPr>
                <w:sz w:val="18"/>
                <w:szCs w:val="18"/>
              </w:rPr>
            </w:pPr>
          </w:p>
        </w:tc>
        <w:tc>
          <w:tcPr>
            <w:tcW w:w="870" w:type="dxa"/>
          </w:tcPr>
          <w:p w14:paraId="3DE5EFEB" w14:textId="77777777" w:rsidR="002E38FB" w:rsidRPr="008C74A3" w:rsidRDefault="002E38FB" w:rsidP="00DB1B70">
            <w:pPr>
              <w:pStyle w:val="NoSpacing"/>
              <w:rPr>
                <w:sz w:val="18"/>
                <w:szCs w:val="18"/>
              </w:rPr>
            </w:pPr>
          </w:p>
        </w:tc>
        <w:tc>
          <w:tcPr>
            <w:tcW w:w="870" w:type="dxa"/>
          </w:tcPr>
          <w:p w14:paraId="3931E09D" w14:textId="77777777" w:rsidR="002E38FB" w:rsidRPr="008C74A3" w:rsidRDefault="002E38FB" w:rsidP="00DB1B70">
            <w:pPr>
              <w:pStyle w:val="NoSpacing"/>
              <w:rPr>
                <w:sz w:val="18"/>
                <w:szCs w:val="18"/>
              </w:rPr>
            </w:pPr>
          </w:p>
        </w:tc>
      </w:tr>
      <w:tr w:rsidR="002E38FB" w:rsidRPr="008C74A3" w14:paraId="00BDDEC2" w14:textId="77777777" w:rsidTr="00BC0975">
        <w:trPr>
          <w:trHeight w:val="300"/>
        </w:trPr>
        <w:tc>
          <w:tcPr>
            <w:tcW w:w="1080" w:type="dxa"/>
            <w:vMerge/>
          </w:tcPr>
          <w:p w14:paraId="3892BE85" w14:textId="77777777" w:rsidR="002E38FB" w:rsidRPr="008C74A3" w:rsidRDefault="002E38FB" w:rsidP="00DB1B70">
            <w:pPr>
              <w:pStyle w:val="NoSpacing"/>
              <w:rPr>
                <w:sz w:val="18"/>
                <w:szCs w:val="18"/>
              </w:rPr>
            </w:pPr>
          </w:p>
        </w:tc>
        <w:tc>
          <w:tcPr>
            <w:tcW w:w="990" w:type="dxa"/>
            <w:vAlign w:val="center"/>
          </w:tcPr>
          <w:p w14:paraId="70A3D6EB" w14:textId="77777777" w:rsidR="002E38FB" w:rsidRPr="008C74A3" w:rsidRDefault="002E38FB" w:rsidP="00DB1B70">
            <w:pPr>
              <w:pStyle w:val="NoSpacing"/>
              <w:rPr>
                <w:sz w:val="18"/>
                <w:szCs w:val="18"/>
              </w:rPr>
            </w:pPr>
            <w:r w:rsidRPr="008C74A3">
              <w:rPr>
                <w:sz w:val="18"/>
                <w:szCs w:val="18"/>
              </w:rPr>
              <w:t xml:space="preserve">Outcome </w:t>
            </w:r>
          </w:p>
        </w:tc>
        <w:tc>
          <w:tcPr>
            <w:tcW w:w="900" w:type="dxa"/>
            <w:vAlign w:val="center"/>
          </w:tcPr>
          <w:p w14:paraId="5878F712" w14:textId="77777777" w:rsidR="002E38FB" w:rsidRPr="008C74A3" w:rsidRDefault="002E38FB" w:rsidP="00DB1B70">
            <w:pPr>
              <w:pStyle w:val="NoSpacing"/>
              <w:rPr>
                <w:sz w:val="18"/>
                <w:szCs w:val="18"/>
              </w:rPr>
            </w:pPr>
            <w:r w:rsidRPr="008C74A3">
              <w:rPr>
                <w:sz w:val="18"/>
                <w:szCs w:val="18"/>
              </w:rPr>
              <w:t xml:space="preserve">Metric </w:t>
            </w:r>
          </w:p>
        </w:tc>
        <w:tc>
          <w:tcPr>
            <w:tcW w:w="810" w:type="dxa"/>
          </w:tcPr>
          <w:p w14:paraId="33AB5790" w14:textId="77777777" w:rsidR="002E38FB" w:rsidRPr="008C74A3" w:rsidRDefault="002E38FB" w:rsidP="00DB1B70">
            <w:pPr>
              <w:pStyle w:val="NoSpacing"/>
              <w:rPr>
                <w:sz w:val="18"/>
                <w:szCs w:val="18"/>
              </w:rPr>
            </w:pPr>
          </w:p>
        </w:tc>
        <w:tc>
          <w:tcPr>
            <w:tcW w:w="900" w:type="dxa"/>
          </w:tcPr>
          <w:p w14:paraId="4F4B09FA" w14:textId="77777777" w:rsidR="002E38FB" w:rsidRPr="008C74A3" w:rsidRDefault="002E38FB" w:rsidP="00DB1B70">
            <w:pPr>
              <w:pStyle w:val="NoSpacing"/>
              <w:rPr>
                <w:sz w:val="18"/>
                <w:szCs w:val="18"/>
              </w:rPr>
            </w:pPr>
          </w:p>
        </w:tc>
        <w:tc>
          <w:tcPr>
            <w:tcW w:w="900" w:type="dxa"/>
          </w:tcPr>
          <w:p w14:paraId="0CCA8D6C" w14:textId="77777777" w:rsidR="002E38FB" w:rsidRPr="008C74A3" w:rsidRDefault="002E38FB" w:rsidP="00DB1B70">
            <w:pPr>
              <w:pStyle w:val="NoSpacing"/>
              <w:rPr>
                <w:sz w:val="18"/>
                <w:szCs w:val="18"/>
              </w:rPr>
            </w:pPr>
          </w:p>
        </w:tc>
        <w:tc>
          <w:tcPr>
            <w:tcW w:w="900" w:type="dxa"/>
          </w:tcPr>
          <w:p w14:paraId="51A0144B" w14:textId="77777777" w:rsidR="002E38FB" w:rsidRPr="008C74A3" w:rsidRDefault="002E38FB" w:rsidP="00DB1B70">
            <w:pPr>
              <w:pStyle w:val="NoSpacing"/>
              <w:rPr>
                <w:sz w:val="18"/>
                <w:szCs w:val="18"/>
              </w:rPr>
            </w:pPr>
          </w:p>
        </w:tc>
        <w:tc>
          <w:tcPr>
            <w:tcW w:w="870" w:type="dxa"/>
          </w:tcPr>
          <w:p w14:paraId="05375399" w14:textId="77777777" w:rsidR="002E38FB" w:rsidRPr="008C74A3" w:rsidRDefault="002E38FB" w:rsidP="00DB1B70">
            <w:pPr>
              <w:pStyle w:val="NoSpacing"/>
              <w:rPr>
                <w:sz w:val="18"/>
                <w:szCs w:val="18"/>
              </w:rPr>
            </w:pPr>
          </w:p>
        </w:tc>
        <w:tc>
          <w:tcPr>
            <w:tcW w:w="870" w:type="dxa"/>
          </w:tcPr>
          <w:p w14:paraId="368EB999" w14:textId="77777777" w:rsidR="002E38FB" w:rsidRPr="008C74A3" w:rsidRDefault="002E38FB" w:rsidP="00DB1B70">
            <w:pPr>
              <w:pStyle w:val="NoSpacing"/>
              <w:rPr>
                <w:sz w:val="18"/>
                <w:szCs w:val="18"/>
              </w:rPr>
            </w:pPr>
          </w:p>
        </w:tc>
        <w:tc>
          <w:tcPr>
            <w:tcW w:w="870" w:type="dxa"/>
          </w:tcPr>
          <w:p w14:paraId="1C72F215" w14:textId="77777777" w:rsidR="002E38FB" w:rsidRPr="008C74A3" w:rsidRDefault="002E38FB" w:rsidP="00DB1B70">
            <w:pPr>
              <w:pStyle w:val="NoSpacing"/>
              <w:rPr>
                <w:sz w:val="18"/>
                <w:szCs w:val="18"/>
              </w:rPr>
            </w:pPr>
          </w:p>
        </w:tc>
      </w:tr>
      <w:tr w:rsidR="002E38FB" w:rsidRPr="008C74A3" w14:paraId="76E047A5" w14:textId="77777777" w:rsidTr="00BC0975">
        <w:trPr>
          <w:trHeight w:val="300"/>
        </w:trPr>
        <w:tc>
          <w:tcPr>
            <w:tcW w:w="1080" w:type="dxa"/>
            <w:vMerge w:val="restart"/>
            <w:vAlign w:val="center"/>
          </w:tcPr>
          <w:p w14:paraId="0F1764C3" w14:textId="77777777" w:rsidR="002E38FB" w:rsidRPr="008C74A3" w:rsidRDefault="002E38FB" w:rsidP="00DB1B70">
            <w:pPr>
              <w:pStyle w:val="NoSpacing"/>
              <w:rPr>
                <w:sz w:val="18"/>
                <w:szCs w:val="18"/>
              </w:rPr>
            </w:pPr>
            <w:r w:rsidRPr="008C74A3">
              <w:rPr>
                <w:sz w:val="18"/>
                <w:szCs w:val="18"/>
              </w:rPr>
              <w:t>Company Y</w:t>
            </w:r>
          </w:p>
        </w:tc>
        <w:tc>
          <w:tcPr>
            <w:tcW w:w="990" w:type="dxa"/>
            <w:vMerge w:val="restart"/>
            <w:vAlign w:val="center"/>
          </w:tcPr>
          <w:p w14:paraId="0F814DBB" w14:textId="77777777" w:rsidR="002E38FB" w:rsidRPr="008C74A3" w:rsidRDefault="002E38FB" w:rsidP="00DB1B70">
            <w:pPr>
              <w:pStyle w:val="NoSpacing"/>
              <w:rPr>
                <w:sz w:val="18"/>
                <w:szCs w:val="18"/>
              </w:rPr>
            </w:pPr>
            <w:r w:rsidRPr="008C74A3">
              <w:rPr>
                <w:sz w:val="18"/>
                <w:szCs w:val="18"/>
              </w:rPr>
              <w:t xml:space="preserve">Outcome </w:t>
            </w:r>
          </w:p>
        </w:tc>
        <w:tc>
          <w:tcPr>
            <w:tcW w:w="900" w:type="dxa"/>
            <w:vAlign w:val="center"/>
          </w:tcPr>
          <w:p w14:paraId="6E8FC973" w14:textId="77777777" w:rsidR="002E38FB" w:rsidRPr="008C74A3" w:rsidRDefault="002E38FB" w:rsidP="00DB1B70">
            <w:pPr>
              <w:pStyle w:val="NoSpacing"/>
              <w:rPr>
                <w:sz w:val="18"/>
                <w:szCs w:val="18"/>
              </w:rPr>
            </w:pPr>
            <w:r w:rsidRPr="008C74A3">
              <w:rPr>
                <w:sz w:val="18"/>
                <w:szCs w:val="18"/>
              </w:rPr>
              <w:t>Metric</w:t>
            </w:r>
          </w:p>
        </w:tc>
        <w:tc>
          <w:tcPr>
            <w:tcW w:w="810" w:type="dxa"/>
          </w:tcPr>
          <w:p w14:paraId="1D30200D" w14:textId="77777777" w:rsidR="002E38FB" w:rsidRPr="008C74A3" w:rsidRDefault="002E38FB" w:rsidP="00DB1B70">
            <w:pPr>
              <w:pStyle w:val="NoSpacing"/>
              <w:rPr>
                <w:sz w:val="18"/>
                <w:szCs w:val="18"/>
              </w:rPr>
            </w:pPr>
          </w:p>
        </w:tc>
        <w:tc>
          <w:tcPr>
            <w:tcW w:w="900" w:type="dxa"/>
          </w:tcPr>
          <w:p w14:paraId="5A4A57BB" w14:textId="77777777" w:rsidR="002E38FB" w:rsidRPr="008C74A3" w:rsidRDefault="002E38FB" w:rsidP="00DB1B70">
            <w:pPr>
              <w:pStyle w:val="NoSpacing"/>
              <w:rPr>
                <w:sz w:val="18"/>
                <w:szCs w:val="18"/>
              </w:rPr>
            </w:pPr>
          </w:p>
        </w:tc>
        <w:tc>
          <w:tcPr>
            <w:tcW w:w="900" w:type="dxa"/>
          </w:tcPr>
          <w:p w14:paraId="711485EF" w14:textId="77777777" w:rsidR="002E38FB" w:rsidRPr="008C74A3" w:rsidRDefault="002E38FB" w:rsidP="00DB1B70">
            <w:pPr>
              <w:pStyle w:val="NoSpacing"/>
              <w:rPr>
                <w:sz w:val="18"/>
                <w:szCs w:val="18"/>
              </w:rPr>
            </w:pPr>
          </w:p>
        </w:tc>
        <w:tc>
          <w:tcPr>
            <w:tcW w:w="900" w:type="dxa"/>
          </w:tcPr>
          <w:p w14:paraId="3B631C55" w14:textId="77777777" w:rsidR="002E38FB" w:rsidRPr="008C74A3" w:rsidRDefault="002E38FB" w:rsidP="00DB1B70">
            <w:pPr>
              <w:pStyle w:val="NoSpacing"/>
              <w:rPr>
                <w:sz w:val="18"/>
                <w:szCs w:val="18"/>
              </w:rPr>
            </w:pPr>
          </w:p>
        </w:tc>
        <w:tc>
          <w:tcPr>
            <w:tcW w:w="870" w:type="dxa"/>
          </w:tcPr>
          <w:p w14:paraId="6442C21E" w14:textId="77777777" w:rsidR="002E38FB" w:rsidRPr="008C74A3" w:rsidRDefault="002E38FB" w:rsidP="00DB1B70">
            <w:pPr>
              <w:pStyle w:val="NoSpacing"/>
              <w:rPr>
                <w:sz w:val="18"/>
                <w:szCs w:val="18"/>
              </w:rPr>
            </w:pPr>
          </w:p>
        </w:tc>
        <w:tc>
          <w:tcPr>
            <w:tcW w:w="870" w:type="dxa"/>
          </w:tcPr>
          <w:p w14:paraId="701DDF8C" w14:textId="77777777" w:rsidR="002E38FB" w:rsidRPr="008C74A3" w:rsidRDefault="002E38FB" w:rsidP="00DB1B70">
            <w:pPr>
              <w:pStyle w:val="NoSpacing"/>
              <w:rPr>
                <w:sz w:val="18"/>
                <w:szCs w:val="18"/>
              </w:rPr>
            </w:pPr>
          </w:p>
        </w:tc>
        <w:tc>
          <w:tcPr>
            <w:tcW w:w="870" w:type="dxa"/>
          </w:tcPr>
          <w:p w14:paraId="4515F838" w14:textId="77777777" w:rsidR="002E38FB" w:rsidRPr="008C74A3" w:rsidRDefault="002E38FB" w:rsidP="00DB1B70">
            <w:pPr>
              <w:pStyle w:val="NoSpacing"/>
              <w:rPr>
                <w:sz w:val="18"/>
                <w:szCs w:val="18"/>
              </w:rPr>
            </w:pPr>
          </w:p>
        </w:tc>
      </w:tr>
      <w:tr w:rsidR="002E38FB" w:rsidRPr="008C74A3" w14:paraId="5420B207" w14:textId="77777777" w:rsidTr="00BC0975">
        <w:trPr>
          <w:trHeight w:val="300"/>
        </w:trPr>
        <w:tc>
          <w:tcPr>
            <w:tcW w:w="1080" w:type="dxa"/>
            <w:vMerge/>
            <w:vAlign w:val="center"/>
          </w:tcPr>
          <w:p w14:paraId="152973D7" w14:textId="77777777" w:rsidR="002E38FB" w:rsidRPr="008C74A3" w:rsidRDefault="002E38FB" w:rsidP="00DB1B70">
            <w:pPr>
              <w:pStyle w:val="NoSpacing"/>
              <w:rPr>
                <w:sz w:val="18"/>
                <w:szCs w:val="18"/>
              </w:rPr>
            </w:pPr>
          </w:p>
        </w:tc>
        <w:tc>
          <w:tcPr>
            <w:tcW w:w="990" w:type="dxa"/>
            <w:vMerge/>
            <w:vAlign w:val="center"/>
          </w:tcPr>
          <w:p w14:paraId="724DABFC" w14:textId="77777777" w:rsidR="002E38FB" w:rsidRPr="008C74A3" w:rsidRDefault="002E38FB" w:rsidP="00DB1B70">
            <w:pPr>
              <w:pStyle w:val="NoSpacing"/>
              <w:rPr>
                <w:sz w:val="18"/>
                <w:szCs w:val="18"/>
              </w:rPr>
            </w:pPr>
          </w:p>
        </w:tc>
        <w:tc>
          <w:tcPr>
            <w:tcW w:w="900" w:type="dxa"/>
            <w:vAlign w:val="center"/>
          </w:tcPr>
          <w:p w14:paraId="28CBDB2F" w14:textId="77777777" w:rsidR="002E38FB" w:rsidRPr="008C74A3" w:rsidRDefault="002E38FB" w:rsidP="00DB1B70">
            <w:pPr>
              <w:pStyle w:val="NoSpacing"/>
              <w:rPr>
                <w:sz w:val="18"/>
                <w:szCs w:val="18"/>
              </w:rPr>
            </w:pPr>
            <w:r w:rsidRPr="008C74A3">
              <w:rPr>
                <w:sz w:val="18"/>
                <w:szCs w:val="18"/>
              </w:rPr>
              <w:t>Metric</w:t>
            </w:r>
          </w:p>
        </w:tc>
        <w:tc>
          <w:tcPr>
            <w:tcW w:w="810" w:type="dxa"/>
          </w:tcPr>
          <w:p w14:paraId="2FA45E7C" w14:textId="77777777" w:rsidR="002E38FB" w:rsidRPr="008C74A3" w:rsidRDefault="002E38FB" w:rsidP="00DB1B70">
            <w:pPr>
              <w:pStyle w:val="NoSpacing"/>
              <w:rPr>
                <w:sz w:val="18"/>
                <w:szCs w:val="18"/>
              </w:rPr>
            </w:pPr>
          </w:p>
        </w:tc>
        <w:tc>
          <w:tcPr>
            <w:tcW w:w="900" w:type="dxa"/>
          </w:tcPr>
          <w:p w14:paraId="4FC98EAB" w14:textId="77777777" w:rsidR="002E38FB" w:rsidRPr="008C74A3" w:rsidRDefault="002E38FB" w:rsidP="00DB1B70">
            <w:pPr>
              <w:pStyle w:val="NoSpacing"/>
              <w:rPr>
                <w:sz w:val="18"/>
                <w:szCs w:val="18"/>
              </w:rPr>
            </w:pPr>
          </w:p>
        </w:tc>
        <w:tc>
          <w:tcPr>
            <w:tcW w:w="900" w:type="dxa"/>
          </w:tcPr>
          <w:p w14:paraId="027304E0" w14:textId="77777777" w:rsidR="002E38FB" w:rsidRPr="008C74A3" w:rsidRDefault="002E38FB" w:rsidP="00DB1B70">
            <w:pPr>
              <w:pStyle w:val="NoSpacing"/>
              <w:rPr>
                <w:sz w:val="18"/>
                <w:szCs w:val="18"/>
              </w:rPr>
            </w:pPr>
          </w:p>
        </w:tc>
        <w:tc>
          <w:tcPr>
            <w:tcW w:w="900" w:type="dxa"/>
          </w:tcPr>
          <w:p w14:paraId="118EB52F" w14:textId="77777777" w:rsidR="002E38FB" w:rsidRPr="008C74A3" w:rsidRDefault="002E38FB" w:rsidP="00DB1B70">
            <w:pPr>
              <w:pStyle w:val="NoSpacing"/>
              <w:rPr>
                <w:sz w:val="18"/>
                <w:szCs w:val="18"/>
              </w:rPr>
            </w:pPr>
          </w:p>
        </w:tc>
        <w:tc>
          <w:tcPr>
            <w:tcW w:w="870" w:type="dxa"/>
          </w:tcPr>
          <w:p w14:paraId="2AC97B35" w14:textId="77777777" w:rsidR="002E38FB" w:rsidRPr="008C74A3" w:rsidRDefault="002E38FB" w:rsidP="00DB1B70">
            <w:pPr>
              <w:pStyle w:val="NoSpacing"/>
              <w:rPr>
                <w:sz w:val="18"/>
                <w:szCs w:val="18"/>
              </w:rPr>
            </w:pPr>
          </w:p>
        </w:tc>
        <w:tc>
          <w:tcPr>
            <w:tcW w:w="870" w:type="dxa"/>
          </w:tcPr>
          <w:p w14:paraId="0E887467" w14:textId="77777777" w:rsidR="002E38FB" w:rsidRPr="008C74A3" w:rsidRDefault="002E38FB" w:rsidP="00DB1B70">
            <w:pPr>
              <w:pStyle w:val="NoSpacing"/>
              <w:rPr>
                <w:sz w:val="18"/>
                <w:szCs w:val="18"/>
              </w:rPr>
            </w:pPr>
          </w:p>
        </w:tc>
        <w:tc>
          <w:tcPr>
            <w:tcW w:w="870" w:type="dxa"/>
          </w:tcPr>
          <w:p w14:paraId="23E64639" w14:textId="77777777" w:rsidR="002E38FB" w:rsidRPr="008C74A3" w:rsidRDefault="002E38FB" w:rsidP="00DB1B70">
            <w:pPr>
              <w:pStyle w:val="NoSpacing"/>
              <w:rPr>
                <w:sz w:val="18"/>
                <w:szCs w:val="18"/>
              </w:rPr>
            </w:pPr>
          </w:p>
        </w:tc>
      </w:tr>
      <w:tr w:rsidR="002E38FB" w:rsidRPr="008C74A3" w14:paraId="486889E4" w14:textId="77777777" w:rsidTr="00BC0975">
        <w:trPr>
          <w:trHeight w:val="300"/>
        </w:trPr>
        <w:tc>
          <w:tcPr>
            <w:tcW w:w="1080" w:type="dxa"/>
            <w:vMerge/>
          </w:tcPr>
          <w:p w14:paraId="055A8EAA" w14:textId="77777777" w:rsidR="002E38FB" w:rsidRPr="008C74A3" w:rsidRDefault="002E38FB" w:rsidP="00DB1B70">
            <w:pPr>
              <w:pStyle w:val="NoSpacing"/>
              <w:rPr>
                <w:sz w:val="18"/>
                <w:szCs w:val="18"/>
              </w:rPr>
            </w:pPr>
          </w:p>
        </w:tc>
        <w:tc>
          <w:tcPr>
            <w:tcW w:w="990" w:type="dxa"/>
            <w:vAlign w:val="center"/>
          </w:tcPr>
          <w:p w14:paraId="7E1FB43F" w14:textId="77777777" w:rsidR="002E38FB" w:rsidRPr="008C74A3" w:rsidRDefault="002E38FB" w:rsidP="00DB1B70">
            <w:pPr>
              <w:pStyle w:val="NoSpacing"/>
              <w:rPr>
                <w:sz w:val="18"/>
                <w:szCs w:val="18"/>
              </w:rPr>
            </w:pPr>
            <w:r w:rsidRPr="008C74A3">
              <w:rPr>
                <w:sz w:val="18"/>
                <w:szCs w:val="18"/>
              </w:rPr>
              <w:t xml:space="preserve">Outcome </w:t>
            </w:r>
          </w:p>
        </w:tc>
        <w:tc>
          <w:tcPr>
            <w:tcW w:w="900" w:type="dxa"/>
            <w:vAlign w:val="center"/>
          </w:tcPr>
          <w:p w14:paraId="2152C056" w14:textId="77777777" w:rsidR="002E38FB" w:rsidRPr="008C74A3" w:rsidRDefault="002E38FB" w:rsidP="00DB1B70">
            <w:pPr>
              <w:pStyle w:val="NoSpacing"/>
              <w:rPr>
                <w:sz w:val="18"/>
                <w:szCs w:val="18"/>
              </w:rPr>
            </w:pPr>
            <w:r w:rsidRPr="008C74A3">
              <w:rPr>
                <w:sz w:val="18"/>
                <w:szCs w:val="18"/>
              </w:rPr>
              <w:t xml:space="preserve">Metric </w:t>
            </w:r>
          </w:p>
        </w:tc>
        <w:tc>
          <w:tcPr>
            <w:tcW w:w="810" w:type="dxa"/>
          </w:tcPr>
          <w:p w14:paraId="7EA968D9" w14:textId="77777777" w:rsidR="002E38FB" w:rsidRPr="008C74A3" w:rsidRDefault="002E38FB" w:rsidP="00DB1B70">
            <w:pPr>
              <w:pStyle w:val="NoSpacing"/>
              <w:rPr>
                <w:sz w:val="18"/>
                <w:szCs w:val="18"/>
              </w:rPr>
            </w:pPr>
          </w:p>
        </w:tc>
        <w:tc>
          <w:tcPr>
            <w:tcW w:w="900" w:type="dxa"/>
          </w:tcPr>
          <w:p w14:paraId="44284338" w14:textId="77777777" w:rsidR="002E38FB" w:rsidRPr="008C74A3" w:rsidRDefault="002E38FB" w:rsidP="00DB1B70">
            <w:pPr>
              <w:pStyle w:val="NoSpacing"/>
              <w:rPr>
                <w:sz w:val="18"/>
                <w:szCs w:val="18"/>
              </w:rPr>
            </w:pPr>
          </w:p>
        </w:tc>
        <w:tc>
          <w:tcPr>
            <w:tcW w:w="900" w:type="dxa"/>
          </w:tcPr>
          <w:p w14:paraId="57A794E2" w14:textId="77777777" w:rsidR="002E38FB" w:rsidRPr="008C74A3" w:rsidRDefault="002E38FB" w:rsidP="00DB1B70">
            <w:pPr>
              <w:pStyle w:val="NoSpacing"/>
              <w:rPr>
                <w:sz w:val="18"/>
                <w:szCs w:val="18"/>
              </w:rPr>
            </w:pPr>
          </w:p>
        </w:tc>
        <w:tc>
          <w:tcPr>
            <w:tcW w:w="900" w:type="dxa"/>
          </w:tcPr>
          <w:p w14:paraId="53077E43" w14:textId="77777777" w:rsidR="002E38FB" w:rsidRPr="008C74A3" w:rsidRDefault="002E38FB" w:rsidP="00DB1B70">
            <w:pPr>
              <w:pStyle w:val="NoSpacing"/>
              <w:rPr>
                <w:sz w:val="18"/>
                <w:szCs w:val="18"/>
              </w:rPr>
            </w:pPr>
          </w:p>
        </w:tc>
        <w:tc>
          <w:tcPr>
            <w:tcW w:w="870" w:type="dxa"/>
          </w:tcPr>
          <w:p w14:paraId="6183BA36" w14:textId="77777777" w:rsidR="002E38FB" w:rsidRPr="008C74A3" w:rsidRDefault="002E38FB" w:rsidP="00DB1B70">
            <w:pPr>
              <w:pStyle w:val="NoSpacing"/>
              <w:rPr>
                <w:sz w:val="18"/>
                <w:szCs w:val="18"/>
              </w:rPr>
            </w:pPr>
          </w:p>
        </w:tc>
        <w:tc>
          <w:tcPr>
            <w:tcW w:w="870" w:type="dxa"/>
          </w:tcPr>
          <w:p w14:paraId="158B9CB6" w14:textId="77777777" w:rsidR="002E38FB" w:rsidRPr="008C74A3" w:rsidRDefault="002E38FB" w:rsidP="00DB1B70">
            <w:pPr>
              <w:pStyle w:val="NoSpacing"/>
              <w:rPr>
                <w:sz w:val="18"/>
                <w:szCs w:val="18"/>
              </w:rPr>
            </w:pPr>
          </w:p>
        </w:tc>
        <w:tc>
          <w:tcPr>
            <w:tcW w:w="870" w:type="dxa"/>
          </w:tcPr>
          <w:p w14:paraId="2807A598" w14:textId="77777777" w:rsidR="002E38FB" w:rsidRPr="008C74A3" w:rsidRDefault="002E38FB" w:rsidP="00DB1B70">
            <w:pPr>
              <w:pStyle w:val="NoSpacing"/>
              <w:rPr>
                <w:sz w:val="18"/>
                <w:szCs w:val="18"/>
              </w:rPr>
            </w:pPr>
          </w:p>
        </w:tc>
      </w:tr>
      <w:tr w:rsidR="002E38FB" w:rsidRPr="008C74A3" w14:paraId="2E681CCF" w14:textId="77777777" w:rsidTr="00BC0975">
        <w:trPr>
          <w:trHeight w:val="300"/>
        </w:trPr>
        <w:tc>
          <w:tcPr>
            <w:tcW w:w="1080" w:type="dxa"/>
            <w:vAlign w:val="center"/>
          </w:tcPr>
          <w:p w14:paraId="6D7EC937" w14:textId="77777777" w:rsidR="002E38FB" w:rsidRPr="008C74A3" w:rsidRDefault="002E38FB" w:rsidP="00DB1B70">
            <w:pPr>
              <w:pStyle w:val="NoSpacing"/>
              <w:rPr>
                <w:sz w:val="18"/>
                <w:szCs w:val="18"/>
              </w:rPr>
            </w:pPr>
            <w:r w:rsidRPr="008C74A3">
              <w:rPr>
                <w:sz w:val="18"/>
                <w:szCs w:val="18"/>
              </w:rPr>
              <w:t>Company Z</w:t>
            </w:r>
          </w:p>
        </w:tc>
        <w:tc>
          <w:tcPr>
            <w:tcW w:w="990" w:type="dxa"/>
            <w:vAlign w:val="center"/>
          </w:tcPr>
          <w:p w14:paraId="33FA3792" w14:textId="77777777" w:rsidR="002E38FB" w:rsidRPr="008C74A3" w:rsidRDefault="002E38FB" w:rsidP="00DB1B70">
            <w:pPr>
              <w:pStyle w:val="NoSpacing"/>
              <w:rPr>
                <w:sz w:val="18"/>
                <w:szCs w:val="18"/>
              </w:rPr>
            </w:pPr>
            <w:r w:rsidRPr="008C74A3">
              <w:rPr>
                <w:sz w:val="18"/>
                <w:szCs w:val="18"/>
              </w:rPr>
              <w:t xml:space="preserve">Outcome </w:t>
            </w:r>
          </w:p>
        </w:tc>
        <w:tc>
          <w:tcPr>
            <w:tcW w:w="900" w:type="dxa"/>
            <w:vAlign w:val="center"/>
          </w:tcPr>
          <w:p w14:paraId="2132A7CB" w14:textId="77777777" w:rsidR="002E38FB" w:rsidRPr="008C74A3" w:rsidRDefault="002E38FB" w:rsidP="00DB1B70">
            <w:pPr>
              <w:pStyle w:val="NoSpacing"/>
              <w:rPr>
                <w:sz w:val="18"/>
                <w:szCs w:val="18"/>
              </w:rPr>
            </w:pPr>
            <w:r w:rsidRPr="008C74A3">
              <w:rPr>
                <w:sz w:val="18"/>
                <w:szCs w:val="18"/>
              </w:rPr>
              <w:t xml:space="preserve">Metric </w:t>
            </w:r>
          </w:p>
        </w:tc>
        <w:tc>
          <w:tcPr>
            <w:tcW w:w="810" w:type="dxa"/>
          </w:tcPr>
          <w:p w14:paraId="2F5BE2BA" w14:textId="77777777" w:rsidR="002E38FB" w:rsidRPr="008C74A3" w:rsidRDefault="002E38FB" w:rsidP="00DB1B70">
            <w:pPr>
              <w:pStyle w:val="NoSpacing"/>
              <w:rPr>
                <w:sz w:val="18"/>
                <w:szCs w:val="18"/>
              </w:rPr>
            </w:pPr>
          </w:p>
        </w:tc>
        <w:tc>
          <w:tcPr>
            <w:tcW w:w="900" w:type="dxa"/>
          </w:tcPr>
          <w:p w14:paraId="7315B416" w14:textId="77777777" w:rsidR="002E38FB" w:rsidRPr="008C74A3" w:rsidRDefault="002E38FB" w:rsidP="00DB1B70">
            <w:pPr>
              <w:pStyle w:val="NoSpacing"/>
              <w:rPr>
                <w:sz w:val="18"/>
                <w:szCs w:val="18"/>
              </w:rPr>
            </w:pPr>
          </w:p>
        </w:tc>
        <w:tc>
          <w:tcPr>
            <w:tcW w:w="900" w:type="dxa"/>
          </w:tcPr>
          <w:p w14:paraId="22AAAAE0" w14:textId="77777777" w:rsidR="002E38FB" w:rsidRPr="008C74A3" w:rsidRDefault="002E38FB" w:rsidP="00DB1B70">
            <w:pPr>
              <w:pStyle w:val="NoSpacing"/>
              <w:rPr>
                <w:sz w:val="18"/>
                <w:szCs w:val="18"/>
              </w:rPr>
            </w:pPr>
          </w:p>
        </w:tc>
        <w:tc>
          <w:tcPr>
            <w:tcW w:w="900" w:type="dxa"/>
          </w:tcPr>
          <w:p w14:paraId="086A2906" w14:textId="77777777" w:rsidR="002E38FB" w:rsidRPr="008C74A3" w:rsidRDefault="002E38FB" w:rsidP="00DB1B70">
            <w:pPr>
              <w:pStyle w:val="NoSpacing"/>
              <w:rPr>
                <w:sz w:val="18"/>
                <w:szCs w:val="18"/>
              </w:rPr>
            </w:pPr>
          </w:p>
        </w:tc>
        <w:tc>
          <w:tcPr>
            <w:tcW w:w="870" w:type="dxa"/>
          </w:tcPr>
          <w:p w14:paraId="6BB46FE4" w14:textId="77777777" w:rsidR="002E38FB" w:rsidRPr="008C74A3" w:rsidRDefault="002E38FB" w:rsidP="00DB1B70">
            <w:pPr>
              <w:pStyle w:val="NoSpacing"/>
              <w:rPr>
                <w:sz w:val="18"/>
                <w:szCs w:val="18"/>
              </w:rPr>
            </w:pPr>
          </w:p>
        </w:tc>
        <w:tc>
          <w:tcPr>
            <w:tcW w:w="870" w:type="dxa"/>
          </w:tcPr>
          <w:p w14:paraId="04357E2F" w14:textId="77777777" w:rsidR="002E38FB" w:rsidRPr="008C74A3" w:rsidRDefault="002E38FB" w:rsidP="00DB1B70">
            <w:pPr>
              <w:pStyle w:val="NoSpacing"/>
              <w:rPr>
                <w:sz w:val="18"/>
                <w:szCs w:val="18"/>
              </w:rPr>
            </w:pPr>
          </w:p>
        </w:tc>
        <w:tc>
          <w:tcPr>
            <w:tcW w:w="870" w:type="dxa"/>
          </w:tcPr>
          <w:p w14:paraId="13368A66" w14:textId="77777777" w:rsidR="002E38FB" w:rsidRPr="008C74A3" w:rsidRDefault="002E38FB" w:rsidP="00DB1B70">
            <w:pPr>
              <w:pStyle w:val="NoSpacing"/>
              <w:rPr>
                <w:sz w:val="18"/>
                <w:szCs w:val="18"/>
              </w:rPr>
            </w:pPr>
          </w:p>
        </w:tc>
      </w:tr>
      <w:tr w:rsidR="002E38FB" w:rsidRPr="008C74A3" w14:paraId="02D716FE" w14:textId="77777777" w:rsidTr="00BC0975">
        <w:trPr>
          <w:trHeight w:val="300"/>
        </w:trPr>
        <w:tc>
          <w:tcPr>
            <w:tcW w:w="1080" w:type="dxa"/>
            <w:vAlign w:val="center"/>
          </w:tcPr>
          <w:p w14:paraId="6B25FC0D" w14:textId="77777777" w:rsidR="002E38FB" w:rsidRPr="008C74A3" w:rsidRDefault="002E38FB" w:rsidP="00DB1B70">
            <w:pPr>
              <w:pStyle w:val="NoSpacing"/>
              <w:rPr>
                <w:sz w:val="18"/>
                <w:szCs w:val="18"/>
              </w:rPr>
            </w:pPr>
            <w:r w:rsidRPr="008C74A3">
              <w:rPr>
                <w:sz w:val="18"/>
                <w:szCs w:val="18"/>
              </w:rPr>
              <w:t>…</w:t>
            </w:r>
          </w:p>
        </w:tc>
        <w:tc>
          <w:tcPr>
            <w:tcW w:w="990" w:type="dxa"/>
            <w:vAlign w:val="center"/>
          </w:tcPr>
          <w:p w14:paraId="2B436A2C" w14:textId="77777777" w:rsidR="002E38FB" w:rsidRPr="008C74A3" w:rsidRDefault="002E38FB" w:rsidP="00DB1B70">
            <w:pPr>
              <w:pStyle w:val="NoSpacing"/>
              <w:rPr>
                <w:sz w:val="18"/>
                <w:szCs w:val="18"/>
              </w:rPr>
            </w:pPr>
          </w:p>
        </w:tc>
        <w:tc>
          <w:tcPr>
            <w:tcW w:w="900" w:type="dxa"/>
            <w:vAlign w:val="center"/>
          </w:tcPr>
          <w:p w14:paraId="544CDF98" w14:textId="77777777" w:rsidR="002E38FB" w:rsidRPr="008C74A3" w:rsidRDefault="002E38FB" w:rsidP="00DB1B70">
            <w:pPr>
              <w:pStyle w:val="NoSpacing"/>
              <w:rPr>
                <w:sz w:val="18"/>
                <w:szCs w:val="18"/>
              </w:rPr>
            </w:pPr>
          </w:p>
        </w:tc>
        <w:tc>
          <w:tcPr>
            <w:tcW w:w="810" w:type="dxa"/>
          </w:tcPr>
          <w:p w14:paraId="242A9A3F" w14:textId="77777777" w:rsidR="002E38FB" w:rsidRPr="008C74A3" w:rsidRDefault="002E38FB" w:rsidP="00DB1B70">
            <w:pPr>
              <w:pStyle w:val="NoSpacing"/>
              <w:rPr>
                <w:sz w:val="18"/>
                <w:szCs w:val="18"/>
              </w:rPr>
            </w:pPr>
          </w:p>
        </w:tc>
        <w:tc>
          <w:tcPr>
            <w:tcW w:w="900" w:type="dxa"/>
          </w:tcPr>
          <w:p w14:paraId="116C1611" w14:textId="77777777" w:rsidR="002E38FB" w:rsidRPr="008C74A3" w:rsidRDefault="002E38FB" w:rsidP="00DB1B70">
            <w:pPr>
              <w:pStyle w:val="NoSpacing"/>
              <w:rPr>
                <w:sz w:val="18"/>
                <w:szCs w:val="18"/>
              </w:rPr>
            </w:pPr>
          </w:p>
        </w:tc>
        <w:tc>
          <w:tcPr>
            <w:tcW w:w="900" w:type="dxa"/>
          </w:tcPr>
          <w:p w14:paraId="7A973FF9" w14:textId="77777777" w:rsidR="002E38FB" w:rsidRPr="008C74A3" w:rsidRDefault="002E38FB" w:rsidP="00DB1B70">
            <w:pPr>
              <w:pStyle w:val="NoSpacing"/>
              <w:rPr>
                <w:sz w:val="18"/>
                <w:szCs w:val="18"/>
              </w:rPr>
            </w:pPr>
          </w:p>
        </w:tc>
        <w:tc>
          <w:tcPr>
            <w:tcW w:w="900" w:type="dxa"/>
          </w:tcPr>
          <w:p w14:paraId="177E1D55" w14:textId="77777777" w:rsidR="002E38FB" w:rsidRPr="008C74A3" w:rsidRDefault="002E38FB" w:rsidP="00DB1B70">
            <w:pPr>
              <w:pStyle w:val="NoSpacing"/>
              <w:rPr>
                <w:sz w:val="18"/>
                <w:szCs w:val="18"/>
              </w:rPr>
            </w:pPr>
          </w:p>
        </w:tc>
        <w:tc>
          <w:tcPr>
            <w:tcW w:w="870" w:type="dxa"/>
          </w:tcPr>
          <w:p w14:paraId="5C3812AE" w14:textId="77777777" w:rsidR="002E38FB" w:rsidRPr="008C74A3" w:rsidRDefault="002E38FB" w:rsidP="00DB1B70">
            <w:pPr>
              <w:pStyle w:val="NoSpacing"/>
              <w:rPr>
                <w:sz w:val="18"/>
                <w:szCs w:val="18"/>
              </w:rPr>
            </w:pPr>
          </w:p>
        </w:tc>
        <w:tc>
          <w:tcPr>
            <w:tcW w:w="870" w:type="dxa"/>
          </w:tcPr>
          <w:p w14:paraId="6E317E04" w14:textId="77777777" w:rsidR="002E38FB" w:rsidRPr="008C74A3" w:rsidRDefault="002E38FB" w:rsidP="00DB1B70">
            <w:pPr>
              <w:pStyle w:val="NoSpacing"/>
              <w:rPr>
                <w:sz w:val="18"/>
                <w:szCs w:val="18"/>
              </w:rPr>
            </w:pPr>
          </w:p>
        </w:tc>
        <w:tc>
          <w:tcPr>
            <w:tcW w:w="870" w:type="dxa"/>
          </w:tcPr>
          <w:p w14:paraId="7BBC535D" w14:textId="77777777" w:rsidR="002E38FB" w:rsidRPr="008C74A3" w:rsidRDefault="002E38FB" w:rsidP="00DB1B70">
            <w:pPr>
              <w:pStyle w:val="NoSpacing"/>
              <w:rPr>
                <w:sz w:val="18"/>
                <w:szCs w:val="18"/>
              </w:rPr>
            </w:pPr>
          </w:p>
        </w:tc>
      </w:tr>
    </w:tbl>
    <w:p w14:paraId="27FF5BA8" w14:textId="77777777" w:rsidR="00D33AB7" w:rsidRPr="008C74A3" w:rsidRDefault="00D33AB7" w:rsidP="00D33AB7"/>
    <w:p w14:paraId="019AB8E5" w14:textId="77777777" w:rsidR="00D33AB7" w:rsidRPr="008C74A3" w:rsidRDefault="00D33AB7" w:rsidP="00D33AB7">
      <w:pPr>
        <w:pStyle w:val="Heading2"/>
        <w:sectPr w:rsidR="00D33AB7" w:rsidRPr="008C74A3" w:rsidSect="00A8001F">
          <w:pgSz w:w="12240" w:h="15840" w:code="1"/>
          <w:pgMar w:top="1440" w:right="1440" w:bottom="1440" w:left="1440" w:header="720" w:footer="720" w:gutter="0"/>
          <w:cols w:space="720"/>
          <w:docGrid w:linePitch="360"/>
        </w:sectPr>
      </w:pPr>
      <w:bookmarkStart w:id="88" w:name="_Toc141449374"/>
      <w:bookmarkStart w:id="89" w:name="_Toc141449661"/>
      <w:bookmarkStart w:id="90" w:name="_Toc146213870"/>
    </w:p>
    <w:p w14:paraId="46A03014" w14:textId="2D2718FF" w:rsidR="00D33AB7" w:rsidRPr="008C74A3" w:rsidRDefault="00D33AB7" w:rsidP="00D33AB7">
      <w:pPr>
        <w:pStyle w:val="Heading2"/>
        <w:rPr>
          <w:rFonts w:eastAsia="MS Mincho" w:cs="Arial"/>
        </w:rPr>
      </w:pPr>
      <w:bookmarkStart w:id="91" w:name="_Toc148384207"/>
      <w:r w:rsidRPr="008C74A3">
        <w:lastRenderedPageBreak/>
        <w:t xml:space="preserve">Appendix </w:t>
      </w:r>
      <w:r w:rsidR="00D9253A" w:rsidRPr="008C74A3">
        <w:t>J</w:t>
      </w:r>
      <w:r w:rsidRPr="008C74A3">
        <w:t xml:space="preserve">: </w:t>
      </w:r>
      <w:r w:rsidR="00BC0975" w:rsidRPr="008C74A3">
        <w:t>Examples of</w:t>
      </w:r>
      <w:r w:rsidRPr="008C74A3">
        <w:t xml:space="preserve"> Portfolio-level Metrics</w:t>
      </w:r>
      <w:bookmarkEnd w:id="88"/>
      <w:bookmarkEnd w:id="89"/>
      <w:bookmarkEnd w:id="90"/>
      <w:bookmarkEnd w:id="91"/>
    </w:p>
    <w:p w14:paraId="0A615AA4" w14:textId="618D3008" w:rsidR="00D33AB7" w:rsidRPr="008C74A3" w:rsidRDefault="00BC0975" w:rsidP="00D33AB7">
      <w:pPr>
        <w:rPr>
          <w:rFonts w:eastAsia="MS Mincho"/>
        </w:rPr>
      </w:pPr>
      <w:r w:rsidRPr="008C74A3">
        <w:rPr>
          <w:rFonts w:eastAsia="MS Mincho"/>
        </w:rPr>
        <w:t xml:space="preserve">The following table presents illustrative </w:t>
      </w:r>
      <w:r w:rsidR="00644D66" w:rsidRPr="008C74A3">
        <w:rPr>
          <w:rFonts w:eastAsia="MS Mincho"/>
        </w:rPr>
        <w:t>examples of</w:t>
      </w:r>
      <w:r w:rsidR="00D33AB7" w:rsidRPr="008C74A3">
        <w:rPr>
          <w:rFonts w:eastAsia="MS Mincho"/>
        </w:rPr>
        <w:t xml:space="preserve"> </w:t>
      </w:r>
      <w:r w:rsidRPr="008C74A3">
        <w:rPr>
          <w:rFonts w:eastAsia="MS Mincho"/>
        </w:rPr>
        <w:t xml:space="preserve">portfolio-level </w:t>
      </w:r>
      <w:r w:rsidR="00D33AB7" w:rsidRPr="008C74A3">
        <w:rPr>
          <w:rFonts w:eastAsia="MS Mincho"/>
        </w:rPr>
        <w:t>metrics</w:t>
      </w:r>
      <w:r w:rsidRPr="008C74A3">
        <w:rPr>
          <w:rFonts w:eastAsia="MS Mincho"/>
        </w:rPr>
        <w:t>:</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00" w:firstRow="0" w:lastRow="0" w:firstColumn="0" w:lastColumn="0" w:noHBand="1" w:noVBand="1"/>
      </w:tblPr>
      <w:tblGrid>
        <w:gridCol w:w="2081"/>
        <w:gridCol w:w="2336"/>
        <w:gridCol w:w="2336"/>
        <w:gridCol w:w="2337"/>
      </w:tblGrid>
      <w:tr w:rsidR="00D33AB7" w:rsidRPr="008C74A3" w14:paraId="23EF9F1C" w14:textId="77777777" w:rsidTr="00644D66">
        <w:trPr>
          <w:trHeight w:val="500"/>
        </w:trPr>
        <w:tc>
          <w:tcPr>
            <w:tcW w:w="2081" w:type="dxa"/>
            <w:tcBorders>
              <w:top w:val="single" w:sz="0" w:space="0" w:color="EFF7FA"/>
              <w:left w:val="single" w:sz="0" w:space="0" w:color="EFF7FA"/>
              <w:bottom w:val="single" w:sz="6" w:space="0" w:color="0F0D24"/>
              <w:right w:val="single" w:sz="6" w:space="0" w:color="0F0D24"/>
            </w:tcBorders>
            <w:shd w:val="clear" w:color="auto" w:fill="FFFFFF" w:themeFill="background1"/>
            <w:tcMar>
              <w:top w:w="60" w:type="dxa"/>
              <w:left w:w="135" w:type="dxa"/>
              <w:bottom w:w="60" w:type="dxa"/>
              <w:right w:w="135" w:type="dxa"/>
            </w:tcMar>
          </w:tcPr>
          <w:p w14:paraId="53DF0438" w14:textId="77777777" w:rsidR="00D33AB7" w:rsidRPr="008C74A3" w:rsidRDefault="00D33AB7" w:rsidP="00AA2BA5">
            <w:pPr>
              <w:rPr>
                <w:rFonts w:eastAsia="Corbel"/>
              </w:rPr>
            </w:pP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2DB1AC7D" w14:textId="77777777" w:rsidR="00D33AB7" w:rsidRPr="008C74A3" w:rsidRDefault="00D33AB7" w:rsidP="00AA2BA5">
            <w:pPr>
              <w:rPr>
                <w:rFonts w:eastAsia="Corbel"/>
              </w:rPr>
            </w:pPr>
            <w:r w:rsidRPr="008C74A3">
              <w:rPr>
                <w:rFonts w:eastAsia="Corbel"/>
              </w:rPr>
              <w:t>Total Impacts</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14331094" w14:textId="77777777" w:rsidR="00D33AB7" w:rsidRPr="008C74A3" w:rsidRDefault="00D33AB7" w:rsidP="00AA2BA5">
            <w:pPr>
              <w:rPr>
                <w:rFonts w:eastAsia="Corbel"/>
              </w:rPr>
            </w:pPr>
            <w:r w:rsidRPr="008C74A3">
              <w:rPr>
                <w:rFonts w:eastAsia="Corbel"/>
              </w:rPr>
              <w:t>% of Portfolio</w:t>
            </w:r>
          </w:p>
        </w:tc>
        <w:tc>
          <w:tcPr>
            <w:tcW w:w="2337"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060FB717" w14:textId="77777777" w:rsidR="00D33AB7" w:rsidRPr="008C74A3" w:rsidRDefault="00D33AB7" w:rsidP="00AA2BA5">
            <w:pPr>
              <w:rPr>
                <w:rFonts w:eastAsia="Corbel"/>
              </w:rPr>
            </w:pPr>
            <w:r w:rsidRPr="008C74A3">
              <w:rPr>
                <w:rFonts w:eastAsia="Corbel"/>
              </w:rPr>
              <w:t>Average Performance</w:t>
            </w:r>
          </w:p>
        </w:tc>
      </w:tr>
      <w:tr w:rsidR="00D33AB7" w:rsidRPr="008C74A3" w14:paraId="00E6435A" w14:textId="77777777" w:rsidTr="00644D66">
        <w:trPr>
          <w:trHeight w:val="960"/>
        </w:trPr>
        <w:tc>
          <w:tcPr>
            <w:tcW w:w="2081"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3AB7C007" w14:textId="77777777" w:rsidR="00D33AB7" w:rsidRPr="008C74A3" w:rsidRDefault="00D33AB7" w:rsidP="00644D66">
            <w:pPr>
              <w:rPr>
                <w:rFonts w:eastAsia="Corbel"/>
              </w:rPr>
            </w:pPr>
            <w:r w:rsidRPr="008C74A3">
              <w:rPr>
                <w:rFonts w:eastAsia="Corbel"/>
              </w:rPr>
              <w:t>WHAT</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364E91A1" w14:textId="796D23F0" w:rsidR="00D33AB7" w:rsidRPr="008C74A3" w:rsidRDefault="00D33AB7" w:rsidP="00644D66">
            <w:pPr>
              <w:jc w:val="center"/>
              <w:rPr>
                <w:rFonts w:eastAsia="Corbel"/>
              </w:rPr>
            </w:pPr>
            <w:r w:rsidRPr="008C74A3">
              <w:rPr>
                <w:rFonts w:eastAsia="Corbel"/>
              </w:rPr>
              <w:t>Total reduction in GHG emissions</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7F359318" w14:textId="77777777" w:rsidR="00D33AB7" w:rsidRPr="008C74A3" w:rsidRDefault="00D33AB7" w:rsidP="00644D66">
            <w:pPr>
              <w:jc w:val="center"/>
              <w:rPr>
                <w:rFonts w:eastAsia="Corbel"/>
              </w:rPr>
            </w:pPr>
            <w:r w:rsidRPr="008C74A3">
              <w:rPr>
                <w:rFonts w:eastAsia="Corbel"/>
              </w:rPr>
              <w:t>% of portfolio invested in SDG 1</w:t>
            </w:r>
          </w:p>
        </w:tc>
        <w:tc>
          <w:tcPr>
            <w:tcW w:w="2337"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4558F61B" w14:textId="23525150" w:rsidR="00D33AB7" w:rsidRPr="008C74A3" w:rsidRDefault="00D33AB7" w:rsidP="00644D66">
            <w:pPr>
              <w:jc w:val="center"/>
              <w:rPr>
                <w:rFonts w:eastAsia="Corbel"/>
              </w:rPr>
            </w:pPr>
            <w:r w:rsidRPr="008C74A3">
              <w:rPr>
                <w:rFonts w:eastAsia="Corbel"/>
              </w:rPr>
              <w:t xml:space="preserve">Average increase in low-income </w:t>
            </w:r>
            <w:r w:rsidR="00734B44" w:rsidRPr="008C74A3">
              <w:rPr>
                <w:rFonts w:eastAsia="Corbel"/>
              </w:rPr>
              <w:t>stakeholder</w:t>
            </w:r>
            <w:r w:rsidRPr="008C74A3">
              <w:rPr>
                <w:rFonts w:eastAsia="Corbel"/>
              </w:rPr>
              <w:t xml:space="preserve"> wages</w:t>
            </w:r>
          </w:p>
        </w:tc>
      </w:tr>
      <w:tr w:rsidR="00D33AB7" w:rsidRPr="008C74A3" w14:paraId="6AA9F04F" w14:textId="77777777" w:rsidTr="00644D66">
        <w:trPr>
          <w:trHeight w:val="402"/>
        </w:trPr>
        <w:tc>
          <w:tcPr>
            <w:tcW w:w="2081"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1CB2897F" w14:textId="77777777" w:rsidR="00D33AB7" w:rsidRPr="008C74A3" w:rsidRDefault="00D33AB7" w:rsidP="00644D66">
            <w:pPr>
              <w:rPr>
                <w:rFonts w:eastAsia="Corbel"/>
              </w:rPr>
            </w:pPr>
            <w:r w:rsidRPr="008C74A3">
              <w:rPr>
                <w:rFonts w:eastAsia="Corbel"/>
              </w:rPr>
              <w:t>WHO</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085190A7" w14:textId="085475BC" w:rsidR="00D33AB7" w:rsidRPr="008C74A3" w:rsidRDefault="00D33AB7" w:rsidP="00644D66">
            <w:pPr>
              <w:jc w:val="center"/>
              <w:rPr>
                <w:rFonts w:eastAsia="Corbel"/>
              </w:rPr>
            </w:pPr>
            <w:r w:rsidRPr="008C74A3">
              <w:rPr>
                <w:rFonts w:eastAsia="Corbel"/>
              </w:rPr>
              <w:t xml:space="preserve"># of </w:t>
            </w:r>
            <w:r w:rsidR="004B609C" w:rsidRPr="008C74A3">
              <w:rPr>
                <w:rFonts w:eastAsia="Corbel"/>
              </w:rPr>
              <w:t>formerly unemployed</w:t>
            </w:r>
            <w:r w:rsidRPr="008C74A3">
              <w:rPr>
                <w:rFonts w:eastAsia="Corbel"/>
              </w:rPr>
              <w:t xml:space="preserve"> women now earning a living wage</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3C270889" w14:textId="77777777" w:rsidR="00D33AB7" w:rsidRPr="008C74A3" w:rsidRDefault="00D33AB7" w:rsidP="00644D66">
            <w:pPr>
              <w:jc w:val="center"/>
              <w:rPr>
                <w:rFonts w:eastAsia="Corbel"/>
              </w:rPr>
            </w:pPr>
            <w:r w:rsidRPr="008C74A3">
              <w:rPr>
                <w:rFonts w:eastAsia="Corbel"/>
              </w:rPr>
              <w:t>% of portfolio invested in low-income communities</w:t>
            </w:r>
          </w:p>
        </w:tc>
        <w:tc>
          <w:tcPr>
            <w:tcW w:w="2337"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407F31E5" w14:textId="12A16F84" w:rsidR="00D33AB7" w:rsidRPr="008C74A3" w:rsidRDefault="00D33AB7" w:rsidP="00644D66">
            <w:pPr>
              <w:jc w:val="center"/>
              <w:rPr>
                <w:rFonts w:eastAsia="Corbel"/>
              </w:rPr>
            </w:pPr>
            <w:r w:rsidRPr="008C74A3">
              <w:rPr>
                <w:rFonts w:eastAsia="Corbel"/>
              </w:rPr>
              <w:t xml:space="preserve">Average level below poverty line of target </w:t>
            </w:r>
            <w:r w:rsidR="00734B44" w:rsidRPr="008C74A3">
              <w:rPr>
                <w:rFonts w:eastAsia="Corbel"/>
              </w:rPr>
              <w:t>stakeholder</w:t>
            </w:r>
            <w:r w:rsidRPr="008C74A3">
              <w:rPr>
                <w:rFonts w:eastAsia="Corbel"/>
              </w:rPr>
              <w:t>s at baseline</w:t>
            </w:r>
          </w:p>
        </w:tc>
      </w:tr>
      <w:tr w:rsidR="00D33AB7" w:rsidRPr="008C74A3" w14:paraId="6B27890C" w14:textId="77777777" w:rsidTr="00644D66">
        <w:trPr>
          <w:trHeight w:val="17"/>
        </w:trPr>
        <w:tc>
          <w:tcPr>
            <w:tcW w:w="2081"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147509E7" w14:textId="77777777" w:rsidR="00D33AB7" w:rsidRPr="008C74A3" w:rsidRDefault="00D33AB7" w:rsidP="00644D66">
            <w:pPr>
              <w:rPr>
                <w:rFonts w:eastAsia="Corbel"/>
              </w:rPr>
            </w:pPr>
            <w:r w:rsidRPr="008C74A3">
              <w:rPr>
                <w:rFonts w:eastAsia="Corbel"/>
              </w:rPr>
              <w:t>CONTRIBUTION</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6909986A" w14:textId="77777777" w:rsidR="00D33AB7" w:rsidRPr="008C74A3" w:rsidRDefault="00D33AB7" w:rsidP="00644D66">
            <w:pPr>
              <w:jc w:val="center"/>
              <w:rPr>
                <w:rFonts w:eastAsia="Corbel"/>
              </w:rPr>
            </w:pPr>
            <w:r w:rsidRPr="008C74A3">
              <w:rPr>
                <w:rFonts w:eastAsia="Corbel"/>
              </w:rPr>
              <w:t>$ invested in growing new or undersupplied capital markets</w:t>
            </w:r>
          </w:p>
        </w:tc>
        <w:tc>
          <w:tcPr>
            <w:tcW w:w="2336"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30290EDF" w14:textId="77777777" w:rsidR="00D33AB7" w:rsidRPr="008C74A3" w:rsidRDefault="00D33AB7" w:rsidP="00644D66">
            <w:pPr>
              <w:jc w:val="center"/>
              <w:rPr>
                <w:rFonts w:eastAsia="Corbel"/>
              </w:rPr>
            </w:pPr>
            <w:r w:rsidRPr="008C74A3">
              <w:rPr>
                <w:rFonts w:eastAsia="Corbel"/>
              </w:rPr>
              <w:t>% of portfolio engaged actively</w:t>
            </w:r>
          </w:p>
        </w:tc>
        <w:tc>
          <w:tcPr>
            <w:tcW w:w="2337" w:type="dxa"/>
            <w:tcBorders>
              <w:top w:val="single" w:sz="6" w:space="0" w:color="0F0D24"/>
              <w:left w:val="single" w:sz="6" w:space="0" w:color="0F0D24"/>
              <w:bottom w:val="single" w:sz="6" w:space="0" w:color="0F0D24"/>
              <w:right w:val="single" w:sz="6" w:space="0" w:color="0F0D24"/>
            </w:tcBorders>
            <w:shd w:val="clear" w:color="auto" w:fill="FFFFFF" w:themeFill="background1"/>
            <w:tcMar>
              <w:top w:w="60" w:type="dxa"/>
              <w:left w:w="135" w:type="dxa"/>
              <w:bottom w:w="60" w:type="dxa"/>
              <w:right w:w="135" w:type="dxa"/>
            </w:tcMar>
            <w:vAlign w:val="center"/>
          </w:tcPr>
          <w:p w14:paraId="322C5E39" w14:textId="77777777" w:rsidR="00D33AB7" w:rsidRPr="008C74A3" w:rsidRDefault="00D33AB7" w:rsidP="00644D66">
            <w:pPr>
              <w:jc w:val="center"/>
              <w:rPr>
                <w:rFonts w:eastAsia="Corbel"/>
              </w:rPr>
            </w:pPr>
            <w:r w:rsidRPr="008C74A3">
              <w:rPr>
                <w:rFonts w:eastAsia="Corbel"/>
              </w:rPr>
              <w:t>Average size of flexible investments</w:t>
            </w:r>
          </w:p>
        </w:tc>
      </w:tr>
    </w:tbl>
    <w:p w14:paraId="2E55B126" w14:textId="77777777" w:rsidR="00BC0975" w:rsidRPr="008C74A3" w:rsidRDefault="00BC0975" w:rsidP="00DB1B70">
      <w:pPr>
        <w:rPr>
          <w:rFonts w:eastAsia="Corbel"/>
        </w:rPr>
      </w:pPr>
    </w:p>
    <w:p w14:paraId="7BF40B02" w14:textId="00789E18" w:rsidR="0049017E" w:rsidRPr="008C74A3" w:rsidRDefault="00D33AB7" w:rsidP="00DB1B70">
      <w:pPr>
        <w:rPr>
          <w:rFonts w:eastAsia="Corbel"/>
        </w:rPr>
        <w:sectPr w:rsidR="0049017E" w:rsidRPr="008C74A3" w:rsidSect="00A8001F">
          <w:pgSz w:w="12240" w:h="15840" w:code="1"/>
          <w:pgMar w:top="1440" w:right="1440" w:bottom="1440" w:left="1440" w:header="720" w:footer="720" w:gutter="0"/>
          <w:cols w:space="720"/>
          <w:docGrid w:linePitch="360"/>
        </w:sectPr>
      </w:pPr>
      <w:r w:rsidRPr="008C74A3">
        <w:rPr>
          <w:rFonts w:eastAsia="Corbel"/>
        </w:rPr>
        <w:t xml:space="preserve">Note that </w:t>
      </w:r>
      <w:r w:rsidR="00644D66" w:rsidRPr="008C74A3">
        <w:rPr>
          <w:rFonts w:eastAsia="Corbel"/>
        </w:rPr>
        <w:t xml:space="preserve">some </w:t>
      </w:r>
      <w:r w:rsidRPr="008C74A3">
        <w:rPr>
          <w:rFonts w:eastAsia="Corbel"/>
        </w:rPr>
        <w:t xml:space="preserve">metrics include </w:t>
      </w:r>
      <w:r w:rsidR="00644D66" w:rsidRPr="008C74A3">
        <w:rPr>
          <w:rFonts w:eastAsia="Corbel"/>
        </w:rPr>
        <w:t>multiple</w:t>
      </w:r>
      <w:r w:rsidRPr="008C74A3">
        <w:rPr>
          <w:rFonts w:eastAsia="Corbel"/>
        </w:rPr>
        <w:t xml:space="preserve"> dimensions of impact. For example</w:t>
      </w:r>
      <w:r w:rsidR="00644D66" w:rsidRPr="008C74A3">
        <w:rPr>
          <w:rFonts w:eastAsia="Corbel"/>
        </w:rPr>
        <w:t>,</w:t>
      </w:r>
      <w:r w:rsidRPr="008C74A3">
        <w:rPr>
          <w:rFonts w:eastAsia="Corbel"/>
        </w:rPr>
        <w:t xml:space="preserve"> in the WHO, # of formerly-unemployed women now earning a living wage also includes an element of HOW MUCH – the living wage – and an element of enterprise contribution because the enterprise is causing a change in outcome for the women. It is common and encouraged to have multiple dimensions of impact in one metric</w:t>
      </w:r>
      <w:r w:rsidR="00644D66" w:rsidRPr="008C74A3">
        <w:rPr>
          <w:rFonts w:eastAsia="Corbel"/>
        </w:rPr>
        <w:t>.</w:t>
      </w:r>
      <w:r w:rsidRPr="008C74A3">
        <w:rPr>
          <w:rFonts w:eastAsia="Corbel"/>
        </w:rPr>
        <w:t xml:space="preserve"> </w:t>
      </w:r>
      <w:r w:rsidR="00BC0975" w:rsidRPr="008C74A3">
        <w:rPr>
          <w:rFonts w:eastAsia="Corbel"/>
        </w:rPr>
        <w:t>Note that s</w:t>
      </w:r>
      <w:r w:rsidRPr="008C74A3">
        <w:rPr>
          <w:rFonts w:eastAsia="Corbel"/>
        </w:rPr>
        <w:t>ome of these metrics show a level, and some of them show a change</w:t>
      </w:r>
      <w:bookmarkStart w:id="92" w:name="_Toc141449371"/>
      <w:bookmarkStart w:id="93" w:name="_Toc141449658"/>
      <w:bookmarkStart w:id="94" w:name="_Toc146213867"/>
      <w:bookmarkEnd w:id="86"/>
      <w:bookmarkEnd w:id="87"/>
      <w:r w:rsidR="00644D66" w:rsidRPr="008C74A3">
        <w:rPr>
          <w:rFonts w:eastAsia="Corbel"/>
        </w:rPr>
        <w:t>.</w:t>
      </w:r>
    </w:p>
    <w:p w14:paraId="7BDDBE05" w14:textId="44DB3704" w:rsidR="00D33AB7" w:rsidRPr="008C74A3" w:rsidRDefault="00D33AB7" w:rsidP="00D33AB7">
      <w:bookmarkStart w:id="95" w:name="_Toc148384208"/>
      <w:bookmarkEnd w:id="92"/>
      <w:bookmarkEnd w:id="93"/>
      <w:bookmarkEnd w:id="94"/>
      <w:r w:rsidRPr="008C74A3">
        <w:rPr>
          <w:rStyle w:val="Heading2Char"/>
          <w:b/>
          <w:bCs/>
        </w:rPr>
        <w:lastRenderedPageBreak/>
        <w:t xml:space="preserve">Appendix </w:t>
      </w:r>
      <w:r w:rsidR="00D9253A" w:rsidRPr="008C74A3">
        <w:rPr>
          <w:rStyle w:val="Heading2Char"/>
          <w:b/>
          <w:bCs/>
        </w:rPr>
        <w:t>K</w:t>
      </w:r>
      <w:r w:rsidRPr="008C74A3">
        <w:rPr>
          <w:rStyle w:val="Heading2Char"/>
          <w:b/>
          <w:bCs/>
        </w:rPr>
        <w:t>: Effectiveness Criteria For Non-Judicial Grievance Mechanisms</w:t>
      </w:r>
      <w:bookmarkEnd w:id="95"/>
      <w:r w:rsidRPr="008C74A3">
        <w:rPr>
          <w:rStyle w:val="FootnoteReference"/>
          <w:rFonts w:ascii="Interstate" w:hAnsi="Interstate"/>
          <w:b/>
          <w:bCs/>
          <w:sz w:val="28"/>
          <w:szCs w:val="28"/>
        </w:rPr>
        <w:footnoteReference w:id="95"/>
      </w:r>
    </w:p>
    <w:p w14:paraId="2E7CE723" w14:textId="3CE40F4B" w:rsidR="00D33AB7" w:rsidRPr="008C74A3" w:rsidRDefault="00D33AB7" w:rsidP="00644D66">
      <w:pPr>
        <w:spacing w:after="120"/>
      </w:pPr>
      <w:r w:rsidRPr="008C74A3">
        <w:t>Principle 31 of The UN Guiding Principles on Business and Human Rights states that to be effective, non-judicial grievance mechanisms should be:</w:t>
      </w:r>
    </w:p>
    <w:p w14:paraId="08BC0522" w14:textId="77777777" w:rsidR="00D33AB7" w:rsidRPr="008C74A3" w:rsidRDefault="00D33AB7" w:rsidP="002D5795">
      <w:pPr>
        <w:pStyle w:val="ListParagraph"/>
        <w:numPr>
          <w:ilvl w:val="0"/>
          <w:numId w:val="41"/>
        </w:numPr>
        <w:spacing w:after="120"/>
        <w:ind w:leftChars="0"/>
      </w:pPr>
      <w:r w:rsidRPr="008C74A3">
        <w:t xml:space="preserve">Legitimate: enabling trust from the stakeholder groups for whose use they are intended, and being accountable for the fair conduct of grievance processes; </w:t>
      </w:r>
    </w:p>
    <w:p w14:paraId="301D8D8B" w14:textId="77777777" w:rsidR="00D33AB7" w:rsidRPr="008C74A3" w:rsidRDefault="00D33AB7" w:rsidP="002D5795">
      <w:pPr>
        <w:pStyle w:val="ListParagraph"/>
        <w:numPr>
          <w:ilvl w:val="0"/>
          <w:numId w:val="41"/>
        </w:numPr>
        <w:spacing w:after="120"/>
        <w:ind w:leftChars="0"/>
      </w:pPr>
      <w:r w:rsidRPr="008C74A3">
        <w:t xml:space="preserve">Accessible: being known to all stakeholder groups for whose use they are intended, and providing adequate assistance for those who may face </w:t>
      </w:r>
      <w:proofErr w:type="gramStart"/>
      <w:r w:rsidRPr="008C74A3">
        <w:t>particular barriers</w:t>
      </w:r>
      <w:proofErr w:type="gramEnd"/>
      <w:r w:rsidRPr="008C74A3">
        <w:t xml:space="preserve"> to access; </w:t>
      </w:r>
    </w:p>
    <w:p w14:paraId="78CBDD11" w14:textId="77777777" w:rsidR="00D33AB7" w:rsidRPr="008C74A3" w:rsidRDefault="00D33AB7" w:rsidP="002D5795">
      <w:pPr>
        <w:pStyle w:val="ListParagraph"/>
        <w:numPr>
          <w:ilvl w:val="0"/>
          <w:numId w:val="41"/>
        </w:numPr>
        <w:spacing w:after="120"/>
        <w:ind w:leftChars="0"/>
      </w:pPr>
      <w:r w:rsidRPr="008C74A3">
        <w:t xml:space="preserve">Predictable: providing a clear and known procedure with an indicative time frame for each stage, and clarity on the types of process and outcome available and means of monitoring implementation; </w:t>
      </w:r>
    </w:p>
    <w:p w14:paraId="3FECD1A2" w14:textId="77777777" w:rsidR="00D33AB7" w:rsidRPr="008C74A3" w:rsidRDefault="00D33AB7" w:rsidP="002D5795">
      <w:pPr>
        <w:pStyle w:val="ListParagraph"/>
        <w:numPr>
          <w:ilvl w:val="0"/>
          <w:numId w:val="41"/>
        </w:numPr>
        <w:spacing w:after="120"/>
        <w:ind w:leftChars="0"/>
      </w:pPr>
      <w:r w:rsidRPr="008C74A3">
        <w:t xml:space="preserve">Equitable: seeking to ensure that aggrieved parties have reasonable access to sources of information, advice and expertise necessary to engage in a grievance process on fair, informed and respectful terms; </w:t>
      </w:r>
    </w:p>
    <w:p w14:paraId="7B330273" w14:textId="77777777" w:rsidR="00D33AB7" w:rsidRPr="008C74A3" w:rsidRDefault="00D33AB7" w:rsidP="002D5795">
      <w:pPr>
        <w:pStyle w:val="ListParagraph"/>
        <w:numPr>
          <w:ilvl w:val="0"/>
          <w:numId w:val="41"/>
        </w:numPr>
        <w:spacing w:after="120"/>
        <w:ind w:leftChars="0"/>
      </w:pPr>
      <w:r w:rsidRPr="008C74A3">
        <w:t xml:space="preserve">Transparent: keeping parties to a grievance informed about its progress, and providing sufficient information about the mechanism’s performance to build confidence in its effectiveness and meet any public interest at stake; </w:t>
      </w:r>
    </w:p>
    <w:p w14:paraId="6EF1E45E" w14:textId="77777777" w:rsidR="00D33AB7" w:rsidRPr="008C74A3" w:rsidRDefault="00D33AB7" w:rsidP="002D5795">
      <w:pPr>
        <w:pStyle w:val="ListParagraph"/>
        <w:numPr>
          <w:ilvl w:val="0"/>
          <w:numId w:val="41"/>
        </w:numPr>
        <w:spacing w:after="120"/>
        <w:ind w:leftChars="0"/>
      </w:pPr>
      <w:r w:rsidRPr="008C74A3">
        <w:t xml:space="preserve">Rights-compatible: ensuring that outcomes and remedies accord with internationally recognized human rights; </w:t>
      </w:r>
    </w:p>
    <w:p w14:paraId="470AC9B8" w14:textId="142B9733" w:rsidR="00D33AB7" w:rsidRPr="008C74A3" w:rsidRDefault="00D33AB7" w:rsidP="002D5795">
      <w:pPr>
        <w:pStyle w:val="ListParagraph"/>
        <w:numPr>
          <w:ilvl w:val="0"/>
          <w:numId w:val="41"/>
        </w:numPr>
        <w:spacing w:after="120"/>
        <w:ind w:leftChars="0"/>
      </w:pPr>
      <w:r w:rsidRPr="008C74A3">
        <w:t xml:space="preserve">A source of continuous learning: drawing on relevant measures to identify lessons for improving the mechanism and preventing future grievances and harms; </w:t>
      </w:r>
    </w:p>
    <w:p w14:paraId="2B56D3CB" w14:textId="67544908" w:rsidR="00D33AB7" w:rsidRPr="008C74A3" w:rsidRDefault="00D33AB7" w:rsidP="00644D66">
      <w:pPr>
        <w:spacing w:after="120"/>
      </w:pPr>
      <w:r w:rsidRPr="008C74A3">
        <w:t xml:space="preserve">Operational-level mechanisms should also be: </w:t>
      </w:r>
    </w:p>
    <w:p w14:paraId="3D07E791" w14:textId="38083209" w:rsidR="00D33AB7" w:rsidRPr="008C74A3" w:rsidRDefault="00D33AB7" w:rsidP="002D5795">
      <w:pPr>
        <w:pStyle w:val="ListParagraph"/>
        <w:numPr>
          <w:ilvl w:val="0"/>
          <w:numId w:val="41"/>
        </w:numPr>
        <w:spacing w:after="120"/>
        <w:ind w:leftChars="0"/>
      </w:pPr>
      <w:r w:rsidRPr="008C74A3">
        <w:t xml:space="preserve">Based on engagement and dialogue: consulting the stakeholder groups for whose use they are intended on their design and </w:t>
      </w:r>
      <w:r w:rsidR="004B609C" w:rsidRPr="008C74A3">
        <w:t>performance and</w:t>
      </w:r>
      <w:r w:rsidRPr="008C74A3">
        <w:t xml:space="preserve"> focusing on dialogue as the means to address and resolve grievances. </w:t>
      </w:r>
    </w:p>
    <w:p w14:paraId="09021B54" w14:textId="77777777" w:rsidR="00BD5F83" w:rsidRPr="008C74A3" w:rsidRDefault="00BD5F83" w:rsidP="00DB1B70"/>
    <w:p w14:paraId="0172C42D" w14:textId="77777777" w:rsidR="00D33AB7" w:rsidRPr="008C74A3" w:rsidRDefault="00D33AB7" w:rsidP="001F3DC0">
      <w:pPr>
        <w:pStyle w:val="Heading2"/>
        <w:rPr>
          <w:shd w:val="clear" w:color="auto" w:fill="FFFFFF"/>
        </w:rPr>
        <w:sectPr w:rsidR="00D33AB7" w:rsidRPr="008C74A3" w:rsidSect="00A8001F">
          <w:pgSz w:w="12240" w:h="15840" w:code="1"/>
          <w:pgMar w:top="1440" w:right="1440" w:bottom="1440" w:left="1440" w:header="720" w:footer="720" w:gutter="0"/>
          <w:cols w:space="720"/>
          <w:docGrid w:linePitch="360"/>
        </w:sectPr>
      </w:pPr>
      <w:bookmarkStart w:id="96" w:name="_Toc141449375"/>
      <w:bookmarkStart w:id="97" w:name="_Toc141449662"/>
      <w:bookmarkStart w:id="98" w:name="_Toc146213871"/>
    </w:p>
    <w:p w14:paraId="05198C7C" w14:textId="5EF402D9" w:rsidR="00065BA2" w:rsidRPr="008C74A3" w:rsidRDefault="00065BA2" w:rsidP="001F3DC0">
      <w:pPr>
        <w:pStyle w:val="Heading2"/>
        <w:rPr>
          <w:sz w:val="24"/>
          <w:szCs w:val="24"/>
          <w:shd w:val="clear" w:color="auto" w:fill="FFFFFF"/>
        </w:rPr>
      </w:pPr>
      <w:bookmarkStart w:id="99" w:name="_Toc148384209"/>
      <w:r w:rsidRPr="008C74A3">
        <w:rPr>
          <w:shd w:val="clear" w:color="auto" w:fill="FFFFFF"/>
        </w:rPr>
        <w:lastRenderedPageBreak/>
        <w:t xml:space="preserve">Appendix </w:t>
      </w:r>
      <w:r w:rsidR="00D9253A" w:rsidRPr="008C74A3">
        <w:rPr>
          <w:shd w:val="clear" w:color="auto" w:fill="FFFFFF"/>
        </w:rPr>
        <w:t>L</w:t>
      </w:r>
      <w:r w:rsidRPr="008C74A3">
        <w:rPr>
          <w:shd w:val="clear" w:color="auto" w:fill="FFFFFF"/>
        </w:rPr>
        <w:t xml:space="preserve">: Introduction to </w:t>
      </w:r>
      <w:bookmarkEnd w:id="96"/>
      <w:bookmarkEnd w:id="97"/>
      <w:bookmarkEnd w:id="98"/>
      <w:r w:rsidR="00902A48" w:rsidRPr="008C74A3">
        <w:rPr>
          <w:shd w:val="clear" w:color="auto" w:fill="FFFFFF"/>
        </w:rPr>
        <w:t>Independent Review</w:t>
      </w:r>
      <w:bookmarkEnd w:id="99"/>
    </w:p>
    <w:p w14:paraId="20780FE6" w14:textId="26A51172" w:rsidR="004C130A" w:rsidRPr="008C74A3" w:rsidRDefault="004C130A" w:rsidP="004C130A">
      <w:r w:rsidRPr="008C74A3">
        <w:t>The Norms are not intended to encourage nor discourage any individual report preparer from seeking independent review.</w:t>
      </w:r>
      <w:r w:rsidR="00902A48" w:rsidRPr="008C74A3">
        <w:t xml:space="preserve"> The report preparer bears primary responsibility for ensuring the suitability of the report for the purposes of the user.</w:t>
      </w:r>
    </w:p>
    <w:p w14:paraId="33A4E850" w14:textId="383DBCBC" w:rsidR="00E02B14" w:rsidRPr="008C74A3" w:rsidRDefault="00E02B14" w:rsidP="00E02B14">
      <w:pPr>
        <w:spacing w:after="120"/>
      </w:pPr>
      <w:r w:rsidRPr="008C74A3">
        <w:t>For reference, here is a brief</w:t>
      </w:r>
      <w:r w:rsidR="00902A48" w:rsidRPr="008C74A3">
        <w:t xml:space="preserve">, non-authoritative, and non-exhaustive </w:t>
      </w:r>
      <w:r w:rsidRPr="008C74A3">
        <w:t>summary of several types of independent review, along with the manner of conclusion reached by each type:</w:t>
      </w:r>
      <w:r w:rsidRPr="008C74A3">
        <w:rPr>
          <w:rStyle w:val="FootnoteReference"/>
        </w:rPr>
        <w:footnoteReference w:id="96"/>
      </w:r>
    </w:p>
    <w:p w14:paraId="5871221F" w14:textId="77777777" w:rsidR="00E02B14" w:rsidRPr="008C74A3" w:rsidRDefault="00E02B14" w:rsidP="002D5795">
      <w:pPr>
        <w:pStyle w:val="ListParagraph"/>
        <w:numPr>
          <w:ilvl w:val="0"/>
          <w:numId w:val="36"/>
        </w:numPr>
        <w:spacing w:after="120"/>
        <w:ind w:leftChars="0"/>
      </w:pPr>
      <w:r w:rsidRPr="008C74A3">
        <w:t>Assurance: Conclusion provides confidence that statements made in the impact performance report are accurate and fairly presented in all material respects.</w:t>
      </w:r>
      <w:r w:rsidRPr="008C74A3">
        <w:rPr>
          <w:rStyle w:val="FootnoteReference"/>
        </w:rPr>
        <w:footnoteReference w:id="97"/>
      </w:r>
      <w:r w:rsidRPr="008C74A3">
        <w:t xml:space="preserve"> </w:t>
      </w:r>
    </w:p>
    <w:p w14:paraId="0AC0750B" w14:textId="583F2877" w:rsidR="0013331C" w:rsidRPr="008C74A3" w:rsidRDefault="0013331C" w:rsidP="002D5795">
      <w:pPr>
        <w:pStyle w:val="ListParagraph"/>
        <w:numPr>
          <w:ilvl w:val="0"/>
          <w:numId w:val="36"/>
        </w:numPr>
        <w:spacing w:after="120"/>
        <w:ind w:leftChars="0"/>
      </w:pPr>
      <w:r w:rsidRPr="008C74A3">
        <w:t xml:space="preserve">Agreed-Upon Procedures: </w:t>
      </w:r>
      <w:r w:rsidR="000C7037" w:rsidRPr="008C74A3">
        <w:t>The review</w:t>
      </w:r>
      <w:r w:rsidR="00EE1F26" w:rsidRPr="008C74A3">
        <w:t>e</w:t>
      </w:r>
      <w:r w:rsidR="000C7037" w:rsidRPr="008C74A3">
        <w:t>r issues a report of findings based on specific procedures performed on the subject matter.</w:t>
      </w:r>
      <w:r w:rsidR="007427C4" w:rsidRPr="008C74A3">
        <w:t xml:space="preserve"> It is not an audit or assurance.</w:t>
      </w:r>
    </w:p>
    <w:p w14:paraId="0736F008" w14:textId="1894424E" w:rsidR="00E02B14" w:rsidRPr="008C74A3" w:rsidRDefault="00E02B14" w:rsidP="002D5795">
      <w:pPr>
        <w:pStyle w:val="ListParagraph"/>
        <w:numPr>
          <w:ilvl w:val="0"/>
          <w:numId w:val="36"/>
        </w:numPr>
        <w:spacing w:after="120"/>
        <w:ind w:leftChars="0"/>
      </w:pPr>
      <w:r w:rsidRPr="008C74A3">
        <w:t>Impact / Outcomes Evaluation: Conclusion provides an opinion about the level or quality of impacts or outcomes achieved.</w:t>
      </w:r>
    </w:p>
    <w:p w14:paraId="61A3248B" w14:textId="77777777" w:rsidR="00E02B14" w:rsidRPr="008C74A3" w:rsidRDefault="00E02B14" w:rsidP="002D5795">
      <w:pPr>
        <w:pStyle w:val="ListParagraph"/>
        <w:numPr>
          <w:ilvl w:val="0"/>
          <w:numId w:val="36"/>
        </w:numPr>
        <w:spacing w:after="120"/>
        <w:ind w:leftChars="0"/>
        <w:rPr>
          <w:rFonts w:ascii="Calibri" w:hAnsi="Calibri"/>
        </w:rPr>
      </w:pPr>
      <w:r w:rsidRPr="008C74A3">
        <w:t>Verification: Conclusion provides an opinion about the degree of alignment with the impact performance reporting Norms.</w:t>
      </w:r>
    </w:p>
    <w:p w14:paraId="4ABDC6D5" w14:textId="55530E0B" w:rsidR="00E02B14" w:rsidRPr="008C74A3" w:rsidRDefault="00E02B14" w:rsidP="00E02B14">
      <w:pPr>
        <w:spacing w:after="120"/>
        <w:rPr>
          <w:rFonts w:eastAsiaTheme="minorHAnsi"/>
        </w:rPr>
      </w:pPr>
      <w:r w:rsidRPr="008C74A3">
        <w:t xml:space="preserve">These are not mutually </w:t>
      </w:r>
      <w:r w:rsidR="004B609C" w:rsidRPr="008C74A3">
        <w:t>exclusive,</w:t>
      </w:r>
      <w:r w:rsidRPr="008C74A3">
        <w:t xml:space="preserve"> and these services may be combined. For instance, if the results of an impact / outcome evaluation were included in an impact performance report, an assurance provider would assess whether the statements in the report are supported by the evidence provided in the evaluation. Additional services – such as certification, rating, and scoring, among others – may be layered on top of these. </w:t>
      </w:r>
    </w:p>
    <w:p w14:paraId="2613F045" w14:textId="6829B03E" w:rsidR="00065BA2" w:rsidRPr="008C74A3" w:rsidRDefault="00E02B14" w:rsidP="00902A48">
      <w:pPr>
        <w:spacing w:after="120"/>
      </w:pPr>
      <w:r w:rsidRPr="008C74A3">
        <w:t xml:space="preserve">A companion document provides a set of suggested questions that independent reviewers can use to test asset managers’ impact performance reports against </w:t>
      </w:r>
      <w:r w:rsidR="003C14CA" w:rsidRPr="008C74A3">
        <w:t xml:space="preserve">the </w:t>
      </w:r>
      <w:r w:rsidRPr="008C74A3">
        <w:t>Norms. These suggested questions are not intended to be used on a standalone basis but rather in combination with existing assurance standards such as those of AccountAbility</w:t>
      </w:r>
      <w:r w:rsidR="00902A48" w:rsidRPr="008C74A3">
        <w:t xml:space="preserve"> and</w:t>
      </w:r>
      <w:r w:rsidRPr="008C74A3">
        <w:t xml:space="preserve"> the International Auditing and Assurance Standards </w:t>
      </w:r>
      <w:r w:rsidRPr="008C74A3">
        <w:lastRenderedPageBreak/>
        <w:t>Board.</w:t>
      </w:r>
      <w:r w:rsidRPr="008C74A3">
        <w:rPr>
          <w:vertAlign w:val="superscript"/>
        </w:rPr>
        <w:footnoteReference w:id="98"/>
      </w:r>
      <w:r w:rsidRPr="008C74A3">
        <w:rPr>
          <w:vertAlign w:val="superscript"/>
        </w:rPr>
        <w:t>,</w:t>
      </w:r>
      <w:r w:rsidRPr="008C74A3">
        <w:rPr>
          <w:rStyle w:val="FootnoteReference"/>
        </w:rPr>
        <w:footnoteReference w:id="99"/>
      </w:r>
      <w:r w:rsidRPr="008C74A3">
        <w:rPr>
          <w:vertAlign w:val="superscript"/>
        </w:rPr>
        <w:t xml:space="preserve"> </w:t>
      </w:r>
      <w:r w:rsidRPr="008C74A3">
        <w:t>The benefits to</w:t>
      </w:r>
      <w:r w:rsidR="003C14CA" w:rsidRPr="008C74A3">
        <w:t xml:space="preserve"> report</w:t>
      </w:r>
      <w:r w:rsidRPr="008C74A3">
        <w:t xml:space="preserve"> preparers</w:t>
      </w:r>
      <w:r w:rsidR="003C14CA" w:rsidRPr="008C74A3">
        <w:t xml:space="preserve"> and report users</w:t>
      </w:r>
      <w:r w:rsidRPr="008C74A3">
        <w:t xml:space="preserve"> of independent reviewers using those standards includes confidence that the reviewer is adhering to codes of ethics, quality control, and guidance on when conditions for independent review have been met, among others.</w:t>
      </w:r>
      <w:r w:rsidR="00065BA2" w:rsidRPr="008C74A3">
        <w:t xml:space="preserve"> </w:t>
      </w:r>
    </w:p>
    <w:p w14:paraId="65F54435" w14:textId="73E853EB" w:rsidR="00065BA2" w:rsidRPr="008C74A3" w:rsidRDefault="00ED7F86" w:rsidP="00902A48">
      <w:pPr>
        <w:spacing w:after="120"/>
      </w:pPr>
      <w:r w:rsidRPr="008C74A3">
        <w:rPr>
          <w:noProof/>
        </w:rPr>
        <w:drawing>
          <wp:anchor distT="0" distB="0" distL="114300" distR="114300" simplePos="0" relativeHeight="251696128" behindDoc="0" locked="0" layoutInCell="1" allowOverlap="1" wp14:anchorId="464E6746" wp14:editId="650DFA17">
            <wp:simplePos x="0" y="0"/>
            <wp:positionH relativeFrom="margin">
              <wp:posOffset>3107055</wp:posOffset>
            </wp:positionH>
            <wp:positionV relativeFrom="paragraph">
              <wp:posOffset>6350</wp:posOffset>
            </wp:positionV>
            <wp:extent cx="2809875" cy="1992630"/>
            <wp:effectExtent l="0" t="0" r="9525" b="7620"/>
            <wp:wrapSquare wrapText="bothSides"/>
            <wp:docPr id="1903123543" name="Picture 1903123543" descr="A diagram of three party relation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452687" name="Picture 1614452687" descr="A diagram of three party relationship&#10;&#10;Description automatically generated"/>
                    <pic:cNvPicPr/>
                  </pic:nvPicPr>
                  <pic:blipFill rotWithShape="1">
                    <a:blip r:embed="rId72" cstate="screen">
                      <a:extLst>
                        <a:ext uri="{28A0092B-C50C-407E-A947-70E740481C1C}">
                          <a14:useLocalDpi xmlns:a14="http://schemas.microsoft.com/office/drawing/2010/main"/>
                        </a:ext>
                      </a:extLst>
                    </a:blip>
                    <a:srcRect/>
                    <a:stretch/>
                  </pic:blipFill>
                  <pic:spPr bwMode="auto">
                    <a:xfrm>
                      <a:off x="0" y="0"/>
                      <a:ext cx="2809875" cy="19926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5BA2" w:rsidRPr="008C74A3">
        <w:t xml:space="preserve">The Draft Reporting Norms assume a three-party relationship between the preparer of the report; the user of the report; and the </w:t>
      </w:r>
      <w:r w:rsidRPr="008C74A3">
        <w:t>independent reviewer</w:t>
      </w:r>
      <w:r w:rsidR="00065BA2" w:rsidRPr="008C74A3">
        <w:t>.</w:t>
      </w:r>
      <w:r w:rsidR="00065BA2" w:rsidRPr="008C74A3">
        <w:rPr>
          <w:vertAlign w:val="superscript"/>
        </w:rPr>
        <w:footnoteReference w:id="100"/>
      </w:r>
      <w:r w:rsidR="00065BA2" w:rsidRPr="008C74A3">
        <w:t xml:space="preserve"> The </w:t>
      </w:r>
      <w:r w:rsidRPr="008C74A3">
        <w:t>report preparer</w:t>
      </w:r>
      <w:r w:rsidR="00065BA2" w:rsidRPr="008C74A3">
        <w:t xml:space="preserve"> is responsible for providing information relevant to or for the benefit of </w:t>
      </w:r>
      <w:r w:rsidRPr="008C74A3">
        <w:t xml:space="preserve">report </w:t>
      </w:r>
      <w:r w:rsidR="00065BA2" w:rsidRPr="008C74A3">
        <w:t xml:space="preserve">users. It is the </w:t>
      </w:r>
      <w:r w:rsidRPr="008C74A3">
        <w:t>preparer’s</w:t>
      </w:r>
      <w:r w:rsidR="00065BA2" w:rsidRPr="008C74A3">
        <w:t xml:space="preserve"> role to provide accurate information to the best of their reasonable knowledge and ability. The </w:t>
      </w:r>
      <w:r w:rsidRPr="008C74A3">
        <w:t>independent review</w:t>
      </w:r>
      <w:r w:rsidR="00065BA2" w:rsidRPr="008C74A3">
        <w:t xml:space="preserve">er assesses the information provided by the </w:t>
      </w:r>
      <w:r w:rsidRPr="008C74A3">
        <w:t xml:space="preserve">preparer </w:t>
      </w:r>
      <w:r w:rsidR="00065BA2" w:rsidRPr="008C74A3">
        <w:t xml:space="preserve">in reference to specified criteria (in this case, the </w:t>
      </w:r>
      <w:r w:rsidR="00BB44EC" w:rsidRPr="008C74A3">
        <w:t>D</w:t>
      </w:r>
      <w:r w:rsidR="00065BA2" w:rsidRPr="008C74A3">
        <w:t xml:space="preserve">raft </w:t>
      </w:r>
      <w:r w:rsidR="00BB44EC" w:rsidRPr="008C74A3">
        <w:t>R</w:t>
      </w:r>
      <w:r w:rsidR="00065BA2" w:rsidRPr="008C74A3">
        <w:t xml:space="preserve">eporting </w:t>
      </w:r>
      <w:r w:rsidR="00BB44EC" w:rsidRPr="008C74A3">
        <w:t>N</w:t>
      </w:r>
      <w:r w:rsidR="00065BA2" w:rsidRPr="008C74A3">
        <w:t xml:space="preserve">orms) </w:t>
      </w:r>
      <w:proofErr w:type="gramStart"/>
      <w:r w:rsidR="00065BA2" w:rsidRPr="008C74A3">
        <w:t>in order to</w:t>
      </w:r>
      <w:proofErr w:type="gramEnd"/>
      <w:r w:rsidR="00065BA2" w:rsidRPr="008C74A3">
        <w:t xml:space="preserve"> provide a conclusion about the report to the user.</w:t>
      </w:r>
    </w:p>
    <w:p w14:paraId="65C87EE7" w14:textId="5544031C" w:rsidR="00065BA2" w:rsidRPr="008C74A3" w:rsidRDefault="00065BA2" w:rsidP="00902A48">
      <w:pPr>
        <w:spacing w:after="120"/>
      </w:pPr>
      <w:r w:rsidRPr="008C74A3">
        <w:t xml:space="preserve">The frequency of </w:t>
      </w:r>
      <w:r w:rsidR="002B4920" w:rsidRPr="008C74A3">
        <w:t>independent review</w:t>
      </w:r>
      <w:r w:rsidRPr="008C74A3">
        <w:t xml:space="preserve"> can vary. For example, all sections of a report might be </w:t>
      </w:r>
      <w:r w:rsidR="002B4920" w:rsidRPr="008C74A3">
        <w:t>reviewed independently</w:t>
      </w:r>
      <w:r w:rsidRPr="008C74A3">
        <w:t xml:space="preserve"> in </w:t>
      </w:r>
      <w:r w:rsidR="002B4920" w:rsidRPr="008C74A3">
        <w:t xml:space="preserve">one </w:t>
      </w:r>
      <w:r w:rsidRPr="008C74A3">
        <w:t xml:space="preserve">year, while </w:t>
      </w:r>
      <w:r w:rsidR="002B4920" w:rsidRPr="008C74A3">
        <w:t xml:space="preserve">the next year </w:t>
      </w:r>
      <w:r w:rsidRPr="008C74A3">
        <w:t xml:space="preserve">only selected sections </w:t>
      </w:r>
      <w:r w:rsidR="002B4920" w:rsidRPr="008C74A3">
        <w:t>might</w:t>
      </w:r>
      <w:r w:rsidRPr="008C74A3">
        <w:t xml:space="preserve"> be assured. Alternatively, while impact performance reports are published once a year, </w:t>
      </w:r>
      <w:r w:rsidR="002B4920" w:rsidRPr="008C74A3">
        <w:t>independent review</w:t>
      </w:r>
      <w:r w:rsidRPr="008C74A3">
        <w:t xml:space="preserve"> could be done less frequently (for instance every two or three years). Since </w:t>
      </w:r>
      <w:r w:rsidR="002B4920" w:rsidRPr="008C74A3">
        <w:t>independent review</w:t>
      </w:r>
      <w:r w:rsidRPr="008C74A3">
        <w:t xml:space="preserve"> is intended to increase the reliability of the reported items for the user, </w:t>
      </w:r>
      <w:r w:rsidR="002B4920" w:rsidRPr="008C74A3">
        <w:t xml:space="preserve">preparers are encouraged to consult </w:t>
      </w:r>
      <w:r w:rsidRPr="008C74A3">
        <w:t>with the users of the impact performance report</w:t>
      </w:r>
      <w:r w:rsidR="002B4920" w:rsidRPr="008C74A3">
        <w:t xml:space="preserve"> to understand their needs and expectations.</w:t>
      </w:r>
    </w:p>
    <w:p w14:paraId="68D5C070" w14:textId="5E425C24" w:rsidR="00F87245" w:rsidRPr="008C74A3" w:rsidRDefault="0051631D" w:rsidP="00467B85">
      <w:pPr>
        <w:spacing w:after="120"/>
      </w:pPr>
      <w:r w:rsidRPr="008C74A3">
        <w:t>The Norms may also be used by external impact report preparation services. In this case, the entity commissioning the report retains ultimate responsibility for the report. In addition, the external provider would not be considered independent and thus unable to perform assurance, evaluation, or verification services for the entity</w:t>
      </w:r>
      <w:r w:rsidR="00467B85" w:rsidRPr="008C74A3">
        <w:t>.</w:t>
      </w:r>
    </w:p>
    <w:sectPr w:rsidR="00F87245" w:rsidRPr="008C74A3" w:rsidSect="00A8001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AC0D" w14:textId="77777777" w:rsidR="00AF7359" w:rsidRDefault="00AF7359" w:rsidP="00DB1B70">
      <w:r>
        <w:separator/>
      </w:r>
    </w:p>
    <w:p w14:paraId="1ABC645D" w14:textId="77777777" w:rsidR="00AF7359" w:rsidRDefault="00AF7359" w:rsidP="00DB1B70"/>
    <w:p w14:paraId="4862FE01" w14:textId="77777777" w:rsidR="00AF7359" w:rsidRDefault="00AF7359" w:rsidP="00DB1B70"/>
  </w:endnote>
  <w:endnote w:type="continuationSeparator" w:id="0">
    <w:p w14:paraId="4AD361A3" w14:textId="77777777" w:rsidR="00AF7359" w:rsidRDefault="00AF7359" w:rsidP="00DB1B70">
      <w:r>
        <w:continuationSeparator/>
      </w:r>
    </w:p>
    <w:p w14:paraId="2A559A29" w14:textId="77777777" w:rsidR="00AF7359" w:rsidRDefault="00AF7359" w:rsidP="00DB1B70"/>
    <w:p w14:paraId="3107D89C" w14:textId="77777777" w:rsidR="00AF7359" w:rsidRDefault="00AF7359" w:rsidP="00DB1B70"/>
  </w:endnote>
  <w:endnote w:type="continuationNotice" w:id="1">
    <w:p w14:paraId="457E2BB1" w14:textId="77777777" w:rsidR="00AF7359" w:rsidRDefault="00AF7359" w:rsidP="00DB1B70"/>
    <w:p w14:paraId="145EEDFC" w14:textId="77777777" w:rsidR="00AF7359" w:rsidRDefault="00AF7359" w:rsidP="00DB1B70"/>
    <w:p w14:paraId="18DC975E" w14:textId="77777777" w:rsidR="00AF7359" w:rsidRDefault="00AF7359" w:rsidP="00DB1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Interstate">
    <w:altName w:val="Calibri"/>
    <w:panose1 w:val="020B0604020202020204"/>
    <w:charset w:val="00"/>
    <w:family w:val="auto"/>
    <w:notTrueType/>
    <w:pitch w:val="variable"/>
    <w:sig w:usb0="00000003" w:usb1="00000000" w:usb2="00000000" w:usb3="00000000" w:csb0="00000001" w:csb1="00000000"/>
  </w:font>
  <w:font w:name="Interstate Light">
    <w:panose1 w:val="00000000000000000000"/>
    <w:charset w:val="4D"/>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8C440" w14:textId="58C730CF" w:rsidR="00B97DD8" w:rsidRDefault="00B97DD8" w:rsidP="00DB1B7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F84037">
      <w:rPr>
        <w:rStyle w:val="PageNumber"/>
        <w:noProof/>
      </w:rPr>
      <w:t>1</w:t>
    </w:r>
    <w:r>
      <w:rPr>
        <w:rStyle w:val="PageNumber"/>
      </w:rPr>
      <w:fldChar w:fldCharType="end"/>
    </w:r>
  </w:p>
  <w:p w14:paraId="007AE250" w14:textId="77777777" w:rsidR="00B97DD8" w:rsidRDefault="00B97DD8" w:rsidP="00DB1B70">
    <w:pPr>
      <w:pStyle w:val="Footer"/>
    </w:pPr>
  </w:p>
  <w:p w14:paraId="4363BC90" w14:textId="77777777" w:rsidR="00F46324" w:rsidRDefault="00F46324" w:rsidP="00DB1B70"/>
  <w:p w14:paraId="4BACD17B" w14:textId="77777777" w:rsidR="00F46324" w:rsidRDefault="00F46324" w:rsidP="00DB1B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9788598"/>
      <w:docPartObj>
        <w:docPartGallery w:val="Page Numbers (Bottom of Page)"/>
        <w:docPartUnique/>
      </w:docPartObj>
    </w:sdtPr>
    <w:sdtContent>
      <w:p w14:paraId="5D239C7D" w14:textId="412F68F9" w:rsidR="00DF10AB" w:rsidRDefault="00DF10AB" w:rsidP="00DB1B7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sdtContent>
  </w:sdt>
  <w:p w14:paraId="4A3820AF" w14:textId="77777777" w:rsidR="00F46324" w:rsidRDefault="00F46324" w:rsidP="00DB1B7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4BA39" w14:textId="77777777" w:rsidR="00065BA2" w:rsidRDefault="00065BA2" w:rsidP="00DB1B7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0B290430" w14:textId="77777777" w:rsidR="00065BA2" w:rsidRDefault="00065BA2" w:rsidP="00DB1B70">
    <w:pPr>
      <w:pStyle w:val="Footer"/>
    </w:pPr>
  </w:p>
  <w:p w14:paraId="3F925312" w14:textId="77777777" w:rsidR="00065BA2" w:rsidRDefault="00065BA2" w:rsidP="00DB1B70"/>
  <w:p w14:paraId="6B89A4C4" w14:textId="77777777" w:rsidR="00065BA2" w:rsidRDefault="00065BA2" w:rsidP="00DB1B7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4446471"/>
      <w:docPartObj>
        <w:docPartGallery w:val="Page Numbers (Bottom of Page)"/>
        <w:docPartUnique/>
      </w:docPartObj>
    </w:sdtPr>
    <w:sdtContent>
      <w:p w14:paraId="291D586E" w14:textId="77777777" w:rsidR="00065BA2" w:rsidRDefault="00065BA2" w:rsidP="00DB1B7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sdtContent>
  </w:sdt>
  <w:p w14:paraId="65D64CD3" w14:textId="77777777" w:rsidR="00065BA2" w:rsidRDefault="00065BA2" w:rsidP="00DB1B70">
    <w:pPr>
      <w:pStyle w:val="Footer"/>
    </w:pPr>
  </w:p>
  <w:p w14:paraId="513BD5F8" w14:textId="77777777" w:rsidR="00065BA2" w:rsidRDefault="00065BA2" w:rsidP="00DB1B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1650" w14:textId="77777777" w:rsidR="00AF7359" w:rsidRDefault="00AF7359" w:rsidP="00DB1B70">
      <w:r>
        <w:separator/>
      </w:r>
    </w:p>
  </w:footnote>
  <w:footnote w:type="continuationSeparator" w:id="0">
    <w:p w14:paraId="33CAD840" w14:textId="77777777" w:rsidR="00AF7359" w:rsidRDefault="00AF7359" w:rsidP="00DB1B70">
      <w:r>
        <w:continuationSeparator/>
      </w:r>
    </w:p>
    <w:p w14:paraId="07D6D1F1" w14:textId="77777777" w:rsidR="00AF7359" w:rsidRDefault="00AF7359" w:rsidP="00DB1B70"/>
    <w:p w14:paraId="5740B0FD" w14:textId="77777777" w:rsidR="00AF7359" w:rsidRDefault="00AF7359" w:rsidP="00DB1B70"/>
  </w:footnote>
  <w:footnote w:type="continuationNotice" w:id="1">
    <w:p w14:paraId="1A51F266" w14:textId="77777777" w:rsidR="00AF7359" w:rsidRDefault="00AF7359" w:rsidP="00DB1B70"/>
    <w:p w14:paraId="54CCE674" w14:textId="77777777" w:rsidR="00AF7359" w:rsidRDefault="00AF7359" w:rsidP="00DB1B70"/>
    <w:p w14:paraId="53B1E135" w14:textId="77777777" w:rsidR="00AF7359" w:rsidRDefault="00AF7359" w:rsidP="00DB1B70"/>
  </w:footnote>
  <w:footnote w:id="2">
    <w:p w14:paraId="59255079" w14:textId="77777777" w:rsidR="00AB592A" w:rsidRDefault="00AB592A" w:rsidP="00AB592A">
      <w:pPr>
        <w:pStyle w:val="Footnotes"/>
      </w:pPr>
      <w:r>
        <w:rPr>
          <w:rStyle w:val="FootnoteReference"/>
        </w:rPr>
        <w:footnoteRef/>
      </w:r>
      <w:r>
        <w:t xml:space="preserve"> </w:t>
      </w:r>
      <w:r w:rsidRPr="00D41A5D">
        <w:t xml:space="preserve">Signatories to the Impact Principles may </w:t>
      </w:r>
      <w:r>
        <w:t xml:space="preserve">simply provide </w:t>
      </w:r>
      <w:r w:rsidRPr="00D41A5D">
        <w:t>a link to their most recent Signatory Disclosure Statement.</w:t>
      </w:r>
    </w:p>
  </w:footnote>
  <w:footnote w:id="3">
    <w:p w14:paraId="221E2230" w14:textId="43B02967" w:rsidR="00E848B3" w:rsidRDefault="00E848B3" w:rsidP="00E848B3">
      <w:pPr>
        <w:pStyle w:val="Footnotes"/>
      </w:pPr>
      <w:r>
        <w:rPr>
          <w:rStyle w:val="FootnoteReference"/>
        </w:rPr>
        <w:footnoteRef/>
      </w:r>
      <w:r>
        <w:t xml:space="preserve"> Based on the governance portion of the S1 standard of the International Sustainability Standards Board.</w:t>
      </w:r>
    </w:p>
  </w:footnote>
  <w:footnote w:id="4">
    <w:p w14:paraId="0728662F" w14:textId="73B2DBC2" w:rsidR="00AB556D" w:rsidRDefault="00AB556D" w:rsidP="00AB556D">
      <w:pPr>
        <w:pStyle w:val="Footnotes"/>
      </w:pPr>
      <w:r>
        <w:rPr>
          <w:rStyle w:val="FootnoteReference"/>
        </w:rPr>
        <w:footnoteRef/>
      </w:r>
      <w:r>
        <w:t xml:space="preserve"> The Impact Management Platform is </w:t>
      </w:r>
      <w:r w:rsidRPr="00AB556D">
        <w:t>a collaboration between the leading providers of sustainability standards and guidance that are coordinating efforts to mainstream the practice of impact management</w:t>
      </w:r>
      <w:r>
        <w:t>. Partners in the Platform</w:t>
      </w:r>
      <w:r w:rsidRPr="00AB556D">
        <w:t xml:space="preserve"> are working together to promote interoperability between their existing sustainability resources, address gaps, and engage with policymakers and regulators.</w:t>
      </w:r>
      <w:r w:rsidR="00572A6D">
        <w:t xml:space="preserve"> </w:t>
      </w:r>
      <w:hyperlink r:id="rId1" w:history="1">
        <w:r w:rsidR="00572A6D" w:rsidRPr="00AB7BB1">
          <w:rPr>
            <w:rStyle w:val="Hyperlink"/>
          </w:rPr>
          <w:t>https://impactmanagementplatform.org/</w:t>
        </w:r>
      </w:hyperlink>
      <w:r w:rsidR="00572A6D">
        <w:t xml:space="preserve"> </w:t>
      </w:r>
    </w:p>
  </w:footnote>
  <w:footnote w:id="5">
    <w:p w14:paraId="38BE4531" w14:textId="73A992E6" w:rsidR="00011054" w:rsidRPr="007E3D03" w:rsidRDefault="00011054" w:rsidP="00AB556D">
      <w:pPr>
        <w:pStyle w:val="Footnotes"/>
      </w:pPr>
      <w:r w:rsidRPr="00A26E8B">
        <w:rPr>
          <w:rStyle w:val="FootnoteReference"/>
        </w:rPr>
        <w:footnoteRef/>
      </w:r>
      <w:r w:rsidRPr="00A26E8B">
        <w:t xml:space="preserve"> In August 2023 the IAASB open</w:t>
      </w:r>
      <w:r w:rsidR="00572A6D">
        <w:t>ed</w:t>
      </w:r>
      <w:r w:rsidRPr="00A26E8B">
        <w:t xml:space="preserve"> consultation on a new draft International Standard on Sustainability Assurance (ISSA) 5000, </w:t>
      </w:r>
      <w:r w:rsidRPr="00A26E8B">
        <w:rPr>
          <w:i/>
          <w:iCs/>
        </w:rPr>
        <w:t xml:space="preserve">General Requirements for Sustainability Assurance Engagements. </w:t>
      </w:r>
    </w:p>
  </w:footnote>
  <w:footnote w:id="6">
    <w:p w14:paraId="47F2E6D7" w14:textId="4B758282" w:rsidR="003F54D7" w:rsidRDefault="003F54D7" w:rsidP="003F54D7">
      <w:pPr>
        <w:pStyle w:val="Footnotes"/>
      </w:pPr>
      <w:r>
        <w:rPr>
          <w:rStyle w:val="FootnoteReference"/>
        </w:rPr>
        <w:footnoteRef/>
      </w:r>
      <w:r>
        <w:t xml:space="preserve"> This statement is modeled after </w:t>
      </w:r>
      <w:r w:rsidR="00EA5A4E">
        <w:t>“</w:t>
      </w:r>
      <w:r w:rsidR="00461D80" w:rsidRPr="00461D80">
        <w:t>Certification of Quarterly and Annual Reports</w:t>
      </w:r>
      <w:r w:rsidR="00461D80">
        <w:t>,</w:t>
      </w:r>
      <w:r w:rsidR="00EA5A4E">
        <w:t>”</w:t>
      </w:r>
      <w:r w:rsidR="00461D80">
        <w:t xml:space="preserve"> </w:t>
      </w:r>
      <w:r>
        <w:t xml:space="preserve">the one signed by executives of publicly listed companies in the United States when </w:t>
      </w:r>
      <w:r w:rsidR="00461D80">
        <w:t xml:space="preserve">they </w:t>
      </w:r>
      <w:r>
        <w:t>file a Form 10-</w:t>
      </w:r>
      <w:r w:rsidR="000479C0">
        <w:t>K</w:t>
      </w:r>
      <w:r>
        <w:t xml:space="preserve"> financial disclosure with the Securities and Exchange Commission. </w:t>
      </w:r>
      <w:r w:rsidR="00965C14" w:rsidRPr="00965C14">
        <w:t>https://www.sec.gov/rule-release/33-8124</w:t>
      </w:r>
    </w:p>
  </w:footnote>
  <w:footnote w:id="7">
    <w:p w14:paraId="466F3E3D" w14:textId="77777777" w:rsidR="00853030" w:rsidRDefault="00853030" w:rsidP="00853030">
      <w:pPr>
        <w:pStyle w:val="FootnoteText"/>
      </w:pPr>
      <w:r>
        <w:rPr>
          <w:rStyle w:val="FootnoteReference"/>
        </w:rPr>
        <w:footnoteRef/>
      </w:r>
      <w:r>
        <w:t xml:space="preserve"> </w:t>
      </w:r>
      <w:r w:rsidRPr="00853030">
        <w:rPr>
          <w:sz w:val="18"/>
          <w:szCs w:val="18"/>
        </w:rPr>
        <w:t>International Auditing and Assurance Standards Board, “ISRS 4400 (Revised), International Standard on Related Services Agreed-Upon Procedures Engagements,” 2022, https://www.ifac.org/_flysystem/azure-private/publications/files/ISRS-4400-Revised-Agreed-Upon-Procedures-final.pdf.</w:t>
      </w:r>
    </w:p>
  </w:footnote>
  <w:footnote w:id="8">
    <w:p w14:paraId="574FFFCF" w14:textId="2204863C" w:rsidR="00621F44" w:rsidRPr="00A86E31" w:rsidRDefault="00621F44" w:rsidP="00853030">
      <w:pPr>
        <w:pStyle w:val="Footnotes"/>
        <w:ind w:left="0" w:firstLine="0"/>
      </w:pPr>
      <w:r w:rsidRPr="00A86E31">
        <w:rPr>
          <w:rStyle w:val="FootnoteReference"/>
          <w:vertAlign w:val="baseline"/>
        </w:rPr>
        <w:footnoteRef/>
      </w:r>
      <w:r w:rsidRPr="00A86E31">
        <w:t xml:space="preserve"> Third-party report preparers may also benefit from these Norms</w:t>
      </w:r>
      <w:r w:rsidR="001F3DC0" w:rsidRPr="00A86E31">
        <w:t>.</w:t>
      </w:r>
    </w:p>
  </w:footnote>
  <w:footnote w:id="9">
    <w:p w14:paraId="3315949F" w14:textId="77777777" w:rsidR="00621F44" w:rsidRPr="00A86E31" w:rsidRDefault="00621F44" w:rsidP="00A86E31">
      <w:pPr>
        <w:pStyle w:val="Footnotes"/>
      </w:pPr>
      <w:r w:rsidRPr="00A86E31">
        <w:rPr>
          <w:rStyle w:val="FootnoteReference"/>
          <w:vertAlign w:val="baseline"/>
        </w:rPr>
        <w:footnoteRef/>
      </w:r>
      <w:r w:rsidRPr="00A86E31">
        <w:t xml:space="preserve"> International Auditing and Assurance Standards Board, “ISAE 3000 (Revised), Assurance Engagements Other than Audits or Reviews of Historical Financial Information,” 2013, </w:t>
      </w:r>
      <w:hyperlink r:id="rId2" w:history="1">
        <w:r w:rsidRPr="00A86E31">
          <w:t>https://www.ifac.org/_flysystem/azure-private/publications/files/ISAE%203000%20Revised%20-%20for%20IAASB.pdf</w:t>
        </w:r>
      </w:hyperlink>
      <w:r w:rsidRPr="00A86E31">
        <w:t>.</w:t>
      </w:r>
    </w:p>
  </w:footnote>
  <w:footnote w:id="10">
    <w:p w14:paraId="1E462260" w14:textId="0D7A5091" w:rsidR="00621F44" w:rsidRPr="001F3DC0" w:rsidRDefault="00621F44" w:rsidP="001F3DC0">
      <w:pPr>
        <w:pStyle w:val="Footnotes"/>
      </w:pPr>
      <w:r w:rsidRPr="001F3DC0">
        <w:rPr>
          <w:rStyle w:val="FootnoteReference"/>
        </w:rPr>
        <w:footnoteRef/>
      </w:r>
      <w:r w:rsidRPr="001F3DC0">
        <w:t xml:space="preserve"> “What is Evaluation?” American Evaluation Association,</w:t>
      </w:r>
      <w:r w:rsidR="00A0293B">
        <w:t xml:space="preserve"> </w:t>
      </w:r>
      <w:hyperlink r:id="rId3" w:history="1">
        <w:r w:rsidR="00A0293B" w:rsidRPr="00AB7BB1">
          <w:rPr>
            <w:rStyle w:val="Hyperlink"/>
          </w:rPr>
          <w:t>https://www.eval.org/Portals/0/What%20is%20evaluation%20Document.pdf</w:t>
        </w:r>
      </w:hyperlink>
      <w:r w:rsidRPr="001F3DC0">
        <w:t xml:space="preserve">. </w:t>
      </w:r>
    </w:p>
  </w:footnote>
  <w:footnote w:id="11">
    <w:p w14:paraId="03A18124" w14:textId="77777777" w:rsidR="00621F44" w:rsidRPr="001F3DC0" w:rsidRDefault="00621F44" w:rsidP="001F3DC0">
      <w:pPr>
        <w:pStyle w:val="Footnotes"/>
      </w:pPr>
      <w:r w:rsidRPr="001F3DC0">
        <w:rPr>
          <w:rStyle w:val="FootnoteReference"/>
        </w:rPr>
        <w:footnoteRef/>
      </w:r>
      <w:r w:rsidRPr="001F3DC0">
        <w:t xml:space="preserve"> “Principles for Impact Evaluation, International Initiative for Impact Evaluation, </w:t>
      </w:r>
      <w:hyperlink r:id="rId4" w:history="1">
        <w:r w:rsidRPr="001F3DC0">
          <w:rPr>
            <w:rStyle w:val="Hyperlink"/>
          </w:rPr>
          <w:t>https://www.3ieimpact.org/sites/default/files/principles-for-ie.pdf</w:t>
        </w:r>
      </w:hyperlink>
      <w:r w:rsidRPr="001F3DC0">
        <w:t xml:space="preserve">. </w:t>
      </w:r>
    </w:p>
  </w:footnote>
  <w:footnote w:id="12">
    <w:p w14:paraId="65E3E165" w14:textId="77777777" w:rsidR="00621F44" w:rsidRPr="00706D15" w:rsidRDefault="00621F44" w:rsidP="001F3DC0">
      <w:pPr>
        <w:pStyle w:val="Footnotes"/>
      </w:pPr>
      <w:r w:rsidRPr="001F3DC0">
        <w:rPr>
          <w:rStyle w:val="FootnoteReference"/>
        </w:rPr>
        <w:footnoteRef/>
      </w:r>
      <w:r w:rsidRPr="001F3DC0">
        <w:t xml:space="preserve"> </w:t>
      </w:r>
      <w:hyperlink r:id="rId5" w:anchor="PIV" w:history="1">
        <w:r w:rsidRPr="001F3DC0">
          <w:rPr>
            <w:rStyle w:val="Hyperlink"/>
            <w:shd w:val="clear" w:color="auto" w:fill="FFFFFF"/>
          </w:rPr>
          <w:t>https://www.sec.gov/education/glossary/jargon-z#PIV</w:t>
        </w:r>
      </w:hyperlink>
      <w:r w:rsidRPr="00706D15">
        <w:rPr>
          <w:shd w:val="clear" w:color="auto" w:fill="FFFFFF"/>
        </w:rPr>
        <w:t xml:space="preserve"> </w:t>
      </w:r>
    </w:p>
  </w:footnote>
  <w:footnote w:id="13">
    <w:p w14:paraId="724ADD0B" w14:textId="77777777" w:rsidR="00621F44" w:rsidRDefault="00621F44" w:rsidP="001F3DC0">
      <w:pPr>
        <w:pStyle w:val="Footnotes"/>
      </w:pPr>
      <w:r>
        <w:rPr>
          <w:rStyle w:val="FootnoteReference"/>
        </w:rPr>
        <w:footnoteRef/>
      </w:r>
      <w:r>
        <w:t xml:space="preserve"> </w:t>
      </w:r>
      <w:r w:rsidRPr="00F80DE7">
        <w:t>The Platform previously published the following definition of impact: “A change in an aspect of people’s well-being or the condition of the natural environment caused by an organization.” The new definition was chosen for simplicity, but</w:t>
      </w:r>
      <w:r>
        <w:t xml:space="preserve"> Platform notes that</w:t>
      </w:r>
      <w:r w:rsidRPr="00F80DE7">
        <w:t xml:space="preserve"> the two definitions are </w:t>
      </w:r>
      <w:r>
        <w:t xml:space="preserve">intended to be </w:t>
      </w:r>
      <w:r w:rsidRPr="00F80DE7">
        <w:t>substantively equi</w:t>
      </w:r>
      <w:r w:rsidRPr="00180A06">
        <w:t>valent.</w:t>
      </w:r>
      <w:r w:rsidRPr="00822C00">
        <w:t xml:space="preserve"> Impact Management Platform, “Key terms and concepts: Impact,” </w:t>
      </w:r>
      <w:hyperlink r:id="rId6" w:history="1">
        <w:r w:rsidRPr="00822C00">
          <w:rPr>
            <w:rStyle w:val="Hyperlink"/>
          </w:rPr>
          <w:t>https://impactmanagementplatform.org/terms-and-concepts/</w:t>
        </w:r>
      </w:hyperlink>
    </w:p>
  </w:footnote>
  <w:footnote w:id="14">
    <w:p w14:paraId="42784F50" w14:textId="77777777" w:rsidR="009F1F79" w:rsidRPr="00FA01BC" w:rsidRDefault="009F1F79" w:rsidP="009F1F79">
      <w:pPr>
        <w:pStyle w:val="Footnotes"/>
      </w:pPr>
      <w:r w:rsidRPr="00FA01BC">
        <w:rPr>
          <w:rStyle w:val="FootnoteReference"/>
        </w:rPr>
        <w:footnoteRef/>
      </w:r>
      <w:r w:rsidRPr="00FA01BC">
        <w:t xml:space="preserve"> Well-being defined as in OECD Well-being Framework. </w:t>
      </w:r>
    </w:p>
  </w:footnote>
  <w:footnote w:id="15">
    <w:p w14:paraId="0051B0D5" w14:textId="77777777" w:rsidR="00621F44" w:rsidRPr="00706D15" w:rsidRDefault="00621F44" w:rsidP="001F3DC0">
      <w:pPr>
        <w:pStyle w:val="Footnotes"/>
      </w:pPr>
      <w:r w:rsidRPr="00706D15">
        <w:rPr>
          <w:rStyle w:val="FootnoteReference"/>
        </w:rPr>
        <w:footnoteRef/>
      </w:r>
      <w:r w:rsidRPr="00706D15">
        <w:t xml:space="preserve"> Impact Management Platform, “</w:t>
      </w:r>
      <w:r>
        <w:t>Impact and the impact pathway</w:t>
      </w:r>
      <w:r w:rsidRPr="00706D15">
        <w:t xml:space="preserve">,” </w:t>
      </w:r>
      <w:hyperlink r:id="rId7" w:anchor="impact-pathway" w:history="1">
        <w:r w:rsidRPr="00CC0A90">
          <w:rPr>
            <w:rStyle w:val="Hyperlink"/>
          </w:rPr>
          <w:t>https://impactmanagementplatform.org/impact/#impact-pathway</w:t>
        </w:r>
      </w:hyperlink>
      <w:r>
        <w:t xml:space="preserve"> </w:t>
      </w:r>
    </w:p>
  </w:footnote>
  <w:footnote w:id="16">
    <w:p w14:paraId="58F99B5E" w14:textId="7A952A9F" w:rsidR="00621F44" w:rsidRPr="00706D15" w:rsidRDefault="00621F44" w:rsidP="00DB1B70">
      <w:pPr>
        <w:pStyle w:val="Footnotes"/>
      </w:pPr>
      <w:r w:rsidRPr="00706D15">
        <w:rPr>
          <w:rStyle w:val="FootnoteReference"/>
        </w:rPr>
        <w:footnoteRef/>
      </w:r>
      <w:r w:rsidRPr="00706D15">
        <w:t xml:space="preserve"> Impact Management Platform, “Input,” </w:t>
      </w:r>
      <w:hyperlink r:id="rId8" w:history="1">
        <w:r w:rsidRPr="00706D15">
          <w:rPr>
            <w:rStyle w:val="Hyperlink"/>
          </w:rPr>
          <w:t>https://impactmanagementplatform.org/terms-and-concepts/</w:t>
        </w:r>
      </w:hyperlink>
    </w:p>
  </w:footnote>
  <w:footnote w:id="17">
    <w:p w14:paraId="7ACA43A2" w14:textId="2F86BFDF" w:rsidR="00621F44" w:rsidRPr="00706D15" w:rsidRDefault="00621F44" w:rsidP="00DB1B70">
      <w:pPr>
        <w:pStyle w:val="Footnotes"/>
      </w:pPr>
      <w:r w:rsidRPr="00706D15">
        <w:rPr>
          <w:rStyle w:val="FootnoteReference"/>
        </w:rPr>
        <w:footnoteRef/>
      </w:r>
      <w:r w:rsidRPr="00706D15">
        <w:t xml:space="preserve"> </w:t>
      </w:r>
      <w:r w:rsidRPr="00706D15">
        <w:rPr>
          <w:shd w:val="clear" w:color="auto" w:fill="FFFFFF"/>
        </w:rPr>
        <w:t>Global Impact Investing Network, “COMPASS: The Methodology for Comparing and Assessing Impact,” The GIIN,</w:t>
      </w:r>
      <w:r w:rsidRPr="00706D15">
        <w:rPr>
          <w:rStyle w:val="apple-converted-space"/>
          <w:shd w:val="clear" w:color="auto" w:fill="FFFFFF"/>
        </w:rPr>
        <w:t> </w:t>
      </w:r>
      <w:hyperlink r:id="rId9" w:history="1">
        <w:r w:rsidRPr="00706D15">
          <w:rPr>
            <w:rStyle w:val="Hyperlink"/>
            <w:shd w:val="clear" w:color="auto" w:fill="FFFFFF"/>
          </w:rPr>
          <w:t>https://thegiin.org/research/publication/compass-the-methodology-for-comparing-and-assessing-impact/</w:t>
        </w:r>
      </w:hyperlink>
      <w:r w:rsidRPr="00706D15">
        <w:rPr>
          <w:shd w:val="clear" w:color="auto" w:fill="FFFFFF"/>
        </w:rPr>
        <w:t>.</w:t>
      </w:r>
    </w:p>
  </w:footnote>
  <w:footnote w:id="18">
    <w:p w14:paraId="3C9187F3" w14:textId="28F0146F" w:rsidR="00621F44" w:rsidRPr="00706D15" w:rsidRDefault="00621F44" w:rsidP="00DB1B70">
      <w:pPr>
        <w:pStyle w:val="Footnotes"/>
      </w:pPr>
      <w:r w:rsidRPr="00706D15">
        <w:rPr>
          <w:rStyle w:val="FootnoteReference"/>
        </w:rPr>
        <w:footnoteRef/>
      </w:r>
      <w:r w:rsidRPr="00706D15">
        <w:t xml:space="preserve"> </w:t>
      </w:r>
      <w:r w:rsidRPr="00706D15">
        <w:rPr>
          <w:shd w:val="clear" w:color="auto" w:fill="FFFFFF"/>
        </w:rPr>
        <w:t>Cambridge Dictionary, “Investor,” CambridgeWords,</w:t>
      </w:r>
      <w:r w:rsidR="00A0293B">
        <w:rPr>
          <w:shd w:val="clear" w:color="auto" w:fill="FFFFFF"/>
        </w:rPr>
        <w:t xml:space="preserve"> </w:t>
      </w:r>
      <w:r w:rsidRPr="00706D15">
        <w:rPr>
          <w:rStyle w:val="apple-converted-space"/>
          <w:shd w:val="clear" w:color="auto" w:fill="FFFFFF"/>
        </w:rPr>
        <w:t> </w:t>
      </w:r>
      <w:hyperlink r:id="rId10" w:history="1">
        <w:r w:rsidRPr="00706D15">
          <w:rPr>
            <w:rStyle w:val="Hyperlink"/>
            <w:shd w:val="clear" w:color="auto" w:fill="FFFFFF"/>
          </w:rPr>
          <w:t>https://dictionary.cambridge.org/us/dictionary/english/investor</w:t>
        </w:r>
      </w:hyperlink>
      <w:r w:rsidRPr="00706D15">
        <w:rPr>
          <w:shd w:val="clear" w:color="auto" w:fill="FFFFFF"/>
        </w:rPr>
        <w:t>.</w:t>
      </w:r>
    </w:p>
  </w:footnote>
  <w:footnote w:id="19">
    <w:p w14:paraId="361956E9" w14:textId="77777777" w:rsidR="00621F44" w:rsidRPr="00706D15" w:rsidRDefault="00621F44" w:rsidP="00DB1B70">
      <w:pPr>
        <w:pStyle w:val="Footnotes"/>
      </w:pPr>
      <w:r w:rsidRPr="00706D15">
        <w:rPr>
          <w:rStyle w:val="FootnoteReference"/>
        </w:rPr>
        <w:footnoteRef/>
      </w:r>
      <w:r w:rsidRPr="00706D15">
        <w:t xml:space="preserve"> </w:t>
      </w:r>
      <w:hyperlink r:id="rId11" w:history="1">
        <w:r w:rsidRPr="00CC0A90">
          <w:rPr>
            <w:rStyle w:val="Hyperlink"/>
          </w:rPr>
          <w:t>https://www.icaew.com/technical/audit-and-assurance/assurance/what-is-assurance/assurance-glossary</w:t>
        </w:r>
      </w:hyperlink>
      <w:r>
        <w:t xml:space="preserve"> </w:t>
      </w:r>
    </w:p>
  </w:footnote>
  <w:footnote w:id="20">
    <w:p w14:paraId="0527F620" w14:textId="26639D06" w:rsidR="00621F44" w:rsidRDefault="00621F44" w:rsidP="00DB1B70">
      <w:pPr>
        <w:pStyle w:val="Footnotes"/>
      </w:pPr>
      <w:r w:rsidRPr="00706D15">
        <w:rPr>
          <w:rStyle w:val="FootnoteReference"/>
        </w:rPr>
        <w:footnoteRef/>
      </w:r>
      <w:r w:rsidRPr="00706D15">
        <w:t xml:space="preserve"> </w:t>
      </w:r>
      <w:r w:rsidRPr="00706D15">
        <w:rPr>
          <w:shd w:val="clear" w:color="auto" w:fill="FFFFFF"/>
        </w:rPr>
        <w:t>Organi</w:t>
      </w:r>
      <w:r w:rsidR="00166498">
        <w:rPr>
          <w:shd w:val="clear" w:color="auto" w:fill="FFFFFF"/>
        </w:rPr>
        <w:t>z</w:t>
      </w:r>
      <w:r w:rsidRPr="00706D15">
        <w:rPr>
          <w:shd w:val="clear" w:color="auto" w:fill="FFFFFF"/>
        </w:rPr>
        <w:t>ation for Economic Co-operation and Development, “Glossary of Key Terms in Evaluation and Results Based Management,” n.d.,</w:t>
      </w:r>
      <w:r w:rsidRPr="00706D15">
        <w:rPr>
          <w:rStyle w:val="apple-converted-space"/>
          <w:shd w:val="clear" w:color="auto" w:fill="FFFFFF"/>
        </w:rPr>
        <w:t> </w:t>
      </w:r>
      <w:hyperlink r:id="rId12" w:history="1">
        <w:r w:rsidRPr="00706D15">
          <w:rPr>
            <w:rStyle w:val="Hyperlink"/>
            <w:shd w:val="clear" w:color="auto" w:fill="FFFFFF"/>
          </w:rPr>
          <w:t>https://www.oecd.org/dac/evaluation/2754804.pdf</w:t>
        </w:r>
      </w:hyperlink>
      <w:r w:rsidRPr="00706D15">
        <w:rPr>
          <w:shd w:val="clear" w:color="auto" w:fill="FFFFFF"/>
        </w:rPr>
        <w:t>.</w:t>
      </w:r>
    </w:p>
  </w:footnote>
  <w:footnote w:id="21">
    <w:p w14:paraId="1F35CC47" w14:textId="39CF6B2D" w:rsidR="00621F44" w:rsidRPr="001F3DC0" w:rsidRDefault="00621F44" w:rsidP="001F3DC0">
      <w:pPr>
        <w:pStyle w:val="Footnotes"/>
        <w:rPr>
          <w:shd w:val="clear" w:color="auto" w:fill="FFFFFF"/>
        </w:rPr>
      </w:pPr>
      <w:r w:rsidRPr="00706D15">
        <w:rPr>
          <w:rStyle w:val="FootnoteReference"/>
        </w:rPr>
        <w:footnoteRef/>
      </w:r>
      <w:r w:rsidRPr="00706D15">
        <w:t xml:space="preserve"> </w:t>
      </w:r>
      <w:r w:rsidRPr="00706D15">
        <w:rPr>
          <w:shd w:val="clear" w:color="auto" w:fill="FFFFFF"/>
        </w:rPr>
        <w:t>IASB, “ISAE 3000 (Revised).”</w:t>
      </w:r>
    </w:p>
  </w:footnote>
  <w:footnote w:id="22">
    <w:p w14:paraId="6DEA7690" w14:textId="07DC9EF5" w:rsidR="00621F44" w:rsidRPr="00706D15" w:rsidRDefault="00621F44" w:rsidP="001F3DC0">
      <w:pPr>
        <w:pStyle w:val="Footnotes"/>
      </w:pPr>
      <w:r w:rsidRPr="00706D15">
        <w:rPr>
          <w:rStyle w:val="FootnoteReference"/>
        </w:rPr>
        <w:footnoteRef/>
      </w:r>
      <w:r w:rsidRPr="00706D15">
        <w:t xml:space="preserve"> Impact Management Platform, “Metrics,” </w:t>
      </w:r>
      <w:hyperlink r:id="rId13" w:history="1">
        <w:r w:rsidRPr="00706D15">
          <w:rPr>
            <w:rStyle w:val="Hyperlink"/>
          </w:rPr>
          <w:t>https://impactmanagementplatform.org/terms-and-concepts/</w:t>
        </w:r>
      </w:hyperlink>
    </w:p>
  </w:footnote>
  <w:footnote w:id="23">
    <w:p w14:paraId="56D36A0C" w14:textId="77777777" w:rsidR="00621F44" w:rsidRPr="00706D15" w:rsidRDefault="00621F44" w:rsidP="001F3DC0">
      <w:pPr>
        <w:pStyle w:val="Footnotes"/>
      </w:pPr>
      <w:r w:rsidRPr="00706D15">
        <w:rPr>
          <w:rStyle w:val="FootnoteReference"/>
        </w:rPr>
        <w:footnoteRef/>
      </w:r>
      <w:r w:rsidRPr="00706D15">
        <w:t xml:space="preserve"> </w:t>
      </w:r>
      <w:r w:rsidRPr="00706D15">
        <w:rPr>
          <w:shd w:val="clear" w:color="auto" w:fill="FFFFFF"/>
        </w:rPr>
        <w:t>IASB, “ISAE 3000 (Revised).”</w:t>
      </w:r>
    </w:p>
  </w:footnote>
  <w:footnote w:id="24">
    <w:p w14:paraId="0798323E" w14:textId="77777777" w:rsidR="00621F44" w:rsidRDefault="00621F44" w:rsidP="001F3DC0">
      <w:pPr>
        <w:pStyle w:val="Footnotes"/>
      </w:pPr>
      <w:r w:rsidRPr="001F3DC0">
        <w:rPr>
          <w:rStyle w:val="FootnoteReference"/>
          <w:sz w:val="14"/>
          <w:szCs w:val="14"/>
        </w:rPr>
        <w:footnoteRef/>
      </w:r>
      <w:r w:rsidRPr="001F3DC0">
        <w:t xml:space="preserve"> Adapted from Oxford languages. </w:t>
      </w:r>
    </w:p>
  </w:footnote>
  <w:footnote w:id="25">
    <w:p w14:paraId="74CC2CDE" w14:textId="39539C5B" w:rsidR="00621F44" w:rsidRPr="00706D15" w:rsidRDefault="00621F44" w:rsidP="001F3DC0">
      <w:pPr>
        <w:pStyle w:val="Footnotes"/>
      </w:pPr>
      <w:r w:rsidRPr="00706D15">
        <w:rPr>
          <w:rStyle w:val="FootnoteReference"/>
        </w:rPr>
        <w:footnoteRef/>
      </w:r>
      <w:r w:rsidRPr="00706D15">
        <w:t xml:space="preserve"> Impact Management Platform, “Outcome,” </w:t>
      </w:r>
      <w:hyperlink r:id="rId14" w:history="1">
        <w:r w:rsidRPr="00706D15">
          <w:rPr>
            <w:rStyle w:val="Hyperlink"/>
          </w:rPr>
          <w:t>https://impactmanagementplatform.org/terms-and-concepts/</w:t>
        </w:r>
      </w:hyperlink>
    </w:p>
  </w:footnote>
  <w:footnote w:id="26">
    <w:p w14:paraId="57E23144" w14:textId="202AE7C7" w:rsidR="00621F44" w:rsidRDefault="00621F44" w:rsidP="001F3DC0">
      <w:pPr>
        <w:pStyle w:val="Footnotes"/>
      </w:pPr>
      <w:r>
        <w:rPr>
          <w:rStyle w:val="FootnoteReference"/>
        </w:rPr>
        <w:footnoteRef/>
      </w:r>
      <w:r>
        <w:t xml:space="preserve"> Learn more on the two usages </w:t>
      </w:r>
      <w:hyperlink r:id="rId15" w:anchor="outcomes" w:history="1">
        <w:r w:rsidRPr="00703DDD">
          <w:rPr>
            <w:rStyle w:val="Hyperlink"/>
          </w:rPr>
          <w:t>here</w:t>
        </w:r>
      </w:hyperlink>
      <w:r>
        <w:t>.</w:t>
      </w:r>
    </w:p>
  </w:footnote>
  <w:footnote w:id="27">
    <w:p w14:paraId="1B88D7D8" w14:textId="62276899" w:rsidR="00621F44" w:rsidRPr="00706D15" w:rsidRDefault="00621F44" w:rsidP="001F3DC0">
      <w:pPr>
        <w:pStyle w:val="Footnotes"/>
      </w:pPr>
      <w:r w:rsidRPr="00706D15">
        <w:rPr>
          <w:rStyle w:val="FootnoteReference"/>
        </w:rPr>
        <w:footnoteRef/>
      </w:r>
      <w:r w:rsidRPr="00706D15">
        <w:t xml:space="preserve"> Impact Management Platform, “Output,” </w:t>
      </w:r>
      <w:hyperlink r:id="rId16" w:history="1">
        <w:r w:rsidRPr="00706D15">
          <w:rPr>
            <w:rStyle w:val="Hyperlink"/>
          </w:rPr>
          <w:t>https://impactmanagementplatform.org/terms-and-concepts/</w:t>
        </w:r>
      </w:hyperlink>
    </w:p>
  </w:footnote>
  <w:footnote w:id="28">
    <w:p w14:paraId="3C360F93" w14:textId="77777777" w:rsidR="00621F44" w:rsidRDefault="00621F44" w:rsidP="001F3DC0">
      <w:pPr>
        <w:pStyle w:val="Footnotes"/>
      </w:pPr>
      <w:r w:rsidRPr="00706D15">
        <w:rPr>
          <w:rStyle w:val="FootnoteReference"/>
        </w:rPr>
        <w:footnoteRef/>
      </w:r>
      <w:r w:rsidRPr="00706D15">
        <w:t xml:space="preserve"> </w:t>
      </w:r>
      <w:r w:rsidRPr="00706D15">
        <w:rPr>
          <w:shd w:val="clear" w:color="auto" w:fill="FFFFFF"/>
        </w:rPr>
        <w:t>IASB, “ISAE 3000 (Revised).”</w:t>
      </w:r>
    </w:p>
  </w:footnote>
  <w:footnote w:id="29">
    <w:p w14:paraId="2955110E" w14:textId="77777777" w:rsidR="005347F5" w:rsidRPr="00A86E31" w:rsidRDefault="005347F5" w:rsidP="005347F5">
      <w:pPr>
        <w:pStyle w:val="Footnotes"/>
      </w:pPr>
      <w:r w:rsidRPr="00A86E31">
        <w:rPr>
          <w:rStyle w:val="FootnoteReference"/>
          <w:vertAlign w:val="baseline"/>
        </w:rPr>
        <w:footnoteRef/>
      </w:r>
      <w:r w:rsidRPr="00A86E31">
        <w:t xml:space="preserve"> Impact Management Platform, “Key terms and concepts: Stakeholder</w:t>
      </w:r>
      <w:r>
        <w:t>.</w:t>
      </w:r>
      <w:r w:rsidRPr="00A86E31">
        <w:t xml:space="preserve">” </w:t>
      </w:r>
      <w:hyperlink r:id="rId17" w:history="1">
        <w:r w:rsidRPr="00AB7BB1">
          <w:rPr>
            <w:rStyle w:val="Hyperlink"/>
          </w:rPr>
          <w:t>https://impactmanagementplatform.org/terms-and-concepts/</w:t>
        </w:r>
      </w:hyperlink>
      <w:r>
        <w:rPr>
          <w:rStyle w:val="Hyperlink"/>
          <w:color w:val="000000"/>
          <w:u w:val="none"/>
        </w:rPr>
        <w:t xml:space="preserve">. </w:t>
      </w:r>
      <w:r w:rsidRPr="00A86E31">
        <w:t>IMP definition based on underlying work from: Global Reporting Initiative (GRI); OECD Due Diligence Guidance for Responsible Business Conduct; OECD Well-being Framework; Value Reporting Foundation (VRF) Integrated Reporting Framework)</w:t>
      </w:r>
      <w:r>
        <w:t>.</w:t>
      </w:r>
    </w:p>
  </w:footnote>
  <w:footnote w:id="30">
    <w:p w14:paraId="3F7C0686" w14:textId="77777777" w:rsidR="005347F5" w:rsidRPr="001F3DC0" w:rsidRDefault="005347F5" w:rsidP="005347F5">
      <w:pPr>
        <w:pStyle w:val="Footnotes"/>
      </w:pPr>
      <w:r w:rsidRPr="00A86E31">
        <w:rPr>
          <w:rStyle w:val="FootnoteReference"/>
          <w:vertAlign w:val="baseline"/>
        </w:rPr>
        <w:footnoteRef/>
      </w:r>
      <w:r w:rsidRPr="00A86E31">
        <w:t xml:space="preserve"> </w:t>
      </w:r>
      <w:r>
        <w:t xml:space="preserve">Adapted from “Engaging All Affected Stakeholders,” World Economic Forum, 2017. </w:t>
      </w:r>
      <w:hyperlink r:id="rId18" w:history="1">
        <w:r w:rsidRPr="00AB7BB1">
          <w:rPr>
            <w:rStyle w:val="Hyperlink"/>
          </w:rPr>
          <w:t>https://socialvalueuk.org/wp-content/uploads/2023/01/WEF-Engaging-all-affected-stakeholders-AG3-December-2017-4.pdf</w:t>
        </w:r>
      </w:hyperlink>
      <w:r>
        <w:t xml:space="preserve">. </w:t>
      </w:r>
    </w:p>
  </w:footnote>
  <w:footnote w:id="31">
    <w:p w14:paraId="01004A35" w14:textId="77777777" w:rsidR="00621F44" w:rsidRDefault="00621F44" w:rsidP="001F3DC0">
      <w:pPr>
        <w:pStyle w:val="Footnotes"/>
      </w:pPr>
      <w:r>
        <w:rPr>
          <w:rStyle w:val="FootnoteReference"/>
        </w:rPr>
        <w:footnoteRef/>
      </w:r>
      <w:r>
        <w:t xml:space="preserve"> </w:t>
      </w:r>
      <w:r w:rsidRPr="004B2CD0">
        <w:t>ESRS Glossary, “Targets”</w:t>
      </w:r>
    </w:p>
  </w:footnote>
  <w:footnote w:id="32">
    <w:p w14:paraId="032B7187" w14:textId="686851AB" w:rsidR="00621F44" w:rsidRPr="00706D15" w:rsidRDefault="00621F44" w:rsidP="001F3DC0">
      <w:pPr>
        <w:pStyle w:val="Footnotes"/>
      </w:pPr>
      <w:r w:rsidRPr="00706D15">
        <w:rPr>
          <w:rStyle w:val="FootnoteReference"/>
        </w:rPr>
        <w:footnoteRef/>
      </w:r>
      <w:r w:rsidRPr="00706D15">
        <w:t xml:space="preserve"> Impact Management Platform, “Theory of Change,” </w:t>
      </w:r>
      <w:hyperlink r:id="rId19" w:history="1">
        <w:r w:rsidRPr="00706D15">
          <w:rPr>
            <w:rStyle w:val="Hyperlink"/>
          </w:rPr>
          <w:t>https://impactmanagementplatform.org/terms-and-concepts/</w:t>
        </w:r>
      </w:hyperlink>
    </w:p>
  </w:footnote>
  <w:footnote w:id="33">
    <w:p w14:paraId="34AF0A35" w14:textId="37614897" w:rsidR="00621F44" w:rsidRDefault="00621F44" w:rsidP="001F3DC0">
      <w:pPr>
        <w:pStyle w:val="Footnotes"/>
      </w:pPr>
      <w:r w:rsidRPr="00706D15">
        <w:rPr>
          <w:rStyle w:val="FootnoteReference"/>
        </w:rPr>
        <w:footnoteRef/>
      </w:r>
      <w:r w:rsidRPr="00706D15">
        <w:t xml:space="preserve"> Impact Management Platform, “Impact Pathway,” </w:t>
      </w:r>
      <w:hyperlink r:id="rId20" w:history="1">
        <w:r w:rsidRPr="00706D15">
          <w:rPr>
            <w:rStyle w:val="Hyperlink"/>
          </w:rPr>
          <w:t>https://impactmanagementplatform.org/terms-and-concepts/</w:t>
        </w:r>
      </w:hyperlink>
    </w:p>
  </w:footnote>
  <w:footnote w:id="34">
    <w:p w14:paraId="3A276124" w14:textId="3D31FAA1" w:rsidR="00621F44" w:rsidRDefault="00621F44" w:rsidP="001F3DC0">
      <w:pPr>
        <w:pStyle w:val="Footnotes"/>
      </w:pPr>
      <w:r w:rsidRPr="00822C00">
        <w:rPr>
          <w:rStyle w:val="FootnoteReference"/>
        </w:rPr>
        <w:footnoteRef/>
      </w:r>
      <w:r w:rsidRPr="00822C00">
        <w:t xml:space="preserve"> Impact Management Platform, “Well-being,” </w:t>
      </w:r>
      <w:hyperlink r:id="rId21" w:history="1">
        <w:r w:rsidRPr="00822C00">
          <w:rPr>
            <w:rStyle w:val="Hyperlink"/>
          </w:rPr>
          <w:t>https://impactmanagementplatform.org/terms-and-concepts/</w:t>
        </w:r>
      </w:hyperlink>
    </w:p>
  </w:footnote>
  <w:footnote w:id="35">
    <w:p w14:paraId="57AA2C5F" w14:textId="59E574A4" w:rsidR="00DA3396" w:rsidRDefault="00DA3396" w:rsidP="001F3DC0">
      <w:pPr>
        <w:pStyle w:val="Footnotes"/>
      </w:pPr>
      <w:r w:rsidRPr="0013040A">
        <w:rPr>
          <w:rStyle w:val="FootnoteReference"/>
        </w:rPr>
        <w:footnoteRef/>
      </w:r>
      <w:r w:rsidRPr="0013040A">
        <w:t xml:space="preserve"> </w:t>
      </w:r>
      <w:r w:rsidRPr="00F238BD">
        <w:t>IFRS, “Conceptual Framework for Financial Reporting,” 2018, https://www.ifrs.org/issued-standards/list-of-standards/conceptual-framework/.</w:t>
      </w:r>
      <w:r w:rsidRPr="00F238BD" w:rsidDel="00F238BD">
        <w:t xml:space="preserve"> </w:t>
      </w:r>
    </w:p>
  </w:footnote>
  <w:footnote w:id="36">
    <w:p w14:paraId="6104884A" w14:textId="48282D93" w:rsidR="00C52ECC" w:rsidRPr="00822A7F" w:rsidRDefault="00C52ECC" w:rsidP="001F3DC0">
      <w:pPr>
        <w:pStyle w:val="Footnotes"/>
      </w:pPr>
      <w:r>
        <w:rPr>
          <w:rStyle w:val="FootnoteReference"/>
        </w:rPr>
        <w:footnoteRef/>
      </w:r>
      <w:r>
        <w:t xml:space="preserve"> </w:t>
      </w:r>
      <w:r w:rsidRPr="00822A7F">
        <w:t xml:space="preserve">Readers are encouraged to review the CFFR Chapters 1 and 2, </w:t>
      </w:r>
      <w:r>
        <w:t>and</w:t>
      </w:r>
      <w:r w:rsidRPr="00822A7F">
        <w:t xml:space="preserve"> 7.1-7.6 and 7.20-7.22 on Presentation and Disclosure.</w:t>
      </w:r>
    </w:p>
  </w:footnote>
  <w:footnote w:id="37">
    <w:p w14:paraId="4DD9D136" w14:textId="34B417FF" w:rsidR="00DE7BEB" w:rsidRDefault="00DE7BEB" w:rsidP="00DE7BEB">
      <w:pPr>
        <w:pStyle w:val="Footnotes"/>
      </w:pPr>
      <w:r w:rsidRPr="00FB09AA">
        <w:rPr>
          <w:rStyle w:val="FootnoteReference"/>
        </w:rPr>
        <w:footnoteRef/>
      </w:r>
      <w:r w:rsidRPr="00FB09AA">
        <w:t xml:space="preserve"> Financial accounts record all revenues, costs, assets, and liabilities, no matter how small</w:t>
      </w:r>
      <w:r w:rsidR="003939F7" w:rsidRPr="00FB09AA">
        <w:t>, that meet a required level of certainty</w:t>
      </w:r>
      <w:r w:rsidRPr="00FB09AA">
        <w:t>.</w:t>
      </w:r>
      <w:r w:rsidR="003939F7" w:rsidRPr="00FB09AA">
        <w:t xml:space="preserve"> This level of certainty permits estimation and models.</w:t>
      </w:r>
      <w:r w:rsidRPr="00FB09AA">
        <w:t xml:space="preserve"> That is, </w:t>
      </w:r>
      <w:r w:rsidR="00290BF1" w:rsidRPr="00FB09AA">
        <w:t xml:space="preserve">accountants </w:t>
      </w:r>
      <w:r w:rsidRPr="00FB09AA">
        <w:t>do not conduct an ex-ante materiality assessment to decide which revenues, costs, assets, and liabilities to include</w:t>
      </w:r>
      <w:r w:rsidR="00290BF1" w:rsidRPr="00FB09AA">
        <w:t xml:space="preserve"> in the financial accounts</w:t>
      </w:r>
      <w:r w:rsidRPr="00FB09AA">
        <w:t xml:space="preserve">. In contrast, </w:t>
      </w:r>
      <w:r w:rsidR="004B609C" w:rsidRPr="00FB09AA">
        <w:t>sustainability,</w:t>
      </w:r>
      <w:r w:rsidRPr="00FB09AA">
        <w:t xml:space="preserve"> and impact investors, facing the </w:t>
      </w:r>
      <w:r w:rsidR="00152C2F" w:rsidRPr="00FB09AA">
        <w:t xml:space="preserve">cost and logistical </w:t>
      </w:r>
      <w:r w:rsidRPr="00FB09AA">
        <w:t xml:space="preserve">challenge of measuring all impacts </w:t>
      </w:r>
      <w:r w:rsidR="00152C2F" w:rsidRPr="00FB09AA">
        <w:t>on all stakeholders and aspects of the natural environment, typically conduct an ex-ante materiality assessment to determine which impacts</w:t>
      </w:r>
      <w:r w:rsidR="003939F7" w:rsidRPr="00FB09AA">
        <w:t xml:space="preserve"> are expected to be material</w:t>
      </w:r>
      <w:r w:rsidR="00290BF1" w:rsidRPr="00FB09AA">
        <w:t>,</w:t>
      </w:r>
      <w:r w:rsidR="003939F7" w:rsidRPr="00FB09AA">
        <w:t xml:space="preserve"> and then </w:t>
      </w:r>
      <w:r w:rsidR="00152C2F" w:rsidRPr="00FB09AA">
        <w:t>measure</w:t>
      </w:r>
      <w:r w:rsidR="003939F7" w:rsidRPr="00FB09AA">
        <w:t xml:space="preserve"> those</w:t>
      </w:r>
      <w:r w:rsidR="00152C2F" w:rsidRPr="00FB09AA">
        <w:t>. When preparing an impact performance report, they then (perhaps implicitly) conduct a second materiality assessment to determine what subset of the available information to include in the report. While understandable from a cost and technical perspective, this practice creates a risk that material impacts are excluded from reports because they were never measured in the first place</w:t>
      </w:r>
      <w:r w:rsidR="003939F7" w:rsidRPr="00FB09AA">
        <w:t xml:space="preserve"> </w:t>
      </w:r>
      <w:r w:rsidR="00290BF1" w:rsidRPr="00FB09AA">
        <w:t xml:space="preserve">– </w:t>
      </w:r>
      <w:r w:rsidR="003939F7" w:rsidRPr="00FB09AA">
        <w:t xml:space="preserve">but </w:t>
      </w:r>
      <w:r w:rsidR="00290BF1" w:rsidRPr="00FB09AA">
        <w:t xml:space="preserve">would have been </w:t>
      </w:r>
      <w:r w:rsidR="003939F7" w:rsidRPr="00FB09AA">
        <w:t>material</w:t>
      </w:r>
      <w:r w:rsidR="00290BF1" w:rsidRPr="00FB09AA">
        <w:t>,</w:t>
      </w:r>
      <w:r w:rsidR="003939F7" w:rsidRPr="00FB09AA">
        <w:t xml:space="preserve"> had they been measured</w:t>
      </w:r>
      <w:r w:rsidR="00290BF1" w:rsidRPr="00FB09AA">
        <w:t>,</w:t>
      </w:r>
      <w:r w:rsidR="00152C2F" w:rsidRPr="00FB09AA">
        <w:t xml:space="preserve"> and that the resulting portrayal of performance is incomplete, biased, or both. </w:t>
      </w:r>
      <w:r w:rsidR="00BB7125" w:rsidRPr="00FB09AA">
        <w:t xml:space="preserve">Initiatives </w:t>
      </w:r>
      <w:r w:rsidR="00290BF1" w:rsidRPr="00FB09AA">
        <w:t>i</w:t>
      </w:r>
      <w:r w:rsidR="00BB7125" w:rsidRPr="00FB09AA">
        <w:t>n i</w:t>
      </w:r>
      <w:r w:rsidR="00152C2F" w:rsidRPr="00FB09AA">
        <w:t xml:space="preserve">mpact accounting often aim to measure all impacts – based on sampling and estimation techniques – to reduce this risk. </w:t>
      </w:r>
      <w:r w:rsidR="00BB7125" w:rsidRPr="00FB09AA">
        <w:t xml:space="preserve">The </w:t>
      </w:r>
      <w:r w:rsidR="00C600BE" w:rsidRPr="00FB09AA">
        <w:t xml:space="preserve">draft Reporting </w:t>
      </w:r>
      <w:r w:rsidR="00BB7125" w:rsidRPr="00FB09AA">
        <w:t xml:space="preserve">Norms assume that the preparer and its investees do not have processes in place to disclose all impacts. Preparers that do have such processes in place or wish to build them are encouraged to consult the Gold Standard Fund Requirements </w:t>
      </w:r>
      <w:r w:rsidR="006128DB" w:rsidRPr="00FB09AA">
        <w:t>and/or the</w:t>
      </w:r>
      <w:r w:rsidR="00BB7125" w:rsidRPr="00FB09AA">
        <w:t xml:space="preserve"> SDG Impact Standards. </w:t>
      </w:r>
      <w:r w:rsidR="006128DB" w:rsidRPr="00FB09AA">
        <w:t>Additionally, t</w:t>
      </w:r>
      <w:r w:rsidR="00152C2F" w:rsidRPr="00FB09AA">
        <w:t>o learn more, see the resources of the Capitals Coalition, the International Foundation for Valuing Impacts, and Social Value International.</w:t>
      </w:r>
      <w:r w:rsidR="00BB7125" w:rsidRPr="00FB09AA">
        <w:t xml:space="preserve"> </w:t>
      </w:r>
      <w:r w:rsidR="00FB09AA" w:rsidRPr="00FB09AA">
        <w:t xml:space="preserve">At a minimum, for alignment with the Norms it is recommended that preparers update information on an annual basis if any material information </w:t>
      </w:r>
      <w:r w:rsidR="00FB09AA" w:rsidRPr="00FB09AA">
        <w:rPr>
          <w:rFonts w:eastAsiaTheme="minorEastAsia"/>
        </w:rPr>
        <w:t>manifests during the reporting period</w:t>
      </w:r>
      <w:r w:rsidR="00FB09AA" w:rsidRPr="00FB09AA">
        <w:t>.</w:t>
      </w:r>
    </w:p>
  </w:footnote>
  <w:footnote w:id="38">
    <w:p w14:paraId="0FDEE317" w14:textId="77777777" w:rsidR="00CE7217" w:rsidRPr="001C4B06" w:rsidRDefault="00CE7217" w:rsidP="0052192C">
      <w:pPr>
        <w:pStyle w:val="Footnotes"/>
      </w:pPr>
      <w:r w:rsidRPr="001D0277">
        <w:rPr>
          <w:rStyle w:val="FootnoteReference"/>
        </w:rPr>
        <w:footnoteRef/>
      </w:r>
      <w:r w:rsidRPr="001D0277">
        <w:t xml:space="preserve"> </w:t>
      </w:r>
      <w:r w:rsidRPr="00F238BD">
        <w:t>Impact Frontiers, “Five Dimensions of Impact,” Impact Frontiers, March 10, 2022, </w:t>
      </w:r>
      <w:hyperlink r:id="rId22" w:history="1">
        <w:r w:rsidRPr="001C4B06">
          <w:rPr>
            <w:rStyle w:val="Hyperlink"/>
          </w:rPr>
          <w:t>https://impactfrontiers.org/norms/five-dimensions-of-impact/</w:t>
        </w:r>
      </w:hyperlink>
      <w:r w:rsidRPr="001C4B06">
        <w:t>.</w:t>
      </w:r>
    </w:p>
  </w:footnote>
  <w:footnote w:id="39">
    <w:p w14:paraId="3ECD11EF" w14:textId="3E64AAF9" w:rsidR="00E43D22" w:rsidRDefault="00E43D22" w:rsidP="0052192C">
      <w:pPr>
        <w:pStyle w:val="Footnotes"/>
      </w:pPr>
      <w:r w:rsidRPr="001C4B06">
        <w:rPr>
          <w:rStyle w:val="FootnoteReference"/>
        </w:rPr>
        <w:footnoteRef/>
      </w:r>
      <w:r w:rsidRPr="001C4B06">
        <w:t xml:space="preserve"> Financial equivalents of </w:t>
      </w:r>
      <w:r w:rsidR="00B47DD9">
        <w:t>“</w:t>
      </w:r>
      <w:r w:rsidRPr="001C4B06">
        <w:t>impact performance</w:t>
      </w:r>
      <w:r w:rsidR="00B47DD9">
        <w:t>”</w:t>
      </w:r>
      <w:r w:rsidRPr="001C4B06">
        <w:t xml:space="preserve"> might </w:t>
      </w:r>
      <w:r w:rsidR="0052192C" w:rsidRPr="001C4B06">
        <w:t>include, for instance,</w:t>
      </w:r>
      <w:r w:rsidRPr="001C4B06">
        <w:t xml:space="preserve"> various measures of profitability or return on equity</w:t>
      </w:r>
      <w:r w:rsidR="0052192C" w:rsidRPr="001C4B06">
        <w:t>, taking into account both revenues and costs. Organizations that strive to estimate a monetary value of</w:t>
      </w:r>
      <w:r w:rsidR="00992D94" w:rsidRPr="001C4B06">
        <w:t xml:space="preserve"> their impact could disclose the positive and negative</w:t>
      </w:r>
      <w:r w:rsidR="0052192C" w:rsidRPr="001C4B06">
        <w:t xml:space="preserve"> impacts</w:t>
      </w:r>
      <w:r w:rsidR="00992D94" w:rsidRPr="001C4B06">
        <w:t xml:space="preserve"> arising from their decisions which would show </w:t>
      </w:r>
      <w:r w:rsidR="0052192C" w:rsidRPr="001C4B06">
        <w:t>an impact equivalent of measures of net financial performance. More commonly, organizations take stock of disparate positive and negative impacts and form a view of impact performance, without creating a monetary estimate of impact or netting out negative against positive</w:t>
      </w:r>
      <w:r w:rsidR="00290BF1">
        <w:t>.</w:t>
      </w:r>
      <w:r w:rsidR="0052192C" w:rsidRPr="001C4B06">
        <w:t xml:space="preserve"> Either approach can be taken in impact reports prepared in alignment with the Norms.</w:t>
      </w:r>
    </w:p>
  </w:footnote>
  <w:footnote w:id="40">
    <w:p w14:paraId="74BAAAD7" w14:textId="77777777" w:rsidR="00CE7217" w:rsidRDefault="00CE7217" w:rsidP="001F3DC0">
      <w:pPr>
        <w:pStyle w:val="Footnotes"/>
      </w:pPr>
      <w:r w:rsidRPr="002038CB">
        <w:rPr>
          <w:rStyle w:val="FootnoteReference"/>
        </w:rPr>
        <w:footnoteRef/>
      </w:r>
      <w:r w:rsidRPr="002038CB">
        <w:t xml:space="preserve"> This does not imply that such information is self-reported, nor exclude that </w:t>
      </w:r>
      <w:r>
        <w:t>it is</w:t>
      </w:r>
      <w:r w:rsidRPr="002038CB">
        <w:t>.</w:t>
      </w:r>
    </w:p>
  </w:footnote>
  <w:footnote w:id="41">
    <w:p w14:paraId="44EB7066" w14:textId="788C2E26" w:rsidR="00BD395C" w:rsidRDefault="00BD395C" w:rsidP="001F3DC0">
      <w:pPr>
        <w:pStyle w:val="Footnotes"/>
      </w:pPr>
      <w:r w:rsidRPr="00BD395C">
        <w:rPr>
          <w:rStyle w:val="FootnoteReference"/>
        </w:rPr>
        <w:footnoteRef/>
      </w:r>
      <w:r w:rsidRPr="00BD395C">
        <w:t xml:space="preserve"> For instance, see Chicago Beyond’s guidebook “Why Am I Always Being Researched?” </w:t>
      </w:r>
      <w:hyperlink r:id="rId23" w:history="1">
        <w:r w:rsidRPr="00BD395C">
          <w:rPr>
            <w:rStyle w:val="Hyperlink"/>
          </w:rPr>
          <w:t>https://chicagobeyond.org/researchequity/</w:t>
        </w:r>
      </w:hyperlink>
      <w:r w:rsidR="00D22C11">
        <w:t>;</w:t>
      </w:r>
      <w:r w:rsidR="00297368">
        <w:t xml:space="preserve"> </w:t>
      </w:r>
      <w:r w:rsidR="00D22C11">
        <w:t xml:space="preserve">resources from MIT D-Lab’s Lean Research initiative </w:t>
      </w:r>
      <w:hyperlink r:id="rId24" w:history="1">
        <w:r w:rsidR="00D22C11" w:rsidRPr="001B2CD3">
          <w:rPr>
            <w:rStyle w:val="Hyperlink"/>
          </w:rPr>
          <w:t>https://d-lab.mit.edu/research/lean-research/lean-research-tools-resources</w:t>
        </w:r>
      </w:hyperlink>
      <w:r w:rsidR="00037F5B">
        <w:t xml:space="preserve">; and Facilitating Power’s Spectrum of Community Engagement </w:t>
      </w:r>
      <w:hyperlink r:id="rId25" w:history="1">
        <w:r w:rsidR="00037F5B" w:rsidRPr="001B2CD3">
          <w:rPr>
            <w:rStyle w:val="Hyperlink"/>
          </w:rPr>
          <w:t>https://movementstrategy.org/wp-content/uploads/2021/08/The-Spectrum-of-Community-Engagement-to-Ownership.pdf</w:t>
        </w:r>
      </w:hyperlink>
      <w:r w:rsidR="00037F5B">
        <w:t xml:space="preserve">. </w:t>
      </w:r>
    </w:p>
  </w:footnote>
  <w:footnote w:id="42">
    <w:p w14:paraId="3838F0DE" w14:textId="77777777" w:rsidR="00CE7217" w:rsidRDefault="00CE7217" w:rsidP="001F3DC0">
      <w:pPr>
        <w:pStyle w:val="Footnotes"/>
      </w:pPr>
      <w:r w:rsidRPr="00964407">
        <w:rPr>
          <w:rStyle w:val="FootnoteReference"/>
        </w:rPr>
        <w:footnoteRef/>
      </w:r>
      <w:r w:rsidRPr="00964407">
        <w:t xml:space="preserve"> </w:t>
      </w:r>
      <w:r>
        <w:t>T</w:t>
      </w:r>
      <w:r w:rsidRPr="00964407">
        <w:t>his scenario need not always be hypothetical. It is widely considered good practice in impact evaluation to share study results with the participants in the study, both as an equitable practice and as a way of sense-checking those results.</w:t>
      </w:r>
    </w:p>
  </w:footnote>
  <w:footnote w:id="43">
    <w:p w14:paraId="7B7D4ABD" w14:textId="07AC69DB" w:rsidR="00CE7217" w:rsidRPr="002038CB" w:rsidRDefault="00CE7217" w:rsidP="001F3DC0">
      <w:pPr>
        <w:pStyle w:val="Footnotes"/>
      </w:pPr>
      <w:r w:rsidRPr="001C4B06">
        <w:rPr>
          <w:rStyle w:val="FootnoteReference"/>
        </w:rPr>
        <w:footnoteRef/>
      </w:r>
      <w:r w:rsidRPr="001C4B06">
        <w:t xml:space="preserve"> See Kate Ruff’s summary of an argument by Peter Huang: “The ‘moody investor’ refers to someone who experiences investment decisions affected by the emotional content of disclosures. Information can be presented in ways that elicit or minimize an emotional reaction through color, font, language, and imagery. Similar to how graphic pictures on cigarette packs change behaviors of smokers more than text-based warnings do, investors are expected to make different decisions when given information in a more emotionally enticing way. By minimizing or enhancing the affective content of information ‘‘securities issuers and securities brokers have opportunities to exploit securities markets without facing any legal and regulatory consequences from the SEC” (Huang, 2005, p. 128). For example, news of losing a contract can be conveyed in opaque, verbose language while news of signing a new one can be conveyed through short, evocative words</w:t>
      </w:r>
      <w:r w:rsidR="00103613" w:rsidRPr="001C4B06">
        <w:t>…</w:t>
      </w:r>
      <w:r w:rsidRPr="001C4B06">
        <w:t xml:space="preserve">Recognizing that reasonable investors are moody (as opposed to uninfluenced by affect) would create to an information environment that would better protect investors and thus better fulfill the objective of the United States’ Securities Exchange Act of 1934.” Ruff, Katherine, 2022. "In support of making up users," Critical Perspectives on Accounting, Elsevier, vol. 88 </w:t>
      </w:r>
      <w:hyperlink r:id="rId26" w:history="1">
        <w:r w:rsidRPr="001C4B06">
          <w:rPr>
            <w:rStyle w:val="Hyperlink"/>
          </w:rPr>
          <w:t>https://www.researchgate.net/publication/351432238_In_support_of_making_up_users</w:t>
        </w:r>
      </w:hyperlink>
      <w:r w:rsidRPr="001C4B06">
        <w:rPr>
          <w:rStyle w:val="Hyperlink"/>
        </w:rPr>
        <w:t>.</w:t>
      </w:r>
      <w:r w:rsidRPr="001C4B06">
        <w:t xml:space="preserve"> Citing Huang, P. H. (2005). Moody investing and the Supreme Court: Rethinking the materiality of information and the reasonableness of investors. Supreme Court Economic Review, 13, 99–131 </w:t>
      </w:r>
      <w:hyperlink r:id="rId27" w:history="1">
        <w:r w:rsidRPr="001C4B06">
          <w:rPr>
            <w:rStyle w:val="Hyperlink"/>
          </w:rPr>
          <w:t>http://www.jstor.org/stable/3655302</w:t>
        </w:r>
      </w:hyperlink>
      <w:r w:rsidRPr="001C4B06">
        <w:t>.</w:t>
      </w:r>
      <w:r>
        <w:t xml:space="preserve"> </w:t>
      </w:r>
    </w:p>
  </w:footnote>
  <w:footnote w:id="44">
    <w:p w14:paraId="6F9328FE" w14:textId="77777777" w:rsidR="00FC3D45" w:rsidRDefault="00FC3D45" w:rsidP="00FC3D45">
      <w:pPr>
        <w:pStyle w:val="Footnotes"/>
      </w:pPr>
      <w:r w:rsidRPr="001D0277">
        <w:rPr>
          <w:rStyle w:val="FootnoteReference"/>
        </w:rPr>
        <w:footnoteRef/>
      </w:r>
      <w:r w:rsidRPr="001D0277">
        <w:t xml:space="preserve"> </w:t>
      </w:r>
      <w:r>
        <w:t>I</w:t>
      </w:r>
      <w:r w:rsidRPr="001D0277">
        <w:t>SSB and IFRS Foundation, “IFRS S1,” 40.</w:t>
      </w:r>
    </w:p>
  </w:footnote>
  <w:footnote w:id="45">
    <w:p w14:paraId="44ABC77C" w14:textId="4BC8815C" w:rsidR="00CE7217" w:rsidRDefault="00CE7217" w:rsidP="00C07405">
      <w:pPr>
        <w:pStyle w:val="Footnotes"/>
      </w:pPr>
      <w:r w:rsidRPr="002038CB">
        <w:rPr>
          <w:rStyle w:val="FootnoteReference"/>
        </w:rPr>
        <w:footnoteRef/>
      </w:r>
      <w:r w:rsidRPr="002038CB">
        <w:t xml:space="preserve"> “Creating Flexible Standards: Construct-based equivalence and bounded flexibility,” Common Approach to Impact Measurement, </w:t>
      </w:r>
      <w:hyperlink r:id="rId28" w:history="1">
        <w:r w:rsidR="00570ED2" w:rsidRPr="00AB7BB1">
          <w:rPr>
            <w:rStyle w:val="Hyperlink"/>
          </w:rPr>
          <w:t>https://www.commonapproach.org/wp-content/uploads/2020/07/FlexibleStandardsBriefing.pdf</w:t>
        </w:r>
      </w:hyperlink>
      <w:r w:rsidRPr="002038CB">
        <w:t xml:space="preserve">. </w:t>
      </w:r>
    </w:p>
  </w:footnote>
  <w:footnote w:id="46">
    <w:p w14:paraId="033DFBB0" w14:textId="5D20DE6C" w:rsidR="00C07405" w:rsidRDefault="00C07405" w:rsidP="00C07405">
      <w:pPr>
        <w:pStyle w:val="Footnotes"/>
      </w:pPr>
      <w:r>
        <w:rPr>
          <w:rStyle w:val="FootnoteReference"/>
        </w:rPr>
        <w:footnoteRef/>
      </w:r>
      <w:r>
        <w:t xml:space="preserve"> </w:t>
      </w:r>
      <w:r w:rsidR="00FC3D45">
        <w:t>“Uniformity in Accounting: A Historical Perspective.” Barbara Merino and Teddy Coe, Journal of Accountancy, August 1978.</w:t>
      </w:r>
    </w:p>
  </w:footnote>
  <w:footnote w:id="47">
    <w:p w14:paraId="0D10C1E8" w14:textId="3648C6E2" w:rsidR="00CE7217" w:rsidRDefault="00CE7217" w:rsidP="00C07405">
      <w:pPr>
        <w:pStyle w:val="Footnotes"/>
      </w:pPr>
      <w:r w:rsidRPr="00FC3D45">
        <w:rPr>
          <w:rStyle w:val="FootnoteReference"/>
        </w:rPr>
        <w:footnoteRef/>
      </w:r>
      <w:r w:rsidRPr="00FC3D45">
        <w:t xml:space="preserve"> The excerpt continues: “Different businesses with different strategies in different industries choose different methods for asset valuation, depreciation, and so on, and must disclose the methods they use. Financial statements aren’t perfectly comparable. Instead, we expect users to be aware of the different approaches and to understand how different measurement choices affect reported profit and other important numbers. Said differently, today’s financial standards achieve some degree of comparability, while allowing variation in measurement, by putting the onus on the user to recognize the significance of different accounting policies.” Ruff, K. &amp; Olsen, S. (2016). The Next Frontier in Impact Measurement isn’t Measurement at All. Stanford Social Innovation Review</w:t>
      </w:r>
      <w:r w:rsidR="005D3BCA" w:rsidRPr="00FC3D45">
        <w:t>,</w:t>
      </w:r>
      <w:r w:rsidR="00570ED2" w:rsidRPr="00FC3D45">
        <w:t xml:space="preserve"> </w:t>
      </w:r>
      <w:r w:rsidRPr="00FC3D45">
        <w:t>ssir.org/articles/entry/the_next_frontier_in_social_impact_measurement_isnt_measurement_at_al</w:t>
      </w:r>
      <w:r w:rsidR="005D3BCA" w:rsidRPr="00FC3D45">
        <w:t>l.</w:t>
      </w:r>
      <w:r w:rsidR="005D3BCA">
        <w:t xml:space="preserve"> </w:t>
      </w:r>
    </w:p>
  </w:footnote>
  <w:footnote w:id="48">
    <w:p w14:paraId="7611BB50" w14:textId="50F9AE3B" w:rsidR="005D3BCA" w:rsidRDefault="005D3BCA" w:rsidP="005D3BCA">
      <w:pPr>
        <w:pStyle w:val="Footnotes"/>
      </w:pPr>
      <w:r w:rsidRPr="002949AE">
        <w:rPr>
          <w:rStyle w:val="FootnoteReference"/>
        </w:rPr>
        <w:footnoteRef/>
      </w:r>
      <w:r w:rsidRPr="002949AE">
        <w:t xml:space="preserve"> Comparability is cited by practitioners both as a rationale for and against estimation of the monetary value of impact. From one perspective, conversion of disparate impacts into a commensurable measure makes comparability possible. From another perspective, it compromises comparability by ‘making unlike things look alike,’ as per paragraph 2.27 of the Conceptual Framework above.</w:t>
      </w:r>
    </w:p>
  </w:footnote>
  <w:footnote w:id="49">
    <w:p w14:paraId="45E76318" w14:textId="0EE72083" w:rsidR="00CB3BAB" w:rsidRDefault="00CB3BAB" w:rsidP="00FE0C56">
      <w:pPr>
        <w:pStyle w:val="Footnotes"/>
      </w:pPr>
      <w:r>
        <w:rPr>
          <w:rStyle w:val="FootnoteReference"/>
        </w:rPr>
        <w:footnoteRef/>
      </w:r>
      <w:r>
        <w:t xml:space="preserve"> </w:t>
      </w:r>
      <w:r w:rsidRPr="002038CB">
        <w:t xml:space="preserve">International Finance Corporation. 2021. “Operating Principles for Impact Management,” Principle 5 (referencing the UN Guiding Principles on Business and Human Rights, the OECD Guidelines for Multinational Enterprises, and the IFC Performance Standards) </w:t>
      </w:r>
      <w:hyperlink r:id="rId29" w:history="1">
        <w:r w:rsidRPr="002038CB">
          <w:rPr>
            <w:rStyle w:val="Hyperlink"/>
          </w:rPr>
          <w:t>https://www.impactprinciples.org/sites/default/files/202106/Impact%20Principles%20Brochure%20Revised.pdf</w:t>
        </w:r>
      </w:hyperlink>
      <w:r w:rsidRPr="002038CB">
        <w:t>.</w:t>
      </w:r>
    </w:p>
  </w:footnote>
  <w:footnote w:id="50">
    <w:p w14:paraId="64EDCD11" w14:textId="77777777" w:rsidR="00CB3BAB" w:rsidRPr="001D26BD" w:rsidRDefault="00CB3BAB" w:rsidP="00FE0C56">
      <w:pPr>
        <w:pStyle w:val="Footnotes"/>
      </w:pPr>
      <w:r w:rsidRPr="002038CB">
        <w:rPr>
          <w:rStyle w:val="FootnoteReference"/>
        </w:rPr>
        <w:footnoteRef/>
      </w:r>
      <w:r w:rsidRPr="002038CB">
        <w:t xml:space="preserve">  </w:t>
      </w:r>
      <w:r>
        <w:t xml:space="preserve">Accountability Counsel, </w:t>
      </w:r>
      <w:hyperlink r:id="rId30" w:history="1">
        <w:r w:rsidRPr="001B2CD3">
          <w:rPr>
            <w:rStyle w:val="Hyperlink"/>
          </w:rPr>
          <w:t>https://www.accountabilitycounsel.org/institution/impact-investing/</w:t>
        </w:r>
      </w:hyperlink>
      <w:r>
        <w:t xml:space="preserve">. </w:t>
      </w:r>
    </w:p>
  </w:footnote>
  <w:footnote w:id="51">
    <w:p w14:paraId="27FE5968" w14:textId="77777777" w:rsidR="00CE7217" w:rsidRPr="009145E0" w:rsidRDefault="00CE7217" w:rsidP="00DB1B70">
      <w:pPr>
        <w:pStyle w:val="Footnotes"/>
      </w:pPr>
      <w:r w:rsidRPr="00483717">
        <w:rPr>
          <w:rStyle w:val="FootnoteReference"/>
        </w:rPr>
        <w:footnoteRef/>
      </w:r>
      <w:r w:rsidRPr="00483717">
        <w:t xml:space="preserve"> </w:t>
      </w:r>
      <w:r w:rsidRPr="004C72AC">
        <w:t xml:space="preserve">International Finance Corporation. 2021. “Operating Principles for Impact Management,” 6. </w:t>
      </w:r>
      <w:hyperlink r:id="rId31" w:history="1">
        <w:r w:rsidRPr="004C72AC">
          <w:rPr>
            <w:rStyle w:val="Hyperlink"/>
            <w:color w:val="000000"/>
            <w:u w:val="none"/>
          </w:rPr>
          <w:t>https://www.impactprinciples.org/sites/default/files/2021-06/Impact%20Principles%20Brochure%20Revised.pdf</w:t>
        </w:r>
      </w:hyperlink>
      <w:r w:rsidRPr="004C72AC">
        <w:t>.</w:t>
      </w:r>
    </w:p>
  </w:footnote>
  <w:footnote w:id="52">
    <w:p w14:paraId="63B8BABA" w14:textId="77777777" w:rsidR="00CE7217" w:rsidRPr="009145E0" w:rsidRDefault="00CE7217" w:rsidP="001F3DC0">
      <w:pPr>
        <w:pStyle w:val="ReferenceFootnote"/>
        <w:rPr>
          <w:color w:val="000000"/>
        </w:rPr>
      </w:pPr>
      <w:r w:rsidRPr="009145E0">
        <w:rPr>
          <w:rStyle w:val="FootnoteReference"/>
        </w:rPr>
        <w:footnoteRef/>
      </w:r>
      <w:r w:rsidRPr="009145E0">
        <w:t xml:space="preserve"> </w:t>
      </w:r>
      <w:r w:rsidRPr="009145E0">
        <w:rPr>
          <w:color w:val="000000"/>
        </w:rPr>
        <w:t xml:space="preserve">The United Nations Development Programme. 2020. “SDG Impact Standards for Private Equity Funds.” </w:t>
      </w:r>
      <w:hyperlink r:id="rId32" w:history="1">
        <w:r w:rsidRPr="009145E0">
          <w:rPr>
            <w:rStyle w:val="Hyperlink"/>
          </w:rPr>
          <w:t>https://sdgimpact.undp.org/assets/SDG-Impact-Standards-for-Private-Equity-Funds-Version_1_0.pdf</w:t>
        </w:r>
      </w:hyperlink>
      <w:r w:rsidRPr="009145E0">
        <w:rPr>
          <w:color w:val="000000"/>
        </w:rPr>
        <w:t>.</w:t>
      </w:r>
    </w:p>
  </w:footnote>
  <w:footnote w:id="53">
    <w:p w14:paraId="40E06A81" w14:textId="77777777" w:rsidR="00CE7217" w:rsidRDefault="00CE7217" w:rsidP="002706EB">
      <w:pPr>
        <w:pStyle w:val="Footnotes"/>
      </w:pPr>
      <w:r w:rsidRPr="009145E0">
        <w:rPr>
          <w:rStyle w:val="FootnoteReference"/>
        </w:rPr>
        <w:footnoteRef/>
      </w:r>
      <w:r w:rsidRPr="009145E0">
        <w:t xml:space="preserve"> SSB and IFRS Foundation, “IFRS S1,” 42.</w:t>
      </w:r>
    </w:p>
  </w:footnote>
  <w:footnote w:id="54">
    <w:p w14:paraId="51E9F7D0" w14:textId="48D09D45" w:rsidR="007B4C9A" w:rsidRDefault="007B4C9A" w:rsidP="00FE0C56">
      <w:pPr>
        <w:pStyle w:val="Footnotes"/>
      </w:pPr>
      <w:r w:rsidRPr="007B4C9A">
        <w:rPr>
          <w:rStyle w:val="FootnoteReference"/>
        </w:rPr>
        <w:footnoteRef/>
      </w:r>
      <w:r w:rsidRPr="007B4C9A">
        <w:t xml:space="preserve"> For an initial exploration of use systems mapping in impact management, see “Getting Started with Systems Mapping &amp; Impact Management,</w:t>
      </w:r>
      <w:r>
        <w:t>”</w:t>
      </w:r>
      <w:r w:rsidRPr="007B4C9A">
        <w:t xml:space="preserve"> Impact Frontiers, </w:t>
      </w:r>
      <w:hyperlink r:id="rId33" w:history="1">
        <w:r w:rsidRPr="007B4C9A">
          <w:rPr>
            <w:rStyle w:val="Hyperlink"/>
          </w:rPr>
          <w:t>https://impactfrontiers.org/work/systems-mapping</w:t>
        </w:r>
      </w:hyperlink>
      <w:r w:rsidRPr="007B4C9A">
        <w:t xml:space="preserve"> and </w:t>
      </w:r>
      <w:hyperlink r:id="rId34" w:history="1">
        <w:r w:rsidRPr="007B4C9A">
          <w:rPr>
            <w:rStyle w:val="Hyperlink"/>
          </w:rPr>
          <w:t>https://impactfrontiers.org/wp-content/uploads/2023/08/Impact-Frontier-Systems-Mapping-Case-Study-v2.pdf</w:t>
        </w:r>
      </w:hyperlink>
      <w:r w:rsidRPr="007B4C9A">
        <w:t xml:space="preserve">. </w:t>
      </w:r>
    </w:p>
  </w:footnote>
  <w:footnote w:id="55">
    <w:p w14:paraId="5E481556" w14:textId="77777777" w:rsidR="001E797C" w:rsidRPr="002F0268" w:rsidRDefault="001E797C" w:rsidP="00FE0C56">
      <w:pPr>
        <w:pStyle w:val="Footnotes"/>
      </w:pPr>
      <w:r w:rsidRPr="002F0268">
        <w:rPr>
          <w:rStyle w:val="FootnoteReference"/>
        </w:rPr>
        <w:footnoteRef/>
      </w:r>
      <w:r w:rsidRPr="002F0268">
        <w:t xml:space="preserve"> The level of well-being experienced by people or the condition of the natural environment that results from the actions of the organization, as well as from external factors.</w:t>
      </w:r>
    </w:p>
  </w:footnote>
  <w:footnote w:id="56">
    <w:p w14:paraId="7985253A" w14:textId="77777777" w:rsidR="001E797C" w:rsidRPr="00262B9B" w:rsidRDefault="001E797C" w:rsidP="00FE0C56">
      <w:pPr>
        <w:pStyle w:val="Footnotes"/>
      </w:pPr>
      <w:r>
        <w:rPr>
          <w:rStyle w:val="FootnoteReference"/>
        </w:rPr>
        <w:footnoteRef/>
      </w:r>
      <w:r>
        <w:t xml:space="preserve"> </w:t>
      </w:r>
      <w:r w:rsidRPr="00262B9B">
        <w:t>A change in an aspect of people’s well-being or the condition of the natural environment caused by an organization</w:t>
      </w:r>
      <w:r>
        <w:t>.</w:t>
      </w:r>
    </w:p>
  </w:footnote>
  <w:footnote w:id="57">
    <w:p w14:paraId="0CE21CB4" w14:textId="77777777" w:rsidR="00695D2D" w:rsidRDefault="00695D2D" w:rsidP="00FE0C56">
      <w:pPr>
        <w:pStyle w:val="Footnotes"/>
      </w:pPr>
      <w:r>
        <w:rPr>
          <w:rStyle w:val="FootnoteReference"/>
        </w:rPr>
        <w:footnoteRef/>
      </w:r>
      <w:r>
        <w:t xml:space="preserve"> Preparers may refer to section 3.1.3 of the </w:t>
      </w:r>
      <w:hyperlink r:id="rId35" w:history="1">
        <w:r w:rsidRPr="00543C9C">
          <w:rPr>
            <w:rStyle w:val="Hyperlink"/>
          </w:rPr>
          <w:t>Gold Standard for the Global Goals Principles &amp; Requirements</w:t>
        </w:r>
      </w:hyperlink>
      <w:r>
        <w:t xml:space="preserve"> for steps on defining SDG impacts and setting monitoring indicators.</w:t>
      </w:r>
    </w:p>
  </w:footnote>
  <w:footnote w:id="58">
    <w:p w14:paraId="31D7827E" w14:textId="3D03DEC1" w:rsidR="001E797C" w:rsidRDefault="001E797C" w:rsidP="00FE0C56">
      <w:pPr>
        <w:pStyle w:val="Footnotes"/>
      </w:pPr>
      <w:r>
        <w:rPr>
          <w:rStyle w:val="FootnoteReference"/>
        </w:rPr>
        <w:footnoteRef/>
      </w:r>
      <w:r>
        <w:t xml:space="preserve"> </w:t>
      </w:r>
      <w:r w:rsidRPr="002038CB">
        <w:t xml:space="preserve">The Impact Management Platform provides two of the most common usages of the terms outcome and impact used by voluntary standard-setters. </w:t>
      </w:r>
      <w:r w:rsidR="00612F7D">
        <w:t xml:space="preserve">It is recommended to align with one of these usages. </w:t>
      </w:r>
      <w:r w:rsidR="00BB7125">
        <w:t xml:space="preserve">See Terms &amp; Definitions above and </w:t>
      </w:r>
      <w:r w:rsidR="00BB7125" w:rsidRPr="00706D15">
        <w:t>Impact Management Platform, “</w:t>
      </w:r>
      <w:r w:rsidR="00BB7125">
        <w:t>Impact and the impact pathway</w:t>
      </w:r>
      <w:r w:rsidR="00BB7125" w:rsidRPr="00706D15">
        <w:t xml:space="preserve">,” </w:t>
      </w:r>
      <w:hyperlink r:id="rId36" w:anchor="impact-pathway" w:history="1">
        <w:r w:rsidR="00BB7125" w:rsidRPr="00CC0A90">
          <w:rPr>
            <w:rStyle w:val="Hyperlink"/>
          </w:rPr>
          <w:t>https://impactmanagementplatform.org/impact/#impact-pathway</w:t>
        </w:r>
      </w:hyperlink>
      <w:r w:rsidR="00BB7125">
        <w:rPr>
          <w:rStyle w:val="Hyperlink"/>
        </w:rPr>
        <w:t>.</w:t>
      </w:r>
    </w:p>
  </w:footnote>
  <w:footnote w:id="59">
    <w:p w14:paraId="7F0491DB" w14:textId="36FFE04F" w:rsidR="00613388" w:rsidRDefault="00613388" w:rsidP="00FE0C56">
      <w:pPr>
        <w:pStyle w:val="Footnotes"/>
      </w:pPr>
      <w:r>
        <w:rPr>
          <w:rStyle w:val="FootnoteReference"/>
        </w:rPr>
        <w:footnoteRef/>
      </w:r>
      <w:r>
        <w:t xml:space="preserve"> </w:t>
      </w:r>
      <w:r w:rsidRPr="002038CB">
        <w:t xml:space="preserve">Impact </w:t>
      </w:r>
      <w:r w:rsidR="00D1408C">
        <w:t>r</w:t>
      </w:r>
      <w:r w:rsidRPr="002038CB">
        <w:t>isk includes the risk that intended positive outcomes fail to occur, and that unintended negative outcomes occur.</w:t>
      </w:r>
    </w:p>
  </w:footnote>
  <w:footnote w:id="60">
    <w:p w14:paraId="2431B917" w14:textId="462F9186" w:rsidR="009B30CA" w:rsidRDefault="009B30CA" w:rsidP="0035138B">
      <w:pPr>
        <w:pStyle w:val="Footnotes"/>
      </w:pPr>
      <w:r>
        <w:rPr>
          <w:rStyle w:val="FootnoteReference"/>
        </w:rPr>
        <w:footnoteRef/>
      </w:r>
      <w:r>
        <w:t xml:space="preserve"> </w:t>
      </w:r>
      <w:r w:rsidRPr="009B30CA">
        <w:t xml:space="preserve">Determination of material outcomes and/or impacts is a context- and entity-specific judgment call. There is often no one </w:t>
      </w:r>
      <w:r w:rsidR="0031044F">
        <w:t>“</w:t>
      </w:r>
      <w:r w:rsidRPr="009B30CA">
        <w:t>technically correct</w:t>
      </w:r>
      <w:r w:rsidR="0031044F">
        <w:t>”</w:t>
      </w:r>
      <w:r w:rsidRPr="009B30CA">
        <w:t xml:space="preserve"> result, but different results may be supported by stronger evidence and reasoning than others.</w:t>
      </w:r>
      <w:r>
        <w:t xml:space="preserve"> See Appendix </w:t>
      </w:r>
      <w:r w:rsidR="0031044F">
        <w:t>G</w:t>
      </w:r>
      <w:r>
        <w:t xml:space="preserve"> for guidance on stakeholder engagement.</w:t>
      </w:r>
    </w:p>
  </w:footnote>
  <w:footnote w:id="61">
    <w:p w14:paraId="43DE4853" w14:textId="55C86E80" w:rsidR="007559AF" w:rsidRDefault="007559AF" w:rsidP="00FE0C56">
      <w:pPr>
        <w:pStyle w:val="Footnotes"/>
      </w:pPr>
      <w:r>
        <w:rPr>
          <w:rStyle w:val="FootnoteReference"/>
        </w:rPr>
        <w:footnoteRef/>
      </w:r>
      <w:r>
        <w:t xml:space="preserve"> </w:t>
      </w:r>
      <w:r w:rsidR="00DC7829" w:rsidRPr="002038CB">
        <w:t xml:space="preserve">As discussed </w:t>
      </w:r>
      <w:r w:rsidR="00FA7346">
        <w:t>above</w:t>
      </w:r>
      <w:r w:rsidR="00DC7829" w:rsidRPr="002038CB">
        <w:t xml:space="preserve">, materiality in the </w:t>
      </w:r>
      <w:r w:rsidR="008619D6">
        <w:t>d</w:t>
      </w:r>
      <w:r w:rsidR="00DC7829" w:rsidRPr="002038CB">
        <w:t xml:space="preserve">raft Reporting Norms focuses on the needs of primary users – asset owners and allocators – under the assumption that they seek to understand the changes in the wellbeing of </w:t>
      </w:r>
      <w:r w:rsidR="00FA7346">
        <w:t>s</w:t>
      </w:r>
      <w:r w:rsidR="00DC7829" w:rsidRPr="002038CB">
        <w:t xml:space="preserve">takeholders and the natural environment caused by asset managers and investee enterprise. Therefore, materiality in the </w:t>
      </w:r>
      <w:r w:rsidR="008619D6">
        <w:t>d</w:t>
      </w:r>
      <w:r w:rsidR="00DC7829" w:rsidRPr="002038CB">
        <w:t xml:space="preserve">raft Reporting Norms is defined from either 1) the perspective of the stakeholders and aspects of the natural environment experiencing the impact (“impact materiality”), or 2) combination of stakeholders and the natural environment experiencing the impact and financial considerations (“double materiality”). It is up to the </w:t>
      </w:r>
      <w:r w:rsidR="00DC7829">
        <w:t xml:space="preserve">preparer </w:t>
      </w:r>
      <w:r w:rsidR="00DC7829" w:rsidRPr="002038CB">
        <w:t xml:space="preserve">to decide </w:t>
      </w:r>
      <w:r w:rsidR="009B30CA">
        <w:t xml:space="preserve">and disclose </w:t>
      </w:r>
      <w:r w:rsidR="00DC7829" w:rsidRPr="002038CB">
        <w:t xml:space="preserve">which </w:t>
      </w:r>
      <w:r w:rsidR="009B30CA">
        <w:t>approach</w:t>
      </w:r>
      <w:r w:rsidR="009B30CA" w:rsidRPr="002038CB">
        <w:t xml:space="preserve"> </w:t>
      </w:r>
      <w:r w:rsidR="009B30CA">
        <w:t>they will follow</w:t>
      </w:r>
      <w:r w:rsidR="00DC7829" w:rsidRPr="002038CB">
        <w:t>.</w:t>
      </w:r>
    </w:p>
  </w:footnote>
  <w:footnote w:id="62">
    <w:p w14:paraId="4B483A59" w14:textId="52EB020A" w:rsidR="00695D2D" w:rsidRDefault="00695D2D" w:rsidP="00FE0C56">
      <w:pPr>
        <w:pStyle w:val="Footnotes"/>
      </w:pPr>
      <w:r>
        <w:rPr>
          <w:rStyle w:val="FootnoteReference"/>
        </w:rPr>
        <w:footnoteRef/>
      </w:r>
      <w:r>
        <w:t xml:space="preserve"> Preparers may refer to the ESRS Topic Standards, the GRI Sector and Topic Standards, and the 11 well-being dimensions i</w:t>
      </w:r>
      <w:r w:rsidR="00DC7829">
        <w:t xml:space="preserve">n </w:t>
      </w:r>
      <w:r>
        <w:t xml:space="preserve">the OECD </w:t>
      </w:r>
      <w:r w:rsidR="00F41F7B">
        <w:t>W</w:t>
      </w:r>
      <w:r>
        <w:t xml:space="preserve">ell-being </w:t>
      </w:r>
      <w:r w:rsidR="00F41F7B">
        <w:t>F</w:t>
      </w:r>
      <w:r>
        <w:t>ramework</w:t>
      </w:r>
      <w:r w:rsidR="00232ABC">
        <w:t>.</w:t>
      </w:r>
    </w:p>
  </w:footnote>
  <w:footnote w:id="63">
    <w:p w14:paraId="3E1395A7" w14:textId="29EEA39D" w:rsidR="00DA03AA" w:rsidRDefault="00DA03AA" w:rsidP="0035138B">
      <w:pPr>
        <w:pStyle w:val="Footnotes"/>
      </w:pPr>
      <w:r>
        <w:rPr>
          <w:rStyle w:val="FootnoteReference"/>
        </w:rPr>
        <w:footnoteRef/>
      </w:r>
      <w:r>
        <w:t xml:space="preserve"> S</w:t>
      </w:r>
      <w:r w:rsidRPr="00DA03AA">
        <w:t xml:space="preserve">ee Appendix </w:t>
      </w:r>
      <w:r w:rsidR="006C3333">
        <w:t>H</w:t>
      </w:r>
      <w:r w:rsidRPr="00DA03AA">
        <w:t xml:space="preserve"> </w:t>
      </w:r>
      <w:r w:rsidR="005860AF" w:rsidRPr="00DA03AA">
        <w:t>for information</w:t>
      </w:r>
      <w:r w:rsidRPr="00DA03AA">
        <w:t xml:space="preserve"> on stakeholder engagement at fund impact thesis level and portfolio company level</w:t>
      </w:r>
      <w:r w:rsidR="00FA7346">
        <w:t>. If secondary research is used, please include a brief assessment of the extent to which the findings from secondary research are generalizable to the preparer’s context, along with rationale.</w:t>
      </w:r>
    </w:p>
  </w:footnote>
  <w:footnote w:id="64">
    <w:p w14:paraId="2CF34159" w14:textId="695F752A" w:rsidR="00695D2D" w:rsidRDefault="00695D2D" w:rsidP="00FE0C56">
      <w:pPr>
        <w:pStyle w:val="Footnotes"/>
      </w:pPr>
      <w:r w:rsidRPr="00D7681A">
        <w:rPr>
          <w:rStyle w:val="FootnoteReference"/>
        </w:rPr>
        <w:footnoteRef/>
      </w:r>
      <w:r w:rsidRPr="00D7681A">
        <w:t xml:space="preserve"> For a list of the data categories within the five dimensions of impact, see</w:t>
      </w:r>
      <w:r w:rsidR="00232ABC">
        <w:t xml:space="preserve"> </w:t>
      </w:r>
      <w:hyperlink r:id="rId37" w:history="1">
        <w:r w:rsidR="008E7C5B" w:rsidRPr="00C50E69">
          <w:rPr>
            <w:rStyle w:val="Hyperlink"/>
          </w:rPr>
          <w:t>https://impactfrontiers.org/norms/five-dimensions-of-impact/</w:t>
        </w:r>
      </w:hyperlink>
      <w:r w:rsidR="008E7C5B">
        <w:t xml:space="preserve">. </w:t>
      </w:r>
    </w:p>
  </w:footnote>
  <w:footnote w:id="65">
    <w:p w14:paraId="0B1EC515" w14:textId="77777777" w:rsidR="00695D2D" w:rsidRDefault="00695D2D" w:rsidP="001E25B5">
      <w:pPr>
        <w:pStyle w:val="Footnotes"/>
      </w:pPr>
      <w:r w:rsidRPr="00D7681A">
        <w:rPr>
          <w:rStyle w:val="FootnoteReference"/>
        </w:rPr>
        <w:footnoteRef/>
      </w:r>
      <w:r w:rsidRPr="00D7681A">
        <w:t xml:space="preserve"> If Signatories</w:t>
      </w:r>
      <w:r>
        <w:t xml:space="preserve"> to the Impact Principles</w:t>
      </w:r>
      <w:r w:rsidRPr="00D7681A">
        <w:t xml:space="preserve"> optionally wish to provide additional information on their impact framework and process beyond what is included in their Disclosure Statement, they may provide it here. However, the intention of this Guidance is not to require any information beyond that which would be included in an Impact Principles Disclosure Statement.</w:t>
      </w:r>
    </w:p>
  </w:footnote>
  <w:footnote w:id="66">
    <w:p w14:paraId="549C6209" w14:textId="4D9C71C7" w:rsidR="001E25B5" w:rsidRDefault="001E25B5" w:rsidP="00E00E1E">
      <w:pPr>
        <w:pStyle w:val="Footnotes"/>
      </w:pPr>
      <w:r>
        <w:rPr>
          <w:rStyle w:val="FootnoteReference"/>
        </w:rPr>
        <w:footnoteRef/>
      </w:r>
      <w:r>
        <w:t xml:space="preserve"> </w:t>
      </w:r>
      <w:r w:rsidRPr="001E25B5">
        <w:t xml:space="preserve">Preparers are encouraged to consider that some information typically defined as being related to ESG may not be necessary to include if it is not significant from the perspective of </w:t>
      </w:r>
      <w:r w:rsidR="00734B44">
        <w:t>stakeholder</w:t>
      </w:r>
      <w:r w:rsidRPr="001E25B5">
        <w:t xml:space="preserve">s and/or the natural environment. Conversely, some information typically excluded from ESG disclosures because it is not financially material may nevertheless be significant from the perspective of </w:t>
      </w:r>
      <w:r w:rsidR="00734B44">
        <w:t>stakeholder</w:t>
      </w:r>
      <w:r w:rsidRPr="001E25B5">
        <w:t>s and/or the natural environment and hence should be included in the report.</w:t>
      </w:r>
    </w:p>
  </w:footnote>
  <w:footnote w:id="67">
    <w:p w14:paraId="367B70A0" w14:textId="2D49AAE0" w:rsidR="00695D2D" w:rsidRDefault="00695D2D" w:rsidP="00FE0C56">
      <w:pPr>
        <w:pStyle w:val="Footnotes"/>
      </w:pPr>
      <w:r>
        <w:rPr>
          <w:rStyle w:val="FootnoteReference"/>
        </w:rPr>
        <w:footnoteRef/>
      </w:r>
      <w:r>
        <w:t xml:space="preserve"> Per ESRS S1-S4, negative impacts should be managed from the perspective of stakeholders. </w:t>
      </w:r>
    </w:p>
  </w:footnote>
  <w:footnote w:id="68">
    <w:p w14:paraId="389C743B" w14:textId="0BA4CAC8" w:rsidR="00695D2D" w:rsidRPr="0038773E" w:rsidRDefault="00695D2D" w:rsidP="00FE0C56">
      <w:pPr>
        <w:pStyle w:val="Footnotes"/>
      </w:pPr>
      <w:r>
        <w:rPr>
          <w:rStyle w:val="FootnoteReference"/>
        </w:rPr>
        <w:footnoteRef/>
      </w:r>
      <w:r>
        <w:t xml:space="preserve"> </w:t>
      </w:r>
      <w:r w:rsidRPr="0038773E">
        <w:t>See, UN Guiding P</w:t>
      </w:r>
      <w:r w:rsidR="00044745" w:rsidRPr="0038773E">
        <w:t>r</w:t>
      </w:r>
      <w:r w:rsidRPr="0038773E">
        <w:t>inciples</w:t>
      </w:r>
      <w:r w:rsidR="00044745">
        <w:t xml:space="preserve"> </w:t>
      </w:r>
      <w:r w:rsidRPr="0038773E">
        <w:t>on Business and Human Rights, Principle 31, available at</w:t>
      </w:r>
      <w:r>
        <w:t xml:space="preserve"> </w:t>
      </w:r>
      <w:hyperlink r:id="rId38" w:history="1">
        <w:r w:rsidRPr="00794102">
          <w:rPr>
            <w:rStyle w:val="Hyperlink"/>
          </w:rPr>
          <w:t>https://www.ohchr.org/sites/default/files/documents/publications/guidingprinciplesbusinesshr_en.pdf</w:t>
        </w:r>
      </w:hyperlink>
      <w:r w:rsidRPr="0038773E">
        <w:t>.</w:t>
      </w:r>
      <w:r>
        <w:t xml:space="preserve"> </w:t>
      </w:r>
    </w:p>
  </w:footnote>
  <w:footnote w:id="69">
    <w:p w14:paraId="7BDDCD2E" w14:textId="2A5031B5" w:rsidR="00803459" w:rsidRDefault="00803459" w:rsidP="00803459">
      <w:pPr>
        <w:pStyle w:val="Footnotes"/>
      </w:pPr>
      <w:r>
        <w:rPr>
          <w:rStyle w:val="FootnoteReference"/>
        </w:rPr>
        <w:footnoteRef/>
      </w:r>
      <w:r>
        <w:t xml:space="preserve"> </w:t>
      </w:r>
      <w:r w:rsidRPr="00EA11C7">
        <w:t xml:space="preserve">Estimation of the proportionate </w:t>
      </w:r>
      <w:r w:rsidR="00C65861">
        <w:t>“</w:t>
      </w:r>
      <w:r w:rsidRPr="00EA11C7">
        <w:t>percentage of impact</w:t>
      </w:r>
      <w:r w:rsidR="00C65861">
        <w:t>”</w:t>
      </w:r>
      <w:r w:rsidRPr="00EA11C7">
        <w:t xml:space="preserve"> associated with the report preparer’s investment is not encouraged.</w:t>
      </w:r>
    </w:p>
  </w:footnote>
  <w:footnote w:id="70">
    <w:p w14:paraId="0BF8A168" w14:textId="618FB655" w:rsidR="003A64F0" w:rsidRDefault="003A64F0" w:rsidP="003A64F0">
      <w:pPr>
        <w:pStyle w:val="Footnotes"/>
      </w:pPr>
      <w:r>
        <w:rPr>
          <w:rStyle w:val="FootnoteReference"/>
        </w:rPr>
        <w:footnoteRef/>
      </w:r>
      <w:r>
        <w:t xml:space="preserve"> The </w:t>
      </w:r>
      <w:r w:rsidR="001F5EC2">
        <w:t xml:space="preserve">draft Reporting </w:t>
      </w:r>
      <w:r>
        <w:t xml:space="preserve">Norms assume that all investees generate both positive and negative impacts on various stakeholders, just as investors themselves generate both positive and negative impacts through their actions. Leaving this section blank therefore suggests that the preparer is unaware of the negative impacts that they and/or their investees may be generating, which in turn represents an impact risk in itself. It would be highly unusual for a portfolio to have no unintended or negative impacts, and evidence and rationale would need to be provided. While in principle negative impacts could and would be disclosed alongside positive impacts in 3.1, a separate section is provided to </w:t>
      </w:r>
      <w:r w:rsidR="00841241">
        <w:t>emphasize the inclusion of</w:t>
      </w:r>
      <w:r>
        <w:t xml:space="preserve"> this content.</w:t>
      </w:r>
    </w:p>
  </w:footnote>
  <w:footnote w:id="71">
    <w:p w14:paraId="041E2784" w14:textId="0E392B3C" w:rsidR="00DA2110" w:rsidRPr="008E3FB3" w:rsidRDefault="00DA2110" w:rsidP="008E3FB3">
      <w:pPr>
        <w:pStyle w:val="Footnotes"/>
      </w:pPr>
      <w:r w:rsidRPr="00FB09AA">
        <w:rPr>
          <w:rStyle w:val="FootnoteReference"/>
          <w:vertAlign w:val="baseline"/>
        </w:rPr>
        <w:footnoteRef/>
      </w:r>
      <w:r w:rsidRPr="008E3FB3">
        <w:t xml:space="preserve"> Preparers are encouraged to consider indicators beyond those defined in </w:t>
      </w:r>
      <w:r w:rsidR="00615B5B" w:rsidRPr="008E3FB3">
        <w:t xml:space="preserve">SFDR </w:t>
      </w:r>
      <w:r w:rsidRPr="008E3FB3">
        <w:t>Level 2 Regulatory Technical Standards.</w:t>
      </w:r>
    </w:p>
  </w:footnote>
  <w:footnote w:id="72">
    <w:p w14:paraId="42BD7324" w14:textId="3A5E01D1" w:rsidR="00EA11C7" w:rsidRDefault="00EA11C7" w:rsidP="008E3FB3">
      <w:pPr>
        <w:pStyle w:val="Footnotes"/>
      </w:pPr>
      <w:r w:rsidRPr="008E3FB3">
        <w:rPr>
          <w:rStyle w:val="FootnoteReference"/>
          <w:vertAlign w:val="baseline"/>
        </w:rPr>
        <w:footnoteRef/>
      </w:r>
      <w:r w:rsidRPr="008E3FB3">
        <w:t xml:space="preserve"> It is modeled closely on the Governance portion of International Finance Reporting Standards Foundation S1 General Requirements. However, it is adapted to refer to the impacts the entity and its investees,</w:t>
      </w:r>
      <w:r w:rsidR="0087231B" w:rsidRPr="008E3FB3">
        <w:t xml:space="preserve"> </w:t>
      </w:r>
      <w:r w:rsidRPr="008E3FB3">
        <w:t xml:space="preserve">rather than sustainability-related financial risks and opportunities which are the focus of S1. International Finance Reporting Standards Foundation. “IFRS – IFRS S1 General Requirements for Disclosure of Sustainability-Related Financial Information,” paragraphs 26-27. www.ifrs.org. </w:t>
      </w:r>
      <w:hyperlink r:id="rId39" w:anchor="about" w:history="1">
        <w:r w:rsidRPr="008E3FB3">
          <w:rPr>
            <w:rStyle w:val="Hyperlink"/>
            <w:color w:val="000000"/>
            <w:u w:val="none"/>
          </w:rPr>
          <w:t>https://www.ifrs.org/issued-standards/ifrs-sustainability-standards-navigator/ifrs-s1-general-requirements/#about</w:t>
        </w:r>
      </w:hyperlink>
      <w:r w:rsidR="0087231B" w:rsidRPr="008E3FB3">
        <w:rPr>
          <w:rStyle w:val="Hyperlink"/>
          <w:color w:val="000000"/>
          <w:u w:val="none"/>
        </w:rPr>
        <w:t>.</w:t>
      </w:r>
    </w:p>
  </w:footnote>
  <w:footnote w:id="73">
    <w:p w14:paraId="7364EA7E" w14:textId="216989CF" w:rsidR="002706EB" w:rsidRDefault="002706EB" w:rsidP="002706EB">
      <w:pPr>
        <w:pStyle w:val="Footnotes"/>
      </w:pPr>
      <w:r>
        <w:rPr>
          <w:rStyle w:val="FootnoteReference"/>
        </w:rPr>
        <w:footnoteRef/>
      </w:r>
      <w:r>
        <w:t xml:space="preserve"> </w:t>
      </w:r>
      <w:r w:rsidRPr="00F348F1">
        <w:rPr>
          <w:rFonts w:eastAsia="MS Mincho"/>
        </w:rPr>
        <w:t>Preparers are also encouraged to review “</w:t>
      </w:r>
      <w:hyperlink r:id="rId40" w:history="1">
        <w:r w:rsidRPr="00F348F1">
          <w:rPr>
            <w:rStyle w:val="Hyperlink"/>
            <w:rFonts w:eastAsia="MS Mincho" w:cs="Arial"/>
          </w:rPr>
          <w:t>What is DEI</w:t>
        </w:r>
      </w:hyperlink>
      <w:r w:rsidRPr="00F348F1">
        <w:rPr>
          <w:rFonts w:eastAsia="MS Mincho"/>
        </w:rPr>
        <w:t>” from Rights CoLab, notably the mapping of DEI frameworks on page 4 and the categorization of metrics on pages 7-8.</w:t>
      </w:r>
      <w:r w:rsidR="0087231B">
        <w:rPr>
          <w:rFonts w:eastAsia="MS Mincho"/>
        </w:rPr>
        <w:t xml:space="preserve"> </w:t>
      </w:r>
      <w:r w:rsidR="0087231B">
        <w:t xml:space="preserve">Asset owners and allocators are encouraged to consider the </w:t>
      </w:r>
      <w:hyperlink r:id="rId41" w:history="1">
        <w:r w:rsidR="0087231B" w:rsidRPr="00704108">
          <w:rPr>
            <w:rStyle w:val="Hyperlink"/>
          </w:rPr>
          <w:t>Due Diligence 2.0 Commitment</w:t>
        </w:r>
      </w:hyperlink>
      <w:r w:rsidR="0087231B">
        <w:t>.</w:t>
      </w:r>
    </w:p>
  </w:footnote>
  <w:footnote w:id="74">
    <w:p w14:paraId="50F4AD87" w14:textId="797AE8E8" w:rsidR="00AB6EF3" w:rsidRDefault="00AB6EF3" w:rsidP="00FE0C56">
      <w:pPr>
        <w:pStyle w:val="Footnotes"/>
      </w:pPr>
      <w:r w:rsidRPr="00B008FE">
        <w:rPr>
          <w:rStyle w:val="FootnoteReference"/>
        </w:rPr>
        <w:footnoteRef/>
      </w:r>
      <w:r w:rsidRPr="00B008FE">
        <w:t xml:space="preserve"> For this reason, many reviewers</w:t>
      </w:r>
      <w:r w:rsidR="00EF0AC5">
        <w:t xml:space="preserve"> of a pre-consultation draft</w:t>
      </w:r>
      <w:r w:rsidRPr="00B008FE">
        <w:t xml:space="preserve"> </w:t>
      </w:r>
      <w:r>
        <w:t xml:space="preserve">advocated that case studies be excluded entirely. The current approach is intended to test whether case studies can be included </w:t>
      </w:r>
      <w:r w:rsidR="00EF0AC5">
        <w:t>in a way that enhances rather than compromises f</w:t>
      </w:r>
      <w:r>
        <w:t>aithful representation of the impact of the portfolio as a whole.</w:t>
      </w:r>
    </w:p>
  </w:footnote>
  <w:footnote w:id="75">
    <w:p w14:paraId="4AA1FAEE" w14:textId="77777777" w:rsidR="00695D2D" w:rsidRPr="00EF0AC5" w:rsidRDefault="00695D2D" w:rsidP="00EF0AC5">
      <w:pPr>
        <w:pStyle w:val="Footnotes"/>
      </w:pPr>
      <w:r w:rsidRPr="00D7681A">
        <w:rPr>
          <w:rStyle w:val="FootnoteReference"/>
        </w:rPr>
        <w:footnoteRef/>
      </w:r>
      <w:r w:rsidRPr="00D7681A">
        <w:t xml:space="preserve"> </w:t>
      </w:r>
      <w:r w:rsidRPr="00EF0AC5">
        <w:t>Completed version(s) of Impact Frontiers’ Investor Contribution Claim Template may be used for this section if the contents are material.</w:t>
      </w:r>
    </w:p>
  </w:footnote>
  <w:footnote w:id="76">
    <w:p w14:paraId="12602013" w14:textId="77777777" w:rsidR="00065BA2" w:rsidRPr="002F0268" w:rsidRDefault="00065BA2" w:rsidP="001F3DC0">
      <w:pPr>
        <w:pStyle w:val="Footnotes"/>
      </w:pPr>
      <w:r w:rsidRPr="002F0268">
        <w:rPr>
          <w:rStyle w:val="FootnoteReference"/>
        </w:rPr>
        <w:footnoteRef/>
      </w:r>
      <w:r w:rsidRPr="002F0268">
        <w:t xml:space="preserve"> CDP Europe. 2020. “ANNEX to CDP Europe’s Response to the Public Consultation on the Revision of the Non-Financial Reporting Directive CDP Europe’s Response,” 9. </w:t>
      </w:r>
      <w:hyperlink r:id="rId42" w:history="1">
        <w:r w:rsidRPr="002F0268">
          <w:rPr>
            <w:rStyle w:val="Hyperlink"/>
          </w:rPr>
          <w:t>https://cdn.cdp.net/cdp-production/comfy/cms/files/files/000/003/445/original/CDP_response_to_public_consultation_on_revision_of_the_Non-Financial_Reporting_Directive.pdf</w:t>
        </w:r>
      </w:hyperlink>
      <w:r w:rsidRPr="002F0268">
        <w:t>.</w:t>
      </w:r>
    </w:p>
  </w:footnote>
  <w:footnote w:id="77">
    <w:p w14:paraId="0CBB2976" w14:textId="77777777" w:rsidR="00065BA2" w:rsidRPr="002F0268" w:rsidRDefault="00065BA2" w:rsidP="00DB1B70">
      <w:pPr>
        <w:pStyle w:val="ReferenceFootnote"/>
        <w:rPr>
          <w:rStyle w:val="SubtleReference"/>
          <w:smallCaps w:val="0"/>
          <w:color w:val="auto"/>
        </w:rPr>
      </w:pPr>
      <w:r w:rsidRPr="002F0268">
        <w:rPr>
          <w:rStyle w:val="SubtleReference"/>
          <w:smallCaps w:val="0"/>
          <w:color w:val="auto"/>
        </w:rPr>
        <w:footnoteRef/>
      </w:r>
      <w:r w:rsidRPr="002F0268">
        <w:rPr>
          <w:rStyle w:val="SubtleReference"/>
          <w:smallCaps w:val="0"/>
          <w:color w:val="auto"/>
        </w:rPr>
        <w:t xml:space="preserve"> Climate Disclosure Standards Board. 2018. “CDSB Framework for Reporting Environmental Information, Natural Capital and Associated Business Impacts.” Cdsb.net. CDP Worldwide. 2018. </w:t>
      </w:r>
      <w:hyperlink r:id="rId43" w:history="1">
        <w:r w:rsidRPr="002F0268">
          <w:rPr>
            <w:rStyle w:val="SubtleReference"/>
            <w:smallCaps w:val="0"/>
            <w:color w:val="auto"/>
          </w:rPr>
          <w:t>https://www.cdsb.net/sites/default/files/cdsb_framework_2.1.pdf</w:t>
        </w:r>
      </w:hyperlink>
      <w:r w:rsidRPr="002F0268">
        <w:rPr>
          <w:rStyle w:val="SubtleReference"/>
          <w:smallCaps w:val="0"/>
          <w:color w:val="auto"/>
        </w:rPr>
        <w:t>.</w:t>
      </w:r>
    </w:p>
  </w:footnote>
  <w:footnote w:id="78">
    <w:p w14:paraId="502CDB9F" w14:textId="0225B9CB" w:rsidR="00792403" w:rsidRDefault="00792403" w:rsidP="00AA2BA5">
      <w:pPr>
        <w:pStyle w:val="Footnotes"/>
      </w:pPr>
      <w:r>
        <w:rPr>
          <w:rStyle w:val="FootnoteReference"/>
        </w:rPr>
        <w:footnoteRef/>
      </w:r>
      <w:r>
        <w:t xml:space="preserve"> </w:t>
      </w:r>
      <w:r>
        <w:rPr>
          <w:shd w:val="clear" w:color="auto" w:fill="FFFFFF"/>
        </w:rPr>
        <w:t xml:space="preserve">The European Parliament and the Council of the European Union, “Directive (EU) 2022/2464 of the European Parliament and of the Council of 14 December 2022 Amending Regulation (EU) No 537/2014, Directive 2004/109/EC, Directive 2006/43/EC and Directive 2013/34/EU, as regards Corporate Sustainability Reporting (Text with EEA Relevance),” EUR-Lex, December 16, </w:t>
      </w:r>
      <w:r w:rsidR="004B609C">
        <w:rPr>
          <w:shd w:val="clear" w:color="auto" w:fill="FFFFFF"/>
        </w:rPr>
        <w:t>2022.</w:t>
      </w:r>
    </w:p>
  </w:footnote>
  <w:footnote w:id="79">
    <w:p w14:paraId="0FC6FEC5" w14:textId="323CFA1F" w:rsidR="00792403" w:rsidRDefault="00792403" w:rsidP="003C6790">
      <w:pPr>
        <w:pStyle w:val="Footnotes"/>
      </w:pPr>
      <w:r>
        <w:rPr>
          <w:rStyle w:val="FootnoteReference"/>
        </w:rPr>
        <w:footnoteRef/>
      </w:r>
      <w:r>
        <w:t xml:space="preserve"> </w:t>
      </w:r>
      <w:r>
        <w:rPr>
          <w:shd w:val="clear" w:color="auto" w:fill="FFFFFF"/>
        </w:rPr>
        <w:t xml:space="preserve">European Commission, “ESRS 1: General Requirements,” July 31, </w:t>
      </w:r>
      <w:r w:rsidR="004B609C">
        <w:rPr>
          <w:shd w:val="clear" w:color="auto" w:fill="FFFFFF"/>
        </w:rPr>
        <w:t>2023.</w:t>
      </w:r>
    </w:p>
  </w:footnote>
  <w:footnote w:id="80">
    <w:p w14:paraId="03323BF5" w14:textId="77777777" w:rsidR="00065BA2" w:rsidRPr="002F0268" w:rsidRDefault="00065BA2" w:rsidP="00DB1B70">
      <w:pPr>
        <w:pStyle w:val="ReferenceFootnote"/>
        <w:rPr>
          <w:rStyle w:val="SubtleReference"/>
          <w:smallCaps w:val="0"/>
          <w:color w:val="auto"/>
        </w:rPr>
      </w:pPr>
      <w:r w:rsidRPr="002F0268">
        <w:rPr>
          <w:rStyle w:val="SubtleReference"/>
          <w:smallCaps w:val="0"/>
          <w:color w:val="auto"/>
        </w:rPr>
        <w:footnoteRef/>
      </w:r>
      <w:r w:rsidRPr="002F0268">
        <w:rPr>
          <w:rStyle w:val="SubtleReference"/>
          <w:smallCaps w:val="0"/>
          <w:color w:val="auto"/>
        </w:rPr>
        <w:t xml:space="preserve"> Global Reporting Initiative. 2021. “GRI 3: Material Topics 2021.” 2021. </w:t>
      </w:r>
      <w:hyperlink r:id="rId44" w:history="1">
        <w:r w:rsidRPr="002F0268">
          <w:rPr>
            <w:rStyle w:val="SubtleReference"/>
            <w:smallCaps w:val="0"/>
            <w:color w:val="auto"/>
          </w:rPr>
          <w:t>https://www.google.com/url?sa=t&amp;rct=j&amp;q=&amp;esrc=s&amp;source=web&amp;cd=&amp;ved=2ahUKEwiQttvWqMb_AhXrKEQIHS-sB3QQFnoECCAQAQ&amp;url=https%3A%2F%2Fglobalreporting.org%2Fpdf.ashx%3Fid%3D12453&amp;usg=AOvVaw2ve3GIHzgEW4Rj0YroDcNb</w:t>
        </w:r>
      </w:hyperlink>
      <w:r w:rsidRPr="002F0268">
        <w:rPr>
          <w:rStyle w:val="SubtleReference"/>
          <w:smallCaps w:val="0"/>
          <w:color w:val="auto"/>
        </w:rPr>
        <w:t>.</w:t>
      </w:r>
    </w:p>
  </w:footnote>
  <w:footnote w:id="81">
    <w:p w14:paraId="2BE494D7" w14:textId="7AC25E1A" w:rsidR="00E40742" w:rsidRDefault="00E40742" w:rsidP="001F3DC0">
      <w:pPr>
        <w:pStyle w:val="Footnotes"/>
      </w:pPr>
      <w:r>
        <w:rPr>
          <w:rStyle w:val="FootnoteReference"/>
        </w:rPr>
        <w:footnoteRef/>
      </w:r>
      <w:r>
        <w:t xml:space="preserve"> </w:t>
      </w:r>
      <w:r w:rsidRPr="002F0268">
        <w:t>“</w:t>
      </w:r>
      <w:r w:rsidR="004B609C" w:rsidRPr="002F0268">
        <w:t>Primary</w:t>
      </w:r>
      <w:r w:rsidRPr="002F0268">
        <w:t xml:space="preserve"> users” are defined in Appendix A of the IFRS S1 as “Existing and potential investors, lenders and other creditors.”</w:t>
      </w:r>
    </w:p>
  </w:footnote>
  <w:footnote w:id="82">
    <w:p w14:paraId="3932E04D" w14:textId="77777777" w:rsidR="00065BA2" w:rsidRDefault="00065BA2" w:rsidP="00DB1B70">
      <w:pPr>
        <w:pStyle w:val="ReferenceFootnote"/>
      </w:pPr>
      <w:r w:rsidRPr="002F0268">
        <w:rPr>
          <w:rStyle w:val="SubtleReference"/>
          <w:smallCaps w:val="0"/>
          <w:color w:val="auto"/>
        </w:rPr>
        <w:footnoteRef/>
      </w:r>
      <w:r w:rsidRPr="002F0268">
        <w:rPr>
          <w:rStyle w:val="SubtleReference"/>
          <w:smallCaps w:val="0"/>
          <w:color w:val="auto"/>
        </w:rPr>
        <w:t xml:space="preserve"> International Financial Reporting Standards Foundation. 2022. “IFRS General Sustainability-Related Disclosures—Fundamental Concepts.” </w:t>
      </w:r>
      <w:hyperlink r:id="rId45" w:history="1">
        <w:r w:rsidRPr="002F0268">
          <w:rPr>
            <w:rStyle w:val="SubtleReference"/>
            <w:smallCaps w:val="0"/>
            <w:color w:val="auto"/>
          </w:rPr>
          <w:t>https://www.ifrs.org/content/dam/ifrs/meetings/2022/october/issb/ap3b-general-sustainability-related-disclosure-fundamental-concepts.pdf</w:t>
        </w:r>
      </w:hyperlink>
      <w:r w:rsidRPr="002F0268">
        <w:rPr>
          <w:rStyle w:val="SubtleReference"/>
          <w:smallCaps w:val="0"/>
          <w:color w:val="auto"/>
        </w:rPr>
        <w:t>.</w:t>
      </w:r>
    </w:p>
  </w:footnote>
  <w:footnote w:id="83">
    <w:p w14:paraId="6FD3A996" w14:textId="74DE8158" w:rsidR="00065BA2" w:rsidRDefault="00065BA2" w:rsidP="00DB1B70">
      <w:pPr>
        <w:pStyle w:val="ReferenceFootnote"/>
      </w:pPr>
      <w:r>
        <w:rPr>
          <w:rStyle w:val="FootnoteReference"/>
        </w:rPr>
        <w:footnoteRef/>
      </w:r>
      <w:r>
        <w:t xml:space="preserve"> </w:t>
      </w:r>
      <w:r w:rsidRPr="00E56FAD">
        <w:t xml:space="preserve">International Integrated Reporting Council. 2013. “Materiality Background Paper </w:t>
      </w:r>
      <w:r w:rsidR="004B609C" w:rsidRPr="00E56FAD">
        <w:t>For.</w:t>
      </w:r>
      <w:r w:rsidRPr="00E56FAD">
        <w:t xml:space="preserve">” 2013. </w:t>
      </w:r>
      <w:hyperlink r:id="rId46" w:history="1">
        <w:r w:rsidRPr="008B36A2">
          <w:rPr>
            <w:rStyle w:val="Hyperlink"/>
          </w:rPr>
          <w:t>https://static1.squarespace.com/static/60dc51e3c58aef413ae5c975/t/6182616fde447d580b15232b/1635934577686/IR-Background-Paper-Materiality.pdf</w:t>
        </w:r>
      </w:hyperlink>
      <w:r w:rsidRPr="00E56FAD">
        <w:t>.</w:t>
      </w:r>
    </w:p>
  </w:footnote>
  <w:footnote w:id="84">
    <w:p w14:paraId="261DD881" w14:textId="2460EAEF" w:rsidR="00065BA2" w:rsidRDefault="00065BA2" w:rsidP="00DB1B70">
      <w:pPr>
        <w:pStyle w:val="ReferenceFootnote"/>
      </w:pPr>
      <w:r>
        <w:rPr>
          <w:rStyle w:val="FootnoteReference"/>
        </w:rPr>
        <w:footnoteRef/>
      </w:r>
      <w:r>
        <w:t xml:space="preserve"> SASB in now under ISSB; this paper was published in 2017, pre-ISSB </w:t>
      </w:r>
      <w:r w:rsidR="004B609C">
        <w:t>merger.</w:t>
      </w:r>
    </w:p>
  </w:footnote>
  <w:footnote w:id="85">
    <w:p w14:paraId="62078DD3" w14:textId="77777777" w:rsidR="00065BA2" w:rsidRDefault="00065BA2" w:rsidP="00DB1B70">
      <w:pPr>
        <w:pStyle w:val="ReferenceFootnote"/>
      </w:pPr>
      <w:r>
        <w:rPr>
          <w:rStyle w:val="FootnoteReference"/>
        </w:rPr>
        <w:footnoteRef/>
      </w:r>
      <w:r>
        <w:t xml:space="preserve"> </w:t>
      </w:r>
      <w:r w:rsidRPr="00E56FAD">
        <w:t xml:space="preserve">Sustainability Accounting Standards Board. 2017. “SASB Conceptual Framework.” </w:t>
      </w:r>
      <w:hyperlink r:id="rId47" w:history="1">
        <w:r w:rsidRPr="008B36A2">
          <w:rPr>
            <w:rStyle w:val="Hyperlink"/>
          </w:rPr>
          <w:t>http://www.sasb.org/wp-content/uploads/2019/05/SASB-Conceptual-Framework.pdf?source=post_page</w:t>
        </w:r>
      </w:hyperlink>
      <w:r w:rsidRPr="00E56FAD">
        <w:t>.</w:t>
      </w:r>
    </w:p>
  </w:footnote>
  <w:footnote w:id="86">
    <w:p w14:paraId="56D8C3FF" w14:textId="77777777" w:rsidR="00065BA2" w:rsidRDefault="00065BA2" w:rsidP="00DB1B70">
      <w:pPr>
        <w:pStyle w:val="ReferenceFootnote"/>
      </w:pPr>
      <w:r>
        <w:rPr>
          <w:rStyle w:val="FootnoteReference"/>
        </w:rPr>
        <w:footnoteRef/>
      </w:r>
      <w:r>
        <w:t xml:space="preserve"> The United Nations Development Programme.</w:t>
      </w:r>
      <w:r w:rsidRPr="00E56FAD">
        <w:t xml:space="preserve"> 2021. “SDG Impact Standards Glossary.” </w:t>
      </w:r>
      <w:hyperlink r:id="rId48" w:history="1">
        <w:r w:rsidRPr="008B36A2">
          <w:rPr>
            <w:rStyle w:val="Hyperlink"/>
          </w:rPr>
          <w:t>https://sdgimpact.undp.org/assets/SDG-Impact-Standards-Glossary.pdf</w:t>
        </w:r>
      </w:hyperlink>
      <w:r w:rsidRPr="00E56FAD">
        <w:t>.</w:t>
      </w:r>
    </w:p>
  </w:footnote>
  <w:footnote w:id="87">
    <w:p w14:paraId="54E40080" w14:textId="77777777" w:rsidR="00065BA2" w:rsidRDefault="00065BA2" w:rsidP="00DB1B70">
      <w:pPr>
        <w:pStyle w:val="ReferenceFootnote"/>
      </w:pPr>
      <w:r>
        <w:rPr>
          <w:rStyle w:val="FootnoteReference"/>
        </w:rPr>
        <w:footnoteRef/>
      </w:r>
      <w:r>
        <w:t xml:space="preserve"> P</w:t>
      </w:r>
      <w:r w:rsidRPr="00C66963">
        <w:t>arentheses are not part of the original text and were added for clarity with approval from Social Value International</w:t>
      </w:r>
    </w:p>
  </w:footnote>
  <w:footnote w:id="88">
    <w:p w14:paraId="49F419CC" w14:textId="77777777" w:rsidR="00065BA2" w:rsidRDefault="00065BA2" w:rsidP="00DB1B70">
      <w:pPr>
        <w:pStyle w:val="ReferenceFootnote"/>
      </w:pPr>
      <w:r>
        <w:rPr>
          <w:rStyle w:val="FootnoteReference"/>
        </w:rPr>
        <w:footnoteRef/>
      </w:r>
      <w:r>
        <w:t xml:space="preserve"> Social Value International.</w:t>
      </w:r>
      <w:r w:rsidRPr="00E56FAD">
        <w:t xml:space="preserve"> n.d. “The Purpose of the Principles of Social Value and the SVI Standards.” Accessed July 13, 2023. </w:t>
      </w:r>
      <w:hyperlink r:id="rId49" w:history="1">
        <w:r w:rsidRPr="008B36A2">
          <w:rPr>
            <w:rStyle w:val="Hyperlink"/>
          </w:rPr>
          <w:t>https://socialvalueuk.org/wp-content/uploads/2022/12/ThePurposeofthePrinciplesofSocialValueandtheSVIStandards-1.pdf</w:t>
        </w:r>
      </w:hyperlink>
      <w:r w:rsidRPr="00E56FAD">
        <w:t>.</w:t>
      </w:r>
    </w:p>
  </w:footnote>
  <w:footnote w:id="89">
    <w:p w14:paraId="348E8525" w14:textId="77777777" w:rsidR="00065BA2" w:rsidRDefault="00065BA2" w:rsidP="00DB1B70">
      <w:pPr>
        <w:pStyle w:val="ReferenceFootnote"/>
      </w:pPr>
      <w:r>
        <w:rPr>
          <w:rStyle w:val="FootnoteReference"/>
        </w:rPr>
        <w:footnoteRef/>
      </w:r>
      <w:r>
        <w:t xml:space="preserve"> </w:t>
      </w:r>
      <w:r w:rsidRPr="00E56FAD">
        <w:t xml:space="preserve">Task Force on Climate-related Financial Disclosures. 2021. “Implementing the Recommendations of the Task Force on Climate-Related Financial Disclosures.” </w:t>
      </w:r>
      <w:hyperlink r:id="rId50" w:history="1">
        <w:r w:rsidRPr="008B36A2">
          <w:rPr>
            <w:rStyle w:val="Hyperlink"/>
          </w:rPr>
          <w:t>https://assets.bbhub.io/company/sites/60/2021/07/2021-TCFD-Implementing_Guidance.pdf</w:t>
        </w:r>
      </w:hyperlink>
      <w:r w:rsidRPr="00E56FAD">
        <w:t>.</w:t>
      </w:r>
    </w:p>
  </w:footnote>
  <w:footnote w:id="90">
    <w:p w14:paraId="4116A144" w14:textId="00EEA55B" w:rsidR="00D33AB7" w:rsidRDefault="00D33AB7" w:rsidP="00505460">
      <w:pPr>
        <w:pStyle w:val="Footnotes"/>
      </w:pPr>
      <w:r>
        <w:rPr>
          <w:rStyle w:val="FootnoteReference"/>
        </w:rPr>
        <w:footnoteRef/>
      </w:r>
      <w:r>
        <w:t xml:space="preserve"> </w:t>
      </w:r>
      <w:r>
        <w:rPr>
          <w:shd w:val="clear" w:color="auto" w:fill="FFFFFF"/>
        </w:rPr>
        <w:t>Social Value International, “Standard on Applying Principle 1: Involve</w:t>
      </w:r>
      <w:r w:rsidR="00505460">
        <w:rPr>
          <w:shd w:val="clear" w:color="auto" w:fill="FFFFFF"/>
        </w:rPr>
        <w:t xml:space="preserve"> </w:t>
      </w:r>
      <w:r>
        <w:rPr>
          <w:shd w:val="clear" w:color="auto" w:fill="FFFFFF"/>
        </w:rPr>
        <w:t>Stakeholders.”</w:t>
      </w:r>
      <w:r w:rsidR="00505460">
        <w:rPr>
          <w:shd w:val="clear" w:color="auto" w:fill="FFFFFF"/>
        </w:rPr>
        <w:t xml:space="preserve"> </w:t>
      </w:r>
      <w:r>
        <w:rPr>
          <w:rStyle w:val="apple-converted-space"/>
          <w:shd w:val="clear" w:color="auto" w:fill="FFFFFF"/>
        </w:rPr>
        <w:t> </w:t>
      </w:r>
      <w:hyperlink r:id="rId51" w:history="1">
        <w:r>
          <w:rPr>
            <w:rStyle w:val="Hyperlink"/>
            <w:shd w:val="clear" w:color="auto" w:fill="FFFFFF"/>
          </w:rPr>
          <w:t>https://static1.squarespace.com/static/60dc51e3c58aef413ae5c975/t/60f058babaa9e46167496599/1626364102534/Standard-for-applying-Principle-1.pdf</w:t>
        </w:r>
      </w:hyperlink>
      <w:r>
        <w:rPr>
          <w:shd w:val="clear" w:color="auto" w:fill="FFFFFF"/>
        </w:rPr>
        <w:t>.</w:t>
      </w:r>
    </w:p>
  </w:footnote>
  <w:footnote w:id="91">
    <w:p w14:paraId="1C35848C" w14:textId="77777777" w:rsidR="00D33AB7" w:rsidRDefault="00D33AB7" w:rsidP="00505460">
      <w:pPr>
        <w:pStyle w:val="Footnotes"/>
      </w:pPr>
      <w:r>
        <w:rPr>
          <w:rStyle w:val="FootnoteReference"/>
        </w:rPr>
        <w:footnoteRef/>
      </w:r>
      <w:r>
        <w:t xml:space="preserve"> </w:t>
      </w:r>
      <w:r>
        <w:rPr>
          <w:shd w:val="clear" w:color="auto" w:fill="FFFFFF"/>
        </w:rPr>
        <w:t xml:space="preserve">WEF, “Engaging All Affected Stakeholders.” </w:t>
      </w:r>
    </w:p>
  </w:footnote>
  <w:footnote w:id="92">
    <w:p w14:paraId="4C2AB657" w14:textId="77777777" w:rsidR="00D33AB7" w:rsidRDefault="00D33AB7" w:rsidP="00505460">
      <w:pPr>
        <w:pStyle w:val="Footnotes"/>
      </w:pPr>
      <w:r>
        <w:rPr>
          <w:rStyle w:val="FootnoteReference"/>
        </w:rPr>
        <w:footnoteRef/>
      </w:r>
      <w:r>
        <w:t xml:space="preserve"> </w:t>
      </w:r>
      <w:r w:rsidRPr="007A282F">
        <w:rPr>
          <w:shd w:val="clear" w:color="auto" w:fill="FFFFFF"/>
        </w:rPr>
        <w:t>Capitals Coalition, “Social &amp; Human Capital Protocol</w:t>
      </w:r>
      <w:r>
        <w:rPr>
          <w:shd w:val="clear" w:color="auto" w:fill="FFFFFF"/>
        </w:rPr>
        <w:t>.</w:t>
      </w:r>
      <w:r w:rsidRPr="007A282F">
        <w:rPr>
          <w:shd w:val="clear" w:color="auto" w:fill="FFFFFF"/>
        </w:rPr>
        <w:t xml:space="preserve">” </w:t>
      </w:r>
    </w:p>
  </w:footnote>
  <w:footnote w:id="93">
    <w:p w14:paraId="57536752" w14:textId="77777777" w:rsidR="00505460" w:rsidRPr="007A282F" w:rsidRDefault="00505460" w:rsidP="00505460">
      <w:pPr>
        <w:pStyle w:val="Footnotes"/>
        <w:rPr>
          <w:shd w:val="clear" w:color="auto" w:fill="FFFFFF"/>
        </w:rPr>
      </w:pPr>
      <w:r>
        <w:rPr>
          <w:rStyle w:val="FootnoteReference"/>
        </w:rPr>
        <w:footnoteRef/>
      </w:r>
      <w:r>
        <w:t xml:space="preserve"> SVI, “</w:t>
      </w:r>
      <w:r>
        <w:rPr>
          <w:shd w:val="clear" w:color="auto" w:fill="FFFFFF"/>
        </w:rPr>
        <w:t>Involve Stakeholders.”</w:t>
      </w:r>
    </w:p>
  </w:footnote>
  <w:footnote w:id="94">
    <w:p w14:paraId="2B0B07A5" w14:textId="5E4A5120" w:rsidR="00505460" w:rsidRPr="00505460" w:rsidRDefault="00505460" w:rsidP="00505460">
      <w:pPr>
        <w:pStyle w:val="Footnotes"/>
        <w:rPr>
          <w:shd w:val="clear" w:color="auto" w:fill="FFFFFF"/>
        </w:rPr>
      </w:pPr>
      <w:r>
        <w:rPr>
          <w:rStyle w:val="FootnoteReference"/>
        </w:rPr>
        <w:footnoteRef/>
      </w:r>
      <w:r>
        <w:t xml:space="preserve"> </w:t>
      </w:r>
      <w:r>
        <w:rPr>
          <w:shd w:val="clear" w:color="auto" w:fill="FFFFFF"/>
        </w:rPr>
        <w:t>WEF, “Engaging All Affected Stakeholders.”</w:t>
      </w:r>
    </w:p>
  </w:footnote>
  <w:footnote w:id="95">
    <w:p w14:paraId="734B70D3" w14:textId="77777777" w:rsidR="00D33AB7" w:rsidRDefault="00D33AB7" w:rsidP="00D33AB7">
      <w:pPr>
        <w:pStyle w:val="ReferenceFootnote"/>
      </w:pPr>
      <w:r>
        <w:rPr>
          <w:rStyle w:val="FootnoteReference"/>
        </w:rPr>
        <w:footnoteRef/>
      </w:r>
      <w:r>
        <w:t xml:space="preserve"> </w:t>
      </w:r>
      <w:r>
        <w:rPr>
          <w:shd w:val="clear" w:color="auto" w:fill="FFFFFF"/>
        </w:rPr>
        <w:t>United Nations Human Rights Office of the High Commissioner, “Guiding Principles on Business and Human Rights: Implementing the United Nations ‘Protect, Respect and Remedy’ Framework,” 2011.</w:t>
      </w:r>
    </w:p>
  </w:footnote>
  <w:footnote w:id="96">
    <w:p w14:paraId="067A0386" w14:textId="0A524E6D" w:rsidR="00E02B14" w:rsidRPr="00E02B14" w:rsidRDefault="00E02B14" w:rsidP="00E02B14">
      <w:pPr>
        <w:pStyle w:val="Footnotes"/>
      </w:pPr>
      <w:r>
        <w:rPr>
          <w:rStyle w:val="FootnoteReference"/>
        </w:rPr>
        <w:footnoteRef/>
      </w:r>
      <w:r>
        <w:t xml:space="preserve"> </w:t>
      </w:r>
      <w:r w:rsidRPr="00E02B14">
        <w:t>Note that there is not widespread agreement about standardized terms and definitions to describe the various types of independent review</w:t>
      </w:r>
      <w:r w:rsidR="00902A48">
        <w:t>.</w:t>
      </w:r>
      <w:r w:rsidR="009D532A">
        <w:t xml:space="preserve"> </w:t>
      </w:r>
      <w:r w:rsidR="003C14CA">
        <w:t>Both formal regulations and informal norms</w:t>
      </w:r>
      <w:r w:rsidR="009D532A">
        <w:t xml:space="preserve"> around assurance and other forms of independent review vary significantly by country. </w:t>
      </w:r>
    </w:p>
  </w:footnote>
  <w:footnote w:id="97">
    <w:p w14:paraId="11E5EAEC" w14:textId="30763073" w:rsidR="00E02B14" w:rsidRPr="00E02B14" w:rsidRDefault="00E02B14" w:rsidP="00E02B14">
      <w:pPr>
        <w:pStyle w:val="Footnotes"/>
      </w:pPr>
      <w:r w:rsidRPr="00E02B14">
        <w:rPr>
          <w:rStyle w:val="FootnoteReference"/>
          <w:vertAlign w:val="baseline"/>
        </w:rPr>
        <w:footnoteRef/>
      </w:r>
      <w:r w:rsidRPr="00E02B14">
        <w:t xml:space="preserve"> To learn more about assurance in general, see “What is assurance?” and related resources from the Institute of Chartered Accountants of England and Wales (ICAEW), </w:t>
      </w:r>
      <w:r>
        <w:t xml:space="preserve"> </w:t>
      </w:r>
      <w:hyperlink r:id="rId52" w:history="1">
        <w:r w:rsidRPr="00C50E69">
          <w:rPr>
            <w:rStyle w:val="Hyperlink"/>
          </w:rPr>
          <w:t>https://www.icaew.com/technical/audit-and-assurance/assurance/what-is-assurance</w:t>
        </w:r>
      </w:hyperlink>
      <w:r w:rsidRPr="00E02B14">
        <w:t>.</w:t>
      </w:r>
      <w:r>
        <w:t xml:space="preserve"> </w:t>
      </w:r>
      <w:r w:rsidR="00902A48">
        <w:t>S</w:t>
      </w:r>
      <w:r w:rsidRPr="00E02B14">
        <w:t>ee</w:t>
      </w:r>
      <w:r w:rsidR="00902A48">
        <w:t xml:space="preserve"> also</w:t>
      </w:r>
      <w:r w:rsidRPr="00E02B14">
        <w:t xml:space="preserve"> “A buyer’s guide to assurance on non-financial information,” co-authored by ICAEW and the World Business Council for Sustainable Development, </w:t>
      </w:r>
      <w:hyperlink r:id="rId53" w:history="1">
        <w:r w:rsidRPr="00C50E69">
          <w:rPr>
            <w:rStyle w:val="Hyperlink"/>
          </w:rPr>
          <w:t>https://www.wbcsd.org/Programs/Redefining-Value/Making-stakeholder-capitalism-actionable/Assurance-Internal-Controls/Resources/A-buyer-s-guide-to-assurance-on-non-financial-information</w:t>
        </w:r>
      </w:hyperlink>
      <w:r w:rsidRPr="00E02B14">
        <w:t xml:space="preserve">.  </w:t>
      </w:r>
    </w:p>
  </w:footnote>
  <w:footnote w:id="98">
    <w:p w14:paraId="3C721EE6" w14:textId="33969458" w:rsidR="00E02B14" w:rsidRPr="00E02B14" w:rsidRDefault="00E02B14" w:rsidP="00E02B14">
      <w:pPr>
        <w:pStyle w:val="Footnotes"/>
      </w:pPr>
      <w:r w:rsidRPr="00E02B14">
        <w:rPr>
          <w:rStyle w:val="FootnoteReference"/>
          <w:vertAlign w:val="baseline"/>
        </w:rPr>
        <w:footnoteRef/>
      </w:r>
      <w:r w:rsidRPr="00E02B14">
        <w:t xml:space="preserve"> </w:t>
      </w:r>
      <w:r w:rsidRPr="00E02B14">
        <w:rPr>
          <w:rStyle w:val="normaltextrun"/>
        </w:rPr>
        <w:t xml:space="preserve">It is recommended that the assurance engagements follow the procedures outlined in </w:t>
      </w:r>
      <w:hyperlink r:id="rId54" w:tgtFrame="_blank" w:history="1">
        <w:r w:rsidRPr="00E02B14">
          <w:rPr>
            <w:rStyle w:val="normaltextrun"/>
          </w:rPr>
          <w:t>Assurance and Engagements Other Than Audits or Reviews of </w:t>
        </w:r>
      </w:hyperlink>
      <w:hyperlink r:id="rId55" w:tgtFrame="_blank" w:history="1">
        <w:r w:rsidRPr="00E02B14">
          <w:rPr>
            <w:rStyle w:val="normaltextrun"/>
          </w:rPr>
          <w:t>Historical Information’ (ISAE3000 (Revised)</w:t>
        </w:r>
      </w:hyperlink>
      <w:r w:rsidRPr="00E02B14">
        <w:rPr>
          <w:rStyle w:val="normaltextrun"/>
        </w:rPr>
        <w:t xml:space="preserve"> and </w:t>
      </w:r>
      <w:hyperlink r:id="rId56" w:tgtFrame="_blank" w:history="1">
        <w:r w:rsidRPr="00E02B14">
          <w:rPr>
            <w:rStyle w:val="normaltextrun"/>
          </w:rPr>
          <w:t>Non-Authoritative </w:t>
        </w:r>
      </w:hyperlink>
      <w:hyperlink r:id="rId57" w:tgtFrame="_blank" w:history="1">
        <w:r w:rsidRPr="00E02B14">
          <w:rPr>
            <w:rStyle w:val="normaltextrun"/>
          </w:rPr>
          <w:t>Guidance</w:t>
        </w:r>
      </w:hyperlink>
      <w:hyperlink r:id="rId58" w:tgtFrame="_blank" w:history="1">
        <w:r w:rsidRPr="00E02B14">
          <w:rPr>
            <w:rStyle w:val="normaltextrun"/>
          </w:rPr>
          <w:t> on Applying ISAE3000 (Revised) to </w:t>
        </w:r>
      </w:hyperlink>
      <w:hyperlink r:id="rId59" w:tgtFrame="_blank" w:history="1">
        <w:r w:rsidRPr="00E02B14">
          <w:rPr>
            <w:rStyle w:val="normaltextrun"/>
          </w:rPr>
          <w:t>Sustainability and Other Extended Reporting Engagements</w:t>
        </w:r>
      </w:hyperlink>
      <w:r w:rsidRPr="00E02B14">
        <w:rPr>
          <w:rStyle w:val="normaltextrun"/>
        </w:rPr>
        <w:t xml:space="preserve"> by the IAASB, and/or AccountAbility’s AA1000 standard. </w:t>
      </w:r>
      <w:r w:rsidRPr="00E02B14">
        <w:t>These are referenced as they are the ones most commonly used globally in assurance of sustainability and other non-financial information</w:t>
      </w:r>
      <w:r w:rsidRPr="00E02B14">
        <w:rPr>
          <w:rStyle w:val="normaltextrun"/>
        </w:rPr>
        <w:t xml:space="preserve">, according to </w:t>
      </w:r>
      <w:r w:rsidRPr="00E02B14">
        <w:t xml:space="preserve">Current State of Assurance on Sustainability Reports,” Sunita Rao, The CPA Journal, 2017, </w:t>
      </w:r>
      <w:hyperlink r:id="rId60" w:history="1">
        <w:r w:rsidRPr="00E02B14">
          <w:rPr>
            <w:rStyle w:val="Hyperlink"/>
            <w:color w:val="000000"/>
            <w:u w:val="none"/>
          </w:rPr>
          <w:t>https://www.cpajournal.com/2017/07/26/current-state-assurance-sustainability-reports/</w:t>
        </w:r>
      </w:hyperlink>
      <w:r>
        <w:rPr>
          <w:rStyle w:val="Hyperlink"/>
          <w:color w:val="000000"/>
          <w:u w:val="none"/>
        </w:rPr>
        <w:t xml:space="preserve">. </w:t>
      </w:r>
    </w:p>
  </w:footnote>
  <w:footnote w:id="99">
    <w:p w14:paraId="01183C1E" w14:textId="77777777" w:rsidR="00E02B14" w:rsidRDefault="00E02B14" w:rsidP="00E02B14">
      <w:pPr>
        <w:pStyle w:val="Footnotes"/>
      </w:pPr>
      <w:r w:rsidRPr="00E02B14">
        <w:rPr>
          <w:rStyle w:val="FootnoteReference"/>
          <w:vertAlign w:val="baseline"/>
        </w:rPr>
        <w:footnoteRef/>
      </w:r>
      <w:r w:rsidRPr="00E02B14">
        <w:t xml:space="preserve"> We are also exploring interoperability with ISO 17021 (Conformity assessment — Requirements for bodies providing audit and certification of management systems Part 1: Requirements, Part 3: Competence requirements for auditing and certification of quality management systems ), ISO 17029 (Conformity assessment — General principles and requirements for validation and verification bodies), and the forthcoming ISO 14019-1 (Validation and verification of sustainability information — Part 1: General principles and requirements).</w:t>
      </w:r>
    </w:p>
  </w:footnote>
  <w:footnote w:id="100">
    <w:p w14:paraId="0555DB59" w14:textId="18570FF2" w:rsidR="00065BA2" w:rsidRDefault="00065BA2" w:rsidP="002B4920">
      <w:pPr>
        <w:pStyle w:val="ReferenceFootnote"/>
      </w:pPr>
      <w:r w:rsidRPr="00F90EDD">
        <w:rPr>
          <w:rStyle w:val="FootnoteReference"/>
          <w:sz w:val="20"/>
          <w:szCs w:val="20"/>
        </w:rPr>
        <w:footnoteRef/>
      </w:r>
      <w:r w:rsidRPr="00F23652">
        <w:t xml:space="preserve"> </w:t>
      </w:r>
      <w:r w:rsidRPr="0017707E">
        <w:t>The Institute of Chartered Accountants in England and Wales. 2019. “Three-Party Relationship.”</w:t>
      </w:r>
      <w:r w:rsidR="002B4920">
        <w:t xml:space="preserve"> </w:t>
      </w:r>
      <w:hyperlink r:id="rId61" w:history="1">
        <w:r w:rsidR="002B4920" w:rsidRPr="00C50E69">
          <w:rPr>
            <w:rStyle w:val="Hyperlink"/>
          </w:rPr>
          <w:t>https://www.icaew.com/technical/audit-and-assurance/assurance/process/scoping/what-is-feasible/three-party-relationship</w:t>
        </w:r>
      </w:hyperlink>
      <w:r w:rsidR="002B4920">
        <w:t xml:space="preserve">. </w:t>
      </w:r>
    </w:p>
    <w:p w14:paraId="49CCA88B" w14:textId="77777777" w:rsidR="00065BA2" w:rsidRDefault="00065BA2" w:rsidP="00DB1B70">
      <w:pPr>
        <w:pStyle w:val="FootnoteText"/>
      </w:pPr>
      <w:r>
        <w:rPr>
          <w:rFonts w:ascii="Arial" w:hAnsi="Arial" w:cs="Arial"/>
        </w:rPr>
        <w:t>‌</w:t>
      </w:r>
      <w:r w:rsidRPr="00195787" w:rsidDel="0081029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C40"/>
    <w:multiLevelType w:val="hybridMultilevel"/>
    <w:tmpl w:val="06846CD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EB5B14"/>
    <w:multiLevelType w:val="hybridMultilevel"/>
    <w:tmpl w:val="83D4BB9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E311EC"/>
    <w:multiLevelType w:val="multilevel"/>
    <w:tmpl w:val="72C20A62"/>
    <w:styleLink w:val="CurrentList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6010D6"/>
    <w:multiLevelType w:val="multilevel"/>
    <w:tmpl w:val="65D64AEE"/>
    <w:styleLink w:val="CurrentList52"/>
    <w:lvl w:ilvl="0">
      <w:start w:val="5"/>
      <w:numFmt w:val="decimal"/>
      <w:lvlText w:val="%1"/>
      <w:lvlJc w:val="left"/>
      <w:pPr>
        <w:ind w:left="450" w:hanging="45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880" w:hanging="720"/>
      </w:pPr>
      <w:rPr>
        <w:rFonts w:hint="default"/>
      </w:rPr>
    </w:lvl>
    <w:lvl w:ilvl="3">
      <w:start w:val="1"/>
      <w:numFmt w:val="bullet"/>
      <w:lvlText w:val=""/>
      <w:lvlJc w:val="left"/>
      <w:pPr>
        <w:ind w:left="2100" w:hanging="360"/>
      </w:pPr>
      <w:rPr>
        <w:rFonts w:ascii="Symbol" w:hAnsi="Symbol" w:hint="default"/>
      </w:rPr>
    </w:lvl>
    <w:lvl w:ilvl="4">
      <w:start w:val="1"/>
      <w:numFmt w:val="bullet"/>
      <w:lvlText w:val=""/>
      <w:lvlJc w:val="left"/>
      <w:pPr>
        <w:ind w:left="2680" w:hanging="360"/>
      </w:pPr>
      <w:rPr>
        <w:rFonts w:ascii="Symbol" w:hAnsi="Symbol"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080" w:hanging="1440"/>
      </w:pPr>
      <w:rPr>
        <w:rFonts w:hint="default"/>
      </w:rPr>
    </w:lvl>
  </w:abstractNum>
  <w:abstractNum w:abstractNumId="4" w15:restartNumberingAfterBreak="0">
    <w:nsid w:val="096D3975"/>
    <w:multiLevelType w:val="multilevel"/>
    <w:tmpl w:val="D45A30C2"/>
    <w:styleLink w:val="CurrentList14"/>
    <w:lvl w:ilvl="0">
      <w:start w:val="3"/>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B84C09"/>
    <w:multiLevelType w:val="multilevel"/>
    <w:tmpl w:val="A45E5D16"/>
    <w:styleLink w:val="CurrentList51"/>
    <w:lvl w:ilvl="0">
      <w:start w:val="5"/>
      <w:numFmt w:val="decimal"/>
      <w:lvlText w:val="%1"/>
      <w:lvlJc w:val="left"/>
      <w:pPr>
        <w:ind w:left="450" w:hanging="450"/>
      </w:pPr>
      <w:rPr>
        <w:rFonts w:hint="default"/>
      </w:rPr>
    </w:lvl>
    <w:lvl w:ilvl="1">
      <w:start w:val="1"/>
      <w:numFmt w:val="decimal"/>
      <w:lvlText w:val="%1.%2"/>
      <w:lvlJc w:val="left"/>
      <w:pPr>
        <w:ind w:left="1030" w:hanging="450"/>
      </w:pPr>
      <w:rPr>
        <w:rFonts w:hint="default"/>
      </w:rPr>
    </w:lvl>
    <w:lvl w:ilvl="2">
      <w:start w:val="1"/>
      <w:numFmt w:val="decimal"/>
      <w:lvlText w:val="%1.%2.%3"/>
      <w:lvlJc w:val="left"/>
      <w:pPr>
        <w:ind w:left="1880" w:hanging="720"/>
      </w:pPr>
      <w:rPr>
        <w:rFonts w:hint="default"/>
      </w:rPr>
    </w:lvl>
    <w:lvl w:ilvl="3">
      <w:start w:val="1"/>
      <w:numFmt w:val="bullet"/>
      <w:lvlText w:val=""/>
      <w:lvlJc w:val="left"/>
      <w:pPr>
        <w:ind w:left="2100" w:hanging="360"/>
      </w:pPr>
      <w:rPr>
        <w:rFonts w:ascii="Symbol" w:hAnsi="Symbol" w:hint="default"/>
      </w:rPr>
    </w:lvl>
    <w:lvl w:ilvl="4">
      <w:start w:val="1"/>
      <w:numFmt w:val="bullet"/>
      <w:lvlText w:val=""/>
      <w:lvlJc w:val="left"/>
      <w:pPr>
        <w:ind w:left="2680" w:hanging="360"/>
      </w:pPr>
      <w:rPr>
        <w:rFonts w:ascii="Symbol" w:hAnsi="Symbol"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080" w:hanging="1440"/>
      </w:pPr>
      <w:rPr>
        <w:rFonts w:hint="default"/>
      </w:rPr>
    </w:lvl>
  </w:abstractNum>
  <w:abstractNum w:abstractNumId="6" w15:restartNumberingAfterBreak="0">
    <w:nsid w:val="0CB815F6"/>
    <w:multiLevelType w:val="hybridMultilevel"/>
    <w:tmpl w:val="4E849200"/>
    <w:lvl w:ilvl="0" w:tplc="7D023E5C">
      <w:start w:val="1"/>
      <w:numFmt w:val="decimal"/>
      <w:pStyle w:val="Heading3"/>
      <w:lvlText w:val="%1."/>
      <w:lvlJc w:val="left"/>
      <w:pPr>
        <w:ind w:left="2160" w:hanging="360"/>
      </w:pPr>
      <w:rPr>
        <w:rFonts w:hint="default"/>
        <w:color w:val="auto"/>
      </w:rPr>
    </w:lvl>
    <w:lvl w:ilvl="1" w:tplc="FFFFFFFF">
      <w:start w:val="1"/>
      <w:numFmt w:val="decimal"/>
      <w:lvlText w:val="%2."/>
      <w:lvlJc w:val="left"/>
      <w:pPr>
        <w:ind w:left="2520" w:hanging="360"/>
      </w:pPr>
    </w:lvl>
    <w:lvl w:ilvl="2" w:tplc="FFFFFFFF">
      <w:start w:val="1"/>
      <w:numFmt w:val="bullet"/>
      <w:lvlText w:val=""/>
      <w:lvlJc w:val="left"/>
      <w:pPr>
        <w:ind w:left="3120" w:hanging="440"/>
      </w:pPr>
      <w:rPr>
        <w:rFonts w:ascii="Symbol" w:hAnsi="Symbol" w:hint="default"/>
      </w:rPr>
    </w:lvl>
    <w:lvl w:ilvl="3" w:tplc="FFFFFFFF">
      <w:start w:val="1"/>
      <w:numFmt w:val="bullet"/>
      <w:lvlText w:val=""/>
      <w:lvlJc w:val="left"/>
      <w:pPr>
        <w:ind w:left="3560" w:hanging="440"/>
      </w:pPr>
      <w:rPr>
        <w:rFonts w:ascii="Wingdings" w:hAnsi="Wingdings" w:hint="default"/>
      </w:rPr>
    </w:lvl>
    <w:lvl w:ilvl="4" w:tplc="FFFFFFFF">
      <w:start w:val="1"/>
      <w:numFmt w:val="lowerRoman"/>
      <w:lvlText w:val="%5."/>
      <w:lvlJc w:val="right"/>
      <w:pPr>
        <w:ind w:left="3920" w:hanging="440"/>
      </w:pPr>
    </w:lvl>
    <w:lvl w:ilvl="5" w:tplc="FFFFFFFF">
      <w:start w:val="1"/>
      <w:numFmt w:val="bullet"/>
      <w:lvlText w:val=""/>
      <w:lvlJc w:val="left"/>
      <w:pPr>
        <w:ind w:left="4440" w:hanging="440"/>
      </w:pPr>
      <w:rPr>
        <w:rFonts w:ascii="Wingdings" w:hAnsi="Wingdings" w:hint="default"/>
      </w:rPr>
    </w:lvl>
    <w:lvl w:ilvl="6" w:tplc="FFFFFFFF">
      <w:start w:val="1"/>
      <w:numFmt w:val="decimal"/>
      <w:lvlText w:val="%7."/>
      <w:lvlJc w:val="left"/>
      <w:pPr>
        <w:ind w:left="4800" w:hanging="360"/>
      </w:pPr>
      <w:rPr>
        <w:rFonts w:hint="default"/>
      </w:rPr>
    </w:lvl>
    <w:lvl w:ilvl="7" w:tplc="FFFFFFFF">
      <w:start w:val="3"/>
      <w:numFmt w:val="bullet"/>
      <w:lvlText w:val="-"/>
      <w:lvlJc w:val="left"/>
      <w:pPr>
        <w:ind w:left="5240" w:hanging="360"/>
      </w:pPr>
      <w:rPr>
        <w:rFonts w:ascii="Calibri" w:eastAsiaTheme="minorEastAsia" w:hAnsi="Calibri" w:cs="Calibri" w:hint="default"/>
      </w:rPr>
    </w:lvl>
    <w:lvl w:ilvl="8" w:tplc="FFFFFFFF" w:tentative="1">
      <w:start w:val="1"/>
      <w:numFmt w:val="bullet"/>
      <w:lvlText w:val=""/>
      <w:lvlJc w:val="left"/>
      <w:pPr>
        <w:ind w:left="5760" w:hanging="440"/>
      </w:pPr>
      <w:rPr>
        <w:rFonts w:ascii="Wingdings" w:hAnsi="Wingdings" w:hint="default"/>
      </w:rPr>
    </w:lvl>
  </w:abstractNum>
  <w:abstractNum w:abstractNumId="7" w15:restartNumberingAfterBreak="0">
    <w:nsid w:val="0CC81818"/>
    <w:multiLevelType w:val="hybridMultilevel"/>
    <w:tmpl w:val="47BEB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AB0BC5"/>
    <w:multiLevelType w:val="multilevel"/>
    <w:tmpl w:val="50FC2E5C"/>
    <w:styleLink w:val="CurrentList48"/>
    <w:lvl w:ilvl="0">
      <w:start w:val="3"/>
      <w:numFmt w:val="decimal"/>
      <w:lvlText w:val="%1."/>
      <w:lvlJc w:val="left"/>
      <w:pPr>
        <w:ind w:left="360" w:hanging="360"/>
      </w:pPr>
      <w:rPr>
        <w:rFonts w:hint="default"/>
      </w:rPr>
    </w:lvl>
    <w:lvl w:ilvl="1">
      <w:start w:val="1"/>
      <w:numFmt w:val="decimal"/>
      <w:suff w:val="space"/>
      <w:lvlText w:val="%1.3."/>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E4E7E55"/>
    <w:multiLevelType w:val="hybridMultilevel"/>
    <w:tmpl w:val="92C4FEE0"/>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088"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F363C15"/>
    <w:multiLevelType w:val="multilevel"/>
    <w:tmpl w:val="7E54DB2E"/>
    <w:styleLink w:val="CurrentList4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4041B51"/>
    <w:multiLevelType w:val="multilevel"/>
    <w:tmpl w:val="DBE69CA0"/>
    <w:lvl w:ilvl="0">
      <w:start w:val="3"/>
      <w:numFmt w:val="decimal"/>
      <w:lvlText w:val="%1."/>
      <w:lvlJc w:val="left"/>
      <w:pPr>
        <w:ind w:left="360" w:hanging="360"/>
      </w:pPr>
      <w:rPr>
        <w:rFonts w:hint="default"/>
      </w:rPr>
    </w:lvl>
    <w:lvl w:ilvl="1">
      <w:start w:val="1"/>
      <w:numFmt w:val="decimal"/>
      <w:suff w:val="space"/>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9528E9"/>
    <w:multiLevelType w:val="multilevel"/>
    <w:tmpl w:val="E6EEE682"/>
    <w:styleLink w:val="CurrentList46"/>
    <w:lvl w:ilvl="0">
      <w:start w:val="3"/>
      <w:numFmt w:val="decimal"/>
      <w:lvlText w:val="%1."/>
      <w:lvlJc w:val="left"/>
      <w:pPr>
        <w:ind w:left="360" w:hanging="360"/>
      </w:pPr>
      <w:rPr>
        <w:rFonts w:hint="default"/>
      </w:rPr>
    </w:lvl>
    <w:lvl w:ilvl="1">
      <w:start w:val="1"/>
      <w:numFmt w:val="decimal"/>
      <w:suff w:val="space"/>
      <w:lvlText w:val="%2%1.3."/>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9C96249"/>
    <w:multiLevelType w:val="multilevel"/>
    <w:tmpl w:val="89F647AE"/>
    <w:styleLink w:val="CurrentList43"/>
    <w:lvl w:ilvl="0">
      <w:start w:val="1"/>
      <w:numFmt w:val="decimal"/>
      <w:lvlText w:val="%1."/>
      <w:lvlJc w:val="left"/>
      <w:pPr>
        <w:ind w:left="720" w:hanging="360"/>
      </w:pPr>
      <w:rPr>
        <w:rFonts w:hint="default"/>
      </w:rPr>
    </w:lvl>
    <w:lvl w:ilvl="1">
      <w:start w:val="3"/>
      <w:numFmt w:val="decimal"/>
      <w:isLgl/>
      <w:suff w:val="space"/>
      <w:lvlText w:val="%2%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1A4B72"/>
    <w:multiLevelType w:val="multilevel"/>
    <w:tmpl w:val="E9FAD59A"/>
    <w:styleLink w:val="CurrentList33"/>
    <w:lvl w:ilvl="0">
      <w:start w:val="1"/>
      <w:numFmt w:val="decimal"/>
      <w:lvlText w:val="%1."/>
      <w:lvlJc w:val="left"/>
      <w:pPr>
        <w:ind w:left="425" w:hanging="425"/>
      </w:pPr>
      <w:rPr>
        <w:rFonts w:asciiTheme="minorHAnsi" w:eastAsiaTheme="minorEastAsia" w:hAnsiTheme="minorHAnsi" w:cstheme="minorBidi"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567" w:hanging="567"/>
      </w:pPr>
      <w:rPr>
        <w:rFonts w:hint="default"/>
        <w:color w:val="auto"/>
      </w:rPr>
    </w:lvl>
    <w:lvl w:ilvl="3">
      <w:start w:val="2"/>
      <w:numFmt w:val="bullet"/>
      <w:lvlText w:val=""/>
      <w:lvlJc w:val="left"/>
      <w:pPr>
        <w:ind w:left="1716" w:hanging="440"/>
      </w:pPr>
      <w:rPr>
        <w:rFonts w:ascii="Symbol" w:eastAsia="Yu Gothic Light" w:hAnsi="Symbol" w:cstheme="minorHAnsi" w:hint="default"/>
        <w:color w:val="auto"/>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15" w15:restartNumberingAfterBreak="0">
    <w:nsid w:val="1C99504B"/>
    <w:multiLevelType w:val="hybridMultilevel"/>
    <w:tmpl w:val="04987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EE3D26"/>
    <w:multiLevelType w:val="multilevel"/>
    <w:tmpl w:val="8F60F28A"/>
    <w:styleLink w:val="CurrentList53"/>
    <w:lvl w:ilvl="0">
      <w:start w:val="5"/>
      <w:numFmt w:val="decimal"/>
      <w:lvlText w:val="%1"/>
      <w:lvlJc w:val="left"/>
      <w:pPr>
        <w:ind w:left="450" w:hanging="450"/>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ind w:left="1880" w:hanging="720"/>
      </w:pPr>
      <w:rPr>
        <w:rFonts w:hint="default"/>
      </w:rPr>
    </w:lvl>
    <w:lvl w:ilvl="3">
      <w:start w:val="1"/>
      <w:numFmt w:val="bullet"/>
      <w:lvlText w:val=""/>
      <w:lvlJc w:val="left"/>
      <w:pPr>
        <w:ind w:left="2100" w:hanging="360"/>
      </w:pPr>
      <w:rPr>
        <w:rFonts w:ascii="Symbol" w:hAnsi="Symbol" w:hint="default"/>
      </w:rPr>
    </w:lvl>
    <w:lvl w:ilvl="4">
      <w:start w:val="1"/>
      <w:numFmt w:val="bullet"/>
      <w:lvlText w:val=""/>
      <w:lvlJc w:val="left"/>
      <w:pPr>
        <w:ind w:left="2680" w:hanging="360"/>
      </w:pPr>
      <w:rPr>
        <w:rFonts w:ascii="Symbol" w:hAnsi="Symbol"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080" w:hanging="1440"/>
      </w:pPr>
      <w:rPr>
        <w:rFonts w:hint="default"/>
      </w:rPr>
    </w:lvl>
  </w:abstractNum>
  <w:abstractNum w:abstractNumId="17" w15:restartNumberingAfterBreak="0">
    <w:nsid w:val="1FA82CB5"/>
    <w:multiLevelType w:val="multilevel"/>
    <w:tmpl w:val="8788F408"/>
    <w:styleLink w:val="CurrentList45"/>
    <w:lvl w:ilvl="0">
      <w:start w:val="3"/>
      <w:numFmt w:val="decimal"/>
      <w:lvlText w:val="%1."/>
      <w:lvlJc w:val="left"/>
      <w:pPr>
        <w:ind w:left="360" w:hanging="360"/>
      </w:pPr>
      <w:rPr>
        <w:rFonts w:hint="default"/>
      </w:rPr>
    </w:lvl>
    <w:lvl w:ilvl="1">
      <w:start w:val="1"/>
      <w:numFmt w:val="decimal"/>
      <w:lvlText w:val="%1.3."/>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0D42151"/>
    <w:multiLevelType w:val="hybridMultilevel"/>
    <w:tmpl w:val="78720CCC"/>
    <w:lvl w:ilvl="0" w:tplc="0409000F">
      <w:start w:val="1"/>
      <w:numFmt w:val="decimal"/>
      <w:lvlText w:val="%1."/>
      <w:lvlJc w:val="left"/>
      <w:pPr>
        <w:ind w:left="440" w:hanging="440"/>
      </w:pPr>
    </w:lvl>
    <w:lvl w:ilvl="1" w:tplc="086EE372">
      <w:start w:val="1"/>
      <w:numFmt w:val="lowerLetter"/>
      <w:lvlText w:val="%2."/>
      <w:lvlJc w:val="left"/>
      <w:pPr>
        <w:ind w:left="880" w:hanging="44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13A6BE9"/>
    <w:multiLevelType w:val="multilevel"/>
    <w:tmpl w:val="105E42E4"/>
    <w:lvl w:ilvl="0">
      <w:start w:val="1"/>
      <w:numFmt w:val="decimal"/>
      <w:lvlText w:val="%1."/>
      <w:lvlJc w:val="left"/>
      <w:pPr>
        <w:ind w:left="720" w:hanging="360"/>
      </w:pPr>
      <w:rPr>
        <w:rFonts w:hint="default"/>
      </w:rPr>
    </w:lvl>
    <w:lvl w:ilvl="1">
      <w:start w:val="3"/>
      <w:numFmt w:val="decimal"/>
      <w:isLgl/>
      <w:suff w:val="space"/>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1B25486"/>
    <w:multiLevelType w:val="multilevel"/>
    <w:tmpl w:val="B79436E6"/>
    <w:styleLink w:val="CurrentList1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331E56"/>
    <w:multiLevelType w:val="multilevel"/>
    <w:tmpl w:val="5744330C"/>
    <w:styleLink w:val="CurrentList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Roman"/>
      <w:lvlText w:val="%4."/>
      <w:lvlJc w:val="righ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3F80F2D"/>
    <w:multiLevelType w:val="multilevel"/>
    <w:tmpl w:val="653C4CFC"/>
    <w:styleLink w:val="CurrentList19"/>
    <w:lvl w:ilvl="0">
      <w:start w:val="1"/>
      <w:numFmt w:val="decimal"/>
      <w:lvlText w:val="%1."/>
      <w:lvlJc w:val="left"/>
      <w:pPr>
        <w:ind w:left="1600" w:hanging="360"/>
      </w:pPr>
      <w:rPr>
        <w:rFonts w:hint="default"/>
        <w:color w:val="auto"/>
      </w:rPr>
    </w:lvl>
    <w:lvl w:ilvl="1">
      <w:start w:val="1"/>
      <w:numFmt w:val="decimal"/>
      <w:lvlText w:val="%2."/>
      <w:lvlJc w:val="left"/>
      <w:pPr>
        <w:ind w:left="720" w:hanging="360"/>
      </w:pPr>
    </w:lvl>
    <w:lvl w:ilvl="2">
      <w:start w:val="1"/>
      <w:numFmt w:val="bullet"/>
      <w:lvlText w:val=""/>
      <w:lvlJc w:val="left"/>
      <w:pPr>
        <w:ind w:left="1320" w:hanging="440"/>
      </w:pPr>
      <w:rPr>
        <w:rFonts w:ascii="Symbol" w:hAnsi="Symbol" w:hint="default"/>
      </w:rPr>
    </w:lvl>
    <w:lvl w:ilvl="3">
      <w:start w:val="1"/>
      <w:numFmt w:val="bullet"/>
      <w:lvlText w:val=""/>
      <w:lvlJc w:val="left"/>
      <w:pPr>
        <w:ind w:left="1760" w:hanging="440"/>
      </w:pPr>
      <w:rPr>
        <w:rFonts w:ascii="Wingdings" w:hAnsi="Wingdings" w:hint="default"/>
      </w:rPr>
    </w:lvl>
    <w:lvl w:ilvl="4">
      <w:start w:val="1"/>
      <w:numFmt w:val="lowerRoman"/>
      <w:lvlText w:val="%5."/>
      <w:lvlJc w:val="right"/>
      <w:pPr>
        <w:ind w:left="2120" w:hanging="440"/>
      </w:pPr>
    </w:lvl>
    <w:lvl w:ilvl="5">
      <w:start w:val="1"/>
      <w:numFmt w:val="bullet"/>
      <w:lvlText w:val=""/>
      <w:lvlJc w:val="left"/>
      <w:pPr>
        <w:ind w:left="2640" w:hanging="440"/>
      </w:pPr>
      <w:rPr>
        <w:rFonts w:ascii="Wingdings" w:hAnsi="Wingdings" w:hint="default"/>
      </w:rPr>
    </w:lvl>
    <w:lvl w:ilvl="6">
      <w:start w:val="1"/>
      <w:numFmt w:val="decimal"/>
      <w:lvlText w:val="%7."/>
      <w:lvlJc w:val="left"/>
      <w:pPr>
        <w:ind w:left="3000" w:hanging="360"/>
      </w:pPr>
      <w:rPr>
        <w:rFonts w:hint="default"/>
      </w:rPr>
    </w:lvl>
    <w:lvl w:ilvl="7">
      <w:start w:val="3"/>
      <w:numFmt w:val="bullet"/>
      <w:lvlText w:val="-"/>
      <w:lvlJc w:val="left"/>
      <w:pPr>
        <w:ind w:left="3440" w:hanging="360"/>
      </w:pPr>
      <w:rPr>
        <w:rFonts w:ascii="Calibri" w:eastAsiaTheme="minorEastAsia" w:hAnsi="Calibri" w:cs="Calibri" w:hint="default"/>
      </w:rPr>
    </w:lvl>
    <w:lvl w:ilvl="8">
      <w:start w:val="1"/>
      <w:numFmt w:val="bullet"/>
      <w:lvlText w:val=""/>
      <w:lvlJc w:val="left"/>
      <w:pPr>
        <w:ind w:left="3960" w:hanging="440"/>
      </w:pPr>
      <w:rPr>
        <w:rFonts w:ascii="Wingdings" w:hAnsi="Wingdings" w:hint="default"/>
      </w:rPr>
    </w:lvl>
  </w:abstractNum>
  <w:abstractNum w:abstractNumId="23" w15:restartNumberingAfterBreak="0">
    <w:nsid w:val="244824AB"/>
    <w:multiLevelType w:val="hybridMultilevel"/>
    <w:tmpl w:val="DB32B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716D0B"/>
    <w:multiLevelType w:val="multilevel"/>
    <w:tmpl w:val="A70C2048"/>
    <w:styleLink w:val="CurrentList37"/>
    <w:lvl w:ilvl="0">
      <w:start w:val="1"/>
      <w:numFmt w:val="decimal"/>
      <w:lvlText w:val="%1."/>
      <w:lvlJc w:val="left"/>
      <w:pPr>
        <w:ind w:left="360" w:hanging="360"/>
      </w:pPr>
      <w:rPr>
        <w:rFonts w:hint="default"/>
      </w:rPr>
    </w:lvl>
    <w:lvl w:ilvl="1">
      <w:start w:val="1"/>
      <w:numFmt w:val="decimal"/>
      <w:suff w:val="space"/>
      <w:lvlText w:val="%1.%2."/>
      <w:lvlJc w:val="left"/>
      <w:pPr>
        <w:ind w:left="144" w:hanging="14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160A35"/>
    <w:multiLevelType w:val="multilevel"/>
    <w:tmpl w:val="F6A48108"/>
    <w:lvl w:ilvl="0">
      <w:start w:val="1"/>
      <w:numFmt w:val="decimal"/>
      <w:lvlText w:val="%1."/>
      <w:lvlJc w:val="left"/>
      <w:pPr>
        <w:ind w:left="425" w:hanging="425"/>
      </w:pPr>
      <w:rPr>
        <w:rFonts w:asciiTheme="minorHAnsi" w:eastAsiaTheme="minorEastAsia" w:hAnsiTheme="minorHAnsi" w:cstheme="minorBidi" w:hint="default"/>
      </w:rPr>
    </w:lvl>
    <w:lvl w:ilvl="1">
      <w:start w:val="1"/>
      <w:numFmt w:val="decimal"/>
      <w:suff w:val="space"/>
      <w:lvlText w:val="%1.%2"/>
      <w:lvlJc w:val="left"/>
      <w:pPr>
        <w:ind w:left="0" w:firstLine="0"/>
      </w:pPr>
      <w:rPr>
        <w:rFonts w:hint="default"/>
        <w:color w:val="auto"/>
      </w:rPr>
    </w:lvl>
    <w:lvl w:ilvl="2">
      <w:start w:val="1"/>
      <w:numFmt w:val="decimal"/>
      <w:lvlText w:val="%1.%2.%3"/>
      <w:lvlJc w:val="left"/>
      <w:pPr>
        <w:ind w:left="567" w:hanging="567"/>
      </w:pPr>
      <w:rPr>
        <w:rFonts w:hint="default"/>
        <w:color w:val="auto"/>
      </w:rPr>
    </w:lvl>
    <w:lvl w:ilvl="3">
      <w:start w:val="2"/>
      <w:numFmt w:val="bullet"/>
      <w:lvlText w:val=""/>
      <w:lvlJc w:val="left"/>
      <w:pPr>
        <w:ind w:left="1716" w:hanging="440"/>
      </w:pPr>
      <w:rPr>
        <w:rFonts w:ascii="Symbol" w:eastAsia="Yu Gothic Light" w:hAnsi="Symbol" w:cstheme="minorHAnsi" w:hint="default"/>
        <w:color w:val="auto"/>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26" w15:restartNumberingAfterBreak="0">
    <w:nsid w:val="284774B1"/>
    <w:multiLevelType w:val="multilevel"/>
    <w:tmpl w:val="BF42F4FE"/>
    <w:styleLink w:val="CurrentList1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8700D22"/>
    <w:multiLevelType w:val="multilevel"/>
    <w:tmpl w:val="0409001F"/>
    <w:styleLink w:val="CurrentList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A2631BA"/>
    <w:multiLevelType w:val="hybridMultilevel"/>
    <w:tmpl w:val="C9DA5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536E96"/>
    <w:multiLevelType w:val="multilevel"/>
    <w:tmpl w:val="05EEFD2A"/>
    <w:styleLink w:val="CurrentList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Roman"/>
      <w:lvlText w:val="%4."/>
      <w:lvlJc w:val="righ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D7A5967"/>
    <w:multiLevelType w:val="multilevel"/>
    <w:tmpl w:val="64EE89A8"/>
    <w:styleLink w:val="CurrentList47"/>
    <w:lvl w:ilvl="0">
      <w:start w:val="3"/>
      <w:numFmt w:val="decimal"/>
      <w:lvlText w:val="%1."/>
      <w:lvlJc w:val="left"/>
      <w:pPr>
        <w:ind w:left="360" w:hanging="360"/>
      </w:pPr>
      <w:rPr>
        <w:rFonts w:hint="default"/>
      </w:rPr>
    </w:lvl>
    <w:lvl w:ilvl="1">
      <w:start w:val="1"/>
      <w:numFmt w:val="decimal"/>
      <w:suff w:val="space"/>
      <w:lvlText w:val="%1.3."/>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E9B24B2"/>
    <w:multiLevelType w:val="multilevel"/>
    <w:tmpl w:val="37ECB2AC"/>
    <w:styleLink w:val="CurrentList50"/>
    <w:lvl w:ilvl="0">
      <w:start w:val="3"/>
      <w:numFmt w:val="decimal"/>
      <w:lvlText w:val="%1."/>
      <w:lvlJc w:val="left"/>
      <w:pPr>
        <w:ind w:left="360" w:hanging="360"/>
      </w:pPr>
      <w:rPr>
        <w:rFonts w:hint="default"/>
      </w:rPr>
    </w:lvl>
    <w:lvl w:ilvl="1">
      <w:start w:val="1"/>
      <w:numFmt w:val="decimal"/>
      <w:suff w:val="space"/>
      <w:lvlText w:val="%1.3."/>
      <w:lvlJc w:val="left"/>
      <w:pPr>
        <w:ind w:left="0" w:firstLine="0"/>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0E20D13"/>
    <w:multiLevelType w:val="multilevel"/>
    <w:tmpl w:val="59F8E694"/>
    <w:styleLink w:val="CurrentList15"/>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2036925"/>
    <w:multiLevelType w:val="hybridMultilevel"/>
    <w:tmpl w:val="0DE0CAE0"/>
    <w:lvl w:ilvl="0" w:tplc="04090011">
      <w:start w:val="1"/>
      <w:numFmt w:val="decimal"/>
      <w:lvlText w:val="%1)"/>
      <w:lvlJc w:val="left"/>
      <w:pPr>
        <w:ind w:left="360" w:hanging="360"/>
      </w:pPr>
      <w:rPr>
        <w:rFonts w:hint="default"/>
        <w:color w:val="auto"/>
      </w:rPr>
    </w:lvl>
    <w:lvl w:ilvl="1" w:tplc="0409000F">
      <w:start w:val="1"/>
      <w:numFmt w:val="decimal"/>
      <w:lvlText w:val="%2."/>
      <w:lvlJc w:val="left"/>
      <w:pPr>
        <w:ind w:left="720" w:hanging="360"/>
      </w:pPr>
    </w:lvl>
    <w:lvl w:ilvl="2" w:tplc="7F7667CC">
      <w:start w:val="1"/>
      <w:numFmt w:val="bullet"/>
      <w:lvlText w:val=""/>
      <w:lvlJc w:val="left"/>
      <w:pPr>
        <w:ind w:left="1320" w:hanging="440"/>
      </w:pPr>
      <w:rPr>
        <w:rFonts w:ascii="Symbol" w:hAnsi="Symbol" w:hint="default"/>
      </w:rPr>
    </w:lvl>
    <w:lvl w:ilvl="3" w:tplc="FFFFFFFF">
      <w:start w:val="1"/>
      <w:numFmt w:val="bullet"/>
      <w:lvlText w:val=""/>
      <w:lvlJc w:val="left"/>
      <w:pPr>
        <w:ind w:left="1760" w:hanging="440"/>
      </w:pPr>
      <w:rPr>
        <w:rFonts w:ascii="Wingdings" w:hAnsi="Wingdings" w:hint="default"/>
      </w:rPr>
    </w:lvl>
    <w:lvl w:ilvl="4" w:tplc="0409001B">
      <w:start w:val="1"/>
      <w:numFmt w:val="lowerRoman"/>
      <w:lvlText w:val="%5."/>
      <w:lvlJc w:val="right"/>
      <w:pPr>
        <w:ind w:left="2120" w:hanging="440"/>
      </w:pPr>
    </w:lvl>
    <w:lvl w:ilvl="5" w:tplc="FFFFFFFF">
      <w:start w:val="1"/>
      <w:numFmt w:val="bullet"/>
      <w:lvlText w:val=""/>
      <w:lvlJc w:val="left"/>
      <w:pPr>
        <w:ind w:left="2640" w:hanging="440"/>
      </w:pPr>
      <w:rPr>
        <w:rFonts w:ascii="Wingdings" w:hAnsi="Wingdings" w:hint="default"/>
      </w:rPr>
    </w:lvl>
    <w:lvl w:ilvl="6" w:tplc="171CDC1C">
      <w:start w:val="1"/>
      <w:numFmt w:val="decimal"/>
      <w:lvlText w:val="%7."/>
      <w:lvlJc w:val="left"/>
      <w:pPr>
        <w:ind w:left="3000" w:hanging="360"/>
      </w:pPr>
      <w:rPr>
        <w:rFonts w:hint="default"/>
      </w:rPr>
    </w:lvl>
    <w:lvl w:ilvl="7" w:tplc="C81A0EE2">
      <w:start w:val="3"/>
      <w:numFmt w:val="bullet"/>
      <w:lvlText w:val="-"/>
      <w:lvlJc w:val="left"/>
      <w:pPr>
        <w:ind w:left="3440" w:hanging="360"/>
      </w:pPr>
      <w:rPr>
        <w:rFonts w:ascii="Calibri" w:eastAsiaTheme="minorEastAsia" w:hAnsi="Calibri" w:cs="Calibri" w:hint="default"/>
      </w:rPr>
    </w:lvl>
    <w:lvl w:ilvl="8" w:tplc="B30A256C">
      <w:start w:val="1"/>
      <w:numFmt w:val="decimal"/>
      <w:lvlText w:val="%9)"/>
      <w:lvlJc w:val="left"/>
      <w:pPr>
        <w:ind w:left="3880" w:hanging="360"/>
      </w:pPr>
      <w:rPr>
        <w:rFonts w:hint="default"/>
      </w:rPr>
    </w:lvl>
  </w:abstractNum>
  <w:abstractNum w:abstractNumId="34" w15:restartNumberingAfterBreak="0">
    <w:nsid w:val="35EE1ADA"/>
    <w:multiLevelType w:val="multilevel"/>
    <w:tmpl w:val="CDA4C7CC"/>
    <w:styleLink w:val="CurrentList24"/>
    <w:lvl w:ilvl="0">
      <w:start w:val="1"/>
      <w:numFmt w:val="decimal"/>
      <w:lvlText w:val="%1."/>
      <w:lvlJc w:val="left"/>
      <w:pPr>
        <w:ind w:left="720" w:hanging="360"/>
      </w:pPr>
      <w:rPr>
        <w:rFonts w:hint="default"/>
      </w:rPr>
    </w:lvl>
    <w:lvl w:ilvl="1">
      <w:start w:val="3"/>
      <w:numFmt w:val="none"/>
      <w:isLgl/>
      <w:lvlText w:val="3.3"/>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61634B2"/>
    <w:multiLevelType w:val="hybridMultilevel"/>
    <w:tmpl w:val="1AE6283E"/>
    <w:lvl w:ilvl="0" w:tplc="FFFFFFFF">
      <w:start w:val="1"/>
      <w:numFmt w:val="bullet"/>
      <w:lvlText w:val=""/>
      <w:lvlJc w:val="left"/>
      <w:pPr>
        <w:ind w:left="1080" w:hanging="360"/>
      </w:pPr>
      <w:rPr>
        <w:rFonts w:ascii="Symbol" w:hAnsi="Symbol" w:hint="default"/>
      </w:rPr>
    </w:lvl>
    <w:lvl w:ilvl="1" w:tplc="33244682">
      <w:start w:val="1"/>
      <w:numFmt w:val="bullet"/>
      <w:lvlText w:val=""/>
      <w:lvlJc w:val="left"/>
      <w:pPr>
        <w:ind w:left="1440" w:hanging="360"/>
      </w:pPr>
      <w:rPr>
        <w:rFonts w:ascii="Wingdings" w:hAnsi="Wingdings" w:hint="default"/>
      </w:rPr>
    </w:lvl>
    <w:lvl w:ilvl="2" w:tplc="FFFFFFFF">
      <w:start w:val="1"/>
      <w:numFmt w:val="bullet"/>
      <w:lvlText w:val=""/>
      <w:lvlJc w:val="left"/>
      <w:pPr>
        <w:ind w:left="2088"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36982BB3"/>
    <w:multiLevelType w:val="multilevel"/>
    <w:tmpl w:val="3B405B6A"/>
    <w:styleLink w:val="CurrentList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7126EE2"/>
    <w:multiLevelType w:val="hybridMultilevel"/>
    <w:tmpl w:val="3FE8213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38" w15:restartNumberingAfterBreak="0">
    <w:nsid w:val="37E45BF2"/>
    <w:multiLevelType w:val="multilevel"/>
    <w:tmpl w:val="17AEACA2"/>
    <w:styleLink w:val="CurrentList1"/>
    <w:lvl w:ilvl="0">
      <w:start w:val="1"/>
      <w:numFmt w:val="decimal"/>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39" w15:restartNumberingAfterBreak="0">
    <w:nsid w:val="387B0E27"/>
    <w:multiLevelType w:val="multilevel"/>
    <w:tmpl w:val="0409001F"/>
    <w:styleLink w:val="Current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A5D402E"/>
    <w:multiLevelType w:val="multilevel"/>
    <w:tmpl w:val="6AC44174"/>
    <w:styleLink w:val="CurrentList25"/>
    <w:lvl w:ilvl="0">
      <w:start w:val="1"/>
      <w:numFmt w:val="none"/>
      <w:lvlText w:val="3."/>
      <w:lvlJc w:val="left"/>
      <w:pPr>
        <w:ind w:left="720" w:hanging="360"/>
      </w:pPr>
      <w:rPr>
        <w:rFonts w:hint="default"/>
      </w:rPr>
    </w:lvl>
    <w:lvl w:ilvl="1">
      <w:start w:val="3"/>
      <w:numFmt w:val="none"/>
      <w:isLgl/>
      <w:lvlText w:val="3.3"/>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AFD3214"/>
    <w:multiLevelType w:val="multilevel"/>
    <w:tmpl w:val="2DE403CC"/>
    <w:styleLink w:val="CurrentList32"/>
    <w:lvl w:ilvl="0">
      <w:start w:val="1"/>
      <w:numFmt w:val="decimal"/>
      <w:lvlText w:val="%1."/>
      <w:lvlJc w:val="left"/>
      <w:pPr>
        <w:ind w:left="425" w:hanging="425"/>
      </w:pPr>
      <w:rPr>
        <w:rFonts w:asciiTheme="minorHAnsi" w:eastAsiaTheme="minorEastAsia" w:hAnsiTheme="minorHAnsi" w:cstheme="minorBidi"/>
      </w:rPr>
    </w:lvl>
    <w:lvl w:ilvl="1">
      <w:start w:val="1"/>
      <w:numFmt w:val="decimal"/>
      <w:lvlText w:val="%1.%2"/>
      <w:lvlJc w:val="left"/>
      <w:pPr>
        <w:ind w:left="992" w:hanging="567"/>
      </w:pPr>
      <w:rPr>
        <w:rFonts w:hint="default"/>
        <w:color w:val="auto"/>
      </w:rPr>
    </w:lvl>
    <w:lvl w:ilvl="2">
      <w:start w:val="1"/>
      <w:numFmt w:val="decimal"/>
      <w:lvlText w:val="%1.%2.%3"/>
      <w:lvlJc w:val="left"/>
      <w:pPr>
        <w:ind w:left="1418" w:hanging="567"/>
      </w:pPr>
      <w:rPr>
        <w:rFonts w:hint="default"/>
        <w:color w:val="auto"/>
      </w:rPr>
    </w:lvl>
    <w:lvl w:ilvl="3">
      <w:start w:val="2"/>
      <w:numFmt w:val="bullet"/>
      <w:lvlText w:val=""/>
      <w:lvlJc w:val="left"/>
      <w:pPr>
        <w:ind w:left="1716" w:hanging="440"/>
      </w:pPr>
      <w:rPr>
        <w:rFonts w:ascii="Symbol" w:eastAsia="Yu Gothic Light" w:hAnsi="Symbol" w:cstheme="minorHAnsi" w:hint="default"/>
        <w:color w:val="auto"/>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2" w15:restartNumberingAfterBreak="0">
    <w:nsid w:val="3DEB0E0F"/>
    <w:multiLevelType w:val="hybridMultilevel"/>
    <w:tmpl w:val="0DE0CAE0"/>
    <w:lvl w:ilvl="0" w:tplc="FFFFFFFF">
      <w:start w:val="1"/>
      <w:numFmt w:val="decimal"/>
      <w:lvlText w:val="%1)"/>
      <w:lvlJc w:val="left"/>
      <w:pPr>
        <w:ind w:left="360" w:hanging="360"/>
      </w:pPr>
      <w:rPr>
        <w:rFonts w:hint="default"/>
        <w:color w:val="auto"/>
      </w:rPr>
    </w:lvl>
    <w:lvl w:ilvl="1" w:tplc="FFFFFFFF">
      <w:start w:val="1"/>
      <w:numFmt w:val="decimal"/>
      <w:lvlText w:val="%2."/>
      <w:lvlJc w:val="left"/>
      <w:pPr>
        <w:ind w:left="720" w:hanging="360"/>
      </w:pPr>
    </w:lvl>
    <w:lvl w:ilvl="2" w:tplc="FFFFFFFF">
      <w:start w:val="1"/>
      <w:numFmt w:val="bullet"/>
      <w:lvlText w:val=""/>
      <w:lvlJc w:val="left"/>
      <w:pPr>
        <w:ind w:left="1320" w:hanging="440"/>
      </w:pPr>
      <w:rPr>
        <w:rFonts w:ascii="Symbol" w:hAnsi="Symbol" w:hint="default"/>
      </w:rPr>
    </w:lvl>
    <w:lvl w:ilvl="3" w:tplc="FFFFFFFF">
      <w:start w:val="1"/>
      <w:numFmt w:val="bullet"/>
      <w:lvlText w:val=""/>
      <w:lvlJc w:val="left"/>
      <w:pPr>
        <w:ind w:left="1760" w:hanging="440"/>
      </w:pPr>
      <w:rPr>
        <w:rFonts w:ascii="Wingdings" w:hAnsi="Wingdings" w:hint="default"/>
      </w:rPr>
    </w:lvl>
    <w:lvl w:ilvl="4" w:tplc="FFFFFFFF">
      <w:start w:val="1"/>
      <w:numFmt w:val="lowerRoman"/>
      <w:lvlText w:val="%5."/>
      <w:lvlJc w:val="right"/>
      <w:pPr>
        <w:ind w:left="2120" w:hanging="440"/>
      </w:pPr>
    </w:lvl>
    <w:lvl w:ilvl="5" w:tplc="FFFFFFFF">
      <w:start w:val="1"/>
      <w:numFmt w:val="bullet"/>
      <w:lvlText w:val=""/>
      <w:lvlJc w:val="left"/>
      <w:pPr>
        <w:ind w:left="2640" w:hanging="440"/>
      </w:pPr>
      <w:rPr>
        <w:rFonts w:ascii="Wingdings" w:hAnsi="Wingdings" w:hint="default"/>
      </w:rPr>
    </w:lvl>
    <w:lvl w:ilvl="6" w:tplc="FFFFFFFF">
      <w:start w:val="1"/>
      <w:numFmt w:val="decimal"/>
      <w:lvlText w:val="%7."/>
      <w:lvlJc w:val="left"/>
      <w:pPr>
        <w:ind w:left="3000" w:hanging="360"/>
      </w:pPr>
      <w:rPr>
        <w:rFonts w:hint="default"/>
      </w:rPr>
    </w:lvl>
    <w:lvl w:ilvl="7" w:tplc="FFFFFFFF">
      <w:start w:val="3"/>
      <w:numFmt w:val="bullet"/>
      <w:lvlText w:val="-"/>
      <w:lvlJc w:val="left"/>
      <w:pPr>
        <w:ind w:left="3440" w:hanging="360"/>
      </w:pPr>
      <w:rPr>
        <w:rFonts w:ascii="Calibri" w:eastAsiaTheme="minorEastAsia" w:hAnsi="Calibri" w:cs="Calibri" w:hint="default"/>
      </w:rPr>
    </w:lvl>
    <w:lvl w:ilvl="8" w:tplc="FFFFFFFF">
      <w:start w:val="1"/>
      <w:numFmt w:val="decimal"/>
      <w:lvlText w:val="%9)"/>
      <w:lvlJc w:val="left"/>
      <w:pPr>
        <w:ind w:left="3880" w:hanging="360"/>
      </w:pPr>
      <w:rPr>
        <w:rFonts w:hint="default"/>
      </w:rPr>
    </w:lvl>
  </w:abstractNum>
  <w:abstractNum w:abstractNumId="43" w15:restartNumberingAfterBreak="0">
    <w:nsid w:val="3FAD044E"/>
    <w:multiLevelType w:val="multilevel"/>
    <w:tmpl w:val="144CF09E"/>
    <w:styleLink w:val="CurrentList6"/>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2BC65F7"/>
    <w:multiLevelType w:val="multilevel"/>
    <w:tmpl w:val="AACABD40"/>
    <w:styleLink w:val="CurrentList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Roman"/>
      <w:lvlText w:val="%4."/>
      <w:lvlJc w:val="righ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3B06652"/>
    <w:multiLevelType w:val="hybridMultilevel"/>
    <w:tmpl w:val="909070E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4041C3D"/>
    <w:multiLevelType w:val="multilevel"/>
    <w:tmpl w:val="DD1E866E"/>
    <w:styleLink w:val="CurrentList30"/>
    <w:lvl w:ilvl="0">
      <w:start w:val="1"/>
      <w:numFmt w:val="none"/>
      <w:lvlText w:val="4."/>
      <w:lvlJc w:val="left"/>
      <w:pPr>
        <w:ind w:left="720" w:hanging="360"/>
      </w:pPr>
      <w:rPr>
        <w:rFonts w:hint="default"/>
      </w:rPr>
    </w:lvl>
    <w:lvl w:ilvl="1">
      <w:start w:val="3"/>
      <w:numFmt w:val="none"/>
      <w:isLgl/>
      <w:lvlText w:val="3.3"/>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4F64AFC"/>
    <w:multiLevelType w:val="multilevel"/>
    <w:tmpl w:val="09EE727C"/>
    <w:styleLink w:val="111111"/>
    <w:lvl w:ilvl="0">
      <w:start w:val="1"/>
      <w:numFmt w:val="decimal"/>
      <w:lvlText w:val="%1."/>
      <w:lvlJc w:val="left"/>
      <w:pPr>
        <w:ind w:left="360" w:hanging="360"/>
      </w:pPr>
      <w:rPr>
        <w:rFonts w:hint="default"/>
      </w:rPr>
    </w:lvl>
    <w:lvl w:ilvl="1">
      <w:start w:val="1"/>
      <w:numFmt w:val="decimal"/>
      <w:lvlText w:val="%1.%2.1"/>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6AF699B"/>
    <w:multiLevelType w:val="multilevel"/>
    <w:tmpl w:val="B5227766"/>
    <w:styleLink w:val="CurrentList28"/>
    <w:lvl w:ilvl="0">
      <w:start w:val="1"/>
      <w:numFmt w:val="decimal"/>
      <w:lvlText w:val="%1."/>
      <w:lvlJc w:val="left"/>
      <w:pPr>
        <w:ind w:left="360" w:hanging="360"/>
      </w:pPr>
      <w:rPr>
        <w:rFonts w:hint="default"/>
      </w:rPr>
    </w:lvl>
    <w:lvl w:ilvl="1">
      <w:start w:val="1"/>
      <w:numFmt w:val="none"/>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760670F"/>
    <w:multiLevelType w:val="hybridMultilevel"/>
    <w:tmpl w:val="13F4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9395082"/>
    <w:multiLevelType w:val="multilevel"/>
    <w:tmpl w:val="A4B41C7E"/>
    <w:lvl w:ilvl="0">
      <w:start w:val="3"/>
      <w:numFmt w:val="decimal"/>
      <w:lvlText w:val="%1."/>
      <w:lvlJc w:val="left"/>
      <w:pPr>
        <w:ind w:left="360" w:hanging="360"/>
      </w:pPr>
      <w:rPr>
        <w:rFonts w:hint="default"/>
      </w:rPr>
    </w:lvl>
    <w:lvl w:ilvl="1">
      <w:start w:val="1"/>
      <w:numFmt w:val="decimal"/>
      <w:suff w:val="space"/>
      <w:lvlText w:val="%1.3."/>
      <w:lvlJc w:val="left"/>
      <w:pPr>
        <w:ind w:left="0" w:firstLine="0"/>
      </w:pPr>
      <w:rPr>
        <w:rFonts w:hint="default"/>
      </w:rPr>
    </w:lvl>
    <w:lvl w:ilvl="2">
      <w:start w:val="1"/>
      <w:numFmt w:val="decimal"/>
      <w:suff w:val="space"/>
      <w:lvlText w:val="%1.%2.%3."/>
      <w:lvlJc w:val="left"/>
      <w:pPr>
        <w:ind w:left="576" w:hanging="576"/>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A06066E"/>
    <w:multiLevelType w:val="multilevel"/>
    <w:tmpl w:val="505C740C"/>
    <w:styleLink w:val="CurrentList21"/>
    <w:lvl w:ilvl="0">
      <w:start w:val="1"/>
      <w:numFmt w:val="decimal"/>
      <w:lvlText w:val="%1."/>
      <w:lvlJc w:val="left"/>
      <w:pPr>
        <w:ind w:left="360" w:hanging="360"/>
      </w:pPr>
    </w:lvl>
    <w:lvl w:ilvl="1">
      <w:start w:val="1"/>
      <w:numFmt w:val="decimal"/>
      <w:lvlText w:val="%1.%2."/>
      <w:lvlJc w:val="left"/>
      <w:pPr>
        <w:ind w:left="880" w:hanging="360"/>
      </w:pPr>
    </w:lvl>
    <w:lvl w:ilvl="2">
      <w:start w:val="1"/>
      <w:numFmt w:val="decimal"/>
      <w:lvlText w:val="%1.%2.%3."/>
      <w:lvlJc w:val="left"/>
      <w:pPr>
        <w:ind w:left="1320" w:hanging="180"/>
      </w:pPr>
    </w:lvl>
    <w:lvl w:ilvl="3">
      <w:start w:val="1"/>
      <w:numFmt w:val="decimal"/>
      <w:lvlText w:val="%1.%2.%3.%4."/>
      <w:lvlJc w:val="left"/>
      <w:pPr>
        <w:ind w:left="1760" w:hanging="360"/>
      </w:pPr>
      <w:rPr>
        <w:rFonts w:hint="default"/>
      </w:rPr>
    </w:lvl>
    <w:lvl w:ilvl="4">
      <w:start w:val="1"/>
      <w:numFmt w:val="decimal"/>
      <w:lvlText w:val="%1.%2.%3.%4.%5."/>
      <w:lvlJc w:val="left"/>
      <w:pPr>
        <w:ind w:left="2200" w:hanging="360"/>
      </w:pPr>
      <w:rPr>
        <w:rFonts w:hint="default"/>
      </w:rPr>
    </w:lvl>
    <w:lvl w:ilvl="5">
      <w:start w:val="1"/>
      <w:numFmt w:val="decimal"/>
      <w:lvlText w:val="%1.%2.%3.%4.%5.%6."/>
      <w:lvlJc w:val="left"/>
      <w:pPr>
        <w:ind w:left="2640" w:hanging="180"/>
      </w:pPr>
    </w:lvl>
    <w:lvl w:ilvl="6">
      <w:start w:val="1"/>
      <w:numFmt w:val="decimal"/>
      <w:lvlText w:val="%1.%2.%3.%4.%5.%6.%7."/>
      <w:lvlJc w:val="left"/>
      <w:pPr>
        <w:ind w:left="3080" w:hanging="360"/>
      </w:pPr>
    </w:lvl>
    <w:lvl w:ilvl="7">
      <w:start w:val="1"/>
      <w:numFmt w:val="decimal"/>
      <w:lvlText w:val="%1.%2.%3.%4.%5.%6.%7.%8."/>
      <w:lvlJc w:val="left"/>
      <w:pPr>
        <w:ind w:left="3520" w:hanging="360"/>
      </w:pPr>
    </w:lvl>
    <w:lvl w:ilvl="8">
      <w:start w:val="1"/>
      <w:numFmt w:val="decimal"/>
      <w:lvlText w:val="%1.%2.%3.%4.%5.%6.%7.%8.%9."/>
      <w:lvlJc w:val="left"/>
      <w:pPr>
        <w:ind w:left="3960" w:hanging="180"/>
      </w:pPr>
    </w:lvl>
  </w:abstractNum>
  <w:abstractNum w:abstractNumId="52" w15:restartNumberingAfterBreak="0">
    <w:nsid w:val="4A2952C7"/>
    <w:multiLevelType w:val="multilevel"/>
    <w:tmpl w:val="B0EE19DA"/>
    <w:styleLink w:val="CurrentList38"/>
    <w:lvl w:ilvl="0">
      <w:start w:val="1"/>
      <w:numFmt w:val="decimal"/>
      <w:lvlText w:val="%1."/>
      <w:lvlJc w:val="left"/>
      <w:pPr>
        <w:ind w:left="360" w:hanging="360"/>
      </w:pPr>
      <w:rPr>
        <w:rFonts w:hint="default"/>
      </w:rPr>
    </w:lvl>
    <w:lvl w:ilvl="1">
      <w:start w:val="1"/>
      <w:numFmt w:val="decimal"/>
      <w:suff w:val="space"/>
      <w:lvlText w:val="%1.%2."/>
      <w:lvlJc w:val="left"/>
      <w:pPr>
        <w:ind w:left="1080" w:hanging="10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B26383C"/>
    <w:multiLevelType w:val="hybridMultilevel"/>
    <w:tmpl w:val="93AA6A54"/>
    <w:lvl w:ilvl="0" w:tplc="FFFFFFFF">
      <w:start w:val="1"/>
      <w:numFmt w:val="bullet"/>
      <w:lvlText w:val=""/>
      <w:lvlJc w:val="left"/>
      <w:pPr>
        <w:ind w:left="144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4CC4416E"/>
    <w:multiLevelType w:val="multilevel"/>
    <w:tmpl w:val="B51EE948"/>
    <w:styleLink w:val="CurrentList17"/>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D1A1A03"/>
    <w:multiLevelType w:val="multilevel"/>
    <w:tmpl w:val="88DA9C4E"/>
    <w:styleLink w:val="CurrentList49"/>
    <w:lvl w:ilvl="0">
      <w:start w:val="3"/>
      <w:numFmt w:val="decimal"/>
      <w:lvlText w:val="%1."/>
      <w:lvlJc w:val="left"/>
      <w:pPr>
        <w:ind w:left="360" w:hanging="360"/>
      </w:pPr>
      <w:rPr>
        <w:rFonts w:hint="default"/>
      </w:rPr>
    </w:lvl>
    <w:lvl w:ilvl="1">
      <w:start w:val="1"/>
      <w:numFmt w:val="decimal"/>
      <w:suff w:val="space"/>
      <w:lvlText w:val="%1.3."/>
      <w:lvlJc w:val="left"/>
      <w:pPr>
        <w:ind w:left="0" w:firstLine="0"/>
      </w:pPr>
      <w:rPr>
        <w:rFonts w:hint="default"/>
      </w:rPr>
    </w:lvl>
    <w:lvl w:ilvl="2">
      <w:start w:val="1"/>
      <w:numFmt w:val="decimal"/>
      <w:suff w:val="space"/>
      <w:lvlText w:val="%1.%2.%3."/>
      <w:lvlJc w:val="left"/>
      <w:pPr>
        <w:ind w:left="36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DE87F42"/>
    <w:multiLevelType w:val="hybridMultilevel"/>
    <w:tmpl w:val="CC6E37AC"/>
    <w:lvl w:ilvl="0" w:tplc="DB4C9D5E">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2AD73EF"/>
    <w:multiLevelType w:val="multilevel"/>
    <w:tmpl w:val="F35EF276"/>
    <w:styleLink w:val="CurrentList3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2BB0B4C"/>
    <w:multiLevelType w:val="multilevel"/>
    <w:tmpl w:val="EDDA4960"/>
    <w:styleLink w:val="CurrentList22"/>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3244695"/>
    <w:multiLevelType w:val="multilevel"/>
    <w:tmpl w:val="0409001F"/>
    <w:styleLink w:val="CurrentList29"/>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3C16A89"/>
    <w:multiLevelType w:val="multilevel"/>
    <w:tmpl w:val="505C740C"/>
    <w:lvl w:ilvl="0">
      <w:start w:val="1"/>
      <w:numFmt w:val="decimal"/>
      <w:lvlText w:val="%1."/>
      <w:lvlJc w:val="left"/>
      <w:pPr>
        <w:ind w:left="360" w:hanging="360"/>
      </w:pPr>
    </w:lvl>
    <w:lvl w:ilvl="1">
      <w:start w:val="1"/>
      <w:numFmt w:val="decimal"/>
      <w:lvlText w:val="%1.%2."/>
      <w:lvlJc w:val="left"/>
      <w:pPr>
        <w:ind w:left="880" w:hanging="360"/>
      </w:pPr>
    </w:lvl>
    <w:lvl w:ilvl="2">
      <w:start w:val="1"/>
      <w:numFmt w:val="decimal"/>
      <w:lvlText w:val="%1.%2.%3."/>
      <w:lvlJc w:val="left"/>
      <w:pPr>
        <w:ind w:left="1320" w:hanging="180"/>
      </w:pPr>
    </w:lvl>
    <w:lvl w:ilvl="3">
      <w:start w:val="1"/>
      <w:numFmt w:val="decimal"/>
      <w:lvlText w:val="%1.%2.%3.%4."/>
      <w:lvlJc w:val="left"/>
      <w:pPr>
        <w:ind w:left="1760" w:hanging="360"/>
      </w:pPr>
      <w:rPr>
        <w:rFonts w:hint="default"/>
      </w:rPr>
    </w:lvl>
    <w:lvl w:ilvl="4">
      <w:start w:val="1"/>
      <w:numFmt w:val="decimal"/>
      <w:lvlText w:val="%1.%2.%3.%4.%5."/>
      <w:lvlJc w:val="left"/>
      <w:pPr>
        <w:ind w:left="2200" w:hanging="360"/>
      </w:pPr>
      <w:rPr>
        <w:rFonts w:hint="default"/>
      </w:rPr>
    </w:lvl>
    <w:lvl w:ilvl="5">
      <w:start w:val="1"/>
      <w:numFmt w:val="decimal"/>
      <w:lvlText w:val="%1.%2.%3.%4.%5.%6."/>
      <w:lvlJc w:val="left"/>
      <w:pPr>
        <w:ind w:left="2640" w:hanging="180"/>
      </w:pPr>
    </w:lvl>
    <w:lvl w:ilvl="6">
      <w:start w:val="1"/>
      <w:numFmt w:val="decimal"/>
      <w:lvlText w:val="%1.%2.%3.%4.%5.%6.%7."/>
      <w:lvlJc w:val="left"/>
      <w:pPr>
        <w:ind w:left="3080" w:hanging="360"/>
      </w:pPr>
    </w:lvl>
    <w:lvl w:ilvl="7">
      <w:start w:val="1"/>
      <w:numFmt w:val="decimal"/>
      <w:lvlText w:val="%1.%2.%3.%4.%5.%6.%7.%8."/>
      <w:lvlJc w:val="left"/>
      <w:pPr>
        <w:ind w:left="3520" w:hanging="360"/>
      </w:pPr>
    </w:lvl>
    <w:lvl w:ilvl="8">
      <w:start w:val="1"/>
      <w:numFmt w:val="decimal"/>
      <w:lvlText w:val="%1.%2.%3.%4.%5.%6.%7.%8.%9."/>
      <w:lvlJc w:val="left"/>
      <w:pPr>
        <w:ind w:left="3960" w:hanging="180"/>
      </w:pPr>
    </w:lvl>
  </w:abstractNum>
  <w:abstractNum w:abstractNumId="61" w15:restartNumberingAfterBreak="0">
    <w:nsid w:val="54767847"/>
    <w:multiLevelType w:val="hybridMultilevel"/>
    <w:tmpl w:val="CB74E06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B">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55DC2639"/>
    <w:multiLevelType w:val="hybridMultilevel"/>
    <w:tmpl w:val="F7948F34"/>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33244682">
      <w:start w:val="1"/>
      <w:numFmt w:val="bullet"/>
      <w:lvlText w:val=""/>
      <w:lvlJc w:val="left"/>
      <w:pPr>
        <w:ind w:left="2088"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3" w15:restartNumberingAfterBreak="0">
    <w:nsid w:val="56DE5130"/>
    <w:multiLevelType w:val="multilevel"/>
    <w:tmpl w:val="BDFABBFC"/>
    <w:styleLink w:val="CurrentList39"/>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7065B69"/>
    <w:multiLevelType w:val="hybridMultilevel"/>
    <w:tmpl w:val="35E27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5A65A9"/>
    <w:multiLevelType w:val="hybridMultilevel"/>
    <w:tmpl w:val="807E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A153F9"/>
    <w:multiLevelType w:val="multilevel"/>
    <w:tmpl w:val="5328BE96"/>
    <w:styleLink w:val="CurrentList5"/>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8F90959"/>
    <w:multiLevelType w:val="multilevel"/>
    <w:tmpl w:val="0409001F"/>
    <w:styleLink w:val="CurrentList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BA167E5"/>
    <w:multiLevelType w:val="hybridMultilevel"/>
    <w:tmpl w:val="DC7ABDF8"/>
    <w:lvl w:ilvl="0" w:tplc="FFFFFFFF">
      <w:start w:val="1"/>
      <w:numFmt w:val="lowerLetter"/>
      <w:lvlText w:val="(%1)"/>
      <w:lvlJc w:val="left"/>
      <w:pPr>
        <w:ind w:left="720" w:hanging="360"/>
      </w:pPr>
      <w:rPr>
        <w:rFonts w:hint="default"/>
      </w:rPr>
    </w:lvl>
    <w:lvl w:ilvl="1" w:tplc="485EB5B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E7163DA"/>
    <w:multiLevelType w:val="multilevel"/>
    <w:tmpl w:val="505C740C"/>
    <w:styleLink w:val="CurrentList20"/>
    <w:lvl w:ilvl="0">
      <w:start w:val="1"/>
      <w:numFmt w:val="decimal"/>
      <w:lvlText w:val="%1."/>
      <w:lvlJc w:val="left"/>
      <w:pPr>
        <w:ind w:left="360" w:hanging="360"/>
      </w:pPr>
    </w:lvl>
    <w:lvl w:ilvl="1">
      <w:start w:val="1"/>
      <w:numFmt w:val="decimal"/>
      <w:lvlText w:val="%1.%2."/>
      <w:lvlJc w:val="left"/>
      <w:pPr>
        <w:ind w:left="880" w:hanging="360"/>
      </w:pPr>
    </w:lvl>
    <w:lvl w:ilvl="2">
      <w:start w:val="1"/>
      <w:numFmt w:val="decimal"/>
      <w:lvlText w:val="%1.%2.%3."/>
      <w:lvlJc w:val="left"/>
      <w:pPr>
        <w:ind w:left="1320" w:hanging="180"/>
      </w:pPr>
    </w:lvl>
    <w:lvl w:ilvl="3">
      <w:start w:val="1"/>
      <w:numFmt w:val="decimal"/>
      <w:lvlText w:val="%1.%2.%3.%4."/>
      <w:lvlJc w:val="left"/>
      <w:pPr>
        <w:ind w:left="1760" w:hanging="360"/>
      </w:pPr>
      <w:rPr>
        <w:rFonts w:hint="default"/>
      </w:rPr>
    </w:lvl>
    <w:lvl w:ilvl="4">
      <w:start w:val="1"/>
      <w:numFmt w:val="decimal"/>
      <w:lvlText w:val="%1.%2.%3.%4.%5."/>
      <w:lvlJc w:val="left"/>
      <w:pPr>
        <w:ind w:left="2200" w:hanging="360"/>
      </w:pPr>
      <w:rPr>
        <w:rFonts w:hint="default"/>
      </w:rPr>
    </w:lvl>
    <w:lvl w:ilvl="5">
      <w:start w:val="1"/>
      <w:numFmt w:val="decimal"/>
      <w:lvlText w:val="%1.%2.%3.%4.%5.%6."/>
      <w:lvlJc w:val="left"/>
      <w:pPr>
        <w:ind w:left="2640" w:hanging="180"/>
      </w:pPr>
    </w:lvl>
    <w:lvl w:ilvl="6">
      <w:start w:val="1"/>
      <w:numFmt w:val="decimal"/>
      <w:lvlText w:val="%1.%2.%3.%4.%5.%6.%7."/>
      <w:lvlJc w:val="left"/>
      <w:pPr>
        <w:ind w:left="3080" w:hanging="360"/>
      </w:pPr>
    </w:lvl>
    <w:lvl w:ilvl="7">
      <w:start w:val="1"/>
      <w:numFmt w:val="decimal"/>
      <w:lvlText w:val="%1.%2.%3.%4.%5.%6.%7.%8."/>
      <w:lvlJc w:val="left"/>
      <w:pPr>
        <w:ind w:left="3520" w:hanging="360"/>
      </w:pPr>
    </w:lvl>
    <w:lvl w:ilvl="8">
      <w:start w:val="1"/>
      <w:numFmt w:val="decimal"/>
      <w:lvlText w:val="%1.%2.%3.%4.%5.%6.%7.%8.%9."/>
      <w:lvlJc w:val="left"/>
      <w:pPr>
        <w:ind w:left="3960" w:hanging="180"/>
      </w:pPr>
    </w:lvl>
  </w:abstractNum>
  <w:abstractNum w:abstractNumId="70" w15:restartNumberingAfterBreak="0">
    <w:nsid w:val="63283E60"/>
    <w:multiLevelType w:val="multilevel"/>
    <w:tmpl w:val="0409001F"/>
    <w:styleLink w:val="CurrentList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43D5485"/>
    <w:multiLevelType w:val="multilevel"/>
    <w:tmpl w:val="F4587A44"/>
    <w:styleLink w:val="CurrentList13"/>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4705D44"/>
    <w:multiLevelType w:val="multilevel"/>
    <w:tmpl w:val="0409001F"/>
    <w:styleLink w:val="CurrentList4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4C22A0C"/>
    <w:multiLevelType w:val="hybridMultilevel"/>
    <w:tmpl w:val="B0485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5EE3A6B"/>
    <w:multiLevelType w:val="hybridMultilevel"/>
    <w:tmpl w:val="EF0428F6"/>
    <w:lvl w:ilvl="0" w:tplc="33244682">
      <w:start w:val="1"/>
      <w:numFmt w:val="bullet"/>
      <w:lvlText w:val=""/>
      <w:lvlJc w:val="left"/>
      <w:pPr>
        <w:ind w:left="144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5" w15:restartNumberingAfterBreak="0">
    <w:nsid w:val="68960E0E"/>
    <w:multiLevelType w:val="multilevel"/>
    <w:tmpl w:val="978C4976"/>
    <w:styleLink w:val="CurrentList1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930257E"/>
    <w:multiLevelType w:val="multilevel"/>
    <w:tmpl w:val="D4708D06"/>
    <w:lvl w:ilvl="0">
      <w:start w:val="1"/>
      <w:numFmt w:val="decimal"/>
      <w:lvlText w:val="%1."/>
      <w:lvlJc w:val="left"/>
      <w:pPr>
        <w:ind w:left="360" w:hanging="360"/>
      </w:pPr>
      <w:rPr>
        <w:rFonts w:hint="default"/>
      </w:rPr>
    </w:lvl>
    <w:lvl w:ilvl="1">
      <w:start w:val="1"/>
      <w:numFmt w:val="decimal"/>
      <w:suff w:val="space"/>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99C598B"/>
    <w:multiLevelType w:val="multilevel"/>
    <w:tmpl w:val="F35EF276"/>
    <w:styleLink w:val="CurrentList35"/>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DC43471"/>
    <w:multiLevelType w:val="hybridMultilevel"/>
    <w:tmpl w:val="E6BC5E4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33244682">
      <w:start w:val="1"/>
      <w:numFmt w:val="bullet"/>
      <w:lvlText w:val=""/>
      <w:lvlJc w:val="left"/>
      <w:pPr>
        <w:ind w:left="1440" w:hanging="360"/>
      </w:pPr>
      <w:rPr>
        <w:rFonts w:ascii="Wingdings" w:hAnsi="Wingdings" w:hint="default"/>
      </w:rPr>
    </w:lvl>
    <w:lvl w:ilvl="3" w:tplc="FFFFFFFF">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06057F0"/>
    <w:multiLevelType w:val="hybridMultilevel"/>
    <w:tmpl w:val="C47A2CF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0A83A39"/>
    <w:multiLevelType w:val="multilevel"/>
    <w:tmpl w:val="BDF61F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13F49AD"/>
    <w:multiLevelType w:val="hybridMultilevel"/>
    <w:tmpl w:val="8E640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1B32A0F"/>
    <w:multiLevelType w:val="multilevel"/>
    <w:tmpl w:val="0409001F"/>
    <w:styleLink w:val="CurrentList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731E1519"/>
    <w:multiLevelType w:val="hybridMultilevel"/>
    <w:tmpl w:val="258E2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83372F"/>
    <w:multiLevelType w:val="multilevel"/>
    <w:tmpl w:val="0409001F"/>
    <w:styleLink w:val="CurrentList4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38912DD"/>
    <w:multiLevelType w:val="multilevel"/>
    <w:tmpl w:val="5CE8B688"/>
    <w:styleLink w:val="CurrentList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lowerLetter"/>
      <w:lvlText w:val="%3)"/>
      <w:lvlJc w:val="left"/>
      <w:pPr>
        <w:ind w:left="1080" w:hanging="360"/>
      </w:pPr>
      <w:rPr>
        <w:rFonts w:hint="default"/>
      </w:rPr>
    </w:lvl>
    <w:lvl w:ilvl="3">
      <w:start w:val="1"/>
      <w:numFmt w:val="lowerRoman"/>
      <w:lvlText w:val="%4."/>
      <w:lvlJc w:val="righ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45106B1"/>
    <w:multiLevelType w:val="multilevel"/>
    <w:tmpl w:val="0409001F"/>
    <w:styleLink w:val="CurrentList27"/>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B3869D0"/>
    <w:multiLevelType w:val="hybridMultilevel"/>
    <w:tmpl w:val="6492CD9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2304" w:hanging="360"/>
      </w:pPr>
      <w:rPr>
        <w:rFonts w:ascii="Courier New" w:hAnsi="Courier New" w:cs="Courier New" w:hint="default"/>
      </w:rPr>
    </w:lvl>
    <w:lvl w:ilvl="2" w:tplc="FFFFFFFF">
      <w:start w:val="1"/>
      <w:numFmt w:val="bullet"/>
      <w:lvlText w:val=""/>
      <w:lvlJc w:val="left"/>
      <w:pPr>
        <w:ind w:left="3024" w:hanging="360"/>
      </w:pPr>
      <w:rPr>
        <w:rFonts w:ascii="Wingdings" w:hAnsi="Wingdings" w:hint="default"/>
      </w:rPr>
    </w:lvl>
    <w:lvl w:ilvl="3" w:tplc="FFFFFFFF" w:tentative="1">
      <w:start w:val="1"/>
      <w:numFmt w:val="bullet"/>
      <w:lvlText w:val=""/>
      <w:lvlJc w:val="left"/>
      <w:pPr>
        <w:ind w:left="3744" w:hanging="360"/>
      </w:pPr>
      <w:rPr>
        <w:rFonts w:ascii="Symbol" w:hAnsi="Symbol" w:hint="default"/>
      </w:rPr>
    </w:lvl>
    <w:lvl w:ilvl="4" w:tplc="FFFFFFFF" w:tentative="1">
      <w:start w:val="1"/>
      <w:numFmt w:val="bullet"/>
      <w:lvlText w:val="o"/>
      <w:lvlJc w:val="left"/>
      <w:pPr>
        <w:ind w:left="4464" w:hanging="360"/>
      </w:pPr>
      <w:rPr>
        <w:rFonts w:ascii="Courier New" w:hAnsi="Courier New" w:cs="Courier New" w:hint="default"/>
      </w:rPr>
    </w:lvl>
    <w:lvl w:ilvl="5" w:tplc="FFFFFFFF" w:tentative="1">
      <w:start w:val="1"/>
      <w:numFmt w:val="bullet"/>
      <w:lvlText w:val=""/>
      <w:lvlJc w:val="left"/>
      <w:pPr>
        <w:ind w:left="5184" w:hanging="360"/>
      </w:pPr>
      <w:rPr>
        <w:rFonts w:ascii="Wingdings" w:hAnsi="Wingdings" w:hint="default"/>
      </w:rPr>
    </w:lvl>
    <w:lvl w:ilvl="6" w:tplc="FFFFFFFF" w:tentative="1">
      <w:start w:val="1"/>
      <w:numFmt w:val="bullet"/>
      <w:lvlText w:val=""/>
      <w:lvlJc w:val="left"/>
      <w:pPr>
        <w:ind w:left="5904" w:hanging="360"/>
      </w:pPr>
      <w:rPr>
        <w:rFonts w:ascii="Symbol" w:hAnsi="Symbol" w:hint="default"/>
      </w:rPr>
    </w:lvl>
    <w:lvl w:ilvl="7" w:tplc="FFFFFFFF" w:tentative="1">
      <w:start w:val="1"/>
      <w:numFmt w:val="bullet"/>
      <w:lvlText w:val="o"/>
      <w:lvlJc w:val="left"/>
      <w:pPr>
        <w:ind w:left="6624" w:hanging="360"/>
      </w:pPr>
      <w:rPr>
        <w:rFonts w:ascii="Courier New" w:hAnsi="Courier New" w:cs="Courier New" w:hint="default"/>
      </w:rPr>
    </w:lvl>
    <w:lvl w:ilvl="8" w:tplc="FFFFFFFF" w:tentative="1">
      <w:start w:val="1"/>
      <w:numFmt w:val="bullet"/>
      <w:lvlText w:val=""/>
      <w:lvlJc w:val="left"/>
      <w:pPr>
        <w:ind w:left="7344" w:hanging="360"/>
      </w:pPr>
      <w:rPr>
        <w:rFonts w:ascii="Wingdings" w:hAnsi="Wingdings" w:hint="default"/>
      </w:rPr>
    </w:lvl>
  </w:abstractNum>
  <w:abstractNum w:abstractNumId="88" w15:restartNumberingAfterBreak="0">
    <w:nsid w:val="7B7E6AA9"/>
    <w:multiLevelType w:val="multilevel"/>
    <w:tmpl w:val="E9C00DEE"/>
    <w:styleLink w:val="CurrentList41"/>
    <w:lvl w:ilvl="0">
      <w:start w:val="3"/>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E4E5B47"/>
    <w:multiLevelType w:val="hybridMultilevel"/>
    <w:tmpl w:val="DB88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F292A67"/>
    <w:multiLevelType w:val="multilevel"/>
    <w:tmpl w:val="7E54DB2E"/>
    <w:styleLink w:val="CurrentList23"/>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105412674">
    <w:abstractNumId w:val="33"/>
  </w:num>
  <w:num w:numId="2" w16cid:durableId="726104675">
    <w:abstractNumId w:val="25"/>
  </w:num>
  <w:num w:numId="3" w16cid:durableId="1833057264">
    <w:abstractNumId w:val="18"/>
  </w:num>
  <w:num w:numId="4" w16cid:durableId="421951342">
    <w:abstractNumId w:val="38"/>
  </w:num>
  <w:num w:numId="5" w16cid:durableId="370350194">
    <w:abstractNumId w:val="47"/>
  </w:num>
  <w:num w:numId="6" w16cid:durableId="225410641">
    <w:abstractNumId w:val="60"/>
  </w:num>
  <w:num w:numId="7" w16cid:durableId="1994213374">
    <w:abstractNumId w:val="28"/>
  </w:num>
  <w:num w:numId="8" w16cid:durableId="603925390">
    <w:abstractNumId w:val="39"/>
  </w:num>
  <w:num w:numId="9" w16cid:durableId="567500592">
    <w:abstractNumId w:val="82"/>
  </w:num>
  <w:num w:numId="10" w16cid:durableId="1874079069">
    <w:abstractNumId w:val="36"/>
  </w:num>
  <w:num w:numId="11" w16cid:durableId="1124932373">
    <w:abstractNumId w:val="66"/>
  </w:num>
  <w:num w:numId="12" w16cid:durableId="1151364318">
    <w:abstractNumId w:val="43"/>
  </w:num>
  <w:num w:numId="13" w16cid:durableId="1084494183">
    <w:abstractNumId w:val="44"/>
  </w:num>
  <w:num w:numId="14" w16cid:durableId="466557114">
    <w:abstractNumId w:val="21"/>
  </w:num>
  <w:num w:numId="15" w16cid:durableId="1200781575">
    <w:abstractNumId w:val="70"/>
  </w:num>
  <w:num w:numId="16" w16cid:durableId="1591816850">
    <w:abstractNumId w:val="29"/>
  </w:num>
  <w:num w:numId="17" w16cid:durableId="1426462000">
    <w:abstractNumId w:val="26"/>
  </w:num>
  <w:num w:numId="18" w16cid:durableId="243808634">
    <w:abstractNumId w:val="20"/>
  </w:num>
  <w:num w:numId="19" w16cid:durableId="915936467">
    <w:abstractNumId w:val="71"/>
  </w:num>
  <w:num w:numId="20" w16cid:durableId="307246393">
    <w:abstractNumId w:val="4"/>
  </w:num>
  <w:num w:numId="21" w16cid:durableId="1351760410">
    <w:abstractNumId w:val="32"/>
  </w:num>
  <w:num w:numId="22" w16cid:durableId="625502747">
    <w:abstractNumId w:val="75"/>
  </w:num>
  <w:num w:numId="23" w16cid:durableId="1827359511">
    <w:abstractNumId w:val="54"/>
  </w:num>
  <w:num w:numId="24" w16cid:durableId="30493442">
    <w:abstractNumId w:val="85"/>
  </w:num>
  <w:num w:numId="25" w16cid:durableId="17855180">
    <w:abstractNumId w:val="7"/>
  </w:num>
  <w:num w:numId="26" w16cid:durableId="1900507988">
    <w:abstractNumId w:val="22"/>
  </w:num>
  <w:num w:numId="27" w16cid:durableId="1060903677">
    <w:abstractNumId w:val="6"/>
  </w:num>
  <w:num w:numId="28" w16cid:durableId="553279540">
    <w:abstractNumId w:val="56"/>
  </w:num>
  <w:num w:numId="29" w16cid:durableId="1264264266">
    <w:abstractNumId w:val="79"/>
  </w:num>
  <w:num w:numId="30" w16cid:durableId="1816994950">
    <w:abstractNumId w:val="69"/>
  </w:num>
  <w:num w:numId="31" w16cid:durableId="1449739666">
    <w:abstractNumId w:val="51"/>
  </w:num>
  <w:num w:numId="32" w16cid:durableId="974212596">
    <w:abstractNumId w:val="65"/>
  </w:num>
  <w:num w:numId="33" w16cid:durableId="599488794">
    <w:abstractNumId w:val="19"/>
  </w:num>
  <w:num w:numId="34" w16cid:durableId="206139166">
    <w:abstractNumId w:val="15"/>
  </w:num>
  <w:num w:numId="35" w16cid:durableId="1432236111">
    <w:abstractNumId w:val="83"/>
  </w:num>
  <w:num w:numId="36" w16cid:durableId="2085493838">
    <w:abstractNumId w:val="23"/>
  </w:num>
  <w:num w:numId="37" w16cid:durableId="1386563545">
    <w:abstractNumId w:val="1"/>
  </w:num>
  <w:num w:numId="38" w16cid:durableId="613366812">
    <w:abstractNumId w:val="87"/>
  </w:num>
  <w:num w:numId="39" w16cid:durableId="772673913">
    <w:abstractNumId w:val="0"/>
  </w:num>
  <w:num w:numId="40" w16cid:durableId="1541356696">
    <w:abstractNumId w:val="49"/>
  </w:num>
  <w:num w:numId="41" w16cid:durableId="330064387">
    <w:abstractNumId w:val="68"/>
  </w:num>
  <w:num w:numId="42" w16cid:durableId="928926927">
    <w:abstractNumId w:val="73"/>
  </w:num>
  <w:num w:numId="43" w16cid:durableId="568198216">
    <w:abstractNumId w:val="81"/>
  </w:num>
  <w:num w:numId="44" w16cid:durableId="134370097">
    <w:abstractNumId w:val="58"/>
  </w:num>
  <w:num w:numId="45" w16cid:durableId="1447429100">
    <w:abstractNumId w:val="50"/>
  </w:num>
  <w:num w:numId="46" w16cid:durableId="2022512461">
    <w:abstractNumId w:val="90"/>
  </w:num>
  <w:num w:numId="47" w16cid:durableId="1227641754">
    <w:abstractNumId w:val="34"/>
  </w:num>
  <w:num w:numId="48" w16cid:durableId="1554730441">
    <w:abstractNumId w:val="40"/>
  </w:num>
  <w:num w:numId="49" w16cid:durableId="507981783">
    <w:abstractNumId w:val="11"/>
  </w:num>
  <w:num w:numId="50" w16cid:durableId="2099011466">
    <w:abstractNumId w:val="27"/>
  </w:num>
  <w:num w:numId="51" w16cid:durableId="401173493">
    <w:abstractNumId w:val="76"/>
  </w:num>
  <w:num w:numId="52" w16cid:durableId="1908221291">
    <w:abstractNumId w:val="86"/>
  </w:num>
  <w:num w:numId="53" w16cid:durableId="631326650">
    <w:abstractNumId w:val="48"/>
  </w:num>
  <w:num w:numId="54" w16cid:durableId="2018078095">
    <w:abstractNumId w:val="59"/>
  </w:num>
  <w:num w:numId="55" w16cid:durableId="2014994055">
    <w:abstractNumId w:val="46"/>
  </w:num>
  <w:num w:numId="56" w16cid:durableId="1560748490">
    <w:abstractNumId w:val="67"/>
  </w:num>
  <w:num w:numId="57" w16cid:durableId="1537545974">
    <w:abstractNumId w:val="41"/>
  </w:num>
  <w:num w:numId="58" w16cid:durableId="373846968">
    <w:abstractNumId w:val="14"/>
  </w:num>
  <w:num w:numId="59" w16cid:durableId="1002852187">
    <w:abstractNumId w:val="2"/>
  </w:num>
  <w:num w:numId="60" w16cid:durableId="1709067164">
    <w:abstractNumId w:val="77"/>
  </w:num>
  <w:num w:numId="61" w16cid:durableId="1558710694">
    <w:abstractNumId w:val="57"/>
  </w:num>
  <w:num w:numId="62" w16cid:durableId="169564110">
    <w:abstractNumId w:val="24"/>
  </w:num>
  <w:num w:numId="63" w16cid:durableId="1464347567">
    <w:abstractNumId w:val="52"/>
  </w:num>
  <w:num w:numId="64" w16cid:durableId="1517840062">
    <w:abstractNumId w:val="63"/>
  </w:num>
  <w:num w:numId="65" w16cid:durableId="1218860010">
    <w:abstractNumId w:val="72"/>
  </w:num>
  <w:num w:numId="66" w16cid:durableId="851458941">
    <w:abstractNumId w:val="88"/>
  </w:num>
  <w:num w:numId="67" w16cid:durableId="700132072">
    <w:abstractNumId w:val="45"/>
  </w:num>
  <w:num w:numId="68" w16cid:durableId="197162897">
    <w:abstractNumId w:val="53"/>
  </w:num>
  <w:num w:numId="69" w16cid:durableId="1148326701">
    <w:abstractNumId w:val="10"/>
  </w:num>
  <w:num w:numId="70" w16cid:durableId="1450394751">
    <w:abstractNumId w:val="13"/>
  </w:num>
  <w:num w:numId="71" w16cid:durableId="926427594">
    <w:abstractNumId w:val="84"/>
  </w:num>
  <w:num w:numId="72" w16cid:durableId="1192183704">
    <w:abstractNumId w:val="17"/>
  </w:num>
  <w:num w:numId="73" w16cid:durableId="708338868">
    <w:abstractNumId w:val="12"/>
  </w:num>
  <w:num w:numId="74" w16cid:durableId="521167299">
    <w:abstractNumId w:val="30"/>
  </w:num>
  <w:num w:numId="75" w16cid:durableId="990793443">
    <w:abstractNumId w:val="8"/>
  </w:num>
  <w:num w:numId="76" w16cid:durableId="482552735">
    <w:abstractNumId w:val="55"/>
  </w:num>
  <w:num w:numId="77" w16cid:durableId="1805734599">
    <w:abstractNumId w:val="31"/>
  </w:num>
  <w:num w:numId="78" w16cid:durableId="948665844">
    <w:abstractNumId w:val="5"/>
  </w:num>
  <w:num w:numId="79" w16cid:durableId="542913615">
    <w:abstractNumId w:val="3"/>
  </w:num>
  <w:num w:numId="80" w16cid:durableId="157964828">
    <w:abstractNumId w:val="16"/>
  </w:num>
  <w:num w:numId="81" w16cid:durableId="1719082629">
    <w:abstractNumId w:val="89"/>
  </w:num>
  <w:num w:numId="82" w16cid:durableId="1347705453">
    <w:abstractNumId w:val="64"/>
  </w:num>
  <w:num w:numId="83" w16cid:durableId="189345061">
    <w:abstractNumId w:val="80"/>
  </w:num>
  <w:num w:numId="84" w16cid:durableId="1971279268">
    <w:abstractNumId w:val="42"/>
  </w:num>
  <w:num w:numId="85" w16cid:durableId="462500172">
    <w:abstractNumId w:val="61"/>
  </w:num>
  <w:num w:numId="86" w16cid:durableId="1577133506">
    <w:abstractNumId w:val="37"/>
  </w:num>
  <w:num w:numId="87" w16cid:durableId="64113014">
    <w:abstractNumId w:val="62"/>
  </w:num>
  <w:num w:numId="88" w16cid:durableId="1102382613">
    <w:abstractNumId w:val="35"/>
  </w:num>
  <w:num w:numId="89" w16cid:durableId="1263757737">
    <w:abstractNumId w:val="9"/>
  </w:num>
  <w:num w:numId="90" w16cid:durableId="447746174">
    <w:abstractNumId w:val="78"/>
  </w:num>
  <w:num w:numId="91" w16cid:durableId="1524434953">
    <w:abstractNumId w:val="7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A22D916"/>
    <w:rsid w:val="00000F70"/>
    <w:rsid w:val="00001576"/>
    <w:rsid w:val="00002049"/>
    <w:rsid w:val="0000271E"/>
    <w:rsid w:val="0000334E"/>
    <w:rsid w:val="00003698"/>
    <w:rsid w:val="00003CB5"/>
    <w:rsid w:val="000042FA"/>
    <w:rsid w:val="000048F2"/>
    <w:rsid w:val="00004954"/>
    <w:rsid w:val="00004A6D"/>
    <w:rsid w:val="0000507C"/>
    <w:rsid w:val="0000577F"/>
    <w:rsid w:val="00007404"/>
    <w:rsid w:val="000078E5"/>
    <w:rsid w:val="00010762"/>
    <w:rsid w:val="0001077D"/>
    <w:rsid w:val="00010837"/>
    <w:rsid w:val="00010D5E"/>
    <w:rsid w:val="00010E2D"/>
    <w:rsid w:val="00011054"/>
    <w:rsid w:val="000119C9"/>
    <w:rsid w:val="00011D07"/>
    <w:rsid w:val="000122BA"/>
    <w:rsid w:val="00012A73"/>
    <w:rsid w:val="00012A89"/>
    <w:rsid w:val="000131BA"/>
    <w:rsid w:val="000134FA"/>
    <w:rsid w:val="00013B35"/>
    <w:rsid w:val="0001417D"/>
    <w:rsid w:val="00014D7A"/>
    <w:rsid w:val="00014ED7"/>
    <w:rsid w:val="00014FCC"/>
    <w:rsid w:val="0001517E"/>
    <w:rsid w:val="00015598"/>
    <w:rsid w:val="00015749"/>
    <w:rsid w:val="00016D71"/>
    <w:rsid w:val="00017A5A"/>
    <w:rsid w:val="00017B9B"/>
    <w:rsid w:val="000205CB"/>
    <w:rsid w:val="0002091A"/>
    <w:rsid w:val="00021492"/>
    <w:rsid w:val="00021964"/>
    <w:rsid w:val="00021CD0"/>
    <w:rsid w:val="00021EEC"/>
    <w:rsid w:val="000221DF"/>
    <w:rsid w:val="00022D9D"/>
    <w:rsid w:val="00023BF4"/>
    <w:rsid w:val="00024474"/>
    <w:rsid w:val="00024536"/>
    <w:rsid w:val="00024642"/>
    <w:rsid w:val="0002479E"/>
    <w:rsid w:val="000255A0"/>
    <w:rsid w:val="0002684E"/>
    <w:rsid w:val="000269CE"/>
    <w:rsid w:val="00027907"/>
    <w:rsid w:val="00027913"/>
    <w:rsid w:val="00027E84"/>
    <w:rsid w:val="00030E6B"/>
    <w:rsid w:val="00030FD2"/>
    <w:rsid w:val="000311B1"/>
    <w:rsid w:val="00031939"/>
    <w:rsid w:val="000319A0"/>
    <w:rsid w:val="00032351"/>
    <w:rsid w:val="00032638"/>
    <w:rsid w:val="000329C6"/>
    <w:rsid w:val="00032D8A"/>
    <w:rsid w:val="00032E43"/>
    <w:rsid w:val="0003307F"/>
    <w:rsid w:val="00033E25"/>
    <w:rsid w:val="00034CFF"/>
    <w:rsid w:val="00035082"/>
    <w:rsid w:val="000351C1"/>
    <w:rsid w:val="000355AC"/>
    <w:rsid w:val="00035F1F"/>
    <w:rsid w:val="000363C1"/>
    <w:rsid w:val="00036A53"/>
    <w:rsid w:val="00036F92"/>
    <w:rsid w:val="000377EF"/>
    <w:rsid w:val="00037905"/>
    <w:rsid w:val="00037A30"/>
    <w:rsid w:val="00037BA6"/>
    <w:rsid w:val="00037F5B"/>
    <w:rsid w:val="00040B3D"/>
    <w:rsid w:val="000416C3"/>
    <w:rsid w:val="00041F3B"/>
    <w:rsid w:val="0004246A"/>
    <w:rsid w:val="000433BA"/>
    <w:rsid w:val="00043433"/>
    <w:rsid w:val="000438E0"/>
    <w:rsid w:val="00043D1F"/>
    <w:rsid w:val="0004402C"/>
    <w:rsid w:val="00044745"/>
    <w:rsid w:val="000448C0"/>
    <w:rsid w:val="000449DC"/>
    <w:rsid w:val="00044C70"/>
    <w:rsid w:val="0004520E"/>
    <w:rsid w:val="000454A9"/>
    <w:rsid w:val="00045661"/>
    <w:rsid w:val="00045A7C"/>
    <w:rsid w:val="000460A2"/>
    <w:rsid w:val="00046A57"/>
    <w:rsid w:val="00046CD7"/>
    <w:rsid w:val="0004700A"/>
    <w:rsid w:val="0004779A"/>
    <w:rsid w:val="000479C0"/>
    <w:rsid w:val="00047A11"/>
    <w:rsid w:val="00047ED5"/>
    <w:rsid w:val="0004CC24"/>
    <w:rsid w:val="00050394"/>
    <w:rsid w:val="0005130D"/>
    <w:rsid w:val="000515CE"/>
    <w:rsid w:val="000518C2"/>
    <w:rsid w:val="00051CEE"/>
    <w:rsid w:val="00051D3E"/>
    <w:rsid w:val="00051E1D"/>
    <w:rsid w:val="00052676"/>
    <w:rsid w:val="000530A6"/>
    <w:rsid w:val="000535CD"/>
    <w:rsid w:val="00053BF7"/>
    <w:rsid w:val="0005523B"/>
    <w:rsid w:val="00055A93"/>
    <w:rsid w:val="00055B9E"/>
    <w:rsid w:val="00055C60"/>
    <w:rsid w:val="00055F45"/>
    <w:rsid w:val="000561FA"/>
    <w:rsid w:val="00056483"/>
    <w:rsid w:val="000573FF"/>
    <w:rsid w:val="0005779A"/>
    <w:rsid w:val="00060251"/>
    <w:rsid w:val="000605DA"/>
    <w:rsid w:val="00060684"/>
    <w:rsid w:val="000606DE"/>
    <w:rsid w:val="00060A59"/>
    <w:rsid w:val="00060C68"/>
    <w:rsid w:val="0006132F"/>
    <w:rsid w:val="0006174B"/>
    <w:rsid w:val="00061BC9"/>
    <w:rsid w:val="00062409"/>
    <w:rsid w:val="000624D0"/>
    <w:rsid w:val="00062740"/>
    <w:rsid w:val="00062835"/>
    <w:rsid w:val="00062989"/>
    <w:rsid w:val="00062ACB"/>
    <w:rsid w:val="000631DC"/>
    <w:rsid w:val="000634D0"/>
    <w:rsid w:val="00063787"/>
    <w:rsid w:val="00063816"/>
    <w:rsid w:val="00063ACB"/>
    <w:rsid w:val="00064266"/>
    <w:rsid w:val="000648D4"/>
    <w:rsid w:val="00064AA3"/>
    <w:rsid w:val="00064AFB"/>
    <w:rsid w:val="00064FED"/>
    <w:rsid w:val="0006532C"/>
    <w:rsid w:val="000653DA"/>
    <w:rsid w:val="000656C2"/>
    <w:rsid w:val="00065BA2"/>
    <w:rsid w:val="00065C0E"/>
    <w:rsid w:val="00066452"/>
    <w:rsid w:val="000664E2"/>
    <w:rsid w:val="000665C5"/>
    <w:rsid w:val="00066E73"/>
    <w:rsid w:val="00067033"/>
    <w:rsid w:val="00067B90"/>
    <w:rsid w:val="00067D84"/>
    <w:rsid w:val="00067F23"/>
    <w:rsid w:val="0007021C"/>
    <w:rsid w:val="0007045A"/>
    <w:rsid w:val="000705EF"/>
    <w:rsid w:val="000707B8"/>
    <w:rsid w:val="00070BE9"/>
    <w:rsid w:val="00070D51"/>
    <w:rsid w:val="00071B09"/>
    <w:rsid w:val="00071B7E"/>
    <w:rsid w:val="00073463"/>
    <w:rsid w:val="0007462A"/>
    <w:rsid w:val="00074703"/>
    <w:rsid w:val="000749A3"/>
    <w:rsid w:val="00075BE8"/>
    <w:rsid w:val="00075CB1"/>
    <w:rsid w:val="00076462"/>
    <w:rsid w:val="00076516"/>
    <w:rsid w:val="00076786"/>
    <w:rsid w:val="0007690B"/>
    <w:rsid w:val="00077161"/>
    <w:rsid w:val="0007740E"/>
    <w:rsid w:val="00077488"/>
    <w:rsid w:val="00077702"/>
    <w:rsid w:val="00077A48"/>
    <w:rsid w:val="00077DAD"/>
    <w:rsid w:val="00080F42"/>
    <w:rsid w:val="0008158A"/>
    <w:rsid w:val="00081630"/>
    <w:rsid w:val="00081DB6"/>
    <w:rsid w:val="00082241"/>
    <w:rsid w:val="0008262E"/>
    <w:rsid w:val="0008327C"/>
    <w:rsid w:val="00084980"/>
    <w:rsid w:val="000860A4"/>
    <w:rsid w:val="000863CA"/>
    <w:rsid w:val="0008656F"/>
    <w:rsid w:val="00086DA8"/>
    <w:rsid w:val="00086E9B"/>
    <w:rsid w:val="000870F6"/>
    <w:rsid w:val="0008724C"/>
    <w:rsid w:val="000872CD"/>
    <w:rsid w:val="00087327"/>
    <w:rsid w:val="000874B6"/>
    <w:rsid w:val="0008774F"/>
    <w:rsid w:val="000879CA"/>
    <w:rsid w:val="00087BB8"/>
    <w:rsid w:val="00087CA9"/>
    <w:rsid w:val="00087F6F"/>
    <w:rsid w:val="000900CD"/>
    <w:rsid w:val="00091303"/>
    <w:rsid w:val="00092D0D"/>
    <w:rsid w:val="000931D1"/>
    <w:rsid w:val="00093258"/>
    <w:rsid w:val="0009341D"/>
    <w:rsid w:val="00093FA8"/>
    <w:rsid w:val="00094F16"/>
    <w:rsid w:val="0009600E"/>
    <w:rsid w:val="00096726"/>
    <w:rsid w:val="00096A6F"/>
    <w:rsid w:val="00096C14"/>
    <w:rsid w:val="000971EC"/>
    <w:rsid w:val="00097299"/>
    <w:rsid w:val="000977D2"/>
    <w:rsid w:val="00097CE8"/>
    <w:rsid w:val="000A027D"/>
    <w:rsid w:val="000A0879"/>
    <w:rsid w:val="000A091E"/>
    <w:rsid w:val="000A0D60"/>
    <w:rsid w:val="000A0F7C"/>
    <w:rsid w:val="000A1F84"/>
    <w:rsid w:val="000A208A"/>
    <w:rsid w:val="000A217B"/>
    <w:rsid w:val="000A2860"/>
    <w:rsid w:val="000A2BC0"/>
    <w:rsid w:val="000A32A5"/>
    <w:rsid w:val="000A3386"/>
    <w:rsid w:val="000A3D06"/>
    <w:rsid w:val="000A4369"/>
    <w:rsid w:val="000A43E4"/>
    <w:rsid w:val="000A4BAC"/>
    <w:rsid w:val="000A4C08"/>
    <w:rsid w:val="000A4F88"/>
    <w:rsid w:val="000A5489"/>
    <w:rsid w:val="000A67F2"/>
    <w:rsid w:val="000A6B85"/>
    <w:rsid w:val="000A7063"/>
    <w:rsid w:val="000A709A"/>
    <w:rsid w:val="000A7824"/>
    <w:rsid w:val="000B16B3"/>
    <w:rsid w:val="000B18B8"/>
    <w:rsid w:val="000B22F5"/>
    <w:rsid w:val="000B2CD6"/>
    <w:rsid w:val="000B3076"/>
    <w:rsid w:val="000B34B8"/>
    <w:rsid w:val="000B3A64"/>
    <w:rsid w:val="000B3DFD"/>
    <w:rsid w:val="000B3F24"/>
    <w:rsid w:val="000B3FBC"/>
    <w:rsid w:val="000B4062"/>
    <w:rsid w:val="000B455B"/>
    <w:rsid w:val="000B4795"/>
    <w:rsid w:val="000B4F24"/>
    <w:rsid w:val="000B53BA"/>
    <w:rsid w:val="000B55AA"/>
    <w:rsid w:val="000B5CD3"/>
    <w:rsid w:val="000B77C7"/>
    <w:rsid w:val="000B790E"/>
    <w:rsid w:val="000B7C6A"/>
    <w:rsid w:val="000B7F56"/>
    <w:rsid w:val="000C0BF3"/>
    <w:rsid w:val="000C1253"/>
    <w:rsid w:val="000C1E9A"/>
    <w:rsid w:val="000C2133"/>
    <w:rsid w:val="000C22E9"/>
    <w:rsid w:val="000C235B"/>
    <w:rsid w:val="000C254D"/>
    <w:rsid w:val="000C353E"/>
    <w:rsid w:val="000C3909"/>
    <w:rsid w:val="000C4041"/>
    <w:rsid w:val="000C44BB"/>
    <w:rsid w:val="000C4543"/>
    <w:rsid w:val="000C4939"/>
    <w:rsid w:val="000C4DC5"/>
    <w:rsid w:val="000C5258"/>
    <w:rsid w:val="000C52D1"/>
    <w:rsid w:val="000C5D00"/>
    <w:rsid w:val="000C5FAE"/>
    <w:rsid w:val="000C62F8"/>
    <w:rsid w:val="000C6353"/>
    <w:rsid w:val="000C65A7"/>
    <w:rsid w:val="000C6609"/>
    <w:rsid w:val="000C6916"/>
    <w:rsid w:val="000C6BFA"/>
    <w:rsid w:val="000C6CE8"/>
    <w:rsid w:val="000C6DD7"/>
    <w:rsid w:val="000C7037"/>
    <w:rsid w:val="000C70B5"/>
    <w:rsid w:val="000C72D0"/>
    <w:rsid w:val="000C74F1"/>
    <w:rsid w:val="000C7A03"/>
    <w:rsid w:val="000C7C20"/>
    <w:rsid w:val="000D0195"/>
    <w:rsid w:val="000D01C4"/>
    <w:rsid w:val="000D029E"/>
    <w:rsid w:val="000D09B4"/>
    <w:rsid w:val="000D0F9B"/>
    <w:rsid w:val="000D1000"/>
    <w:rsid w:val="000D213F"/>
    <w:rsid w:val="000D234A"/>
    <w:rsid w:val="000D2726"/>
    <w:rsid w:val="000D2F2C"/>
    <w:rsid w:val="000D3420"/>
    <w:rsid w:val="000D383B"/>
    <w:rsid w:val="000D5C9E"/>
    <w:rsid w:val="000D6197"/>
    <w:rsid w:val="000D6329"/>
    <w:rsid w:val="000D6657"/>
    <w:rsid w:val="000D6BA5"/>
    <w:rsid w:val="000D7268"/>
    <w:rsid w:val="000D74A9"/>
    <w:rsid w:val="000D7B94"/>
    <w:rsid w:val="000D7BA0"/>
    <w:rsid w:val="000D7C99"/>
    <w:rsid w:val="000D7EA1"/>
    <w:rsid w:val="000E0A9A"/>
    <w:rsid w:val="000E0B4D"/>
    <w:rsid w:val="000E0C0C"/>
    <w:rsid w:val="000E0CE1"/>
    <w:rsid w:val="000E0FA9"/>
    <w:rsid w:val="000E1391"/>
    <w:rsid w:val="000E1686"/>
    <w:rsid w:val="000E1876"/>
    <w:rsid w:val="000E211F"/>
    <w:rsid w:val="000E213D"/>
    <w:rsid w:val="000E22AD"/>
    <w:rsid w:val="000E23B9"/>
    <w:rsid w:val="000E254C"/>
    <w:rsid w:val="000E262F"/>
    <w:rsid w:val="000E27D6"/>
    <w:rsid w:val="000E308F"/>
    <w:rsid w:val="000E3131"/>
    <w:rsid w:val="000E31E0"/>
    <w:rsid w:val="000E37AD"/>
    <w:rsid w:val="000E3E95"/>
    <w:rsid w:val="000E3EE1"/>
    <w:rsid w:val="000E4198"/>
    <w:rsid w:val="000E4A11"/>
    <w:rsid w:val="000E4A75"/>
    <w:rsid w:val="000E50C5"/>
    <w:rsid w:val="000E553C"/>
    <w:rsid w:val="000E6456"/>
    <w:rsid w:val="000E668B"/>
    <w:rsid w:val="000E70E6"/>
    <w:rsid w:val="000E7559"/>
    <w:rsid w:val="000E7FD1"/>
    <w:rsid w:val="000F142F"/>
    <w:rsid w:val="000F196B"/>
    <w:rsid w:val="000F2018"/>
    <w:rsid w:val="000F261A"/>
    <w:rsid w:val="000F2CF6"/>
    <w:rsid w:val="000F38B8"/>
    <w:rsid w:val="000F4086"/>
    <w:rsid w:val="000F4AA2"/>
    <w:rsid w:val="000F5298"/>
    <w:rsid w:val="000F592A"/>
    <w:rsid w:val="000F5A09"/>
    <w:rsid w:val="000F5E87"/>
    <w:rsid w:val="000F5FEA"/>
    <w:rsid w:val="000F7099"/>
    <w:rsid w:val="000F73CF"/>
    <w:rsid w:val="000F75DE"/>
    <w:rsid w:val="00100061"/>
    <w:rsid w:val="001001A7"/>
    <w:rsid w:val="001009E8"/>
    <w:rsid w:val="00100AF7"/>
    <w:rsid w:val="001025C6"/>
    <w:rsid w:val="00102F94"/>
    <w:rsid w:val="00103089"/>
    <w:rsid w:val="00103613"/>
    <w:rsid w:val="0010395A"/>
    <w:rsid w:val="00103C9A"/>
    <w:rsid w:val="00104594"/>
    <w:rsid w:val="00104958"/>
    <w:rsid w:val="00104EC3"/>
    <w:rsid w:val="001050D5"/>
    <w:rsid w:val="0010553F"/>
    <w:rsid w:val="00105C5C"/>
    <w:rsid w:val="00106684"/>
    <w:rsid w:val="00106ADE"/>
    <w:rsid w:val="00107C03"/>
    <w:rsid w:val="00110673"/>
    <w:rsid w:val="0011174C"/>
    <w:rsid w:val="001118AA"/>
    <w:rsid w:val="001119A3"/>
    <w:rsid w:val="00111AC0"/>
    <w:rsid w:val="00111C8E"/>
    <w:rsid w:val="00111DBB"/>
    <w:rsid w:val="001124D7"/>
    <w:rsid w:val="00112A29"/>
    <w:rsid w:val="00113124"/>
    <w:rsid w:val="00113C17"/>
    <w:rsid w:val="00113E7A"/>
    <w:rsid w:val="0011407B"/>
    <w:rsid w:val="0011563C"/>
    <w:rsid w:val="0011626F"/>
    <w:rsid w:val="00116654"/>
    <w:rsid w:val="00116AA1"/>
    <w:rsid w:val="00117314"/>
    <w:rsid w:val="0011754B"/>
    <w:rsid w:val="00117BC4"/>
    <w:rsid w:val="0011F8E9"/>
    <w:rsid w:val="00121261"/>
    <w:rsid w:val="0012143F"/>
    <w:rsid w:val="00121970"/>
    <w:rsid w:val="00121FB2"/>
    <w:rsid w:val="0012211F"/>
    <w:rsid w:val="0012333F"/>
    <w:rsid w:val="00123C96"/>
    <w:rsid w:val="00124F06"/>
    <w:rsid w:val="00125B93"/>
    <w:rsid w:val="0012623B"/>
    <w:rsid w:val="00126773"/>
    <w:rsid w:val="0012680C"/>
    <w:rsid w:val="00126F5F"/>
    <w:rsid w:val="00127773"/>
    <w:rsid w:val="00127AB6"/>
    <w:rsid w:val="0013040A"/>
    <w:rsid w:val="00130580"/>
    <w:rsid w:val="00130B23"/>
    <w:rsid w:val="00130EFD"/>
    <w:rsid w:val="001314CA"/>
    <w:rsid w:val="00131C01"/>
    <w:rsid w:val="00131F4E"/>
    <w:rsid w:val="0013212C"/>
    <w:rsid w:val="00132585"/>
    <w:rsid w:val="00132AA3"/>
    <w:rsid w:val="0013331C"/>
    <w:rsid w:val="00133CC6"/>
    <w:rsid w:val="001341C2"/>
    <w:rsid w:val="0013481B"/>
    <w:rsid w:val="00134A4B"/>
    <w:rsid w:val="00134AD2"/>
    <w:rsid w:val="0013566E"/>
    <w:rsid w:val="00135D4F"/>
    <w:rsid w:val="001365CF"/>
    <w:rsid w:val="001369AA"/>
    <w:rsid w:val="001369BB"/>
    <w:rsid w:val="00136D9A"/>
    <w:rsid w:val="0013712A"/>
    <w:rsid w:val="001374C3"/>
    <w:rsid w:val="001374D9"/>
    <w:rsid w:val="0014021F"/>
    <w:rsid w:val="00140A38"/>
    <w:rsid w:val="001420CF"/>
    <w:rsid w:val="00143483"/>
    <w:rsid w:val="0014369F"/>
    <w:rsid w:val="00143D65"/>
    <w:rsid w:val="00144603"/>
    <w:rsid w:val="00144C0F"/>
    <w:rsid w:val="00144D1A"/>
    <w:rsid w:val="00144D63"/>
    <w:rsid w:val="00144DC5"/>
    <w:rsid w:val="00144F40"/>
    <w:rsid w:val="00144FE5"/>
    <w:rsid w:val="001451AA"/>
    <w:rsid w:val="00145A5F"/>
    <w:rsid w:val="0014641C"/>
    <w:rsid w:val="00146959"/>
    <w:rsid w:val="00146C7F"/>
    <w:rsid w:val="00146F83"/>
    <w:rsid w:val="00146FD1"/>
    <w:rsid w:val="001472AE"/>
    <w:rsid w:val="00147BFA"/>
    <w:rsid w:val="00147E78"/>
    <w:rsid w:val="00147EF0"/>
    <w:rsid w:val="00150168"/>
    <w:rsid w:val="001501CC"/>
    <w:rsid w:val="001509C6"/>
    <w:rsid w:val="00150EB6"/>
    <w:rsid w:val="001514FF"/>
    <w:rsid w:val="00151A41"/>
    <w:rsid w:val="00151B5E"/>
    <w:rsid w:val="00151EF4"/>
    <w:rsid w:val="00152130"/>
    <w:rsid w:val="00152585"/>
    <w:rsid w:val="00152726"/>
    <w:rsid w:val="00152A80"/>
    <w:rsid w:val="00152C2F"/>
    <w:rsid w:val="00153085"/>
    <w:rsid w:val="00153882"/>
    <w:rsid w:val="001544FB"/>
    <w:rsid w:val="001545AA"/>
    <w:rsid w:val="001546D4"/>
    <w:rsid w:val="00154FB8"/>
    <w:rsid w:val="00155271"/>
    <w:rsid w:val="0015528D"/>
    <w:rsid w:val="001558C5"/>
    <w:rsid w:val="00155F52"/>
    <w:rsid w:val="0015610E"/>
    <w:rsid w:val="001564D7"/>
    <w:rsid w:val="001566E6"/>
    <w:rsid w:val="001567C0"/>
    <w:rsid w:val="0015693C"/>
    <w:rsid w:val="00157405"/>
    <w:rsid w:val="00157BD0"/>
    <w:rsid w:val="00157C28"/>
    <w:rsid w:val="00157C31"/>
    <w:rsid w:val="00157FEB"/>
    <w:rsid w:val="00160142"/>
    <w:rsid w:val="001601AA"/>
    <w:rsid w:val="001601EB"/>
    <w:rsid w:val="00161533"/>
    <w:rsid w:val="0016168F"/>
    <w:rsid w:val="001628D8"/>
    <w:rsid w:val="00162A6E"/>
    <w:rsid w:val="00162FFB"/>
    <w:rsid w:val="001630BB"/>
    <w:rsid w:val="0016313A"/>
    <w:rsid w:val="001634AE"/>
    <w:rsid w:val="001634CF"/>
    <w:rsid w:val="00163804"/>
    <w:rsid w:val="00163FC2"/>
    <w:rsid w:val="00164120"/>
    <w:rsid w:val="00164348"/>
    <w:rsid w:val="00164621"/>
    <w:rsid w:val="001647EE"/>
    <w:rsid w:val="00164E82"/>
    <w:rsid w:val="001655F1"/>
    <w:rsid w:val="00166498"/>
    <w:rsid w:val="00166A5A"/>
    <w:rsid w:val="00166B68"/>
    <w:rsid w:val="00166C84"/>
    <w:rsid w:val="00166DBE"/>
    <w:rsid w:val="00167A42"/>
    <w:rsid w:val="00167A87"/>
    <w:rsid w:val="001704B6"/>
    <w:rsid w:val="00171386"/>
    <w:rsid w:val="00172466"/>
    <w:rsid w:val="001727F4"/>
    <w:rsid w:val="0017299B"/>
    <w:rsid w:val="00173777"/>
    <w:rsid w:val="00173A6D"/>
    <w:rsid w:val="00173CEC"/>
    <w:rsid w:val="00173DCF"/>
    <w:rsid w:val="00173EC1"/>
    <w:rsid w:val="00174083"/>
    <w:rsid w:val="00174259"/>
    <w:rsid w:val="00175BF8"/>
    <w:rsid w:val="001769CF"/>
    <w:rsid w:val="00176C16"/>
    <w:rsid w:val="00176D3C"/>
    <w:rsid w:val="0017758E"/>
    <w:rsid w:val="001776E7"/>
    <w:rsid w:val="00177876"/>
    <w:rsid w:val="00177A31"/>
    <w:rsid w:val="001800D6"/>
    <w:rsid w:val="001809BF"/>
    <w:rsid w:val="00180B64"/>
    <w:rsid w:val="00180D7C"/>
    <w:rsid w:val="00180E71"/>
    <w:rsid w:val="00181AAA"/>
    <w:rsid w:val="00182099"/>
    <w:rsid w:val="001828B8"/>
    <w:rsid w:val="00182CCE"/>
    <w:rsid w:val="001832F7"/>
    <w:rsid w:val="001834B3"/>
    <w:rsid w:val="00183622"/>
    <w:rsid w:val="0018362A"/>
    <w:rsid w:val="00184040"/>
    <w:rsid w:val="0018470E"/>
    <w:rsid w:val="001850D4"/>
    <w:rsid w:val="00185A3A"/>
    <w:rsid w:val="00186385"/>
    <w:rsid w:val="0018669F"/>
    <w:rsid w:val="001866F4"/>
    <w:rsid w:val="00186BF3"/>
    <w:rsid w:val="00186E90"/>
    <w:rsid w:val="00187419"/>
    <w:rsid w:val="001878EA"/>
    <w:rsid w:val="00187FA8"/>
    <w:rsid w:val="0019018E"/>
    <w:rsid w:val="0019061A"/>
    <w:rsid w:val="00190850"/>
    <w:rsid w:val="001908C5"/>
    <w:rsid w:val="00190A9A"/>
    <w:rsid w:val="00190B47"/>
    <w:rsid w:val="00190C53"/>
    <w:rsid w:val="00191257"/>
    <w:rsid w:val="00191C8C"/>
    <w:rsid w:val="00191D2E"/>
    <w:rsid w:val="001920D9"/>
    <w:rsid w:val="0019358A"/>
    <w:rsid w:val="001935F5"/>
    <w:rsid w:val="0019400A"/>
    <w:rsid w:val="001940B6"/>
    <w:rsid w:val="00194774"/>
    <w:rsid w:val="00194C0F"/>
    <w:rsid w:val="00194FB6"/>
    <w:rsid w:val="00195787"/>
    <w:rsid w:val="0019592A"/>
    <w:rsid w:val="00195E12"/>
    <w:rsid w:val="00196132"/>
    <w:rsid w:val="00196422"/>
    <w:rsid w:val="00196818"/>
    <w:rsid w:val="00196A16"/>
    <w:rsid w:val="00196B57"/>
    <w:rsid w:val="00196F41"/>
    <w:rsid w:val="00197AC4"/>
    <w:rsid w:val="00197E2E"/>
    <w:rsid w:val="001A0040"/>
    <w:rsid w:val="001A0722"/>
    <w:rsid w:val="001A0E70"/>
    <w:rsid w:val="001A0F5F"/>
    <w:rsid w:val="001A17EF"/>
    <w:rsid w:val="001A183A"/>
    <w:rsid w:val="001A2135"/>
    <w:rsid w:val="001A261D"/>
    <w:rsid w:val="001A3202"/>
    <w:rsid w:val="001A33B4"/>
    <w:rsid w:val="001A3FDA"/>
    <w:rsid w:val="001A41D8"/>
    <w:rsid w:val="001A46B9"/>
    <w:rsid w:val="001A4740"/>
    <w:rsid w:val="001A4846"/>
    <w:rsid w:val="001A5191"/>
    <w:rsid w:val="001A51F8"/>
    <w:rsid w:val="001A5367"/>
    <w:rsid w:val="001A545F"/>
    <w:rsid w:val="001A57F6"/>
    <w:rsid w:val="001A58CA"/>
    <w:rsid w:val="001A60F6"/>
    <w:rsid w:val="001A6359"/>
    <w:rsid w:val="001A63B5"/>
    <w:rsid w:val="001A77B6"/>
    <w:rsid w:val="001A7EFB"/>
    <w:rsid w:val="001B0381"/>
    <w:rsid w:val="001B0926"/>
    <w:rsid w:val="001B185B"/>
    <w:rsid w:val="001B23EE"/>
    <w:rsid w:val="001B250E"/>
    <w:rsid w:val="001B2A27"/>
    <w:rsid w:val="001B2FEA"/>
    <w:rsid w:val="001B3729"/>
    <w:rsid w:val="001B3BDA"/>
    <w:rsid w:val="001B4019"/>
    <w:rsid w:val="001B4358"/>
    <w:rsid w:val="001B4466"/>
    <w:rsid w:val="001B4FA3"/>
    <w:rsid w:val="001B5DCB"/>
    <w:rsid w:val="001B5EF4"/>
    <w:rsid w:val="001B5FBF"/>
    <w:rsid w:val="001B6024"/>
    <w:rsid w:val="001B60A9"/>
    <w:rsid w:val="001B6B27"/>
    <w:rsid w:val="001B6ED2"/>
    <w:rsid w:val="001B79A9"/>
    <w:rsid w:val="001C0141"/>
    <w:rsid w:val="001C01D4"/>
    <w:rsid w:val="001C0579"/>
    <w:rsid w:val="001C0587"/>
    <w:rsid w:val="001C0590"/>
    <w:rsid w:val="001C0A7F"/>
    <w:rsid w:val="001C1CE4"/>
    <w:rsid w:val="001C2057"/>
    <w:rsid w:val="001C2EFC"/>
    <w:rsid w:val="001C3172"/>
    <w:rsid w:val="001C33EA"/>
    <w:rsid w:val="001C3AF3"/>
    <w:rsid w:val="001C3B29"/>
    <w:rsid w:val="001C3F71"/>
    <w:rsid w:val="001C4B06"/>
    <w:rsid w:val="001C5168"/>
    <w:rsid w:val="001C5543"/>
    <w:rsid w:val="001C5752"/>
    <w:rsid w:val="001C6261"/>
    <w:rsid w:val="001D0389"/>
    <w:rsid w:val="001D0689"/>
    <w:rsid w:val="001D0900"/>
    <w:rsid w:val="001D219A"/>
    <w:rsid w:val="001D26BD"/>
    <w:rsid w:val="001D2D3A"/>
    <w:rsid w:val="001D31F2"/>
    <w:rsid w:val="001D3458"/>
    <w:rsid w:val="001D352E"/>
    <w:rsid w:val="001D3CD2"/>
    <w:rsid w:val="001D3E80"/>
    <w:rsid w:val="001D3FB3"/>
    <w:rsid w:val="001D4632"/>
    <w:rsid w:val="001D4A8C"/>
    <w:rsid w:val="001D4B1D"/>
    <w:rsid w:val="001D4BCA"/>
    <w:rsid w:val="001D4E25"/>
    <w:rsid w:val="001D5027"/>
    <w:rsid w:val="001D548A"/>
    <w:rsid w:val="001D571F"/>
    <w:rsid w:val="001D625E"/>
    <w:rsid w:val="001D649E"/>
    <w:rsid w:val="001D7614"/>
    <w:rsid w:val="001D7DC4"/>
    <w:rsid w:val="001E05D2"/>
    <w:rsid w:val="001E1F5E"/>
    <w:rsid w:val="001E25B5"/>
    <w:rsid w:val="001E26F9"/>
    <w:rsid w:val="001E2913"/>
    <w:rsid w:val="001E2A2B"/>
    <w:rsid w:val="001E3A26"/>
    <w:rsid w:val="001E40DD"/>
    <w:rsid w:val="001E4468"/>
    <w:rsid w:val="001E4D5A"/>
    <w:rsid w:val="001E4E10"/>
    <w:rsid w:val="001E4EC8"/>
    <w:rsid w:val="001E56D4"/>
    <w:rsid w:val="001E5A15"/>
    <w:rsid w:val="001E659E"/>
    <w:rsid w:val="001E67B3"/>
    <w:rsid w:val="001E67D2"/>
    <w:rsid w:val="001E758E"/>
    <w:rsid w:val="001E7873"/>
    <w:rsid w:val="001E797C"/>
    <w:rsid w:val="001F0604"/>
    <w:rsid w:val="001F18A5"/>
    <w:rsid w:val="001F3209"/>
    <w:rsid w:val="001F33D7"/>
    <w:rsid w:val="001F3431"/>
    <w:rsid w:val="001F3686"/>
    <w:rsid w:val="001F36F0"/>
    <w:rsid w:val="001F3741"/>
    <w:rsid w:val="001F3832"/>
    <w:rsid w:val="001F3941"/>
    <w:rsid w:val="001F3962"/>
    <w:rsid w:val="001F3DA7"/>
    <w:rsid w:val="001F3DC0"/>
    <w:rsid w:val="001F4774"/>
    <w:rsid w:val="001F4A7B"/>
    <w:rsid w:val="001F5EC2"/>
    <w:rsid w:val="001F5F35"/>
    <w:rsid w:val="001F6773"/>
    <w:rsid w:val="001F6DEB"/>
    <w:rsid w:val="001F6E11"/>
    <w:rsid w:val="001F6E17"/>
    <w:rsid w:val="001F725F"/>
    <w:rsid w:val="001F7AA3"/>
    <w:rsid w:val="001F7C35"/>
    <w:rsid w:val="001F7C8B"/>
    <w:rsid w:val="002005B8"/>
    <w:rsid w:val="002006FD"/>
    <w:rsid w:val="00200B01"/>
    <w:rsid w:val="00201197"/>
    <w:rsid w:val="00201289"/>
    <w:rsid w:val="00201535"/>
    <w:rsid w:val="00201B92"/>
    <w:rsid w:val="00202962"/>
    <w:rsid w:val="002029F9"/>
    <w:rsid w:val="00203634"/>
    <w:rsid w:val="002038CB"/>
    <w:rsid w:val="002044E3"/>
    <w:rsid w:val="00204518"/>
    <w:rsid w:val="0020495D"/>
    <w:rsid w:val="00205B53"/>
    <w:rsid w:val="00205C53"/>
    <w:rsid w:val="00205C61"/>
    <w:rsid w:val="00205C96"/>
    <w:rsid w:val="00205D0B"/>
    <w:rsid w:val="002062BE"/>
    <w:rsid w:val="00206F1C"/>
    <w:rsid w:val="00207475"/>
    <w:rsid w:val="00207857"/>
    <w:rsid w:val="0021061F"/>
    <w:rsid w:val="00210737"/>
    <w:rsid w:val="00210975"/>
    <w:rsid w:val="00210A30"/>
    <w:rsid w:val="002126A0"/>
    <w:rsid w:val="002128E6"/>
    <w:rsid w:val="00212904"/>
    <w:rsid w:val="00212FD7"/>
    <w:rsid w:val="00213A13"/>
    <w:rsid w:val="002140F0"/>
    <w:rsid w:val="00214215"/>
    <w:rsid w:val="00214253"/>
    <w:rsid w:val="00214885"/>
    <w:rsid w:val="00215F0A"/>
    <w:rsid w:val="002173A1"/>
    <w:rsid w:val="0021799B"/>
    <w:rsid w:val="00220099"/>
    <w:rsid w:val="0022096C"/>
    <w:rsid w:val="00220AC5"/>
    <w:rsid w:val="00220D48"/>
    <w:rsid w:val="00220ECE"/>
    <w:rsid w:val="00221827"/>
    <w:rsid w:val="00221F71"/>
    <w:rsid w:val="00222005"/>
    <w:rsid w:val="002223A7"/>
    <w:rsid w:val="002223AF"/>
    <w:rsid w:val="00222603"/>
    <w:rsid w:val="00222B20"/>
    <w:rsid w:val="00222FFA"/>
    <w:rsid w:val="002230DF"/>
    <w:rsid w:val="00223482"/>
    <w:rsid w:val="00223572"/>
    <w:rsid w:val="00224881"/>
    <w:rsid w:val="00225425"/>
    <w:rsid w:val="00225585"/>
    <w:rsid w:val="0022583E"/>
    <w:rsid w:val="002269F6"/>
    <w:rsid w:val="00226B85"/>
    <w:rsid w:val="002276C8"/>
    <w:rsid w:val="00227B33"/>
    <w:rsid w:val="00230027"/>
    <w:rsid w:val="00230084"/>
    <w:rsid w:val="00230486"/>
    <w:rsid w:val="002307A3"/>
    <w:rsid w:val="0023087F"/>
    <w:rsid w:val="002309C7"/>
    <w:rsid w:val="00230C6D"/>
    <w:rsid w:val="002312FB"/>
    <w:rsid w:val="00231F46"/>
    <w:rsid w:val="0023288E"/>
    <w:rsid w:val="00232ABC"/>
    <w:rsid w:val="00233C1C"/>
    <w:rsid w:val="00233E7E"/>
    <w:rsid w:val="00234127"/>
    <w:rsid w:val="00234358"/>
    <w:rsid w:val="0023473F"/>
    <w:rsid w:val="00234BD3"/>
    <w:rsid w:val="0023542A"/>
    <w:rsid w:val="00235618"/>
    <w:rsid w:val="00235624"/>
    <w:rsid w:val="00235A08"/>
    <w:rsid w:val="00237065"/>
    <w:rsid w:val="0023721C"/>
    <w:rsid w:val="002374D1"/>
    <w:rsid w:val="00237DAA"/>
    <w:rsid w:val="00240408"/>
    <w:rsid w:val="002406F5"/>
    <w:rsid w:val="00240C12"/>
    <w:rsid w:val="002416BF"/>
    <w:rsid w:val="002417B3"/>
    <w:rsid w:val="00241983"/>
    <w:rsid w:val="00241BE4"/>
    <w:rsid w:val="00241C14"/>
    <w:rsid w:val="00242DFF"/>
    <w:rsid w:val="00243269"/>
    <w:rsid w:val="002438A9"/>
    <w:rsid w:val="00243B2B"/>
    <w:rsid w:val="002445F3"/>
    <w:rsid w:val="002449B5"/>
    <w:rsid w:val="00245554"/>
    <w:rsid w:val="00245C8C"/>
    <w:rsid w:val="00246108"/>
    <w:rsid w:val="0024645A"/>
    <w:rsid w:val="00247034"/>
    <w:rsid w:val="00247333"/>
    <w:rsid w:val="002477A5"/>
    <w:rsid w:val="0025047B"/>
    <w:rsid w:val="0025067A"/>
    <w:rsid w:val="002507B0"/>
    <w:rsid w:val="00250F73"/>
    <w:rsid w:val="0025144C"/>
    <w:rsid w:val="002518BB"/>
    <w:rsid w:val="002526C3"/>
    <w:rsid w:val="00252B30"/>
    <w:rsid w:val="00252D77"/>
    <w:rsid w:val="002533E3"/>
    <w:rsid w:val="0025411E"/>
    <w:rsid w:val="002545D7"/>
    <w:rsid w:val="00254740"/>
    <w:rsid w:val="00254786"/>
    <w:rsid w:val="00254F9C"/>
    <w:rsid w:val="0025558B"/>
    <w:rsid w:val="00255C22"/>
    <w:rsid w:val="00256052"/>
    <w:rsid w:val="0025624F"/>
    <w:rsid w:val="0025669A"/>
    <w:rsid w:val="00256790"/>
    <w:rsid w:val="00256AEF"/>
    <w:rsid w:val="00256D18"/>
    <w:rsid w:val="002571EF"/>
    <w:rsid w:val="002578D3"/>
    <w:rsid w:val="00257B34"/>
    <w:rsid w:val="00260F7A"/>
    <w:rsid w:val="0026176B"/>
    <w:rsid w:val="00261969"/>
    <w:rsid w:val="00262B9B"/>
    <w:rsid w:val="00262CEA"/>
    <w:rsid w:val="00262F55"/>
    <w:rsid w:val="00263348"/>
    <w:rsid w:val="002643AF"/>
    <w:rsid w:val="00265224"/>
    <w:rsid w:val="00266A0B"/>
    <w:rsid w:val="0026708F"/>
    <w:rsid w:val="00267336"/>
    <w:rsid w:val="002674D8"/>
    <w:rsid w:val="002677EF"/>
    <w:rsid w:val="0026793C"/>
    <w:rsid w:val="00267B9B"/>
    <w:rsid w:val="00270422"/>
    <w:rsid w:val="002706EB"/>
    <w:rsid w:val="00271081"/>
    <w:rsid w:val="0027210A"/>
    <w:rsid w:val="00272454"/>
    <w:rsid w:val="00272536"/>
    <w:rsid w:val="00272777"/>
    <w:rsid w:val="00272BE6"/>
    <w:rsid w:val="00272F31"/>
    <w:rsid w:val="002730C0"/>
    <w:rsid w:val="002731D2"/>
    <w:rsid w:val="00273663"/>
    <w:rsid w:val="00273B3A"/>
    <w:rsid w:val="00273C21"/>
    <w:rsid w:val="00273F0B"/>
    <w:rsid w:val="0027451C"/>
    <w:rsid w:val="0027458C"/>
    <w:rsid w:val="00274C26"/>
    <w:rsid w:val="002751DE"/>
    <w:rsid w:val="002757D5"/>
    <w:rsid w:val="002757EC"/>
    <w:rsid w:val="0027663F"/>
    <w:rsid w:val="00276A93"/>
    <w:rsid w:val="00276C84"/>
    <w:rsid w:val="00276D0E"/>
    <w:rsid w:val="00276E0E"/>
    <w:rsid w:val="00280647"/>
    <w:rsid w:val="00280749"/>
    <w:rsid w:val="00280F71"/>
    <w:rsid w:val="00281217"/>
    <w:rsid w:val="00281322"/>
    <w:rsid w:val="002813B9"/>
    <w:rsid w:val="0028207C"/>
    <w:rsid w:val="002820AC"/>
    <w:rsid w:val="00282B36"/>
    <w:rsid w:val="002835D4"/>
    <w:rsid w:val="00283C7D"/>
    <w:rsid w:val="00284F87"/>
    <w:rsid w:val="00285078"/>
    <w:rsid w:val="002852EA"/>
    <w:rsid w:val="002853CF"/>
    <w:rsid w:val="00285481"/>
    <w:rsid w:val="00285625"/>
    <w:rsid w:val="002857FD"/>
    <w:rsid w:val="00285903"/>
    <w:rsid w:val="002862E7"/>
    <w:rsid w:val="002866EF"/>
    <w:rsid w:val="00287643"/>
    <w:rsid w:val="00287AC2"/>
    <w:rsid w:val="00287B31"/>
    <w:rsid w:val="00287E00"/>
    <w:rsid w:val="00290939"/>
    <w:rsid w:val="00290BF1"/>
    <w:rsid w:val="00291117"/>
    <w:rsid w:val="002914D0"/>
    <w:rsid w:val="0029176F"/>
    <w:rsid w:val="002918E4"/>
    <w:rsid w:val="00291AE3"/>
    <w:rsid w:val="002925A8"/>
    <w:rsid w:val="002927CA"/>
    <w:rsid w:val="00292CEF"/>
    <w:rsid w:val="0029406D"/>
    <w:rsid w:val="002949AE"/>
    <w:rsid w:val="00294E7C"/>
    <w:rsid w:val="00294F42"/>
    <w:rsid w:val="00294F5A"/>
    <w:rsid w:val="002958E1"/>
    <w:rsid w:val="0029598A"/>
    <w:rsid w:val="00295A24"/>
    <w:rsid w:val="00295AA6"/>
    <w:rsid w:val="00295D7A"/>
    <w:rsid w:val="00295E15"/>
    <w:rsid w:val="00295E17"/>
    <w:rsid w:val="00296070"/>
    <w:rsid w:val="0029716A"/>
    <w:rsid w:val="00297254"/>
    <w:rsid w:val="00297368"/>
    <w:rsid w:val="002974F9"/>
    <w:rsid w:val="002A04E7"/>
    <w:rsid w:val="002A066F"/>
    <w:rsid w:val="002A06FC"/>
    <w:rsid w:val="002A0E45"/>
    <w:rsid w:val="002A154F"/>
    <w:rsid w:val="002A17E7"/>
    <w:rsid w:val="002A1981"/>
    <w:rsid w:val="002A2103"/>
    <w:rsid w:val="002A2312"/>
    <w:rsid w:val="002A2F3A"/>
    <w:rsid w:val="002A2F9B"/>
    <w:rsid w:val="002A32D0"/>
    <w:rsid w:val="002A3350"/>
    <w:rsid w:val="002A335C"/>
    <w:rsid w:val="002A3429"/>
    <w:rsid w:val="002A4092"/>
    <w:rsid w:val="002A478C"/>
    <w:rsid w:val="002A4D53"/>
    <w:rsid w:val="002A50C9"/>
    <w:rsid w:val="002A51D5"/>
    <w:rsid w:val="002A52B4"/>
    <w:rsid w:val="002A558C"/>
    <w:rsid w:val="002A5A1F"/>
    <w:rsid w:val="002A631B"/>
    <w:rsid w:val="002A672F"/>
    <w:rsid w:val="002A682C"/>
    <w:rsid w:val="002A7AB6"/>
    <w:rsid w:val="002A7EEB"/>
    <w:rsid w:val="002B0123"/>
    <w:rsid w:val="002B04DE"/>
    <w:rsid w:val="002B0679"/>
    <w:rsid w:val="002B0724"/>
    <w:rsid w:val="002B0798"/>
    <w:rsid w:val="002B081F"/>
    <w:rsid w:val="002B12E8"/>
    <w:rsid w:val="002B229E"/>
    <w:rsid w:val="002B22C6"/>
    <w:rsid w:val="002B237F"/>
    <w:rsid w:val="002B2C34"/>
    <w:rsid w:val="002B32B4"/>
    <w:rsid w:val="002B40A4"/>
    <w:rsid w:val="002B465C"/>
    <w:rsid w:val="002B4920"/>
    <w:rsid w:val="002B4B57"/>
    <w:rsid w:val="002B524E"/>
    <w:rsid w:val="002B5259"/>
    <w:rsid w:val="002B53AB"/>
    <w:rsid w:val="002B53C7"/>
    <w:rsid w:val="002B5644"/>
    <w:rsid w:val="002B61F8"/>
    <w:rsid w:val="002B6341"/>
    <w:rsid w:val="002B6499"/>
    <w:rsid w:val="002B66C9"/>
    <w:rsid w:val="002B7263"/>
    <w:rsid w:val="002B7457"/>
    <w:rsid w:val="002B7CFB"/>
    <w:rsid w:val="002B7D0A"/>
    <w:rsid w:val="002C02EC"/>
    <w:rsid w:val="002C04D5"/>
    <w:rsid w:val="002C0B76"/>
    <w:rsid w:val="002C180A"/>
    <w:rsid w:val="002C2104"/>
    <w:rsid w:val="002C2550"/>
    <w:rsid w:val="002C2621"/>
    <w:rsid w:val="002C32A1"/>
    <w:rsid w:val="002C48D7"/>
    <w:rsid w:val="002C4F93"/>
    <w:rsid w:val="002C525B"/>
    <w:rsid w:val="002C5FD7"/>
    <w:rsid w:val="002C60AE"/>
    <w:rsid w:val="002C63F9"/>
    <w:rsid w:val="002C65A1"/>
    <w:rsid w:val="002C6B93"/>
    <w:rsid w:val="002C79B7"/>
    <w:rsid w:val="002C7A5B"/>
    <w:rsid w:val="002D07A7"/>
    <w:rsid w:val="002D0AA7"/>
    <w:rsid w:val="002D0C9C"/>
    <w:rsid w:val="002D0F30"/>
    <w:rsid w:val="002D1BAA"/>
    <w:rsid w:val="002D2242"/>
    <w:rsid w:val="002D27AA"/>
    <w:rsid w:val="002D2C3E"/>
    <w:rsid w:val="002D2E92"/>
    <w:rsid w:val="002D4B4F"/>
    <w:rsid w:val="002D4BF8"/>
    <w:rsid w:val="002D4CD9"/>
    <w:rsid w:val="002D506D"/>
    <w:rsid w:val="002D552A"/>
    <w:rsid w:val="002D5795"/>
    <w:rsid w:val="002D5D3F"/>
    <w:rsid w:val="002D5DE3"/>
    <w:rsid w:val="002D5F99"/>
    <w:rsid w:val="002D615D"/>
    <w:rsid w:val="002D6308"/>
    <w:rsid w:val="002D68B1"/>
    <w:rsid w:val="002D7106"/>
    <w:rsid w:val="002D7248"/>
    <w:rsid w:val="002D7987"/>
    <w:rsid w:val="002E0112"/>
    <w:rsid w:val="002E0244"/>
    <w:rsid w:val="002E0872"/>
    <w:rsid w:val="002E0ACD"/>
    <w:rsid w:val="002E11F3"/>
    <w:rsid w:val="002E1308"/>
    <w:rsid w:val="002E1482"/>
    <w:rsid w:val="002E1C2B"/>
    <w:rsid w:val="002E1E88"/>
    <w:rsid w:val="002E1F8D"/>
    <w:rsid w:val="002E2076"/>
    <w:rsid w:val="002E2E35"/>
    <w:rsid w:val="002E3461"/>
    <w:rsid w:val="002E3523"/>
    <w:rsid w:val="002E36DB"/>
    <w:rsid w:val="002E38FB"/>
    <w:rsid w:val="002E39A6"/>
    <w:rsid w:val="002E4227"/>
    <w:rsid w:val="002E42CA"/>
    <w:rsid w:val="002E4332"/>
    <w:rsid w:val="002E48AF"/>
    <w:rsid w:val="002E4B31"/>
    <w:rsid w:val="002E5204"/>
    <w:rsid w:val="002E62EE"/>
    <w:rsid w:val="002E70D4"/>
    <w:rsid w:val="002E71E8"/>
    <w:rsid w:val="002E7EAF"/>
    <w:rsid w:val="002F0268"/>
    <w:rsid w:val="002F07B5"/>
    <w:rsid w:val="002F0A65"/>
    <w:rsid w:val="002F1C2E"/>
    <w:rsid w:val="002F1DDC"/>
    <w:rsid w:val="002F22F0"/>
    <w:rsid w:val="002F29DA"/>
    <w:rsid w:val="002F2AE5"/>
    <w:rsid w:val="002F2FDF"/>
    <w:rsid w:val="002F2FE0"/>
    <w:rsid w:val="002F3299"/>
    <w:rsid w:val="002F3402"/>
    <w:rsid w:val="002F4EB9"/>
    <w:rsid w:val="002F5174"/>
    <w:rsid w:val="002F58D0"/>
    <w:rsid w:val="002F5E04"/>
    <w:rsid w:val="002F5EDA"/>
    <w:rsid w:val="002F5FAF"/>
    <w:rsid w:val="002F6038"/>
    <w:rsid w:val="002F60DF"/>
    <w:rsid w:val="002F70E4"/>
    <w:rsid w:val="002F7283"/>
    <w:rsid w:val="002F72D6"/>
    <w:rsid w:val="002F742D"/>
    <w:rsid w:val="003005A6"/>
    <w:rsid w:val="00300BEF"/>
    <w:rsid w:val="00300F76"/>
    <w:rsid w:val="003011AF"/>
    <w:rsid w:val="00302114"/>
    <w:rsid w:val="00302B62"/>
    <w:rsid w:val="00302CF3"/>
    <w:rsid w:val="00302F7F"/>
    <w:rsid w:val="0030332A"/>
    <w:rsid w:val="0030462E"/>
    <w:rsid w:val="00304951"/>
    <w:rsid w:val="00304C8A"/>
    <w:rsid w:val="00305C2F"/>
    <w:rsid w:val="00306675"/>
    <w:rsid w:val="00306C16"/>
    <w:rsid w:val="00306DA5"/>
    <w:rsid w:val="0030736D"/>
    <w:rsid w:val="003075D4"/>
    <w:rsid w:val="0030762D"/>
    <w:rsid w:val="003078F9"/>
    <w:rsid w:val="0031044F"/>
    <w:rsid w:val="0031076C"/>
    <w:rsid w:val="00310CAD"/>
    <w:rsid w:val="00310DF9"/>
    <w:rsid w:val="00311CD8"/>
    <w:rsid w:val="0031247E"/>
    <w:rsid w:val="003124D2"/>
    <w:rsid w:val="00312C31"/>
    <w:rsid w:val="00312E58"/>
    <w:rsid w:val="00313394"/>
    <w:rsid w:val="00313CE9"/>
    <w:rsid w:val="00314533"/>
    <w:rsid w:val="003148B7"/>
    <w:rsid w:val="00315806"/>
    <w:rsid w:val="0031583D"/>
    <w:rsid w:val="00315EC4"/>
    <w:rsid w:val="00316C08"/>
    <w:rsid w:val="003172AC"/>
    <w:rsid w:val="00317532"/>
    <w:rsid w:val="00317601"/>
    <w:rsid w:val="0031760D"/>
    <w:rsid w:val="00317B1A"/>
    <w:rsid w:val="003205FB"/>
    <w:rsid w:val="00320E2C"/>
    <w:rsid w:val="003212D7"/>
    <w:rsid w:val="00321F0E"/>
    <w:rsid w:val="00322138"/>
    <w:rsid w:val="00322C58"/>
    <w:rsid w:val="00322EE4"/>
    <w:rsid w:val="00323C7D"/>
    <w:rsid w:val="00323EB6"/>
    <w:rsid w:val="0032415B"/>
    <w:rsid w:val="00324233"/>
    <w:rsid w:val="003247DE"/>
    <w:rsid w:val="00325190"/>
    <w:rsid w:val="0032541E"/>
    <w:rsid w:val="00325F4D"/>
    <w:rsid w:val="003262EB"/>
    <w:rsid w:val="003263F6"/>
    <w:rsid w:val="0032674F"/>
    <w:rsid w:val="003272F0"/>
    <w:rsid w:val="00330449"/>
    <w:rsid w:val="0033048D"/>
    <w:rsid w:val="003310E7"/>
    <w:rsid w:val="00331E0E"/>
    <w:rsid w:val="003324D4"/>
    <w:rsid w:val="00332702"/>
    <w:rsid w:val="00332A49"/>
    <w:rsid w:val="00332C20"/>
    <w:rsid w:val="00332C74"/>
    <w:rsid w:val="00333E29"/>
    <w:rsid w:val="003343EA"/>
    <w:rsid w:val="003347AA"/>
    <w:rsid w:val="003359CA"/>
    <w:rsid w:val="00335CFE"/>
    <w:rsid w:val="00336078"/>
    <w:rsid w:val="00336342"/>
    <w:rsid w:val="00336974"/>
    <w:rsid w:val="00337052"/>
    <w:rsid w:val="00337C14"/>
    <w:rsid w:val="00340468"/>
    <w:rsid w:val="0034090B"/>
    <w:rsid w:val="00341497"/>
    <w:rsid w:val="003417A7"/>
    <w:rsid w:val="0034214F"/>
    <w:rsid w:val="003429CA"/>
    <w:rsid w:val="00342D51"/>
    <w:rsid w:val="00342DB3"/>
    <w:rsid w:val="003431B5"/>
    <w:rsid w:val="0034410E"/>
    <w:rsid w:val="0034422F"/>
    <w:rsid w:val="00344AB6"/>
    <w:rsid w:val="00344D00"/>
    <w:rsid w:val="00345070"/>
    <w:rsid w:val="0034609D"/>
    <w:rsid w:val="00346285"/>
    <w:rsid w:val="00346481"/>
    <w:rsid w:val="0034691B"/>
    <w:rsid w:val="003469FB"/>
    <w:rsid w:val="003473D5"/>
    <w:rsid w:val="003477F2"/>
    <w:rsid w:val="00347C3A"/>
    <w:rsid w:val="00347E49"/>
    <w:rsid w:val="003503F3"/>
    <w:rsid w:val="0035097E"/>
    <w:rsid w:val="00350A7D"/>
    <w:rsid w:val="0035138B"/>
    <w:rsid w:val="00351638"/>
    <w:rsid w:val="0035187B"/>
    <w:rsid w:val="00352082"/>
    <w:rsid w:val="003524DF"/>
    <w:rsid w:val="00352AD7"/>
    <w:rsid w:val="0035364C"/>
    <w:rsid w:val="00353906"/>
    <w:rsid w:val="00353928"/>
    <w:rsid w:val="003548BC"/>
    <w:rsid w:val="00354E8A"/>
    <w:rsid w:val="003557A1"/>
    <w:rsid w:val="0035684E"/>
    <w:rsid w:val="00356F7B"/>
    <w:rsid w:val="00356F8B"/>
    <w:rsid w:val="003573CF"/>
    <w:rsid w:val="00357699"/>
    <w:rsid w:val="0035797F"/>
    <w:rsid w:val="00357F55"/>
    <w:rsid w:val="003600E6"/>
    <w:rsid w:val="003601FB"/>
    <w:rsid w:val="003606C9"/>
    <w:rsid w:val="00360EEB"/>
    <w:rsid w:val="003614F0"/>
    <w:rsid w:val="003617C8"/>
    <w:rsid w:val="00361C27"/>
    <w:rsid w:val="00362688"/>
    <w:rsid w:val="00363027"/>
    <w:rsid w:val="00363032"/>
    <w:rsid w:val="0036311D"/>
    <w:rsid w:val="00363613"/>
    <w:rsid w:val="003637AF"/>
    <w:rsid w:val="003641AA"/>
    <w:rsid w:val="0036428F"/>
    <w:rsid w:val="00364396"/>
    <w:rsid w:val="00364C25"/>
    <w:rsid w:val="00364D02"/>
    <w:rsid w:val="00365677"/>
    <w:rsid w:val="003656C8"/>
    <w:rsid w:val="0036597C"/>
    <w:rsid w:val="00365CDD"/>
    <w:rsid w:val="00366BC6"/>
    <w:rsid w:val="003676B8"/>
    <w:rsid w:val="00367B96"/>
    <w:rsid w:val="00370276"/>
    <w:rsid w:val="00370407"/>
    <w:rsid w:val="003712C2"/>
    <w:rsid w:val="00371CDB"/>
    <w:rsid w:val="00371E75"/>
    <w:rsid w:val="00373730"/>
    <w:rsid w:val="00373894"/>
    <w:rsid w:val="00373B3C"/>
    <w:rsid w:val="00373C6B"/>
    <w:rsid w:val="00373EC6"/>
    <w:rsid w:val="00373F14"/>
    <w:rsid w:val="0037470F"/>
    <w:rsid w:val="00374770"/>
    <w:rsid w:val="00374EB5"/>
    <w:rsid w:val="00374F58"/>
    <w:rsid w:val="003753FF"/>
    <w:rsid w:val="00375568"/>
    <w:rsid w:val="003758CC"/>
    <w:rsid w:val="00375B11"/>
    <w:rsid w:val="00375DF8"/>
    <w:rsid w:val="00375E90"/>
    <w:rsid w:val="003767B6"/>
    <w:rsid w:val="00376B2B"/>
    <w:rsid w:val="00377189"/>
    <w:rsid w:val="00377D34"/>
    <w:rsid w:val="00377D41"/>
    <w:rsid w:val="0038022D"/>
    <w:rsid w:val="0038079F"/>
    <w:rsid w:val="00380BD5"/>
    <w:rsid w:val="00380D69"/>
    <w:rsid w:val="00381EC2"/>
    <w:rsid w:val="0038230C"/>
    <w:rsid w:val="003834D2"/>
    <w:rsid w:val="00384207"/>
    <w:rsid w:val="0038438E"/>
    <w:rsid w:val="003845C8"/>
    <w:rsid w:val="0038486E"/>
    <w:rsid w:val="0038495E"/>
    <w:rsid w:val="003849AA"/>
    <w:rsid w:val="00384F6E"/>
    <w:rsid w:val="00385442"/>
    <w:rsid w:val="003855F0"/>
    <w:rsid w:val="003863E0"/>
    <w:rsid w:val="00386D4B"/>
    <w:rsid w:val="00387661"/>
    <w:rsid w:val="0038773E"/>
    <w:rsid w:val="00387BF2"/>
    <w:rsid w:val="003901BD"/>
    <w:rsid w:val="0039052A"/>
    <w:rsid w:val="00390592"/>
    <w:rsid w:val="003910CB"/>
    <w:rsid w:val="00391314"/>
    <w:rsid w:val="00391F73"/>
    <w:rsid w:val="0039207B"/>
    <w:rsid w:val="0039334C"/>
    <w:rsid w:val="0039357C"/>
    <w:rsid w:val="003939F7"/>
    <w:rsid w:val="003941AB"/>
    <w:rsid w:val="00394F62"/>
    <w:rsid w:val="00395096"/>
    <w:rsid w:val="003959B5"/>
    <w:rsid w:val="00396276"/>
    <w:rsid w:val="00396412"/>
    <w:rsid w:val="00397148"/>
    <w:rsid w:val="00397D95"/>
    <w:rsid w:val="00397FB0"/>
    <w:rsid w:val="003A0D58"/>
    <w:rsid w:val="003A183E"/>
    <w:rsid w:val="003A21B3"/>
    <w:rsid w:val="003A28F9"/>
    <w:rsid w:val="003A2921"/>
    <w:rsid w:val="003A2988"/>
    <w:rsid w:val="003A2A1D"/>
    <w:rsid w:val="003A2C81"/>
    <w:rsid w:val="003A3091"/>
    <w:rsid w:val="003A3B16"/>
    <w:rsid w:val="003A3DBF"/>
    <w:rsid w:val="003A3E0F"/>
    <w:rsid w:val="003A451E"/>
    <w:rsid w:val="003A4979"/>
    <w:rsid w:val="003A5064"/>
    <w:rsid w:val="003A64F0"/>
    <w:rsid w:val="003A6851"/>
    <w:rsid w:val="003A69D0"/>
    <w:rsid w:val="003A6A3F"/>
    <w:rsid w:val="003A6CF6"/>
    <w:rsid w:val="003A705A"/>
    <w:rsid w:val="003A7CC8"/>
    <w:rsid w:val="003B07AD"/>
    <w:rsid w:val="003B0E09"/>
    <w:rsid w:val="003B0E20"/>
    <w:rsid w:val="003B1B0E"/>
    <w:rsid w:val="003B2023"/>
    <w:rsid w:val="003B2831"/>
    <w:rsid w:val="003B2B52"/>
    <w:rsid w:val="003B2D7A"/>
    <w:rsid w:val="003B320F"/>
    <w:rsid w:val="003B3271"/>
    <w:rsid w:val="003B3439"/>
    <w:rsid w:val="003B46F4"/>
    <w:rsid w:val="003B4904"/>
    <w:rsid w:val="003B4AC8"/>
    <w:rsid w:val="003B4B78"/>
    <w:rsid w:val="003B4E4B"/>
    <w:rsid w:val="003B4F43"/>
    <w:rsid w:val="003B5008"/>
    <w:rsid w:val="003B5CD9"/>
    <w:rsid w:val="003B61F6"/>
    <w:rsid w:val="003B6243"/>
    <w:rsid w:val="003B6254"/>
    <w:rsid w:val="003B6AD3"/>
    <w:rsid w:val="003B6F53"/>
    <w:rsid w:val="003B704F"/>
    <w:rsid w:val="003B70A7"/>
    <w:rsid w:val="003B7BC4"/>
    <w:rsid w:val="003B7BC5"/>
    <w:rsid w:val="003B7E9D"/>
    <w:rsid w:val="003C06A1"/>
    <w:rsid w:val="003C0E50"/>
    <w:rsid w:val="003C14CA"/>
    <w:rsid w:val="003C1642"/>
    <w:rsid w:val="003C2345"/>
    <w:rsid w:val="003C2A86"/>
    <w:rsid w:val="003C2BAA"/>
    <w:rsid w:val="003C33B2"/>
    <w:rsid w:val="003C365B"/>
    <w:rsid w:val="003C39A1"/>
    <w:rsid w:val="003C4846"/>
    <w:rsid w:val="003C4BC3"/>
    <w:rsid w:val="003C4CF3"/>
    <w:rsid w:val="003C5B30"/>
    <w:rsid w:val="003C60DD"/>
    <w:rsid w:val="003C72E4"/>
    <w:rsid w:val="003C7679"/>
    <w:rsid w:val="003D03E2"/>
    <w:rsid w:val="003D0743"/>
    <w:rsid w:val="003D0879"/>
    <w:rsid w:val="003D17B9"/>
    <w:rsid w:val="003D1AE6"/>
    <w:rsid w:val="003D2339"/>
    <w:rsid w:val="003D2C2D"/>
    <w:rsid w:val="003D32A8"/>
    <w:rsid w:val="003D3521"/>
    <w:rsid w:val="003D3609"/>
    <w:rsid w:val="003D3E87"/>
    <w:rsid w:val="003D43BB"/>
    <w:rsid w:val="003D47E7"/>
    <w:rsid w:val="003D4C92"/>
    <w:rsid w:val="003D532C"/>
    <w:rsid w:val="003D5340"/>
    <w:rsid w:val="003D53C8"/>
    <w:rsid w:val="003D5995"/>
    <w:rsid w:val="003D629E"/>
    <w:rsid w:val="003D63B1"/>
    <w:rsid w:val="003D648A"/>
    <w:rsid w:val="003D653C"/>
    <w:rsid w:val="003D6E88"/>
    <w:rsid w:val="003D74F9"/>
    <w:rsid w:val="003D7FEF"/>
    <w:rsid w:val="003E081D"/>
    <w:rsid w:val="003E09E0"/>
    <w:rsid w:val="003E10D4"/>
    <w:rsid w:val="003E1A04"/>
    <w:rsid w:val="003E1BA2"/>
    <w:rsid w:val="003E4146"/>
    <w:rsid w:val="003E453C"/>
    <w:rsid w:val="003E5649"/>
    <w:rsid w:val="003E701F"/>
    <w:rsid w:val="003E7139"/>
    <w:rsid w:val="003F03EE"/>
    <w:rsid w:val="003F0A6F"/>
    <w:rsid w:val="003F1079"/>
    <w:rsid w:val="003F1214"/>
    <w:rsid w:val="003F1964"/>
    <w:rsid w:val="003F1A4C"/>
    <w:rsid w:val="003F2381"/>
    <w:rsid w:val="003F2619"/>
    <w:rsid w:val="003F2988"/>
    <w:rsid w:val="003F2D7F"/>
    <w:rsid w:val="003F3303"/>
    <w:rsid w:val="003F3326"/>
    <w:rsid w:val="003F36CC"/>
    <w:rsid w:val="003F3B8B"/>
    <w:rsid w:val="003F3F33"/>
    <w:rsid w:val="003F469A"/>
    <w:rsid w:val="003F4918"/>
    <w:rsid w:val="003F511D"/>
    <w:rsid w:val="003F54D7"/>
    <w:rsid w:val="003F574F"/>
    <w:rsid w:val="003F604E"/>
    <w:rsid w:val="003F6424"/>
    <w:rsid w:val="003F6D82"/>
    <w:rsid w:val="003F6DBA"/>
    <w:rsid w:val="003F71B3"/>
    <w:rsid w:val="003F7A58"/>
    <w:rsid w:val="003F7AF0"/>
    <w:rsid w:val="00400E14"/>
    <w:rsid w:val="00401171"/>
    <w:rsid w:val="0040121D"/>
    <w:rsid w:val="00401E55"/>
    <w:rsid w:val="00401E91"/>
    <w:rsid w:val="00402011"/>
    <w:rsid w:val="00402184"/>
    <w:rsid w:val="00402185"/>
    <w:rsid w:val="00402994"/>
    <w:rsid w:val="00402B5D"/>
    <w:rsid w:val="00402B67"/>
    <w:rsid w:val="00402FCF"/>
    <w:rsid w:val="00403365"/>
    <w:rsid w:val="00404607"/>
    <w:rsid w:val="00404B79"/>
    <w:rsid w:val="00404BAA"/>
    <w:rsid w:val="00404E38"/>
    <w:rsid w:val="00405730"/>
    <w:rsid w:val="004057C4"/>
    <w:rsid w:val="00405D77"/>
    <w:rsid w:val="00407220"/>
    <w:rsid w:val="00407608"/>
    <w:rsid w:val="0041030A"/>
    <w:rsid w:val="00410530"/>
    <w:rsid w:val="00410DA9"/>
    <w:rsid w:val="004115FA"/>
    <w:rsid w:val="00411E17"/>
    <w:rsid w:val="0041296E"/>
    <w:rsid w:val="00412F56"/>
    <w:rsid w:val="0041318A"/>
    <w:rsid w:val="00413264"/>
    <w:rsid w:val="00413892"/>
    <w:rsid w:val="00413ADE"/>
    <w:rsid w:val="0041471D"/>
    <w:rsid w:val="00414987"/>
    <w:rsid w:val="00414C42"/>
    <w:rsid w:val="00414D19"/>
    <w:rsid w:val="00414D5E"/>
    <w:rsid w:val="00415022"/>
    <w:rsid w:val="00415A51"/>
    <w:rsid w:val="0041625A"/>
    <w:rsid w:val="004168D0"/>
    <w:rsid w:val="00416960"/>
    <w:rsid w:val="004169C3"/>
    <w:rsid w:val="00416AA9"/>
    <w:rsid w:val="004179AC"/>
    <w:rsid w:val="00417AEB"/>
    <w:rsid w:val="00420ED6"/>
    <w:rsid w:val="004213A7"/>
    <w:rsid w:val="004220E6"/>
    <w:rsid w:val="0042229F"/>
    <w:rsid w:val="004222A0"/>
    <w:rsid w:val="004228DA"/>
    <w:rsid w:val="00422DAD"/>
    <w:rsid w:val="004230A1"/>
    <w:rsid w:val="00423C2D"/>
    <w:rsid w:val="00424133"/>
    <w:rsid w:val="004249C7"/>
    <w:rsid w:val="00424C9A"/>
    <w:rsid w:val="0042772F"/>
    <w:rsid w:val="00427BB2"/>
    <w:rsid w:val="00427BE8"/>
    <w:rsid w:val="00427D20"/>
    <w:rsid w:val="00427D94"/>
    <w:rsid w:val="00427DD2"/>
    <w:rsid w:val="00430200"/>
    <w:rsid w:val="00430545"/>
    <w:rsid w:val="004305B2"/>
    <w:rsid w:val="0043062F"/>
    <w:rsid w:val="004309E9"/>
    <w:rsid w:val="00431F1C"/>
    <w:rsid w:val="00432AF8"/>
    <w:rsid w:val="00432DCE"/>
    <w:rsid w:val="004336A2"/>
    <w:rsid w:val="00433E74"/>
    <w:rsid w:val="004340F7"/>
    <w:rsid w:val="004341A3"/>
    <w:rsid w:val="004346DD"/>
    <w:rsid w:val="00434D80"/>
    <w:rsid w:val="00434E05"/>
    <w:rsid w:val="00434F67"/>
    <w:rsid w:val="0043522C"/>
    <w:rsid w:val="00435389"/>
    <w:rsid w:val="00436697"/>
    <w:rsid w:val="004368BD"/>
    <w:rsid w:val="00436960"/>
    <w:rsid w:val="00436A65"/>
    <w:rsid w:val="00436C74"/>
    <w:rsid w:val="004372FB"/>
    <w:rsid w:val="00437633"/>
    <w:rsid w:val="00437655"/>
    <w:rsid w:val="00437E66"/>
    <w:rsid w:val="00440753"/>
    <w:rsid w:val="00440AB2"/>
    <w:rsid w:val="00440D9C"/>
    <w:rsid w:val="004411D2"/>
    <w:rsid w:val="00442CD5"/>
    <w:rsid w:val="004432E8"/>
    <w:rsid w:val="0044354D"/>
    <w:rsid w:val="00443578"/>
    <w:rsid w:val="004437EF"/>
    <w:rsid w:val="00443A95"/>
    <w:rsid w:val="00443B53"/>
    <w:rsid w:val="0044407D"/>
    <w:rsid w:val="0044561F"/>
    <w:rsid w:val="00445EEE"/>
    <w:rsid w:val="00446C16"/>
    <w:rsid w:val="00446CB8"/>
    <w:rsid w:val="00446F43"/>
    <w:rsid w:val="0044707A"/>
    <w:rsid w:val="00447470"/>
    <w:rsid w:val="00447C20"/>
    <w:rsid w:val="00447D64"/>
    <w:rsid w:val="00447EE7"/>
    <w:rsid w:val="0045219E"/>
    <w:rsid w:val="004523C3"/>
    <w:rsid w:val="00452B4B"/>
    <w:rsid w:val="00453576"/>
    <w:rsid w:val="00453920"/>
    <w:rsid w:val="00453A34"/>
    <w:rsid w:val="00453A7C"/>
    <w:rsid w:val="00453BF0"/>
    <w:rsid w:val="00453E87"/>
    <w:rsid w:val="004548DA"/>
    <w:rsid w:val="00455A9D"/>
    <w:rsid w:val="00455E8C"/>
    <w:rsid w:val="0045627C"/>
    <w:rsid w:val="004567BA"/>
    <w:rsid w:val="00457360"/>
    <w:rsid w:val="0045744C"/>
    <w:rsid w:val="00457786"/>
    <w:rsid w:val="00457B3E"/>
    <w:rsid w:val="00457E36"/>
    <w:rsid w:val="00460174"/>
    <w:rsid w:val="004603BF"/>
    <w:rsid w:val="004603F5"/>
    <w:rsid w:val="00461118"/>
    <w:rsid w:val="004615B4"/>
    <w:rsid w:val="004615F4"/>
    <w:rsid w:val="004615FF"/>
    <w:rsid w:val="00461D80"/>
    <w:rsid w:val="00462035"/>
    <w:rsid w:val="0046240F"/>
    <w:rsid w:val="00463261"/>
    <w:rsid w:val="004636F2"/>
    <w:rsid w:val="0046373E"/>
    <w:rsid w:val="00463B61"/>
    <w:rsid w:val="00463C89"/>
    <w:rsid w:val="00463C8F"/>
    <w:rsid w:val="00463D60"/>
    <w:rsid w:val="00463E0F"/>
    <w:rsid w:val="00463FAC"/>
    <w:rsid w:val="00464326"/>
    <w:rsid w:val="00464AA4"/>
    <w:rsid w:val="00464ADE"/>
    <w:rsid w:val="00466593"/>
    <w:rsid w:val="00466FF1"/>
    <w:rsid w:val="00466FF6"/>
    <w:rsid w:val="00467180"/>
    <w:rsid w:val="00467302"/>
    <w:rsid w:val="00467438"/>
    <w:rsid w:val="004677B1"/>
    <w:rsid w:val="00467B85"/>
    <w:rsid w:val="00467F76"/>
    <w:rsid w:val="0047071E"/>
    <w:rsid w:val="00470D76"/>
    <w:rsid w:val="00470E91"/>
    <w:rsid w:val="00471A88"/>
    <w:rsid w:val="00472659"/>
    <w:rsid w:val="004728C4"/>
    <w:rsid w:val="00473D20"/>
    <w:rsid w:val="00473F56"/>
    <w:rsid w:val="004747F8"/>
    <w:rsid w:val="00474EB8"/>
    <w:rsid w:val="00475940"/>
    <w:rsid w:val="00475ABB"/>
    <w:rsid w:val="004763DE"/>
    <w:rsid w:val="00476514"/>
    <w:rsid w:val="004765B1"/>
    <w:rsid w:val="00476742"/>
    <w:rsid w:val="004768BE"/>
    <w:rsid w:val="00476BDD"/>
    <w:rsid w:val="00476BFD"/>
    <w:rsid w:val="00477140"/>
    <w:rsid w:val="0047745D"/>
    <w:rsid w:val="00477F83"/>
    <w:rsid w:val="00480B3A"/>
    <w:rsid w:val="00480D36"/>
    <w:rsid w:val="00481133"/>
    <w:rsid w:val="00481234"/>
    <w:rsid w:val="00481459"/>
    <w:rsid w:val="00482081"/>
    <w:rsid w:val="004828AC"/>
    <w:rsid w:val="004834DF"/>
    <w:rsid w:val="00483717"/>
    <w:rsid w:val="004839B6"/>
    <w:rsid w:val="00483B87"/>
    <w:rsid w:val="00484685"/>
    <w:rsid w:val="00484C66"/>
    <w:rsid w:val="00484E04"/>
    <w:rsid w:val="00485228"/>
    <w:rsid w:val="00485CFD"/>
    <w:rsid w:val="00485E7F"/>
    <w:rsid w:val="00486173"/>
    <w:rsid w:val="004864A8"/>
    <w:rsid w:val="004866A1"/>
    <w:rsid w:val="00486742"/>
    <w:rsid w:val="00486F51"/>
    <w:rsid w:val="004878B1"/>
    <w:rsid w:val="004900DA"/>
    <w:rsid w:val="0049017E"/>
    <w:rsid w:val="00490FBB"/>
    <w:rsid w:val="00491F7D"/>
    <w:rsid w:val="00492260"/>
    <w:rsid w:val="00492DFC"/>
    <w:rsid w:val="00493799"/>
    <w:rsid w:val="00493837"/>
    <w:rsid w:val="0049404A"/>
    <w:rsid w:val="0049434C"/>
    <w:rsid w:val="00494830"/>
    <w:rsid w:val="00494A68"/>
    <w:rsid w:val="00494B15"/>
    <w:rsid w:val="00494B3B"/>
    <w:rsid w:val="00494FC8"/>
    <w:rsid w:val="00495892"/>
    <w:rsid w:val="00495F13"/>
    <w:rsid w:val="004963E8"/>
    <w:rsid w:val="0049712C"/>
    <w:rsid w:val="00497197"/>
    <w:rsid w:val="004972FE"/>
    <w:rsid w:val="00497304"/>
    <w:rsid w:val="004A03C4"/>
    <w:rsid w:val="004A07C0"/>
    <w:rsid w:val="004A0C84"/>
    <w:rsid w:val="004A0E3E"/>
    <w:rsid w:val="004A0F38"/>
    <w:rsid w:val="004A2C93"/>
    <w:rsid w:val="004A31E6"/>
    <w:rsid w:val="004A36EE"/>
    <w:rsid w:val="004A38D7"/>
    <w:rsid w:val="004A3AE7"/>
    <w:rsid w:val="004A3E94"/>
    <w:rsid w:val="004A414C"/>
    <w:rsid w:val="004A4216"/>
    <w:rsid w:val="004A46B4"/>
    <w:rsid w:val="004A4796"/>
    <w:rsid w:val="004A50AC"/>
    <w:rsid w:val="004A649D"/>
    <w:rsid w:val="004A68F1"/>
    <w:rsid w:val="004A696D"/>
    <w:rsid w:val="004A6A48"/>
    <w:rsid w:val="004A7068"/>
    <w:rsid w:val="004A7406"/>
    <w:rsid w:val="004B05E2"/>
    <w:rsid w:val="004B0CF7"/>
    <w:rsid w:val="004B1155"/>
    <w:rsid w:val="004B12AC"/>
    <w:rsid w:val="004B14DD"/>
    <w:rsid w:val="004B14E8"/>
    <w:rsid w:val="004B1A4E"/>
    <w:rsid w:val="004B1C8D"/>
    <w:rsid w:val="004B2821"/>
    <w:rsid w:val="004B2CD0"/>
    <w:rsid w:val="004B2FAF"/>
    <w:rsid w:val="004B329D"/>
    <w:rsid w:val="004B32D3"/>
    <w:rsid w:val="004B34B0"/>
    <w:rsid w:val="004B37F6"/>
    <w:rsid w:val="004B3DA6"/>
    <w:rsid w:val="004B4277"/>
    <w:rsid w:val="004B4E84"/>
    <w:rsid w:val="004B4E90"/>
    <w:rsid w:val="004B4F16"/>
    <w:rsid w:val="004B5659"/>
    <w:rsid w:val="004B5981"/>
    <w:rsid w:val="004B5BAF"/>
    <w:rsid w:val="004B609C"/>
    <w:rsid w:val="004B6D5F"/>
    <w:rsid w:val="004B70E4"/>
    <w:rsid w:val="004B72A2"/>
    <w:rsid w:val="004B7458"/>
    <w:rsid w:val="004B7536"/>
    <w:rsid w:val="004B7815"/>
    <w:rsid w:val="004B798B"/>
    <w:rsid w:val="004B7D55"/>
    <w:rsid w:val="004B7F12"/>
    <w:rsid w:val="004C044B"/>
    <w:rsid w:val="004C0C28"/>
    <w:rsid w:val="004C0E2F"/>
    <w:rsid w:val="004C130A"/>
    <w:rsid w:val="004C144F"/>
    <w:rsid w:val="004C14EC"/>
    <w:rsid w:val="004C1EF3"/>
    <w:rsid w:val="004C21A0"/>
    <w:rsid w:val="004C233D"/>
    <w:rsid w:val="004C25E2"/>
    <w:rsid w:val="004C35BF"/>
    <w:rsid w:val="004C3965"/>
    <w:rsid w:val="004C401B"/>
    <w:rsid w:val="004C4029"/>
    <w:rsid w:val="004C4046"/>
    <w:rsid w:val="004C5423"/>
    <w:rsid w:val="004C5815"/>
    <w:rsid w:val="004C5AE5"/>
    <w:rsid w:val="004C6314"/>
    <w:rsid w:val="004C65C9"/>
    <w:rsid w:val="004C6902"/>
    <w:rsid w:val="004C709E"/>
    <w:rsid w:val="004C711F"/>
    <w:rsid w:val="004C72AC"/>
    <w:rsid w:val="004C74F9"/>
    <w:rsid w:val="004C75D0"/>
    <w:rsid w:val="004C75F8"/>
    <w:rsid w:val="004C7756"/>
    <w:rsid w:val="004D0925"/>
    <w:rsid w:val="004D12D6"/>
    <w:rsid w:val="004D1C18"/>
    <w:rsid w:val="004D265D"/>
    <w:rsid w:val="004D28BA"/>
    <w:rsid w:val="004D2BE6"/>
    <w:rsid w:val="004D2F66"/>
    <w:rsid w:val="004D3347"/>
    <w:rsid w:val="004D455A"/>
    <w:rsid w:val="004D4A61"/>
    <w:rsid w:val="004D4C6C"/>
    <w:rsid w:val="004D4E01"/>
    <w:rsid w:val="004D4FD4"/>
    <w:rsid w:val="004D5037"/>
    <w:rsid w:val="004D6376"/>
    <w:rsid w:val="004D6DB7"/>
    <w:rsid w:val="004D75F7"/>
    <w:rsid w:val="004D7BD8"/>
    <w:rsid w:val="004E01B1"/>
    <w:rsid w:val="004E06F0"/>
    <w:rsid w:val="004E0BCB"/>
    <w:rsid w:val="004E1A80"/>
    <w:rsid w:val="004E1C13"/>
    <w:rsid w:val="004E1D64"/>
    <w:rsid w:val="004E276E"/>
    <w:rsid w:val="004E28E2"/>
    <w:rsid w:val="004E2C87"/>
    <w:rsid w:val="004E2D92"/>
    <w:rsid w:val="004E3118"/>
    <w:rsid w:val="004E4467"/>
    <w:rsid w:val="004E4FD0"/>
    <w:rsid w:val="004E51B7"/>
    <w:rsid w:val="004E5B50"/>
    <w:rsid w:val="004E5D3E"/>
    <w:rsid w:val="004E5D68"/>
    <w:rsid w:val="004E5DB2"/>
    <w:rsid w:val="004E5EE9"/>
    <w:rsid w:val="004E612C"/>
    <w:rsid w:val="004E687F"/>
    <w:rsid w:val="004E6B06"/>
    <w:rsid w:val="004E6FA3"/>
    <w:rsid w:val="004E743F"/>
    <w:rsid w:val="004F00CF"/>
    <w:rsid w:val="004F03B5"/>
    <w:rsid w:val="004F0476"/>
    <w:rsid w:val="004F095F"/>
    <w:rsid w:val="004F0E72"/>
    <w:rsid w:val="004F1042"/>
    <w:rsid w:val="004F117F"/>
    <w:rsid w:val="004F1444"/>
    <w:rsid w:val="004F14D2"/>
    <w:rsid w:val="004F1753"/>
    <w:rsid w:val="004F2C5D"/>
    <w:rsid w:val="004F436D"/>
    <w:rsid w:val="004F45D1"/>
    <w:rsid w:val="004F49BB"/>
    <w:rsid w:val="004F4F0F"/>
    <w:rsid w:val="004F586C"/>
    <w:rsid w:val="004F5A69"/>
    <w:rsid w:val="004F5B66"/>
    <w:rsid w:val="004F5CB5"/>
    <w:rsid w:val="004F60A5"/>
    <w:rsid w:val="004F6439"/>
    <w:rsid w:val="004F6B40"/>
    <w:rsid w:val="004F72D9"/>
    <w:rsid w:val="004F7837"/>
    <w:rsid w:val="004F7ABD"/>
    <w:rsid w:val="004F7E72"/>
    <w:rsid w:val="0050024F"/>
    <w:rsid w:val="00500DF1"/>
    <w:rsid w:val="00500FC5"/>
    <w:rsid w:val="00502027"/>
    <w:rsid w:val="005028FD"/>
    <w:rsid w:val="00502E50"/>
    <w:rsid w:val="00502F2C"/>
    <w:rsid w:val="005037A3"/>
    <w:rsid w:val="00503B05"/>
    <w:rsid w:val="00504419"/>
    <w:rsid w:val="00505119"/>
    <w:rsid w:val="00505460"/>
    <w:rsid w:val="005055AD"/>
    <w:rsid w:val="00505612"/>
    <w:rsid w:val="005059E6"/>
    <w:rsid w:val="00506049"/>
    <w:rsid w:val="0050613C"/>
    <w:rsid w:val="005066B3"/>
    <w:rsid w:val="005067CE"/>
    <w:rsid w:val="005069FD"/>
    <w:rsid w:val="00507127"/>
    <w:rsid w:val="00507583"/>
    <w:rsid w:val="0050797D"/>
    <w:rsid w:val="00507AF7"/>
    <w:rsid w:val="00507D1B"/>
    <w:rsid w:val="00510A60"/>
    <w:rsid w:val="005116DA"/>
    <w:rsid w:val="00512150"/>
    <w:rsid w:val="005121CE"/>
    <w:rsid w:val="005126FB"/>
    <w:rsid w:val="005129A8"/>
    <w:rsid w:val="00512C4F"/>
    <w:rsid w:val="00512CFE"/>
    <w:rsid w:val="005139AA"/>
    <w:rsid w:val="00513CD6"/>
    <w:rsid w:val="00514499"/>
    <w:rsid w:val="00514B07"/>
    <w:rsid w:val="0051535A"/>
    <w:rsid w:val="005154B2"/>
    <w:rsid w:val="00515C1A"/>
    <w:rsid w:val="0051621E"/>
    <w:rsid w:val="0051631D"/>
    <w:rsid w:val="00516A8D"/>
    <w:rsid w:val="005171D3"/>
    <w:rsid w:val="0051E9EB"/>
    <w:rsid w:val="0052054D"/>
    <w:rsid w:val="005205A3"/>
    <w:rsid w:val="00520647"/>
    <w:rsid w:val="005209C9"/>
    <w:rsid w:val="00520AE1"/>
    <w:rsid w:val="00520B82"/>
    <w:rsid w:val="00520F9D"/>
    <w:rsid w:val="00521874"/>
    <w:rsid w:val="0052192C"/>
    <w:rsid w:val="00521A39"/>
    <w:rsid w:val="00521BFB"/>
    <w:rsid w:val="00522195"/>
    <w:rsid w:val="0052318B"/>
    <w:rsid w:val="0052375E"/>
    <w:rsid w:val="005237CF"/>
    <w:rsid w:val="00523EFA"/>
    <w:rsid w:val="00524442"/>
    <w:rsid w:val="00524B46"/>
    <w:rsid w:val="00524C4E"/>
    <w:rsid w:val="00525032"/>
    <w:rsid w:val="005258AE"/>
    <w:rsid w:val="00525E3E"/>
    <w:rsid w:val="00526453"/>
    <w:rsid w:val="005266B4"/>
    <w:rsid w:val="00526A55"/>
    <w:rsid w:val="00526C23"/>
    <w:rsid w:val="005271E7"/>
    <w:rsid w:val="00527383"/>
    <w:rsid w:val="0052768C"/>
    <w:rsid w:val="00527708"/>
    <w:rsid w:val="005278A1"/>
    <w:rsid w:val="00527C15"/>
    <w:rsid w:val="0053009E"/>
    <w:rsid w:val="0053039A"/>
    <w:rsid w:val="00530C0C"/>
    <w:rsid w:val="00530E0E"/>
    <w:rsid w:val="005310FD"/>
    <w:rsid w:val="00531801"/>
    <w:rsid w:val="00532E77"/>
    <w:rsid w:val="00532F0D"/>
    <w:rsid w:val="00532F26"/>
    <w:rsid w:val="00533213"/>
    <w:rsid w:val="005338A4"/>
    <w:rsid w:val="00533A4E"/>
    <w:rsid w:val="00533F7D"/>
    <w:rsid w:val="005344C1"/>
    <w:rsid w:val="005347F5"/>
    <w:rsid w:val="00534808"/>
    <w:rsid w:val="00534887"/>
    <w:rsid w:val="00534C27"/>
    <w:rsid w:val="00536766"/>
    <w:rsid w:val="00536834"/>
    <w:rsid w:val="00536A4F"/>
    <w:rsid w:val="00536C3E"/>
    <w:rsid w:val="00536ED7"/>
    <w:rsid w:val="00536F37"/>
    <w:rsid w:val="0053730F"/>
    <w:rsid w:val="005379DB"/>
    <w:rsid w:val="00537A4E"/>
    <w:rsid w:val="00537BB7"/>
    <w:rsid w:val="00537FE8"/>
    <w:rsid w:val="00537FF3"/>
    <w:rsid w:val="00540AC6"/>
    <w:rsid w:val="00540AEA"/>
    <w:rsid w:val="00540C87"/>
    <w:rsid w:val="00541186"/>
    <w:rsid w:val="00541866"/>
    <w:rsid w:val="005419F1"/>
    <w:rsid w:val="00541B60"/>
    <w:rsid w:val="005421FD"/>
    <w:rsid w:val="00542568"/>
    <w:rsid w:val="00543A19"/>
    <w:rsid w:val="00543B21"/>
    <w:rsid w:val="00543C9C"/>
    <w:rsid w:val="005449DC"/>
    <w:rsid w:val="00544AF9"/>
    <w:rsid w:val="00544BC9"/>
    <w:rsid w:val="005452A4"/>
    <w:rsid w:val="005452F3"/>
    <w:rsid w:val="005457D5"/>
    <w:rsid w:val="005457F1"/>
    <w:rsid w:val="00545920"/>
    <w:rsid w:val="005461F6"/>
    <w:rsid w:val="00546D50"/>
    <w:rsid w:val="005475BD"/>
    <w:rsid w:val="005501CD"/>
    <w:rsid w:val="0055074A"/>
    <w:rsid w:val="0055123F"/>
    <w:rsid w:val="005512CE"/>
    <w:rsid w:val="00551792"/>
    <w:rsid w:val="0055179B"/>
    <w:rsid w:val="00551B84"/>
    <w:rsid w:val="00552888"/>
    <w:rsid w:val="005528C3"/>
    <w:rsid w:val="00553380"/>
    <w:rsid w:val="005536F5"/>
    <w:rsid w:val="00553A56"/>
    <w:rsid w:val="00553C4B"/>
    <w:rsid w:val="00554A3D"/>
    <w:rsid w:val="0055525F"/>
    <w:rsid w:val="00555644"/>
    <w:rsid w:val="00555697"/>
    <w:rsid w:val="00555875"/>
    <w:rsid w:val="00555D25"/>
    <w:rsid w:val="00555D47"/>
    <w:rsid w:val="00556610"/>
    <w:rsid w:val="00556A61"/>
    <w:rsid w:val="0056067A"/>
    <w:rsid w:val="0056269B"/>
    <w:rsid w:val="005626C0"/>
    <w:rsid w:val="00563D7D"/>
    <w:rsid w:val="005641C8"/>
    <w:rsid w:val="005646EE"/>
    <w:rsid w:val="0056485E"/>
    <w:rsid w:val="00565954"/>
    <w:rsid w:val="00565A11"/>
    <w:rsid w:val="00565AC2"/>
    <w:rsid w:val="00565D1D"/>
    <w:rsid w:val="00565E56"/>
    <w:rsid w:val="00566A84"/>
    <w:rsid w:val="00566BE5"/>
    <w:rsid w:val="0056766A"/>
    <w:rsid w:val="00567AC6"/>
    <w:rsid w:val="005701AC"/>
    <w:rsid w:val="005708C4"/>
    <w:rsid w:val="005709E4"/>
    <w:rsid w:val="00570ED2"/>
    <w:rsid w:val="005726AD"/>
    <w:rsid w:val="0057292E"/>
    <w:rsid w:val="00572A6D"/>
    <w:rsid w:val="005735E8"/>
    <w:rsid w:val="00573B8B"/>
    <w:rsid w:val="00573FD9"/>
    <w:rsid w:val="00574045"/>
    <w:rsid w:val="00574413"/>
    <w:rsid w:val="00574545"/>
    <w:rsid w:val="005753D1"/>
    <w:rsid w:val="005753E6"/>
    <w:rsid w:val="00575402"/>
    <w:rsid w:val="005758E6"/>
    <w:rsid w:val="0057593B"/>
    <w:rsid w:val="0057667D"/>
    <w:rsid w:val="00576769"/>
    <w:rsid w:val="005769EB"/>
    <w:rsid w:val="00576E8C"/>
    <w:rsid w:val="00577401"/>
    <w:rsid w:val="00577C05"/>
    <w:rsid w:val="005807D4"/>
    <w:rsid w:val="00580EF1"/>
    <w:rsid w:val="00581FC5"/>
    <w:rsid w:val="00582478"/>
    <w:rsid w:val="00582932"/>
    <w:rsid w:val="00582ABE"/>
    <w:rsid w:val="00583386"/>
    <w:rsid w:val="00583553"/>
    <w:rsid w:val="00584B40"/>
    <w:rsid w:val="005851E8"/>
    <w:rsid w:val="0058560F"/>
    <w:rsid w:val="00585A77"/>
    <w:rsid w:val="005860AF"/>
    <w:rsid w:val="00586AEB"/>
    <w:rsid w:val="00586E50"/>
    <w:rsid w:val="00587D5F"/>
    <w:rsid w:val="00590102"/>
    <w:rsid w:val="005904CE"/>
    <w:rsid w:val="00590852"/>
    <w:rsid w:val="00590C83"/>
    <w:rsid w:val="005911FE"/>
    <w:rsid w:val="00591732"/>
    <w:rsid w:val="0059190C"/>
    <w:rsid w:val="0059260A"/>
    <w:rsid w:val="005927E7"/>
    <w:rsid w:val="00592BAD"/>
    <w:rsid w:val="0059329D"/>
    <w:rsid w:val="00593871"/>
    <w:rsid w:val="005948DA"/>
    <w:rsid w:val="00594A31"/>
    <w:rsid w:val="00595090"/>
    <w:rsid w:val="00595575"/>
    <w:rsid w:val="00595762"/>
    <w:rsid w:val="005960D4"/>
    <w:rsid w:val="00596486"/>
    <w:rsid w:val="00596609"/>
    <w:rsid w:val="00596628"/>
    <w:rsid w:val="005966F2"/>
    <w:rsid w:val="00597059"/>
    <w:rsid w:val="0059712A"/>
    <w:rsid w:val="005A06EF"/>
    <w:rsid w:val="005A0BA5"/>
    <w:rsid w:val="005A0CDF"/>
    <w:rsid w:val="005A0F65"/>
    <w:rsid w:val="005A1E4A"/>
    <w:rsid w:val="005A346B"/>
    <w:rsid w:val="005A3659"/>
    <w:rsid w:val="005A47F7"/>
    <w:rsid w:val="005A4B5E"/>
    <w:rsid w:val="005A4EC0"/>
    <w:rsid w:val="005A4F72"/>
    <w:rsid w:val="005A651C"/>
    <w:rsid w:val="005A6E0B"/>
    <w:rsid w:val="005A6E6D"/>
    <w:rsid w:val="005A731C"/>
    <w:rsid w:val="005A7B47"/>
    <w:rsid w:val="005A7B69"/>
    <w:rsid w:val="005A7D16"/>
    <w:rsid w:val="005B0261"/>
    <w:rsid w:val="005B051D"/>
    <w:rsid w:val="005B059F"/>
    <w:rsid w:val="005B0E6F"/>
    <w:rsid w:val="005B0E7A"/>
    <w:rsid w:val="005B1754"/>
    <w:rsid w:val="005B2025"/>
    <w:rsid w:val="005B2078"/>
    <w:rsid w:val="005B2245"/>
    <w:rsid w:val="005B247D"/>
    <w:rsid w:val="005B24B5"/>
    <w:rsid w:val="005B276E"/>
    <w:rsid w:val="005B32A0"/>
    <w:rsid w:val="005B398D"/>
    <w:rsid w:val="005B3B22"/>
    <w:rsid w:val="005B45D2"/>
    <w:rsid w:val="005B4B0D"/>
    <w:rsid w:val="005B54BB"/>
    <w:rsid w:val="005B551F"/>
    <w:rsid w:val="005B582D"/>
    <w:rsid w:val="005B5DCB"/>
    <w:rsid w:val="005B60BA"/>
    <w:rsid w:val="005B60C7"/>
    <w:rsid w:val="005B6D7E"/>
    <w:rsid w:val="005B7082"/>
    <w:rsid w:val="005B713E"/>
    <w:rsid w:val="005B7260"/>
    <w:rsid w:val="005B736F"/>
    <w:rsid w:val="005C0379"/>
    <w:rsid w:val="005C065C"/>
    <w:rsid w:val="005C11AE"/>
    <w:rsid w:val="005C173D"/>
    <w:rsid w:val="005C19E5"/>
    <w:rsid w:val="005C1AB3"/>
    <w:rsid w:val="005C1B52"/>
    <w:rsid w:val="005C1BE2"/>
    <w:rsid w:val="005C1D63"/>
    <w:rsid w:val="005C344A"/>
    <w:rsid w:val="005C3B87"/>
    <w:rsid w:val="005C3CC3"/>
    <w:rsid w:val="005C3EB8"/>
    <w:rsid w:val="005C4228"/>
    <w:rsid w:val="005C4267"/>
    <w:rsid w:val="005C42D3"/>
    <w:rsid w:val="005C51AE"/>
    <w:rsid w:val="005C69CE"/>
    <w:rsid w:val="005C6F59"/>
    <w:rsid w:val="005C7425"/>
    <w:rsid w:val="005C7C30"/>
    <w:rsid w:val="005C7EDC"/>
    <w:rsid w:val="005D04DF"/>
    <w:rsid w:val="005D0645"/>
    <w:rsid w:val="005D0F9B"/>
    <w:rsid w:val="005D10B5"/>
    <w:rsid w:val="005D1540"/>
    <w:rsid w:val="005D1B05"/>
    <w:rsid w:val="005D1B61"/>
    <w:rsid w:val="005D21B6"/>
    <w:rsid w:val="005D29B6"/>
    <w:rsid w:val="005D325C"/>
    <w:rsid w:val="005D3700"/>
    <w:rsid w:val="005D371F"/>
    <w:rsid w:val="005D383A"/>
    <w:rsid w:val="005D3AAB"/>
    <w:rsid w:val="005D3BCA"/>
    <w:rsid w:val="005D3D88"/>
    <w:rsid w:val="005D3F6C"/>
    <w:rsid w:val="005D3FCA"/>
    <w:rsid w:val="005D3FD1"/>
    <w:rsid w:val="005D4A42"/>
    <w:rsid w:val="005D50A6"/>
    <w:rsid w:val="005D53B6"/>
    <w:rsid w:val="005D5609"/>
    <w:rsid w:val="005D590E"/>
    <w:rsid w:val="005D5A3E"/>
    <w:rsid w:val="005D5DD6"/>
    <w:rsid w:val="005D65A2"/>
    <w:rsid w:val="005D65EB"/>
    <w:rsid w:val="005D6764"/>
    <w:rsid w:val="005D6E0F"/>
    <w:rsid w:val="005D7BFD"/>
    <w:rsid w:val="005E092B"/>
    <w:rsid w:val="005E14BC"/>
    <w:rsid w:val="005E1504"/>
    <w:rsid w:val="005E29E3"/>
    <w:rsid w:val="005E32EF"/>
    <w:rsid w:val="005E3E52"/>
    <w:rsid w:val="005E476C"/>
    <w:rsid w:val="005E47B9"/>
    <w:rsid w:val="005E4AE9"/>
    <w:rsid w:val="005E4B57"/>
    <w:rsid w:val="005E52D7"/>
    <w:rsid w:val="005E576F"/>
    <w:rsid w:val="005E66F3"/>
    <w:rsid w:val="005E6A55"/>
    <w:rsid w:val="005E722E"/>
    <w:rsid w:val="005E73CD"/>
    <w:rsid w:val="005F0420"/>
    <w:rsid w:val="005F0737"/>
    <w:rsid w:val="005F15BA"/>
    <w:rsid w:val="005F18C5"/>
    <w:rsid w:val="005F18DF"/>
    <w:rsid w:val="005F2114"/>
    <w:rsid w:val="005F217F"/>
    <w:rsid w:val="005F21A0"/>
    <w:rsid w:val="005F2385"/>
    <w:rsid w:val="005F2414"/>
    <w:rsid w:val="005F2F49"/>
    <w:rsid w:val="005F3C09"/>
    <w:rsid w:val="005F3DD4"/>
    <w:rsid w:val="005F41F0"/>
    <w:rsid w:val="005F45F8"/>
    <w:rsid w:val="005F48B6"/>
    <w:rsid w:val="005F510A"/>
    <w:rsid w:val="005F5282"/>
    <w:rsid w:val="005F530E"/>
    <w:rsid w:val="005F5576"/>
    <w:rsid w:val="005F5925"/>
    <w:rsid w:val="005F5F14"/>
    <w:rsid w:val="005F5FAA"/>
    <w:rsid w:val="005F6779"/>
    <w:rsid w:val="005F68D5"/>
    <w:rsid w:val="005F725C"/>
    <w:rsid w:val="005F7309"/>
    <w:rsid w:val="005F7BAD"/>
    <w:rsid w:val="006002EA"/>
    <w:rsid w:val="006003E0"/>
    <w:rsid w:val="00600527"/>
    <w:rsid w:val="006006DD"/>
    <w:rsid w:val="006013A2"/>
    <w:rsid w:val="006016CF"/>
    <w:rsid w:val="00601970"/>
    <w:rsid w:val="00601B46"/>
    <w:rsid w:val="006021F0"/>
    <w:rsid w:val="00602310"/>
    <w:rsid w:val="0060265A"/>
    <w:rsid w:val="006027A9"/>
    <w:rsid w:val="0060312D"/>
    <w:rsid w:val="006032F4"/>
    <w:rsid w:val="0060346B"/>
    <w:rsid w:val="00603D84"/>
    <w:rsid w:val="006040B1"/>
    <w:rsid w:val="006049BF"/>
    <w:rsid w:val="00605630"/>
    <w:rsid w:val="00605754"/>
    <w:rsid w:val="00605841"/>
    <w:rsid w:val="00605BC2"/>
    <w:rsid w:val="0060607B"/>
    <w:rsid w:val="00606A04"/>
    <w:rsid w:val="00606B89"/>
    <w:rsid w:val="00606F69"/>
    <w:rsid w:val="00607F99"/>
    <w:rsid w:val="0061001B"/>
    <w:rsid w:val="0061039D"/>
    <w:rsid w:val="00610984"/>
    <w:rsid w:val="0061105A"/>
    <w:rsid w:val="00612166"/>
    <w:rsid w:val="00612638"/>
    <w:rsid w:val="006128DB"/>
    <w:rsid w:val="00612C0B"/>
    <w:rsid w:val="00612DED"/>
    <w:rsid w:val="00612F79"/>
    <w:rsid w:val="00612F7D"/>
    <w:rsid w:val="00613388"/>
    <w:rsid w:val="00613DF6"/>
    <w:rsid w:val="006144D4"/>
    <w:rsid w:val="006150F4"/>
    <w:rsid w:val="00615B5B"/>
    <w:rsid w:val="00616274"/>
    <w:rsid w:val="006165FA"/>
    <w:rsid w:val="00616FC7"/>
    <w:rsid w:val="00617137"/>
    <w:rsid w:val="00617CEB"/>
    <w:rsid w:val="00617FA4"/>
    <w:rsid w:val="00620BA6"/>
    <w:rsid w:val="00620CBB"/>
    <w:rsid w:val="00620CE5"/>
    <w:rsid w:val="00620E1C"/>
    <w:rsid w:val="00621563"/>
    <w:rsid w:val="006215C4"/>
    <w:rsid w:val="006218B5"/>
    <w:rsid w:val="00621916"/>
    <w:rsid w:val="00621F44"/>
    <w:rsid w:val="00621F45"/>
    <w:rsid w:val="006220ED"/>
    <w:rsid w:val="006224F7"/>
    <w:rsid w:val="00622D9E"/>
    <w:rsid w:val="0062305A"/>
    <w:rsid w:val="00623823"/>
    <w:rsid w:val="00624887"/>
    <w:rsid w:val="00624FA8"/>
    <w:rsid w:val="00625272"/>
    <w:rsid w:val="00625B39"/>
    <w:rsid w:val="00625B65"/>
    <w:rsid w:val="00625E58"/>
    <w:rsid w:val="0062669E"/>
    <w:rsid w:val="00626E0B"/>
    <w:rsid w:val="00626FC1"/>
    <w:rsid w:val="006270C6"/>
    <w:rsid w:val="006272BE"/>
    <w:rsid w:val="00630552"/>
    <w:rsid w:val="0063085C"/>
    <w:rsid w:val="00630FD4"/>
    <w:rsid w:val="0063104C"/>
    <w:rsid w:val="006313E4"/>
    <w:rsid w:val="006320F7"/>
    <w:rsid w:val="0063212F"/>
    <w:rsid w:val="0063331B"/>
    <w:rsid w:val="00635397"/>
    <w:rsid w:val="00635D51"/>
    <w:rsid w:val="00635DAD"/>
    <w:rsid w:val="006360B4"/>
    <w:rsid w:val="006361D7"/>
    <w:rsid w:val="0063626B"/>
    <w:rsid w:val="006363FD"/>
    <w:rsid w:val="00636728"/>
    <w:rsid w:val="00637275"/>
    <w:rsid w:val="0063742A"/>
    <w:rsid w:val="00637837"/>
    <w:rsid w:val="00637FC1"/>
    <w:rsid w:val="00640542"/>
    <w:rsid w:val="00640A18"/>
    <w:rsid w:val="00641884"/>
    <w:rsid w:val="00641A1D"/>
    <w:rsid w:val="00641A89"/>
    <w:rsid w:val="00641B72"/>
    <w:rsid w:val="00642685"/>
    <w:rsid w:val="00643023"/>
    <w:rsid w:val="00643945"/>
    <w:rsid w:val="00643E72"/>
    <w:rsid w:val="00644171"/>
    <w:rsid w:val="006442A1"/>
    <w:rsid w:val="006445A9"/>
    <w:rsid w:val="00644AA9"/>
    <w:rsid w:val="00644D66"/>
    <w:rsid w:val="006451DE"/>
    <w:rsid w:val="00645651"/>
    <w:rsid w:val="0064566B"/>
    <w:rsid w:val="006459DD"/>
    <w:rsid w:val="00645AAD"/>
    <w:rsid w:val="00645D69"/>
    <w:rsid w:val="0064613F"/>
    <w:rsid w:val="00646411"/>
    <w:rsid w:val="00646E42"/>
    <w:rsid w:val="006500EA"/>
    <w:rsid w:val="006502A0"/>
    <w:rsid w:val="00650B43"/>
    <w:rsid w:val="00650CC5"/>
    <w:rsid w:val="00650E23"/>
    <w:rsid w:val="006519C5"/>
    <w:rsid w:val="006519F0"/>
    <w:rsid w:val="00651B11"/>
    <w:rsid w:val="00651D10"/>
    <w:rsid w:val="00651EA4"/>
    <w:rsid w:val="00652938"/>
    <w:rsid w:val="00652F3B"/>
    <w:rsid w:val="0065305F"/>
    <w:rsid w:val="006534AA"/>
    <w:rsid w:val="006535CA"/>
    <w:rsid w:val="00654D08"/>
    <w:rsid w:val="00654D76"/>
    <w:rsid w:val="00654DF3"/>
    <w:rsid w:val="00654EAD"/>
    <w:rsid w:val="00655A63"/>
    <w:rsid w:val="00655C2D"/>
    <w:rsid w:val="00656627"/>
    <w:rsid w:val="00656C00"/>
    <w:rsid w:val="00657FE6"/>
    <w:rsid w:val="006608B3"/>
    <w:rsid w:val="00661D83"/>
    <w:rsid w:val="00661E39"/>
    <w:rsid w:val="00663112"/>
    <w:rsid w:val="0066339E"/>
    <w:rsid w:val="006634E3"/>
    <w:rsid w:val="006637FF"/>
    <w:rsid w:val="00663F8C"/>
    <w:rsid w:val="006640A9"/>
    <w:rsid w:val="00665144"/>
    <w:rsid w:val="0066607A"/>
    <w:rsid w:val="00666190"/>
    <w:rsid w:val="00666696"/>
    <w:rsid w:val="00666D95"/>
    <w:rsid w:val="00666F75"/>
    <w:rsid w:val="0066700F"/>
    <w:rsid w:val="00667427"/>
    <w:rsid w:val="006674BD"/>
    <w:rsid w:val="00667740"/>
    <w:rsid w:val="0066774C"/>
    <w:rsid w:val="00667841"/>
    <w:rsid w:val="00667ABE"/>
    <w:rsid w:val="00667F21"/>
    <w:rsid w:val="006704D9"/>
    <w:rsid w:val="00670985"/>
    <w:rsid w:val="00670DA2"/>
    <w:rsid w:val="00670E2E"/>
    <w:rsid w:val="006711A5"/>
    <w:rsid w:val="00671CCF"/>
    <w:rsid w:val="00672495"/>
    <w:rsid w:val="00672A50"/>
    <w:rsid w:val="00672F60"/>
    <w:rsid w:val="00673129"/>
    <w:rsid w:val="00673471"/>
    <w:rsid w:val="00673A92"/>
    <w:rsid w:val="00674023"/>
    <w:rsid w:val="006741D6"/>
    <w:rsid w:val="00674305"/>
    <w:rsid w:val="006743F6"/>
    <w:rsid w:val="00674770"/>
    <w:rsid w:val="00675053"/>
    <w:rsid w:val="00675678"/>
    <w:rsid w:val="00675EFB"/>
    <w:rsid w:val="00676140"/>
    <w:rsid w:val="00676829"/>
    <w:rsid w:val="00676A23"/>
    <w:rsid w:val="0067760E"/>
    <w:rsid w:val="006803AC"/>
    <w:rsid w:val="006805FC"/>
    <w:rsid w:val="0068069E"/>
    <w:rsid w:val="0068095F"/>
    <w:rsid w:val="00680C6C"/>
    <w:rsid w:val="006811F3"/>
    <w:rsid w:val="00681402"/>
    <w:rsid w:val="00681632"/>
    <w:rsid w:val="006819BE"/>
    <w:rsid w:val="00681CA5"/>
    <w:rsid w:val="00682708"/>
    <w:rsid w:val="00682948"/>
    <w:rsid w:val="0068320D"/>
    <w:rsid w:val="0068334B"/>
    <w:rsid w:val="00683FC3"/>
    <w:rsid w:val="00684281"/>
    <w:rsid w:val="00684A0E"/>
    <w:rsid w:val="00686114"/>
    <w:rsid w:val="00686738"/>
    <w:rsid w:val="00686977"/>
    <w:rsid w:val="006869E3"/>
    <w:rsid w:val="006877C8"/>
    <w:rsid w:val="006879B8"/>
    <w:rsid w:val="00687CDB"/>
    <w:rsid w:val="00687FEC"/>
    <w:rsid w:val="0069006F"/>
    <w:rsid w:val="006904BB"/>
    <w:rsid w:val="00691F54"/>
    <w:rsid w:val="00692BD8"/>
    <w:rsid w:val="00692D08"/>
    <w:rsid w:val="00692D1E"/>
    <w:rsid w:val="006932DD"/>
    <w:rsid w:val="0069393C"/>
    <w:rsid w:val="00693C6B"/>
    <w:rsid w:val="00694219"/>
    <w:rsid w:val="00694F2E"/>
    <w:rsid w:val="00695D2D"/>
    <w:rsid w:val="0069655B"/>
    <w:rsid w:val="00696A0F"/>
    <w:rsid w:val="00697A66"/>
    <w:rsid w:val="00697BA3"/>
    <w:rsid w:val="00697D68"/>
    <w:rsid w:val="006A04DF"/>
    <w:rsid w:val="006A06E3"/>
    <w:rsid w:val="006A06F1"/>
    <w:rsid w:val="006A0C87"/>
    <w:rsid w:val="006A0CE5"/>
    <w:rsid w:val="006A0D5E"/>
    <w:rsid w:val="006A11E1"/>
    <w:rsid w:val="006A13C2"/>
    <w:rsid w:val="006A2CF0"/>
    <w:rsid w:val="006A31DD"/>
    <w:rsid w:val="006A3798"/>
    <w:rsid w:val="006A3959"/>
    <w:rsid w:val="006A4585"/>
    <w:rsid w:val="006A45D1"/>
    <w:rsid w:val="006A4764"/>
    <w:rsid w:val="006A5803"/>
    <w:rsid w:val="006A5E38"/>
    <w:rsid w:val="006A6359"/>
    <w:rsid w:val="006A6930"/>
    <w:rsid w:val="006A6C6B"/>
    <w:rsid w:val="006A74A3"/>
    <w:rsid w:val="006A75F8"/>
    <w:rsid w:val="006A7CF7"/>
    <w:rsid w:val="006A7EE5"/>
    <w:rsid w:val="006B02C2"/>
    <w:rsid w:val="006B02E4"/>
    <w:rsid w:val="006B047F"/>
    <w:rsid w:val="006B0956"/>
    <w:rsid w:val="006B0BBC"/>
    <w:rsid w:val="006B19BC"/>
    <w:rsid w:val="006B1A4D"/>
    <w:rsid w:val="006B1C31"/>
    <w:rsid w:val="006B1DCF"/>
    <w:rsid w:val="006B2A85"/>
    <w:rsid w:val="006B3227"/>
    <w:rsid w:val="006B4216"/>
    <w:rsid w:val="006B43C5"/>
    <w:rsid w:val="006B4796"/>
    <w:rsid w:val="006B4C9C"/>
    <w:rsid w:val="006B4D4D"/>
    <w:rsid w:val="006B50B9"/>
    <w:rsid w:val="006B54A8"/>
    <w:rsid w:val="006B566B"/>
    <w:rsid w:val="006B6643"/>
    <w:rsid w:val="006B6878"/>
    <w:rsid w:val="006B6E87"/>
    <w:rsid w:val="006B7715"/>
    <w:rsid w:val="006B78D5"/>
    <w:rsid w:val="006B7B03"/>
    <w:rsid w:val="006B7C4E"/>
    <w:rsid w:val="006C02A5"/>
    <w:rsid w:val="006C033E"/>
    <w:rsid w:val="006C04C6"/>
    <w:rsid w:val="006C04CE"/>
    <w:rsid w:val="006C0724"/>
    <w:rsid w:val="006C098C"/>
    <w:rsid w:val="006C09DA"/>
    <w:rsid w:val="006C119D"/>
    <w:rsid w:val="006C1272"/>
    <w:rsid w:val="006C174C"/>
    <w:rsid w:val="006C1822"/>
    <w:rsid w:val="006C1B25"/>
    <w:rsid w:val="006C2884"/>
    <w:rsid w:val="006C3333"/>
    <w:rsid w:val="006C33C1"/>
    <w:rsid w:val="006C35F9"/>
    <w:rsid w:val="006C3E35"/>
    <w:rsid w:val="006C4540"/>
    <w:rsid w:val="006C4EBA"/>
    <w:rsid w:val="006C515F"/>
    <w:rsid w:val="006C56B7"/>
    <w:rsid w:val="006C5E3D"/>
    <w:rsid w:val="006C66AD"/>
    <w:rsid w:val="006C6B33"/>
    <w:rsid w:val="006C7220"/>
    <w:rsid w:val="006C74A2"/>
    <w:rsid w:val="006C77BC"/>
    <w:rsid w:val="006C7B26"/>
    <w:rsid w:val="006C7BC7"/>
    <w:rsid w:val="006C7BFF"/>
    <w:rsid w:val="006D0667"/>
    <w:rsid w:val="006D0791"/>
    <w:rsid w:val="006D0B55"/>
    <w:rsid w:val="006D1093"/>
    <w:rsid w:val="006D1258"/>
    <w:rsid w:val="006D19E8"/>
    <w:rsid w:val="006D1B13"/>
    <w:rsid w:val="006D22BD"/>
    <w:rsid w:val="006D27D8"/>
    <w:rsid w:val="006D2835"/>
    <w:rsid w:val="006D3609"/>
    <w:rsid w:val="006D36E7"/>
    <w:rsid w:val="006D3C90"/>
    <w:rsid w:val="006D4789"/>
    <w:rsid w:val="006D5295"/>
    <w:rsid w:val="006D5639"/>
    <w:rsid w:val="006D59C7"/>
    <w:rsid w:val="006D62A0"/>
    <w:rsid w:val="006D6AAF"/>
    <w:rsid w:val="006D7858"/>
    <w:rsid w:val="006D98BD"/>
    <w:rsid w:val="006E08A5"/>
    <w:rsid w:val="006E0A1A"/>
    <w:rsid w:val="006E0BBF"/>
    <w:rsid w:val="006E1305"/>
    <w:rsid w:val="006E136D"/>
    <w:rsid w:val="006E1C1F"/>
    <w:rsid w:val="006E234E"/>
    <w:rsid w:val="006E235B"/>
    <w:rsid w:val="006E2BBC"/>
    <w:rsid w:val="006E2C1B"/>
    <w:rsid w:val="006E3608"/>
    <w:rsid w:val="006E388D"/>
    <w:rsid w:val="006E38DE"/>
    <w:rsid w:val="006E3CEC"/>
    <w:rsid w:val="006E3F5C"/>
    <w:rsid w:val="006E419A"/>
    <w:rsid w:val="006E41F8"/>
    <w:rsid w:val="006E436B"/>
    <w:rsid w:val="006E4AB3"/>
    <w:rsid w:val="006E4EC4"/>
    <w:rsid w:val="006E5547"/>
    <w:rsid w:val="006E56D2"/>
    <w:rsid w:val="006E5A6D"/>
    <w:rsid w:val="006E5C35"/>
    <w:rsid w:val="006E5D86"/>
    <w:rsid w:val="006E61E1"/>
    <w:rsid w:val="006E63B2"/>
    <w:rsid w:val="006E68C4"/>
    <w:rsid w:val="006E6908"/>
    <w:rsid w:val="006E691E"/>
    <w:rsid w:val="006E771C"/>
    <w:rsid w:val="006F002B"/>
    <w:rsid w:val="006F0A2C"/>
    <w:rsid w:val="006F14E8"/>
    <w:rsid w:val="006F1FB4"/>
    <w:rsid w:val="006F3C80"/>
    <w:rsid w:val="006F3F72"/>
    <w:rsid w:val="006F45F6"/>
    <w:rsid w:val="006F47E0"/>
    <w:rsid w:val="006F499C"/>
    <w:rsid w:val="006F5239"/>
    <w:rsid w:val="006F548B"/>
    <w:rsid w:val="006F6053"/>
    <w:rsid w:val="006F61A5"/>
    <w:rsid w:val="006F64C9"/>
    <w:rsid w:val="006F6A69"/>
    <w:rsid w:val="006F6D43"/>
    <w:rsid w:val="006F7047"/>
    <w:rsid w:val="006F7381"/>
    <w:rsid w:val="006F75D4"/>
    <w:rsid w:val="006F78D0"/>
    <w:rsid w:val="006F7FBE"/>
    <w:rsid w:val="00700419"/>
    <w:rsid w:val="007006DB"/>
    <w:rsid w:val="007007EA"/>
    <w:rsid w:val="007009AD"/>
    <w:rsid w:val="00700AC3"/>
    <w:rsid w:val="00700CCF"/>
    <w:rsid w:val="00700E02"/>
    <w:rsid w:val="00700E2B"/>
    <w:rsid w:val="0070127C"/>
    <w:rsid w:val="00701477"/>
    <w:rsid w:val="00701571"/>
    <w:rsid w:val="00701D30"/>
    <w:rsid w:val="007032B1"/>
    <w:rsid w:val="00703DDD"/>
    <w:rsid w:val="007045B6"/>
    <w:rsid w:val="00704B06"/>
    <w:rsid w:val="007050B9"/>
    <w:rsid w:val="00705256"/>
    <w:rsid w:val="007058D2"/>
    <w:rsid w:val="00706CD7"/>
    <w:rsid w:val="00706D15"/>
    <w:rsid w:val="00707088"/>
    <w:rsid w:val="00707743"/>
    <w:rsid w:val="00707B6D"/>
    <w:rsid w:val="00710110"/>
    <w:rsid w:val="0071051F"/>
    <w:rsid w:val="00712478"/>
    <w:rsid w:val="00712799"/>
    <w:rsid w:val="0071289F"/>
    <w:rsid w:val="00713E8C"/>
    <w:rsid w:val="00714142"/>
    <w:rsid w:val="007141C1"/>
    <w:rsid w:val="007146CE"/>
    <w:rsid w:val="00714C56"/>
    <w:rsid w:val="00714E08"/>
    <w:rsid w:val="00714FEF"/>
    <w:rsid w:val="00715FDA"/>
    <w:rsid w:val="00716431"/>
    <w:rsid w:val="00716AD8"/>
    <w:rsid w:val="00716D81"/>
    <w:rsid w:val="007176C9"/>
    <w:rsid w:val="00717715"/>
    <w:rsid w:val="00717C54"/>
    <w:rsid w:val="00720046"/>
    <w:rsid w:val="0072034B"/>
    <w:rsid w:val="007205CF"/>
    <w:rsid w:val="00720D6B"/>
    <w:rsid w:val="00720D9C"/>
    <w:rsid w:val="00720F40"/>
    <w:rsid w:val="007210D3"/>
    <w:rsid w:val="007217D0"/>
    <w:rsid w:val="007218AD"/>
    <w:rsid w:val="00722044"/>
    <w:rsid w:val="0072245A"/>
    <w:rsid w:val="00724090"/>
    <w:rsid w:val="0072513A"/>
    <w:rsid w:val="0072537E"/>
    <w:rsid w:val="00725553"/>
    <w:rsid w:val="007255E3"/>
    <w:rsid w:val="00725725"/>
    <w:rsid w:val="0072588F"/>
    <w:rsid w:val="0072599C"/>
    <w:rsid w:val="00726221"/>
    <w:rsid w:val="00726338"/>
    <w:rsid w:val="00726806"/>
    <w:rsid w:val="00726DE3"/>
    <w:rsid w:val="00726E0A"/>
    <w:rsid w:val="00726F5C"/>
    <w:rsid w:val="007274EC"/>
    <w:rsid w:val="007274F6"/>
    <w:rsid w:val="00727AC6"/>
    <w:rsid w:val="00727E84"/>
    <w:rsid w:val="007302A4"/>
    <w:rsid w:val="007311F3"/>
    <w:rsid w:val="00731451"/>
    <w:rsid w:val="00731587"/>
    <w:rsid w:val="00731870"/>
    <w:rsid w:val="007319C3"/>
    <w:rsid w:val="007320C0"/>
    <w:rsid w:val="00732E1C"/>
    <w:rsid w:val="00732F9D"/>
    <w:rsid w:val="00733BD6"/>
    <w:rsid w:val="00733C0C"/>
    <w:rsid w:val="00733EB3"/>
    <w:rsid w:val="00733FB4"/>
    <w:rsid w:val="00734223"/>
    <w:rsid w:val="007347C2"/>
    <w:rsid w:val="007347D9"/>
    <w:rsid w:val="00734B44"/>
    <w:rsid w:val="00734BA7"/>
    <w:rsid w:val="00734F86"/>
    <w:rsid w:val="007353D6"/>
    <w:rsid w:val="007355CA"/>
    <w:rsid w:val="00735A4F"/>
    <w:rsid w:val="00736E32"/>
    <w:rsid w:val="00737535"/>
    <w:rsid w:val="0073763F"/>
    <w:rsid w:val="00737717"/>
    <w:rsid w:val="00737A12"/>
    <w:rsid w:val="00737E54"/>
    <w:rsid w:val="00740392"/>
    <w:rsid w:val="00740699"/>
    <w:rsid w:val="00740A3E"/>
    <w:rsid w:val="007422FB"/>
    <w:rsid w:val="00742438"/>
    <w:rsid w:val="007427C4"/>
    <w:rsid w:val="0074325D"/>
    <w:rsid w:val="00743767"/>
    <w:rsid w:val="00743D47"/>
    <w:rsid w:val="007446DC"/>
    <w:rsid w:val="00744B92"/>
    <w:rsid w:val="00744F20"/>
    <w:rsid w:val="007452CB"/>
    <w:rsid w:val="00745481"/>
    <w:rsid w:val="00746E93"/>
    <w:rsid w:val="007470A5"/>
    <w:rsid w:val="007472D7"/>
    <w:rsid w:val="00747FFB"/>
    <w:rsid w:val="00750425"/>
    <w:rsid w:val="007509FB"/>
    <w:rsid w:val="00750A86"/>
    <w:rsid w:val="00751094"/>
    <w:rsid w:val="00751E58"/>
    <w:rsid w:val="00752775"/>
    <w:rsid w:val="00752B72"/>
    <w:rsid w:val="00752F49"/>
    <w:rsid w:val="00752F6C"/>
    <w:rsid w:val="00753B2D"/>
    <w:rsid w:val="00754160"/>
    <w:rsid w:val="00754BFD"/>
    <w:rsid w:val="007552F8"/>
    <w:rsid w:val="00755405"/>
    <w:rsid w:val="0075555C"/>
    <w:rsid w:val="00755770"/>
    <w:rsid w:val="00755962"/>
    <w:rsid w:val="007559AF"/>
    <w:rsid w:val="00755B49"/>
    <w:rsid w:val="0075610A"/>
    <w:rsid w:val="00756550"/>
    <w:rsid w:val="00756AB7"/>
    <w:rsid w:val="00756E51"/>
    <w:rsid w:val="00757458"/>
    <w:rsid w:val="00757609"/>
    <w:rsid w:val="00757A72"/>
    <w:rsid w:val="00757A7F"/>
    <w:rsid w:val="00757F4C"/>
    <w:rsid w:val="00760B0C"/>
    <w:rsid w:val="00760CDF"/>
    <w:rsid w:val="00760E74"/>
    <w:rsid w:val="00761312"/>
    <w:rsid w:val="00761C73"/>
    <w:rsid w:val="00762155"/>
    <w:rsid w:val="0076225A"/>
    <w:rsid w:val="0076241E"/>
    <w:rsid w:val="007627C0"/>
    <w:rsid w:val="00763191"/>
    <w:rsid w:val="007633B0"/>
    <w:rsid w:val="007636CD"/>
    <w:rsid w:val="0076393C"/>
    <w:rsid w:val="007651F1"/>
    <w:rsid w:val="00765743"/>
    <w:rsid w:val="007667E1"/>
    <w:rsid w:val="0076691C"/>
    <w:rsid w:val="00766AD6"/>
    <w:rsid w:val="007670AE"/>
    <w:rsid w:val="00770283"/>
    <w:rsid w:val="007707DB"/>
    <w:rsid w:val="00770BC5"/>
    <w:rsid w:val="00770C5D"/>
    <w:rsid w:val="0077130F"/>
    <w:rsid w:val="007727D8"/>
    <w:rsid w:val="00772A0A"/>
    <w:rsid w:val="00775000"/>
    <w:rsid w:val="0077562A"/>
    <w:rsid w:val="00775DCE"/>
    <w:rsid w:val="00775E97"/>
    <w:rsid w:val="007768B4"/>
    <w:rsid w:val="00776C3A"/>
    <w:rsid w:val="00777307"/>
    <w:rsid w:val="0078037E"/>
    <w:rsid w:val="007803E0"/>
    <w:rsid w:val="007809DB"/>
    <w:rsid w:val="00780E8B"/>
    <w:rsid w:val="00781120"/>
    <w:rsid w:val="00781137"/>
    <w:rsid w:val="007811D8"/>
    <w:rsid w:val="0078134A"/>
    <w:rsid w:val="007813E2"/>
    <w:rsid w:val="007818E5"/>
    <w:rsid w:val="007822E5"/>
    <w:rsid w:val="0078297A"/>
    <w:rsid w:val="007838BF"/>
    <w:rsid w:val="00783A63"/>
    <w:rsid w:val="00784551"/>
    <w:rsid w:val="0078490E"/>
    <w:rsid w:val="00784AC2"/>
    <w:rsid w:val="00785273"/>
    <w:rsid w:val="007852B1"/>
    <w:rsid w:val="007856EB"/>
    <w:rsid w:val="0078597D"/>
    <w:rsid w:val="00785C17"/>
    <w:rsid w:val="00785DD9"/>
    <w:rsid w:val="00786AA4"/>
    <w:rsid w:val="007876F8"/>
    <w:rsid w:val="00787DE8"/>
    <w:rsid w:val="00787F70"/>
    <w:rsid w:val="00790547"/>
    <w:rsid w:val="00790805"/>
    <w:rsid w:val="007913CB"/>
    <w:rsid w:val="00791544"/>
    <w:rsid w:val="00791E22"/>
    <w:rsid w:val="00791EA3"/>
    <w:rsid w:val="00791F4B"/>
    <w:rsid w:val="00792059"/>
    <w:rsid w:val="00792203"/>
    <w:rsid w:val="00792403"/>
    <w:rsid w:val="007926A3"/>
    <w:rsid w:val="007930B5"/>
    <w:rsid w:val="007932E4"/>
    <w:rsid w:val="00793738"/>
    <w:rsid w:val="00793C6C"/>
    <w:rsid w:val="00793C8A"/>
    <w:rsid w:val="00793D1F"/>
    <w:rsid w:val="00794EEE"/>
    <w:rsid w:val="0079618E"/>
    <w:rsid w:val="007966E3"/>
    <w:rsid w:val="00796FCB"/>
    <w:rsid w:val="00797A9A"/>
    <w:rsid w:val="007A01DD"/>
    <w:rsid w:val="007A0A7D"/>
    <w:rsid w:val="007A0B94"/>
    <w:rsid w:val="007A0BF1"/>
    <w:rsid w:val="007A10B1"/>
    <w:rsid w:val="007A185B"/>
    <w:rsid w:val="007A218D"/>
    <w:rsid w:val="007A2AD2"/>
    <w:rsid w:val="007A3D21"/>
    <w:rsid w:val="007A3EF4"/>
    <w:rsid w:val="007A3FDD"/>
    <w:rsid w:val="007A4179"/>
    <w:rsid w:val="007A4831"/>
    <w:rsid w:val="007A4E40"/>
    <w:rsid w:val="007A513C"/>
    <w:rsid w:val="007A5512"/>
    <w:rsid w:val="007A5755"/>
    <w:rsid w:val="007A592F"/>
    <w:rsid w:val="007A59F7"/>
    <w:rsid w:val="007A5E1B"/>
    <w:rsid w:val="007A61A7"/>
    <w:rsid w:val="007A641F"/>
    <w:rsid w:val="007A660C"/>
    <w:rsid w:val="007A6864"/>
    <w:rsid w:val="007A68D8"/>
    <w:rsid w:val="007A6DD4"/>
    <w:rsid w:val="007A71F0"/>
    <w:rsid w:val="007A765C"/>
    <w:rsid w:val="007A77E8"/>
    <w:rsid w:val="007A7C0F"/>
    <w:rsid w:val="007B05E7"/>
    <w:rsid w:val="007B1041"/>
    <w:rsid w:val="007B139B"/>
    <w:rsid w:val="007B16E1"/>
    <w:rsid w:val="007B1A51"/>
    <w:rsid w:val="007B2148"/>
    <w:rsid w:val="007B246E"/>
    <w:rsid w:val="007B285D"/>
    <w:rsid w:val="007B2A07"/>
    <w:rsid w:val="007B2B4A"/>
    <w:rsid w:val="007B2D81"/>
    <w:rsid w:val="007B3650"/>
    <w:rsid w:val="007B3767"/>
    <w:rsid w:val="007B3D1F"/>
    <w:rsid w:val="007B435B"/>
    <w:rsid w:val="007B4926"/>
    <w:rsid w:val="007B4C9A"/>
    <w:rsid w:val="007B4FEC"/>
    <w:rsid w:val="007B5C5C"/>
    <w:rsid w:val="007B5D3C"/>
    <w:rsid w:val="007B5FEA"/>
    <w:rsid w:val="007B645A"/>
    <w:rsid w:val="007B6DF5"/>
    <w:rsid w:val="007C067C"/>
    <w:rsid w:val="007C0DD8"/>
    <w:rsid w:val="007C1747"/>
    <w:rsid w:val="007C19FB"/>
    <w:rsid w:val="007C1C23"/>
    <w:rsid w:val="007C1F30"/>
    <w:rsid w:val="007C21BC"/>
    <w:rsid w:val="007C277B"/>
    <w:rsid w:val="007C35C2"/>
    <w:rsid w:val="007C35D4"/>
    <w:rsid w:val="007C36B9"/>
    <w:rsid w:val="007C41B3"/>
    <w:rsid w:val="007C466B"/>
    <w:rsid w:val="007C4889"/>
    <w:rsid w:val="007C4C64"/>
    <w:rsid w:val="007C4FD5"/>
    <w:rsid w:val="007C5252"/>
    <w:rsid w:val="007C593B"/>
    <w:rsid w:val="007C595D"/>
    <w:rsid w:val="007C5B1D"/>
    <w:rsid w:val="007C5C18"/>
    <w:rsid w:val="007C5DB9"/>
    <w:rsid w:val="007C62C1"/>
    <w:rsid w:val="007C633A"/>
    <w:rsid w:val="007C660B"/>
    <w:rsid w:val="007C7A7A"/>
    <w:rsid w:val="007C7B8C"/>
    <w:rsid w:val="007D02A2"/>
    <w:rsid w:val="007D037C"/>
    <w:rsid w:val="007D0B0A"/>
    <w:rsid w:val="007D0DDB"/>
    <w:rsid w:val="007D0E1D"/>
    <w:rsid w:val="007D1191"/>
    <w:rsid w:val="007D1276"/>
    <w:rsid w:val="007D15C4"/>
    <w:rsid w:val="007D1FC9"/>
    <w:rsid w:val="007D2287"/>
    <w:rsid w:val="007D22E6"/>
    <w:rsid w:val="007D23DE"/>
    <w:rsid w:val="007D27A3"/>
    <w:rsid w:val="007D2A45"/>
    <w:rsid w:val="007D31D0"/>
    <w:rsid w:val="007D3217"/>
    <w:rsid w:val="007D3356"/>
    <w:rsid w:val="007D3545"/>
    <w:rsid w:val="007D3839"/>
    <w:rsid w:val="007D3EC6"/>
    <w:rsid w:val="007D4720"/>
    <w:rsid w:val="007D5931"/>
    <w:rsid w:val="007D5E2C"/>
    <w:rsid w:val="007D5F0A"/>
    <w:rsid w:val="007D5F3B"/>
    <w:rsid w:val="007D631D"/>
    <w:rsid w:val="007D6D4A"/>
    <w:rsid w:val="007D759F"/>
    <w:rsid w:val="007D77C5"/>
    <w:rsid w:val="007D7A2A"/>
    <w:rsid w:val="007D7E73"/>
    <w:rsid w:val="007E013B"/>
    <w:rsid w:val="007E0785"/>
    <w:rsid w:val="007E08E7"/>
    <w:rsid w:val="007E0C6A"/>
    <w:rsid w:val="007E10BB"/>
    <w:rsid w:val="007E183F"/>
    <w:rsid w:val="007E1D77"/>
    <w:rsid w:val="007E1EEE"/>
    <w:rsid w:val="007E2227"/>
    <w:rsid w:val="007E3220"/>
    <w:rsid w:val="007E34C5"/>
    <w:rsid w:val="007E37C4"/>
    <w:rsid w:val="007E37C6"/>
    <w:rsid w:val="007E3D03"/>
    <w:rsid w:val="007E416E"/>
    <w:rsid w:val="007E4247"/>
    <w:rsid w:val="007E4E16"/>
    <w:rsid w:val="007E4FF7"/>
    <w:rsid w:val="007E5403"/>
    <w:rsid w:val="007E575E"/>
    <w:rsid w:val="007E5CD1"/>
    <w:rsid w:val="007E6DB0"/>
    <w:rsid w:val="007E6FDA"/>
    <w:rsid w:val="007E792C"/>
    <w:rsid w:val="007E7D6B"/>
    <w:rsid w:val="007F0839"/>
    <w:rsid w:val="007F0C61"/>
    <w:rsid w:val="007F0C75"/>
    <w:rsid w:val="007F1846"/>
    <w:rsid w:val="007F18EF"/>
    <w:rsid w:val="007F1B70"/>
    <w:rsid w:val="007F25A3"/>
    <w:rsid w:val="007F28D2"/>
    <w:rsid w:val="007F2E1C"/>
    <w:rsid w:val="007F2E5B"/>
    <w:rsid w:val="007F32E1"/>
    <w:rsid w:val="007F35EC"/>
    <w:rsid w:val="007F3D5C"/>
    <w:rsid w:val="007F417F"/>
    <w:rsid w:val="007F457C"/>
    <w:rsid w:val="007F52B2"/>
    <w:rsid w:val="007F55E9"/>
    <w:rsid w:val="007F5851"/>
    <w:rsid w:val="007F59B8"/>
    <w:rsid w:val="007F6336"/>
    <w:rsid w:val="007F73D6"/>
    <w:rsid w:val="007F7835"/>
    <w:rsid w:val="007F7AB5"/>
    <w:rsid w:val="007F7C67"/>
    <w:rsid w:val="007F7D98"/>
    <w:rsid w:val="00800393"/>
    <w:rsid w:val="008012BC"/>
    <w:rsid w:val="00801448"/>
    <w:rsid w:val="00801CDA"/>
    <w:rsid w:val="0080270F"/>
    <w:rsid w:val="00802C44"/>
    <w:rsid w:val="00803459"/>
    <w:rsid w:val="00803A90"/>
    <w:rsid w:val="00803C92"/>
    <w:rsid w:val="008041F1"/>
    <w:rsid w:val="008041FC"/>
    <w:rsid w:val="00804426"/>
    <w:rsid w:val="00805496"/>
    <w:rsid w:val="00805836"/>
    <w:rsid w:val="00805C71"/>
    <w:rsid w:val="00805CE1"/>
    <w:rsid w:val="00806075"/>
    <w:rsid w:val="00806CAE"/>
    <w:rsid w:val="00806F12"/>
    <w:rsid w:val="008100C0"/>
    <w:rsid w:val="00810EFE"/>
    <w:rsid w:val="008111D1"/>
    <w:rsid w:val="008113FC"/>
    <w:rsid w:val="00811632"/>
    <w:rsid w:val="00811A91"/>
    <w:rsid w:val="00812509"/>
    <w:rsid w:val="00812661"/>
    <w:rsid w:val="00812906"/>
    <w:rsid w:val="00812D4A"/>
    <w:rsid w:val="00812F45"/>
    <w:rsid w:val="00814B33"/>
    <w:rsid w:val="00815945"/>
    <w:rsid w:val="00815A3B"/>
    <w:rsid w:val="00817355"/>
    <w:rsid w:val="008173C4"/>
    <w:rsid w:val="00817752"/>
    <w:rsid w:val="00817EC8"/>
    <w:rsid w:val="00820027"/>
    <w:rsid w:val="008201B7"/>
    <w:rsid w:val="00820269"/>
    <w:rsid w:val="00820317"/>
    <w:rsid w:val="008208DB"/>
    <w:rsid w:val="00820A65"/>
    <w:rsid w:val="00820AC0"/>
    <w:rsid w:val="008214DD"/>
    <w:rsid w:val="008215D4"/>
    <w:rsid w:val="00821628"/>
    <w:rsid w:val="0082188D"/>
    <w:rsid w:val="00821B52"/>
    <w:rsid w:val="00821D46"/>
    <w:rsid w:val="00822774"/>
    <w:rsid w:val="00823292"/>
    <w:rsid w:val="00823AD9"/>
    <w:rsid w:val="00823E1A"/>
    <w:rsid w:val="00823F5E"/>
    <w:rsid w:val="008242AB"/>
    <w:rsid w:val="00824342"/>
    <w:rsid w:val="00824628"/>
    <w:rsid w:val="0082482F"/>
    <w:rsid w:val="00824831"/>
    <w:rsid w:val="00824944"/>
    <w:rsid w:val="00825779"/>
    <w:rsid w:val="00825BAA"/>
    <w:rsid w:val="008261E4"/>
    <w:rsid w:val="00826B3B"/>
    <w:rsid w:val="0082B431"/>
    <w:rsid w:val="0083031C"/>
    <w:rsid w:val="00830B70"/>
    <w:rsid w:val="00830BF8"/>
    <w:rsid w:val="00830DF8"/>
    <w:rsid w:val="00830EB7"/>
    <w:rsid w:val="0083179C"/>
    <w:rsid w:val="00832AD7"/>
    <w:rsid w:val="00832CFE"/>
    <w:rsid w:val="00832D63"/>
    <w:rsid w:val="00832DFF"/>
    <w:rsid w:val="008330DC"/>
    <w:rsid w:val="008332BF"/>
    <w:rsid w:val="008332E0"/>
    <w:rsid w:val="00833452"/>
    <w:rsid w:val="008337BC"/>
    <w:rsid w:val="00833C0C"/>
    <w:rsid w:val="00833D59"/>
    <w:rsid w:val="00834260"/>
    <w:rsid w:val="00834DD8"/>
    <w:rsid w:val="00835267"/>
    <w:rsid w:val="0083535C"/>
    <w:rsid w:val="00835457"/>
    <w:rsid w:val="0083548D"/>
    <w:rsid w:val="00835D9C"/>
    <w:rsid w:val="00835ED9"/>
    <w:rsid w:val="0083664F"/>
    <w:rsid w:val="00840112"/>
    <w:rsid w:val="0084091F"/>
    <w:rsid w:val="00840EC3"/>
    <w:rsid w:val="00841241"/>
    <w:rsid w:val="00841291"/>
    <w:rsid w:val="0084151F"/>
    <w:rsid w:val="00841D3F"/>
    <w:rsid w:val="00842360"/>
    <w:rsid w:val="00842BC4"/>
    <w:rsid w:val="00842CFE"/>
    <w:rsid w:val="00843033"/>
    <w:rsid w:val="008433C7"/>
    <w:rsid w:val="00843BB5"/>
    <w:rsid w:val="00843C69"/>
    <w:rsid w:val="00843C6C"/>
    <w:rsid w:val="00843DFE"/>
    <w:rsid w:val="008444C5"/>
    <w:rsid w:val="008444D8"/>
    <w:rsid w:val="00844C82"/>
    <w:rsid w:val="00845C00"/>
    <w:rsid w:val="008460C5"/>
    <w:rsid w:val="0084649B"/>
    <w:rsid w:val="008464C6"/>
    <w:rsid w:val="008465C5"/>
    <w:rsid w:val="0084693C"/>
    <w:rsid w:val="00846EEB"/>
    <w:rsid w:val="00846F43"/>
    <w:rsid w:val="00846FEC"/>
    <w:rsid w:val="0085072B"/>
    <w:rsid w:val="00850AE5"/>
    <w:rsid w:val="00850F0B"/>
    <w:rsid w:val="008510B7"/>
    <w:rsid w:val="00851138"/>
    <w:rsid w:val="00852EAC"/>
    <w:rsid w:val="00853030"/>
    <w:rsid w:val="008532D9"/>
    <w:rsid w:val="00853977"/>
    <w:rsid w:val="00853F02"/>
    <w:rsid w:val="00854265"/>
    <w:rsid w:val="00854899"/>
    <w:rsid w:val="00854910"/>
    <w:rsid w:val="008549C8"/>
    <w:rsid w:val="00854C6E"/>
    <w:rsid w:val="00854C74"/>
    <w:rsid w:val="00855789"/>
    <w:rsid w:val="008559CF"/>
    <w:rsid w:val="00855B2B"/>
    <w:rsid w:val="00856100"/>
    <w:rsid w:val="008570A6"/>
    <w:rsid w:val="00857568"/>
    <w:rsid w:val="00857EC6"/>
    <w:rsid w:val="00860445"/>
    <w:rsid w:val="00861266"/>
    <w:rsid w:val="008619D6"/>
    <w:rsid w:val="00862A19"/>
    <w:rsid w:val="00863399"/>
    <w:rsid w:val="00863712"/>
    <w:rsid w:val="0086376F"/>
    <w:rsid w:val="00863912"/>
    <w:rsid w:val="00863B6C"/>
    <w:rsid w:val="00863BC1"/>
    <w:rsid w:val="0086409A"/>
    <w:rsid w:val="0086434B"/>
    <w:rsid w:val="008653A9"/>
    <w:rsid w:val="00865433"/>
    <w:rsid w:val="008655A4"/>
    <w:rsid w:val="0086666F"/>
    <w:rsid w:val="008669D3"/>
    <w:rsid w:val="00866D24"/>
    <w:rsid w:val="0086721A"/>
    <w:rsid w:val="00867ACE"/>
    <w:rsid w:val="00867C94"/>
    <w:rsid w:val="008704C8"/>
    <w:rsid w:val="0087085B"/>
    <w:rsid w:val="00871275"/>
    <w:rsid w:val="00871D9A"/>
    <w:rsid w:val="008720D4"/>
    <w:rsid w:val="0087215F"/>
    <w:rsid w:val="0087231B"/>
    <w:rsid w:val="00872ED0"/>
    <w:rsid w:val="00872EF5"/>
    <w:rsid w:val="00872F7B"/>
    <w:rsid w:val="008739F5"/>
    <w:rsid w:val="00873EA6"/>
    <w:rsid w:val="008743E9"/>
    <w:rsid w:val="00874AC0"/>
    <w:rsid w:val="00874BE0"/>
    <w:rsid w:val="00875378"/>
    <w:rsid w:val="0087547F"/>
    <w:rsid w:val="00875FB3"/>
    <w:rsid w:val="00876328"/>
    <w:rsid w:val="008769BB"/>
    <w:rsid w:val="00876E78"/>
    <w:rsid w:val="00880395"/>
    <w:rsid w:val="008808BB"/>
    <w:rsid w:val="00880985"/>
    <w:rsid w:val="00880CD3"/>
    <w:rsid w:val="008810D7"/>
    <w:rsid w:val="00881452"/>
    <w:rsid w:val="008819B8"/>
    <w:rsid w:val="00881D63"/>
    <w:rsid w:val="00881DF9"/>
    <w:rsid w:val="00883942"/>
    <w:rsid w:val="00883A47"/>
    <w:rsid w:val="00886545"/>
    <w:rsid w:val="00886596"/>
    <w:rsid w:val="00886F0B"/>
    <w:rsid w:val="00887D5E"/>
    <w:rsid w:val="00890CB7"/>
    <w:rsid w:val="008913DB"/>
    <w:rsid w:val="00891950"/>
    <w:rsid w:val="008920DE"/>
    <w:rsid w:val="00892718"/>
    <w:rsid w:val="00892D37"/>
    <w:rsid w:val="00893434"/>
    <w:rsid w:val="008934C8"/>
    <w:rsid w:val="008936AC"/>
    <w:rsid w:val="0089376B"/>
    <w:rsid w:val="00893A3F"/>
    <w:rsid w:val="00894236"/>
    <w:rsid w:val="0089429F"/>
    <w:rsid w:val="00895BB6"/>
    <w:rsid w:val="00896C62"/>
    <w:rsid w:val="00896E25"/>
    <w:rsid w:val="00897477"/>
    <w:rsid w:val="008976E0"/>
    <w:rsid w:val="008A00C9"/>
    <w:rsid w:val="008A0C09"/>
    <w:rsid w:val="008A0C18"/>
    <w:rsid w:val="008A138F"/>
    <w:rsid w:val="008A13B8"/>
    <w:rsid w:val="008A1710"/>
    <w:rsid w:val="008A197C"/>
    <w:rsid w:val="008A2A4C"/>
    <w:rsid w:val="008A3755"/>
    <w:rsid w:val="008A3930"/>
    <w:rsid w:val="008A421C"/>
    <w:rsid w:val="008A4681"/>
    <w:rsid w:val="008A4B8F"/>
    <w:rsid w:val="008A51A0"/>
    <w:rsid w:val="008A5A24"/>
    <w:rsid w:val="008A5C64"/>
    <w:rsid w:val="008A5E02"/>
    <w:rsid w:val="008A699C"/>
    <w:rsid w:val="008A6C7E"/>
    <w:rsid w:val="008A6F8E"/>
    <w:rsid w:val="008A738D"/>
    <w:rsid w:val="008A7778"/>
    <w:rsid w:val="008A77F8"/>
    <w:rsid w:val="008B006D"/>
    <w:rsid w:val="008B0110"/>
    <w:rsid w:val="008B0729"/>
    <w:rsid w:val="008B0E03"/>
    <w:rsid w:val="008B1687"/>
    <w:rsid w:val="008B1827"/>
    <w:rsid w:val="008B18CA"/>
    <w:rsid w:val="008B25F6"/>
    <w:rsid w:val="008B3009"/>
    <w:rsid w:val="008B3068"/>
    <w:rsid w:val="008B35AB"/>
    <w:rsid w:val="008B379C"/>
    <w:rsid w:val="008B4197"/>
    <w:rsid w:val="008B442D"/>
    <w:rsid w:val="008B454C"/>
    <w:rsid w:val="008B4581"/>
    <w:rsid w:val="008B4BEF"/>
    <w:rsid w:val="008B4C0C"/>
    <w:rsid w:val="008B4E13"/>
    <w:rsid w:val="008B56A9"/>
    <w:rsid w:val="008B6215"/>
    <w:rsid w:val="008B7314"/>
    <w:rsid w:val="008B73BC"/>
    <w:rsid w:val="008B7583"/>
    <w:rsid w:val="008B7878"/>
    <w:rsid w:val="008C081A"/>
    <w:rsid w:val="008C0C23"/>
    <w:rsid w:val="008C17F9"/>
    <w:rsid w:val="008C1A70"/>
    <w:rsid w:val="008C2391"/>
    <w:rsid w:val="008C2598"/>
    <w:rsid w:val="008C259F"/>
    <w:rsid w:val="008C2AF2"/>
    <w:rsid w:val="008C2C96"/>
    <w:rsid w:val="008C3288"/>
    <w:rsid w:val="008C36D4"/>
    <w:rsid w:val="008C3883"/>
    <w:rsid w:val="008C4082"/>
    <w:rsid w:val="008C43EE"/>
    <w:rsid w:val="008C45A9"/>
    <w:rsid w:val="008C4803"/>
    <w:rsid w:val="008C5165"/>
    <w:rsid w:val="008C521C"/>
    <w:rsid w:val="008C57AF"/>
    <w:rsid w:val="008C5895"/>
    <w:rsid w:val="008C5BFF"/>
    <w:rsid w:val="008C5E11"/>
    <w:rsid w:val="008C60AA"/>
    <w:rsid w:val="008C6227"/>
    <w:rsid w:val="008C7482"/>
    <w:rsid w:val="008C74A3"/>
    <w:rsid w:val="008C7B3C"/>
    <w:rsid w:val="008C7B59"/>
    <w:rsid w:val="008D0605"/>
    <w:rsid w:val="008D09BB"/>
    <w:rsid w:val="008D19E7"/>
    <w:rsid w:val="008D1E26"/>
    <w:rsid w:val="008D1F1D"/>
    <w:rsid w:val="008D2661"/>
    <w:rsid w:val="008D2E70"/>
    <w:rsid w:val="008D300F"/>
    <w:rsid w:val="008D33A9"/>
    <w:rsid w:val="008D3731"/>
    <w:rsid w:val="008D3835"/>
    <w:rsid w:val="008D3BF1"/>
    <w:rsid w:val="008D457F"/>
    <w:rsid w:val="008D53D9"/>
    <w:rsid w:val="008D5782"/>
    <w:rsid w:val="008D5BA8"/>
    <w:rsid w:val="008D6A3C"/>
    <w:rsid w:val="008D7835"/>
    <w:rsid w:val="008D7916"/>
    <w:rsid w:val="008D7E52"/>
    <w:rsid w:val="008E04A9"/>
    <w:rsid w:val="008E04FE"/>
    <w:rsid w:val="008E0675"/>
    <w:rsid w:val="008E0768"/>
    <w:rsid w:val="008E0EA2"/>
    <w:rsid w:val="008E0FC0"/>
    <w:rsid w:val="008E1207"/>
    <w:rsid w:val="008E1433"/>
    <w:rsid w:val="008E187B"/>
    <w:rsid w:val="008E1D28"/>
    <w:rsid w:val="008E219C"/>
    <w:rsid w:val="008E29A0"/>
    <w:rsid w:val="008E2BE3"/>
    <w:rsid w:val="008E3C5C"/>
    <w:rsid w:val="008E3CAA"/>
    <w:rsid w:val="008E3FB3"/>
    <w:rsid w:val="008E43F5"/>
    <w:rsid w:val="008E45EC"/>
    <w:rsid w:val="008E53B9"/>
    <w:rsid w:val="008E5737"/>
    <w:rsid w:val="008E65CD"/>
    <w:rsid w:val="008E6C6A"/>
    <w:rsid w:val="008E7151"/>
    <w:rsid w:val="008E73F7"/>
    <w:rsid w:val="008E7740"/>
    <w:rsid w:val="008E7C5B"/>
    <w:rsid w:val="008F008D"/>
    <w:rsid w:val="008F04C6"/>
    <w:rsid w:val="008F0F00"/>
    <w:rsid w:val="008F1B2C"/>
    <w:rsid w:val="008F1D28"/>
    <w:rsid w:val="008F2B03"/>
    <w:rsid w:val="008F2F67"/>
    <w:rsid w:val="008F34C2"/>
    <w:rsid w:val="008F39EF"/>
    <w:rsid w:val="008F3C56"/>
    <w:rsid w:val="008F3CAE"/>
    <w:rsid w:val="008F3CDA"/>
    <w:rsid w:val="008F3EF1"/>
    <w:rsid w:val="008F42F7"/>
    <w:rsid w:val="008F4384"/>
    <w:rsid w:val="008F487F"/>
    <w:rsid w:val="008F49C2"/>
    <w:rsid w:val="008F5B1A"/>
    <w:rsid w:val="008F6174"/>
    <w:rsid w:val="008F63E9"/>
    <w:rsid w:val="008F72C2"/>
    <w:rsid w:val="008F752C"/>
    <w:rsid w:val="008F7734"/>
    <w:rsid w:val="008F8E52"/>
    <w:rsid w:val="009001B5"/>
    <w:rsid w:val="009003C1"/>
    <w:rsid w:val="0090085A"/>
    <w:rsid w:val="009010A2"/>
    <w:rsid w:val="009010C8"/>
    <w:rsid w:val="0090125B"/>
    <w:rsid w:val="00901371"/>
    <w:rsid w:val="00901679"/>
    <w:rsid w:val="00902373"/>
    <w:rsid w:val="00902663"/>
    <w:rsid w:val="009026B0"/>
    <w:rsid w:val="00902834"/>
    <w:rsid w:val="00902A48"/>
    <w:rsid w:val="00902E16"/>
    <w:rsid w:val="00903282"/>
    <w:rsid w:val="00903D38"/>
    <w:rsid w:val="009042A0"/>
    <w:rsid w:val="00904304"/>
    <w:rsid w:val="009046BA"/>
    <w:rsid w:val="00904ACB"/>
    <w:rsid w:val="00905286"/>
    <w:rsid w:val="00905449"/>
    <w:rsid w:val="009055FF"/>
    <w:rsid w:val="0090591C"/>
    <w:rsid w:val="009071FF"/>
    <w:rsid w:val="00907820"/>
    <w:rsid w:val="00910389"/>
    <w:rsid w:val="00910AF6"/>
    <w:rsid w:val="00911347"/>
    <w:rsid w:val="00911B47"/>
    <w:rsid w:val="009123B6"/>
    <w:rsid w:val="00912EC8"/>
    <w:rsid w:val="00913135"/>
    <w:rsid w:val="00913952"/>
    <w:rsid w:val="00913BAA"/>
    <w:rsid w:val="00913DCB"/>
    <w:rsid w:val="00913EB3"/>
    <w:rsid w:val="00913F53"/>
    <w:rsid w:val="00913F6C"/>
    <w:rsid w:val="009143CD"/>
    <w:rsid w:val="009145E0"/>
    <w:rsid w:val="009149D5"/>
    <w:rsid w:val="00915485"/>
    <w:rsid w:val="00915AA7"/>
    <w:rsid w:val="0091629F"/>
    <w:rsid w:val="00917252"/>
    <w:rsid w:val="009172DC"/>
    <w:rsid w:val="00917505"/>
    <w:rsid w:val="00920437"/>
    <w:rsid w:val="00921117"/>
    <w:rsid w:val="009220F4"/>
    <w:rsid w:val="009224E0"/>
    <w:rsid w:val="00923082"/>
    <w:rsid w:val="009236B2"/>
    <w:rsid w:val="009239C8"/>
    <w:rsid w:val="00924144"/>
    <w:rsid w:val="009242E2"/>
    <w:rsid w:val="00924349"/>
    <w:rsid w:val="0092443C"/>
    <w:rsid w:val="00924CA9"/>
    <w:rsid w:val="00924E1F"/>
    <w:rsid w:val="00924F5C"/>
    <w:rsid w:val="00925288"/>
    <w:rsid w:val="009253F0"/>
    <w:rsid w:val="00925A15"/>
    <w:rsid w:val="00925BFA"/>
    <w:rsid w:val="00925E37"/>
    <w:rsid w:val="00925E9B"/>
    <w:rsid w:val="00925EBE"/>
    <w:rsid w:val="0092642A"/>
    <w:rsid w:val="009266C1"/>
    <w:rsid w:val="00930717"/>
    <w:rsid w:val="00930BE9"/>
    <w:rsid w:val="00932B08"/>
    <w:rsid w:val="00932B6B"/>
    <w:rsid w:val="0093300C"/>
    <w:rsid w:val="009334D8"/>
    <w:rsid w:val="00933DDB"/>
    <w:rsid w:val="00933EDB"/>
    <w:rsid w:val="0093458F"/>
    <w:rsid w:val="0093536A"/>
    <w:rsid w:val="00936284"/>
    <w:rsid w:val="00936C3B"/>
    <w:rsid w:val="00937504"/>
    <w:rsid w:val="009406A8"/>
    <w:rsid w:val="00940FEF"/>
    <w:rsid w:val="00941854"/>
    <w:rsid w:val="00941B9D"/>
    <w:rsid w:val="00941F50"/>
    <w:rsid w:val="00941FB9"/>
    <w:rsid w:val="00942673"/>
    <w:rsid w:val="009437FF"/>
    <w:rsid w:val="009448E8"/>
    <w:rsid w:val="00944C3A"/>
    <w:rsid w:val="00944ECC"/>
    <w:rsid w:val="00944F01"/>
    <w:rsid w:val="00945102"/>
    <w:rsid w:val="00945A2D"/>
    <w:rsid w:val="00945B86"/>
    <w:rsid w:val="00946184"/>
    <w:rsid w:val="0094646F"/>
    <w:rsid w:val="0094655D"/>
    <w:rsid w:val="00946B26"/>
    <w:rsid w:val="00946C90"/>
    <w:rsid w:val="00946ED9"/>
    <w:rsid w:val="00947768"/>
    <w:rsid w:val="009507C7"/>
    <w:rsid w:val="00950C7E"/>
    <w:rsid w:val="009511D2"/>
    <w:rsid w:val="00951490"/>
    <w:rsid w:val="00951905"/>
    <w:rsid w:val="00951FAF"/>
    <w:rsid w:val="009520FC"/>
    <w:rsid w:val="00952786"/>
    <w:rsid w:val="009529A0"/>
    <w:rsid w:val="00952A39"/>
    <w:rsid w:val="00952ADB"/>
    <w:rsid w:val="00952B99"/>
    <w:rsid w:val="0095443E"/>
    <w:rsid w:val="00954787"/>
    <w:rsid w:val="00954E05"/>
    <w:rsid w:val="00955BCE"/>
    <w:rsid w:val="00955E6A"/>
    <w:rsid w:val="0095610E"/>
    <w:rsid w:val="00956202"/>
    <w:rsid w:val="0095648B"/>
    <w:rsid w:val="00956B96"/>
    <w:rsid w:val="00956D36"/>
    <w:rsid w:val="00957C31"/>
    <w:rsid w:val="00957FF9"/>
    <w:rsid w:val="00960262"/>
    <w:rsid w:val="00960785"/>
    <w:rsid w:val="00960ABE"/>
    <w:rsid w:val="00960C69"/>
    <w:rsid w:val="00960F4E"/>
    <w:rsid w:val="00960F52"/>
    <w:rsid w:val="009617F8"/>
    <w:rsid w:val="00961DCF"/>
    <w:rsid w:val="00961F9C"/>
    <w:rsid w:val="00962CEC"/>
    <w:rsid w:val="00962D51"/>
    <w:rsid w:val="0096300D"/>
    <w:rsid w:val="009633A6"/>
    <w:rsid w:val="0096421F"/>
    <w:rsid w:val="0096424A"/>
    <w:rsid w:val="00964407"/>
    <w:rsid w:val="009647EF"/>
    <w:rsid w:val="00964988"/>
    <w:rsid w:val="00965029"/>
    <w:rsid w:val="00965128"/>
    <w:rsid w:val="00965148"/>
    <w:rsid w:val="00965B43"/>
    <w:rsid w:val="00965C14"/>
    <w:rsid w:val="0096659E"/>
    <w:rsid w:val="0096676E"/>
    <w:rsid w:val="009668AD"/>
    <w:rsid w:val="00966FDF"/>
    <w:rsid w:val="009679B5"/>
    <w:rsid w:val="009700B1"/>
    <w:rsid w:val="0097010D"/>
    <w:rsid w:val="0097075D"/>
    <w:rsid w:val="00970981"/>
    <w:rsid w:val="00970A56"/>
    <w:rsid w:val="009714E7"/>
    <w:rsid w:val="00971945"/>
    <w:rsid w:val="00971C11"/>
    <w:rsid w:val="0097227D"/>
    <w:rsid w:val="009723F8"/>
    <w:rsid w:val="00972848"/>
    <w:rsid w:val="00972B56"/>
    <w:rsid w:val="00972C94"/>
    <w:rsid w:val="00972F3B"/>
    <w:rsid w:val="00973226"/>
    <w:rsid w:val="00973308"/>
    <w:rsid w:val="00973628"/>
    <w:rsid w:val="009736B2"/>
    <w:rsid w:val="00973EF2"/>
    <w:rsid w:val="009742B4"/>
    <w:rsid w:val="00974A61"/>
    <w:rsid w:val="0097532D"/>
    <w:rsid w:val="009756D8"/>
    <w:rsid w:val="00976071"/>
    <w:rsid w:val="00976108"/>
    <w:rsid w:val="009764BA"/>
    <w:rsid w:val="00976BD9"/>
    <w:rsid w:val="00976C3E"/>
    <w:rsid w:val="00976F5E"/>
    <w:rsid w:val="00977459"/>
    <w:rsid w:val="009775F9"/>
    <w:rsid w:val="0097776C"/>
    <w:rsid w:val="00977DF9"/>
    <w:rsid w:val="00980C84"/>
    <w:rsid w:val="0098153F"/>
    <w:rsid w:val="009817ED"/>
    <w:rsid w:val="009817F7"/>
    <w:rsid w:val="00981B6C"/>
    <w:rsid w:val="0098240F"/>
    <w:rsid w:val="00982471"/>
    <w:rsid w:val="00983B25"/>
    <w:rsid w:val="00983D9E"/>
    <w:rsid w:val="0098427D"/>
    <w:rsid w:val="0098472D"/>
    <w:rsid w:val="009848EC"/>
    <w:rsid w:val="009849C2"/>
    <w:rsid w:val="00984A8F"/>
    <w:rsid w:val="00984EC8"/>
    <w:rsid w:val="0098584E"/>
    <w:rsid w:val="00985C0D"/>
    <w:rsid w:val="00985C65"/>
    <w:rsid w:val="009861AE"/>
    <w:rsid w:val="0098646E"/>
    <w:rsid w:val="009864F3"/>
    <w:rsid w:val="009868B5"/>
    <w:rsid w:val="00986B2B"/>
    <w:rsid w:val="00987307"/>
    <w:rsid w:val="00987325"/>
    <w:rsid w:val="00987420"/>
    <w:rsid w:val="00987FDC"/>
    <w:rsid w:val="009905F9"/>
    <w:rsid w:val="009908AA"/>
    <w:rsid w:val="00990CF5"/>
    <w:rsid w:val="009919F1"/>
    <w:rsid w:val="00991F8A"/>
    <w:rsid w:val="0099223B"/>
    <w:rsid w:val="00992D94"/>
    <w:rsid w:val="00992E14"/>
    <w:rsid w:val="00993401"/>
    <w:rsid w:val="009934D3"/>
    <w:rsid w:val="009936A2"/>
    <w:rsid w:val="0099397A"/>
    <w:rsid w:val="00993BC8"/>
    <w:rsid w:val="00994085"/>
    <w:rsid w:val="00994D86"/>
    <w:rsid w:val="009951BA"/>
    <w:rsid w:val="00995395"/>
    <w:rsid w:val="00996131"/>
    <w:rsid w:val="00997CDF"/>
    <w:rsid w:val="009A01D0"/>
    <w:rsid w:val="009A0CD3"/>
    <w:rsid w:val="009A0E30"/>
    <w:rsid w:val="009A1039"/>
    <w:rsid w:val="009A1743"/>
    <w:rsid w:val="009A1CCF"/>
    <w:rsid w:val="009A233E"/>
    <w:rsid w:val="009A2527"/>
    <w:rsid w:val="009A299C"/>
    <w:rsid w:val="009A2BB2"/>
    <w:rsid w:val="009A2D01"/>
    <w:rsid w:val="009A2D08"/>
    <w:rsid w:val="009A2D35"/>
    <w:rsid w:val="009A35CC"/>
    <w:rsid w:val="009A3919"/>
    <w:rsid w:val="009A3D7B"/>
    <w:rsid w:val="009A4121"/>
    <w:rsid w:val="009A49E7"/>
    <w:rsid w:val="009A4F4D"/>
    <w:rsid w:val="009A51D2"/>
    <w:rsid w:val="009A58CE"/>
    <w:rsid w:val="009A65E7"/>
    <w:rsid w:val="009A7082"/>
    <w:rsid w:val="009A7397"/>
    <w:rsid w:val="009A7905"/>
    <w:rsid w:val="009A7BC2"/>
    <w:rsid w:val="009B068C"/>
    <w:rsid w:val="009B0997"/>
    <w:rsid w:val="009B1017"/>
    <w:rsid w:val="009B110F"/>
    <w:rsid w:val="009B14E9"/>
    <w:rsid w:val="009B1A21"/>
    <w:rsid w:val="009B1C17"/>
    <w:rsid w:val="009B208E"/>
    <w:rsid w:val="009B20B1"/>
    <w:rsid w:val="009B23C6"/>
    <w:rsid w:val="009B2486"/>
    <w:rsid w:val="009B2F8A"/>
    <w:rsid w:val="009B30CA"/>
    <w:rsid w:val="009B34FB"/>
    <w:rsid w:val="009B542C"/>
    <w:rsid w:val="009B5528"/>
    <w:rsid w:val="009B5A04"/>
    <w:rsid w:val="009B5B58"/>
    <w:rsid w:val="009B6093"/>
    <w:rsid w:val="009B685F"/>
    <w:rsid w:val="009B6A3D"/>
    <w:rsid w:val="009B6BAE"/>
    <w:rsid w:val="009B6EFC"/>
    <w:rsid w:val="009B74C6"/>
    <w:rsid w:val="009C0E59"/>
    <w:rsid w:val="009C0EAF"/>
    <w:rsid w:val="009C16D1"/>
    <w:rsid w:val="009C16EB"/>
    <w:rsid w:val="009C1860"/>
    <w:rsid w:val="009C23D8"/>
    <w:rsid w:val="009C272D"/>
    <w:rsid w:val="009C27B9"/>
    <w:rsid w:val="009C2A5D"/>
    <w:rsid w:val="009C2F68"/>
    <w:rsid w:val="009C361C"/>
    <w:rsid w:val="009C36A2"/>
    <w:rsid w:val="009C3DE2"/>
    <w:rsid w:val="009C3EE6"/>
    <w:rsid w:val="009C46AC"/>
    <w:rsid w:val="009C4EA8"/>
    <w:rsid w:val="009C5FB4"/>
    <w:rsid w:val="009C63DA"/>
    <w:rsid w:val="009C6CD1"/>
    <w:rsid w:val="009C6CF8"/>
    <w:rsid w:val="009C6F41"/>
    <w:rsid w:val="009C704C"/>
    <w:rsid w:val="009C726F"/>
    <w:rsid w:val="009C7300"/>
    <w:rsid w:val="009C7677"/>
    <w:rsid w:val="009C7FAC"/>
    <w:rsid w:val="009D0460"/>
    <w:rsid w:val="009D0928"/>
    <w:rsid w:val="009D0A9B"/>
    <w:rsid w:val="009D0B4D"/>
    <w:rsid w:val="009D1633"/>
    <w:rsid w:val="009D1C14"/>
    <w:rsid w:val="009D203A"/>
    <w:rsid w:val="009D23CB"/>
    <w:rsid w:val="009D23E1"/>
    <w:rsid w:val="009D2549"/>
    <w:rsid w:val="009D4557"/>
    <w:rsid w:val="009D4AB8"/>
    <w:rsid w:val="009D4ED3"/>
    <w:rsid w:val="009D532A"/>
    <w:rsid w:val="009D5756"/>
    <w:rsid w:val="009D575E"/>
    <w:rsid w:val="009D5A6D"/>
    <w:rsid w:val="009D613A"/>
    <w:rsid w:val="009D6484"/>
    <w:rsid w:val="009D64A4"/>
    <w:rsid w:val="009D6553"/>
    <w:rsid w:val="009D710D"/>
    <w:rsid w:val="009D72DA"/>
    <w:rsid w:val="009D7568"/>
    <w:rsid w:val="009D7687"/>
    <w:rsid w:val="009D772E"/>
    <w:rsid w:val="009D7E5D"/>
    <w:rsid w:val="009DD146"/>
    <w:rsid w:val="009E08CB"/>
    <w:rsid w:val="009E1807"/>
    <w:rsid w:val="009E1B50"/>
    <w:rsid w:val="009E1EC0"/>
    <w:rsid w:val="009E2BBC"/>
    <w:rsid w:val="009E3484"/>
    <w:rsid w:val="009E34E4"/>
    <w:rsid w:val="009E3605"/>
    <w:rsid w:val="009E3607"/>
    <w:rsid w:val="009E3D2F"/>
    <w:rsid w:val="009E3E7D"/>
    <w:rsid w:val="009E4F83"/>
    <w:rsid w:val="009E5694"/>
    <w:rsid w:val="009E5E75"/>
    <w:rsid w:val="009E6221"/>
    <w:rsid w:val="009E6464"/>
    <w:rsid w:val="009E7145"/>
    <w:rsid w:val="009E7388"/>
    <w:rsid w:val="009F0568"/>
    <w:rsid w:val="009F0635"/>
    <w:rsid w:val="009F13ED"/>
    <w:rsid w:val="009F1648"/>
    <w:rsid w:val="009F1966"/>
    <w:rsid w:val="009F1A07"/>
    <w:rsid w:val="009F1F79"/>
    <w:rsid w:val="009F22E4"/>
    <w:rsid w:val="009F2631"/>
    <w:rsid w:val="009F3092"/>
    <w:rsid w:val="009F34F2"/>
    <w:rsid w:val="009F3862"/>
    <w:rsid w:val="009F3FF8"/>
    <w:rsid w:val="009F457F"/>
    <w:rsid w:val="009F4B55"/>
    <w:rsid w:val="009F50A8"/>
    <w:rsid w:val="009F60B1"/>
    <w:rsid w:val="009F63DA"/>
    <w:rsid w:val="009F684E"/>
    <w:rsid w:val="009F691D"/>
    <w:rsid w:val="00A007A3"/>
    <w:rsid w:val="00A00954"/>
    <w:rsid w:val="00A00D77"/>
    <w:rsid w:val="00A01721"/>
    <w:rsid w:val="00A01ADD"/>
    <w:rsid w:val="00A023F7"/>
    <w:rsid w:val="00A0293B"/>
    <w:rsid w:val="00A02D01"/>
    <w:rsid w:val="00A0335B"/>
    <w:rsid w:val="00A038D1"/>
    <w:rsid w:val="00A03BAC"/>
    <w:rsid w:val="00A045F6"/>
    <w:rsid w:val="00A049D1"/>
    <w:rsid w:val="00A04D80"/>
    <w:rsid w:val="00A05D1C"/>
    <w:rsid w:val="00A064A8"/>
    <w:rsid w:val="00A06B9B"/>
    <w:rsid w:val="00A06DEF"/>
    <w:rsid w:val="00A078D3"/>
    <w:rsid w:val="00A079D4"/>
    <w:rsid w:val="00A10340"/>
    <w:rsid w:val="00A110D3"/>
    <w:rsid w:val="00A11AD7"/>
    <w:rsid w:val="00A11E7D"/>
    <w:rsid w:val="00A11F6A"/>
    <w:rsid w:val="00A11F8D"/>
    <w:rsid w:val="00A12561"/>
    <w:rsid w:val="00A126D5"/>
    <w:rsid w:val="00A12BCD"/>
    <w:rsid w:val="00A12E7A"/>
    <w:rsid w:val="00A134C6"/>
    <w:rsid w:val="00A139A9"/>
    <w:rsid w:val="00A13CC1"/>
    <w:rsid w:val="00A13EBC"/>
    <w:rsid w:val="00A13EE3"/>
    <w:rsid w:val="00A140BC"/>
    <w:rsid w:val="00A14197"/>
    <w:rsid w:val="00A1433E"/>
    <w:rsid w:val="00A149C9"/>
    <w:rsid w:val="00A14CE4"/>
    <w:rsid w:val="00A154F2"/>
    <w:rsid w:val="00A159C4"/>
    <w:rsid w:val="00A15D88"/>
    <w:rsid w:val="00A15E6B"/>
    <w:rsid w:val="00A17BCE"/>
    <w:rsid w:val="00A20187"/>
    <w:rsid w:val="00A201CC"/>
    <w:rsid w:val="00A2071F"/>
    <w:rsid w:val="00A208BC"/>
    <w:rsid w:val="00A20926"/>
    <w:rsid w:val="00A2093C"/>
    <w:rsid w:val="00A20A23"/>
    <w:rsid w:val="00A2104B"/>
    <w:rsid w:val="00A215A3"/>
    <w:rsid w:val="00A2191A"/>
    <w:rsid w:val="00A21BA5"/>
    <w:rsid w:val="00A21C8A"/>
    <w:rsid w:val="00A21D6E"/>
    <w:rsid w:val="00A21FC1"/>
    <w:rsid w:val="00A22067"/>
    <w:rsid w:val="00A2223B"/>
    <w:rsid w:val="00A22A50"/>
    <w:rsid w:val="00A23419"/>
    <w:rsid w:val="00A2344C"/>
    <w:rsid w:val="00A23C05"/>
    <w:rsid w:val="00A24224"/>
    <w:rsid w:val="00A248FC"/>
    <w:rsid w:val="00A254DA"/>
    <w:rsid w:val="00A2557E"/>
    <w:rsid w:val="00A255BA"/>
    <w:rsid w:val="00A25771"/>
    <w:rsid w:val="00A259DD"/>
    <w:rsid w:val="00A26395"/>
    <w:rsid w:val="00A26E84"/>
    <w:rsid w:val="00A26E8B"/>
    <w:rsid w:val="00A273CE"/>
    <w:rsid w:val="00A30359"/>
    <w:rsid w:val="00A312A5"/>
    <w:rsid w:val="00A315C7"/>
    <w:rsid w:val="00A318CC"/>
    <w:rsid w:val="00A318E1"/>
    <w:rsid w:val="00A31EDE"/>
    <w:rsid w:val="00A3270C"/>
    <w:rsid w:val="00A32DA7"/>
    <w:rsid w:val="00A32FA4"/>
    <w:rsid w:val="00A33249"/>
    <w:rsid w:val="00A33C22"/>
    <w:rsid w:val="00A341C9"/>
    <w:rsid w:val="00A346A6"/>
    <w:rsid w:val="00A346DA"/>
    <w:rsid w:val="00A350AE"/>
    <w:rsid w:val="00A350F5"/>
    <w:rsid w:val="00A35D2C"/>
    <w:rsid w:val="00A35E38"/>
    <w:rsid w:val="00A36593"/>
    <w:rsid w:val="00A36B48"/>
    <w:rsid w:val="00A36CFC"/>
    <w:rsid w:val="00A36D01"/>
    <w:rsid w:val="00A36D5B"/>
    <w:rsid w:val="00A36FAB"/>
    <w:rsid w:val="00A37F87"/>
    <w:rsid w:val="00A405CD"/>
    <w:rsid w:val="00A4069B"/>
    <w:rsid w:val="00A4092E"/>
    <w:rsid w:val="00A40A1E"/>
    <w:rsid w:val="00A416A3"/>
    <w:rsid w:val="00A417A0"/>
    <w:rsid w:val="00A41BAC"/>
    <w:rsid w:val="00A41FB4"/>
    <w:rsid w:val="00A421A3"/>
    <w:rsid w:val="00A423DE"/>
    <w:rsid w:val="00A42811"/>
    <w:rsid w:val="00A42D50"/>
    <w:rsid w:val="00A42ED0"/>
    <w:rsid w:val="00A4311E"/>
    <w:rsid w:val="00A43D28"/>
    <w:rsid w:val="00A4491E"/>
    <w:rsid w:val="00A44E1E"/>
    <w:rsid w:val="00A45BBB"/>
    <w:rsid w:val="00A46425"/>
    <w:rsid w:val="00A4682F"/>
    <w:rsid w:val="00A47049"/>
    <w:rsid w:val="00A47570"/>
    <w:rsid w:val="00A47744"/>
    <w:rsid w:val="00A47B3E"/>
    <w:rsid w:val="00A508EC"/>
    <w:rsid w:val="00A50AA4"/>
    <w:rsid w:val="00A50BA0"/>
    <w:rsid w:val="00A510F4"/>
    <w:rsid w:val="00A51C24"/>
    <w:rsid w:val="00A520CE"/>
    <w:rsid w:val="00A52676"/>
    <w:rsid w:val="00A531E5"/>
    <w:rsid w:val="00A53975"/>
    <w:rsid w:val="00A539E8"/>
    <w:rsid w:val="00A53C3C"/>
    <w:rsid w:val="00A53D3D"/>
    <w:rsid w:val="00A54093"/>
    <w:rsid w:val="00A559EE"/>
    <w:rsid w:val="00A55A58"/>
    <w:rsid w:val="00A5601D"/>
    <w:rsid w:val="00A5620E"/>
    <w:rsid w:val="00A562FD"/>
    <w:rsid w:val="00A569A6"/>
    <w:rsid w:val="00A56BF7"/>
    <w:rsid w:val="00A57AC3"/>
    <w:rsid w:val="00A57AEC"/>
    <w:rsid w:val="00A60027"/>
    <w:rsid w:val="00A60705"/>
    <w:rsid w:val="00A60811"/>
    <w:rsid w:val="00A60F1A"/>
    <w:rsid w:val="00A60FE5"/>
    <w:rsid w:val="00A61AE1"/>
    <w:rsid w:val="00A61C55"/>
    <w:rsid w:val="00A622D3"/>
    <w:rsid w:val="00A6275B"/>
    <w:rsid w:val="00A62FB3"/>
    <w:rsid w:val="00A63327"/>
    <w:rsid w:val="00A635D3"/>
    <w:rsid w:val="00A6360D"/>
    <w:rsid w:val="00A63A95"/>
    <w:rsid w:val="00A63BBB"/>
    <w:rsid w:val="00A63F66"/>
    <w:rsid w:val="00A64725"/>
    <w:rsid w:val="00A648D1"/>
    <w:rsid w:val="00A64B8F"/>
    <w:rsid w:val="00A65A58"/>
    <w:rsid w:val="00A65C54"/>
    <w:rsid w:val="00A65EF8"/>
    <w:rsid w:val="00A661EA"/>
    <w:rsid w:val="00A6631D"/>
    <w:rsid w:val="00A665F4"/>
    <w:rsid w:val="00A66D22"/>
    <w:rsid w:val="00A670B1"/>
    <w:rsid w:val="00A676C5"/>
    <w:rsid w:val="00A67A2C"/>
    <w:rsid w:val="00A67BDA"/>
    <w:rsid w:val="00A67F9D"/>
    <w:rsid w:val="00A7012A"/>
    <w:rsid w:val="00A70998"/>
    <w:rsid w:val="00A71A07"/>
    <w:rsid w:val="00A720F4"/>
    <w:rsid w:val="00A72333"/>
    <w:rsid w:val="00A72640"/>
    <w:rsid w:val="00A726A1"/>
    <w:rsid w:val="00A72C0A"/>
    <w:rsid w:val="00A73568"/>
    <w:rsid w:val="00A73F4C"/>
    <w:rsid w:val="00A74060"/>
    <w:rsid w:val="00A74337"/>
    <w:rsid w:val="00A743B2"/>
    <w:rsid w:val="00A74F22"/>
    <w:rsid w:val="00A7509F"/>
    <w:rsid w:val="00A752F6"/>
    <w:rsid w:val="00A7563D"/>
    <w:rsid w:val="00A75ED8"/>
    <w:rsid w:val="00A766FC"/>
    <w:rsid w:val="00A77A2D"/>
    <w:rsid w:val="00A77AB7"/>
    <w:rsid w:val="00A8001F"/>
    <w:rsid w:val="00A8071E"/>
    <w:rsid w:val="00A8093A"/>
    <w:rsid w:val="00A818DA"/>
    <w:rsid w:val="00A81F27"/>
    <w:rsid w:val="00A825F7"/>
    <w:rsid w:val="00A83052"/>
    <w:rsid w:val="00A83205"/>
    <w:rsid w:val="00A83C5B"/>
    <w:rsid w:val="00A83FF1"/>
    <w:rsid w:val="00A84968"/>
    <w:rsid w:val="00A84ECE"/>
    <w:rsid w:val="00A850C2"/>
    <w:rsid w:val="00A8548E"/>
    <w:rsid w:val="00A85547"/>
    <w:rsid w:val="00A85C85"/>
    <w:rsid w:val="00A85F0F"/>
    <w:rsid w:val="00A861A1"/>
    <w:rsid w:val="00A862C9"/>
    <w:rsid w:val="00A8644B"/>
    <w:rsid w:val="00A868D2"/>
    <w:rsid w:val="00A86915"/>
    <w:rsid w:val="00A86B02"/>
    <w:rsid w:val="00A86E03"/>
    <w:rsid w:val="00A86E31"/>
    <w:rsid w:val="00A87228"/>
    <w:rsid w:val="00A87860"/>
    <w:rsid w:val="00A879B7"/>
    <w:rsid w:val="00A8FC8E"/>
    <w:rsid w:val="00A90BF6"/>
    <w:rsid w:val="00A915BA"/>
    <w:rsid w:val="00A919B0"/>
    <w:rsid w:val="00A91AE6"/>
    <w:rsid w:val="00A91C65"/>
    <w:rsid w:val="00A91CE0"/>
    <w:rsid w:val="00A91DE8"/>
    <w:rsid w:val="00A920FA"/>
    <w:rsid w:val="00A92CEC"/>
    <w:rsid w:val="00A93136"/>
    <w:rsid w:val="00A935E5"/>
    <w:rsid w:val="00A9382B"/>
    <w:rsid w:val="00A93A68"/>
    <w:rsid w:val="00A93F84"/>
    <w:rsid w:val="00A9529F"/>
    <w:rsid w:val="00A9542C"/>
    <w:rsid w:val="00A95801"/>
    <w:rsid w:val="00A95DD4"/>
    <w:rsid w:val="00A95FD6"/>
    <w:rsid w:val="00A961C7"/>
    <w:rsid w:val="00A96331"/>
    <w:rsid w:val="00A96461"/>
    <w:rsid w:val="00A9693C"/>
    <w:rsid w:val="00A96D1F"/>
    <w:rsid w:val="00A96FA4"/>
    <w:rsid w:val="00A970FC"/>
    <w:rsid w:val="00A977A3"/>
    <w:rsid w:val="00A9783B"/>
    <w:rsid w:val="00A97F47"/>
    <w:rsid w:val="00AA060D"/>
    <w:rsid w:val="00AA0B24"/>
    <w:rsid w:val="00AA0BE7"/>
    <w:rsid w:val="00AA1372"/>
    <w:rsid w:val="00AA157A"/>
    <w:rsid w:val="00AA1995"/>
    <w:rsid w:val="00AA1D2F"/>
    <w:rsid w:val="00AA1E2A"/>
    <w:rsid w:val="00AA20F8"/>
    <w:rsid w:val="00AA22F6"/>
    <w:rsid w:val="00AA2962"/>
    <w:rsid w:val="00AA2A83"/>
    <w:rsid w:val="00AA2CAC"/>
    <w:rsid w:val="00AA2EB6"/>
    <w:rsid w:val="00AA30DE"/>
    <w:rsid w:val="00AA3421"/>
    <w:rsid w:val="00AA452B"/>
    <w:rsid w:val="00AA4611"/>
    <w:rsid w:val="00AA4B60"/>
    <w:rsid w:val="00AA5D76"/>
    <w:rsid w:val="00AA63EB"/>
    <w:rsid w:val="00AA6D48"/>
    <w:rsid w:val="00AA71A8"/>
    <w:rsid w:val="00AA759B"/>
    <w:rsid w:val="00AA7D1A"/>
    <w:rsid w:val="00AA7F07"/>
    <w:rsid w:val="00AB11B7"/>
    <w:rsid w:val="00AB13BB"/>
    <w:rsid w:val="00AB14B0"/>
    <w:rsid w:val="00AB14B2"/>
    <w:rsid w:val="00AB14C7"/>
    <w:rsid w:val="00AB166E"/>
    <w:rsid w:val="00AB17C0"/>
    <w:rsid w:val="00AB3023"/>
    <w:rsid w:val="00AB35C5"/>
    <w:rsid w:val="00AB3798"/>
    <w:rsid w:val="00AB399B"/>
    <w:rsid w:val="00AB4C05"/>
    <w:rsid w:val="00AB4D6B"/>
    <w:rsid w:val="00AB5327"/>
    <w:rsid w:val="00AB556D"/>
    <w:rsid w:val="00AB592A"/>
    <w:rsid w:val="00AB5C9A"/>
    <w:rsid w:val="00AB5CDA"/>
    <w:rsid w:val="00AB612C"/>
    <w:rsid w:val="00AB68CC"/>
    <w:rsid w:val="00AB6AB0"/>
    <w:rsid w:val="00AB6EF3"/>
    <w:rsid w:val="00AB719C"/>
    <w:rsid w:val="00AB763B"/>
    <w:rsid w:val="00AB7B3F"/>
    <w:rsid w:val="00AB7CBE"/>
    <w:rsid w:val="00AC0754"/>
    <w:rsid w:val="00AC0CB6"/>
    <w:rsid w:val="00AC0DA8"/>
    <w:rsid w:val="00AC1324"/>
    <w:rsid w:val="00AC13C3"/>
    <w:rsid w:val="00AC140B"/>
    <w:rsid w:val="00AC168C"/>
    <w:rsid w:val="00AC1C49"/>
    <w:rsid w:val="00AC245B"/>
    <w:rsid w:val="00AC26D1"/>
    <w:rsid w:val="00AC3118"/>
    <w:rsid w:val="00AC31F6"/>
    <w:rsid w:val="00AC34FE"/>
    <w:rsid w:val="00AC40A4"/>
    <w:rsid w:val="00AC4195"/>
    <w:rsid w:val="00AC41CD"/>
    <w:rsid w:val="00AC44D0"/>
    <w:rsid w:val="00AC5A2F"/>
    <w:rsid w:val="00AC601B"/>
    <w:rsid w:val="00AC6326"/>
    <w:rsid w:val="00AC692D"/>
    <w:rsid w:val="00AC6AA9"/>
    <w:rsid w:val="00AC6B52"/>
    <w:rsid w:val="00AC6DF0"/>
    <w:rsid w:val="00AC78B7"/>
    <w:rsid w:val="00AD0434"/>
    <w:rsid w:val="00AD0896"/>
    <w:rsid w:val="00AD0CBE"/>
    <w:rsid w:val="00AD0D39"/>
    <w:rsid w:val="00AD170F"/>
    <w:rsid w:val="00AD17B7"/>
    <w:rsid w:val="00AD1EAE"/>
    <w:rsid w:val="00AD210F"/>
    <w:rsid w:val="00AD26D8"/>
    <w:rsid w:val="00AD2E8E"/>
    <w:rsid w:val="00AD2FD8"/>
    <w:rsid w:val="00AD382C"/>
    <w:rsid w:val="00AD4C8F"/>
    <w:rsid w:val="00AD51D9"/>
    <w:rsid w:val="00AD6D7A"/>
    <w:rsid w:val="00AD7042"/>
    <w:rsid w:val="00AD728A"/>
    <w:rsid w:val="00AD78C7"/>
    <w:rsid w:val="00AD79C5"/>
    <w:rsid w:val="00AD7F32"/>
    <w:rsid w:val="00AE01CB"/>
    <w:rsid w:val="00AE102C"/>
    <w:rsid w:val="00AE19B3"/>
    <w:rsid w:val="00AE27A4"/>
    <w:rsid w:val="00AE2D07"/>
    <w:rsid w:val="00AE3E52"/>
    <w:rsid w:val="00AE4C5E"/>
    <w:rsid w:val="00AE53D1"/>
    <w:rsid w:val="00AE54FF"/>
    <w:rsid w:val="00AE579E"/>
    <w:rsid w:val="00AE58B4"/>
    <w:rsid w:val="00AE5CFC"/>
    <w:rsid w:val="00AE66EF"/>
    <w:rsid w:val="00AE79CC"/>
    <w:rsid w:val="00AE7D99"/>
    <w:rsid w:val="00AF070F"/>
    <w:rsid w:val="00AF1CD2"/>
    <w:rsid w:val="00AF26CE"/>
    <w:rsid w:val="00AF275E"/>
    <w:rsid w:val="00AF2CE6"/>
    <w:rsid w:val="00AF3436"/>
    <w:rsid w:val="00AF34C8"/>
    <w:rsid w:val="00AF4DC7"/>
    <w:rsid w:val="00AF5C7E"/>
    <w:rsid w:val="00AF691B"/>
    <w:rsid w:val="00AF6B4A"/>
    <w:rsid w:val="00AF7030"/>
    <w:rsid w:val="00AF7359"/>
    <w:rsid w:val="00AF7A82"/>
    <w:rsid w:val="00AF7DD2"/>
    <w:rsid w:val="00AF7DD8"/>
    <w:rsid w:val="00AF7E5C"/>
    <w:rsid w:val="00B008FE"/>
    <w:rsid w:val="00B00D50"/>
    <w:rsid w:val="00B01436"/>
    <w:rsid w:val="00B01B63"/>
    <w:rsid w:val="00B024E0"/>
    <w:rsid w:val="00B03293"/>
    <w:rsid w:val="00B036DE"/>
    <w:rsid w:val="00B03774"/>
    <w:rsid w:val="00B03C16"/>
    <w:rsid w:val="00B04EC3"/>
    <w:rsid w:val="00B052DF"/>
    <w:rsid w:val="00B0554D"/>
    <w:rsid w:val="00B05632"/>
    <w:rsid w:val="00B05C64"/>
    <w:rsid w:val="00B0637F"/>
    <w:rsid w:val="00B066AF"/>
    <w:rsid w:val="00B077B1"/>
    <w:rsid w:val="00B07D1C"/>
    <w:rsid w:val="00B10B77"/>
    <w:rsid w:val="00B10D54"/>
    <w:rsid w:val="00B10E1B"/>
    <w:rsid w:val="00B1104A"/>
    <w:rsid w:val="00B11D1E"/>
    <w:rsid w:val="00B11F05"/>
    <w:rsid w:val="00B12231"/>
    <w:rsid w:val="00B1226F"/>
    <w:rsid w:val="00B127DB"/>
    <w:rsid w:val="00B12A53"/>
    <w:rsid w:val="00B12B68"/>
    <w:rsid w:val="00B13132"/>
    <w:rsid w:val="00B1397A"/>
    <w:rsid w:val="00B1416F"/>
    <w:rsid w:val="00B14304"/>
    <w:rsid w:val="00B146B6"/>
    <w:rsid w:val="00B1492F"/>
    <w:rsid w:val="00B14FF0"/>
    <w:rsid w:val="00B1516E"/>
    <w:rsid w:val="00B158AF"/>
    <w:rsid w:val="00B16219"/>
    <w:rsid w:val="00B16240"/>
    <w:rsid w:val="00B16600"/>
    <w:rsid w:val="00B16DBA"/>
    <w:rsid w:val="00B17A49"/>
    <w:rsid w:val="00B203D5"/>
    <w:rsid w:val="00B21513"/>
    <w:rsid w:val="00B218D1"/>
    <w:rsid w:val="00B21BE8"/>
    <w:rsid w:val="00B22215"/>
    <w:rsid w:val="00B22345"/>
    <w:rsid w:val="00B225F9"/>
    <w:rsid w:val="00B2327F"/>
    <w:rsid w:val="00B23865"/>
    <w:rsid w:val="00B23981"/>
    <w:rsid w:val="00B24868"/>
    <w:rsid w:val="00B24D85"/>
    <w:rsid w:val="00B251E5"/>
    <w:rsid w:val="00B259DA"/>
    <w:rsid w:val="00B25FD1"/>
    <w:rsid w:val="00B267BF"/>
    <w:rsid w:val="00B26B43"/>
    <w:rsid w:val="00B272DB"/>
    <w:rsid w:val="00B27C12"/>
    <w:rsid w:val="00B27CB5"/>
    <w:rsid w:val="00B27DBF"/>
    <w:rsid w:val="00B27F6A"/>
    <w:rsid w:val="00B300A2"/>
    <w:rsid w:val="00B308B7"/>
    <w:rsid w:val="00B3130F"/>
    <w:rsid w:val="00B316D9"/>
    <w:rsid w:val="00B32456"/>
    <w:rsid w:val="00B3292B"/>
    <w:rsid w:val="00B333FD"/>
    <w:rsid w:val="00B33487"/>
    <w:rsid w:val="00B33C0E"/>
    <w:rsid w:val="00B341C1"/>
    <w:rsid w:val="00B34920"/>
    <w:rsid w:val="00B34AD2"/>
    <w:rsid w:val="00B34D6C"/>
    <w:rsid w:val="00B34F52"/>
    <w:rsid w:val="00B34FD0"/>
    <w:rsid w:val="00B3514D"/>
    <w:rsid w:val="00B35437"/>
    <w:rsid w:val="00B3573A"/>
    <w:rsid w:val="00B35837"/>
    <w:rsid w:val="00B358AD"/>
    <w:rsid w:val="00B35BA4"/>
    <w:rsid w:val="00B35F40"/>
    <w:rsid w:val="00B36039"/>
    <w:rsid w:val="00B36141"/>
    <w:rsid w:val="00B36460"/>
    <w:rsid w:val="00B36586"/>
    <w:rsid w:val="00B3693E"/>
    <w:rsid w:val="00B373C9"/>
    <w:rsid w:val="00B3789A"/>
    <w:rsid w:val="00B40742"/>
    <w:rsid w:val="00B40A6E"/>
    <w:rsid w:val="00B4169D"/>
    <w:rsid w:val="00B4183E"/>
    <w:rsid w:val="00B42311"/>
    <w:rsid w:val="00B431BA"/>
    <w:rsid w:val="00B43996"/>
    <w:rsid w:val="00B43F25"/>
    <w:rsid w:val="00B440EC"/>
    <w:rsid w:val="00B4415F"/>
    <w:rsid w:val="00B443CE"/>
    <w:rsid w:val="00B4484E"/>
    <w:rsid w:val="00B44A3E"/>
    <w:rsid w:val="00B4587F"/>
    <w:rsid w:val="00B45A68"/>
    <w:rsid w:val="00B45FE7"/>
    <w:rsid w:val="00B46661"/>
    <w:rsid w:val="00B46C07"/>
    <w:rsid w:val="00B4746C"/>
    <w:rsid w:val="00B47568"/>
    <w:rsid w:val="00B47D04"/>
    <w:rsid w:val="00B47DD9"/>
    <w:rsid w:val="00B50020"/>
    <w:rsid w:val="00B500C6"/>
    <w:rsid w:val="00B501D6"/>
    <w:rsid w:val="00B509E9"/>
    <w:rsid w:val="00B511BB"/>
    <w:rsid w:val="00B516BE"/>
    <w:rsid w:val="00B5182B"/>
    <w:rsid w:val="00B51894"/>
    <w:rsid w:val="00B51A0A"/>
    <w:rsid w:val="00B51F5B"/>
    <w:rsid w:val="00B52B37"/>
    <w:rsid w:val="00B52B6D"/>
    <w:rsid w:val="00B533A3"/>
    <w:rsid w:val="00B53752"/>
    <w:rsid w:val="00B53E75"/>
    <w:rsid w:val="00B541EC"/>
    <w:rsid w:val="00B5436E"/>
    <w:rsid w:val="00B548BE"/>
    <w:rsid w:val="00B54A66"/>
    <w:rsid w:val="00B54DA0"/>
    <w:rsid w:val="00B559F2"/>
    <w:rsid w:val="00B55EF1"/>
    <w:rsid w:val="00B56084"/>
    <w:rsid w:val="00B5625E"/>
    <w:rsid w:val="00B5699E"/>
    <w:rsid w:val="00B570CC"/>
    <w:rsid w:val="00B57779"/>
    <w:rsid w:val="00B57BB3"/>
    <w:rsid w:val="00B57BE8"/>
    <w:rsid w:val="00B60799"/>
    <w:rsid w:val="00B60A70"/>
    <w:rsid w:val="00B6122D"/>
    <w:rsid w:val="00B61FD1"/>
    <w:rsid w:val="00B629CA"/>
    <w:rsid w:val="00B62BCB"/>
    <w:rsid w:val="00B6368C"/>
    <w:rsid w:val="00B63BD2"/>
    <w:rsid w:val="00B6429F"/>
    <w:rsid w:val="00B64A73"/>
    <w:rsid w:val="00B64BFA"/>
    <w:rsid w:val="00B65334"/>
    <w:rsid w:val="00B65ADC"/>
    <w:rsid w:val="00B660A0"/>
    <w:rsid w:val="00B660C9"/>
    <w:rsid w:val="00B66903"/>
    <w:rsid w:val="00B6767B"/>
    <w:rsid w:val="00B67BD2"/>
    <w:rsid w:val="00B67EAB"/>
    <w:rsid w:val="00B7075D"/>
    <w:rsid w:val="00B710DB"/>
    <w:rsid w:val="00B7121A"/>
    <w:rsid w:val="00B71AA1"/>
    <w:rsid w:val="00B71C66"/>
    <w:rsid w:val="00B7382F"/>
    <w:rsid w:val="00B73F04"/>
    <w:rsid w:val="00B74813"/>
    <w:rsid w:val="00B74949"/>
    <w:rsid w:val="00B74AEB"/>
    <w:rsid w:val="00B75140"/>
    <w:rsid w:val="00B7566A"/>
    <w:rsid w:val="00B756BD"/>
    <w:rsid w:val="00B7588E"/>
    <w:rsid w:val="00B759BA"/>
    <w:rsid w:val="00B7728A"/>
    <w:rsid w:val="00B779C8"/>
    <w:rsid w:val="00B77C9B"/>
    <w:rsid w:val="00B77DA8"/>
    <w:rsid w:val="00B80027"/>
    <w:rsid w:val="00B80073"/>
    <w:rsid w:val="00B8045A"/>
    <w:rsid w:val="00B80571"/>
    <w:rsid w:val="00B80A2E"/>
    <w:rsid w:val="00B824FD"/>
    <w:rsid w:val="00B8291C"/>
    <w:rsid w:val="00B82CC6"/>
    <w:rsid w:val="00B82E97"/>
    <w:rsid w:val="00B83133"/>
    <w:rsid w:val="00B8346E"/>
    <w:rsid w:val="00B83751"/>
    <w:rsid w:val="00B8406F"/>
    <w:rsid w:val="00B84199"/>
    <w:rsid w:val="00B84589"/>
    <w:rsid w:val="00B846DB"/>
    <w:rsid w:val="00B8473B"/>
    <w:rsid w:val="00B8491B"/>
    <w:rsid w:val="00B84CF6"/>
    <w:rsid w:val="00B850CB"/>
    <w:rsid w:val="00B853EB"/>
    <w:rsid w:val="00B85537"/>
    <w:rsid w:val="00B85627"/>
    <w:rsid w:val="00B86C3F"/>
    <w:rsid w:val="00B86E57"/>
    <w:rsid w:val="00B86F63"/>
    <w:rsid w:val="00B8756C"/>
    <w:rsid w:val="00B87588"/>
    <w:rsid w:val="00B902FA"/>
    <w:rsid w:val="00B9034F"/>
    <w:rsid w:val="00B904A5"/>
    <w:rsid w:val="00B90544"/>
    <w:rsid w:val="00B90846"/>
    <w:rsid w:val="00B90A6C"/>
    <w:rsid w:val="00B90FA9"/>
    <w:rsid w:val="00B91093"/>
    <w:rsid w:val="00B91558"/>
    <w:rsid w:val="00B919B8"/>
    <w:rsid w:val="00B91E08"/>
    <w:rsid w:val="00B91FF8"/>
    <w:rsid w:val="00B92143"/>
    <w:rsid w:val="00B921FB"/>
    <w:rsid w:val="00B92263"/>
    <w:rsid w:val="00B93FF5"/>
    <w:rsid w:val="00B946C6"/>
    <w:rsid w:val="00B94D15"/>
    <w:rsid w:val="00B94D40"/>
    <w:rsid w:val="00B94F72"/>
    <w:rsid w:val="00B95E17"/>
    <w:rsid w:val="00B9622A"/>
    <w:rsid w:val="00B963F5"/>
    <w:rsid w:val="00B965A0"/>
    <w:rsid w:val="00B966B3"/>
    <w:rsid w:val="00B975D6"/>
    <w:rsid w:val="00B97DD8"/>
    <w:rsid w:val="00BA0149"/>
    <w:rsid w:val="00BA053F"/>
    <w:rsid w:val="00BA0739"/>
    <w:rsid w:val="00BA184A"/>
    <w:rsid w:val="00BA1B0A"/>
    <w:rsid w:val="00BA1C50"/>
    <w:rsid w:val="00BA2452"/>
    <w:rsid w:val="00BA2624"/>
    <w:rsid w:val="00BA27BA"/>
    <w:rsid w:val="00BA3809"/>
    <w:rsid w:val="00BA3883"/>
    <w:rsid w:val="00BA3A7B"/>
    <w:rsid w:val="00BA3EA8"/>
    <w:rsid w:val="00BA4560"/>
    <w:rsid w:val="00BA4749"/>
    <w:rsid w:val="00BA598A"/>
    <w:rsid w:val="00BA5A43"/>
    <w:rsid w:val="00BA60AF"/>
    <w:rsid w:val="00BA688A"/>
    <w:rsid w:val="00BA68FB"/>
    <w:rsid w:val="00BA6C36"/>
    <w:rsid w:val="00BA72AF"/>
    <w:rsid w:val="00BA7914"/>
    <w:rsid w:val="00BA7991"/>
    <w:rsid w:val="00BB095F"/>
    <w:rsid w:val="00BB1C97"/>
    <w:rsid w:val="00BB1DA8"/>
    <w:rsid w:val="00BB22D5"/>
    <w:rsid w:val="00BB2776"/>
    <w:rsid w:val="00BB30F6"/>
    <w:rsid w:val="00BB32BE"/>
    <w:rsid w:val="00BB33C5"/>
    <w:rsid w:val="00BB36BB"/>
    <w:rsid w:val="00BB3AF0"/>
    <w:rsid w:val="00BB4282"/>
    <w:rsid w:val="00BB44EC"/>
    <w:rsid w:val="00BB5C57"/>
    <w:rsid w:val="00BB5CA8"/>
    <w:rsid w:val="00BB5F8F"/>
    <w:rsid w:val="00BB6314"/>
    <w:rsid w:val="00BB6581"/>
    <w:rsid w:val="00BB6AE9"/>
    <w:rsid w:val="00BB6CE4"/>
    <w:rsid w:val="00BB6FAB"/>
    <w:rsid w:val="00BB7125"/>
    <w:rsid w:val="00BB7A18"/>
    <w:rsid w:val="00BB7B45"/>
    <w:rsid w:val="00BC0400"/>
    <w:rsid w:val="00BC0975"/>
    <w:rsid w:val="00BC09F3"/>
    <w:rsid w:val="00BC1150"/>
    <w:rsid w:val="00BC1609"/>
    <w:rsid w:val="00BC1B63"/>
    <w:rsid w:val="00BC1CE0"/>
    <w:rsid w:val="00BC1E10"/>
    <w:rsid w:val="00BC20D9"/>
    <w:rsid w:val="00BC27E6"/>
    <w:rsid w:val="00BC286C"/>
    <w:rsid w:val="00BC29AB"/>
    <w:rsid w:val="00BC3B7D"/>
    <w:rsid w:val="00BC4517"/>
    <w:rsid w:val="00BC505A"/>
    <w:rsid w:val="00BC539F"/>
    <w:rsid w:val="00BC56D8"/>
    <w:rsid w:val="00BC5F43"/>
    <w:rsid w:val="00BC608E"/>
    <w:rsid w:val="00BC65FE"/>
    <w:rsid w:val="00BC6D25"/>
    <w:rsid w:val="00BC72B8"/>
    <w:rsid w:val="00BC75A5"/>
    <w:rsid w:val="00BC7CC8"/>
    <w:rsid w:val="00BD0B41"/>
    <w:rsid w:val="00BD0FE4"/>
    <w:rsid w:val="00BD11BD"/>
    <w:rsid w:val="00BD145C"/>
    <w:rsid w:val="00BD232B"/>
    <w:rsid w:val="00BD26E9"/>
    <w:rsid w:val="00BD285C"/>
    <w:rsid w:val="00BD2A59"/>
    <w:rsid w:val="00BD2B41"/>
    <w:rsid w:val="00BD3090"/>
    <w:rsid w:val="00BD3301"/>
    <w:rsid w:val="00BD33F3"/>
    <w:rsid w:val="00BD395C"/>
    <w:rsid w:val="00BD44B4"/>
    <w:rsid w:val="00BD4E84"/>
    <w:rsid w:val="00BD5A7A"/>
    <w:rsid w:val="00BD5F83"/>
    <w:rsid w:val="00BD67EC"/>
    <w:rsid w:val="00BD681C"/>
    <w:rsid w:val="00BD69FC"/>
    <w:rsid w:val="00BD7570"/>
    <w:rsid w:val="00BD7B7E"/>
    <w:rsid w:val="00BD7F32"/>
    <w:rsid w:val="00BD845C"/>
    <w:rsid w:val="00BE09EF"/>
    <w:rsid w:val="00BE0C87"/>
    <w:rsid w:val="00BE0F3E"/>
    <w:rsid w:val="00BE15D8"/>
    <w:rsid w:val="00BE1697"/>
    <w:rsid w:val="00BE1836"/>
    <w:rsid w:val="00BE1CDA"/>
    <w:rsid w:val="00BE26E0"/>
    <w:rsid w:val="00BE30F5"/>
    <w:rsid w:val="00BE3F22"/>
    <w:rsid w:val="00BE3FDB"/>
    <w:rsid w:val="00BE49AF"/>
    <w:rsid w:val="00BE54A2"/>
    <w:rsid w:val="00BE55AC"/>
    <w:rsid w:val="00BE55C8"/>
    <w:rsid w:val="00BE5CB3"/>
    <w:rsid w:val="00BE5DFC"/>
    <w:rsid w:val="00BE64AC"/>
    <w:rsid w:val="00BE78E7"/>
    <w:rsid w:val="00BE7BA1"/>
    <w:rsid w:val="00BE7E10"/>
    <w:rsid w:val="00BEDF83"/>
    <w:rsid w:val="00BF0019"/>
    <w:rsid w:val="00BF01CE"/>
    <w:rsid w:val="00BF0388"/>
    <w:rsid w:val="00BF03BF"/>
    <w:rsid w:val="00BF0918"/>
    <w:rsid w:val="00BF0BD4"/>
    <w:rsid w:val="00BF0EB3"/>
    <w:rsid w:val="00BF2895"/>
    <w:rsid w:val="00BF2B28"/>
    <w:rsid w:val="00BF3E5E"/>
    <w:rsid w:val="00BF3E62"/>
    <w:rsid w:val="00BF3FE2"/>
    <w:rsid w:val="00BF42B3"/>
    <w:rsid w:val="00BF490F"/>
    <w:rsid w:val="00BF4966"/>
    <w:rsid w:val="00BF4B55"/>
    <w:rsid w:val="00BF566C"/>
    <w:rsid w:val="00BF5887"/>
    <w:rsid w:val="00BF61CF"/>
    <w:rsid w:val="00BF6961"/>
    <w:rsid w:val="00BF69CD"/>
    <w:rsid w:val="00BF78B6"/>
    <w:rsid w:val="00BF7CAE"/>
    <w:rsid w:val="00C0009D"/>
    <w:rsid w:val="00C000B0"/>
    <w:rsid w:val="00C000C4"/>
    <w:rsid w:val="00C00589"/>
    <w:rsid w:val="00C00E82"/>
    <w:rsid w:val="00C00EB9"/>
    <w:rsid w:val="00C00FE9"/>
    <w:rsid w:val="00C0136C"/>
    <w:rsid w:val="00C01377"/>
    <w:rsid w:val="00C01461"/>
    <w:rsid w:val="00C0150E"/>
    <w:rsid w:val="00C01669"/>
    <w:rsid w:val="00C02043"/>
    <w:rsid w:val="00C020DA"/>
    <w:rsid w:val="00C0230E"/>
    <w:rsid w:val="00C027A7"/>
    <w:rsid w:val="00C029C9"/>
    <w:rsid w:val="00C02A07"/>
    <w:rsid w:val="00C02DE2"/>
    <w:rsid w:val="00C02F6D"/>
    <w:rsid w:val="00C03547"/>
    <w:rsid w:val="00C03B13"/>
    <w:rsid w:val="00C03D82"/>
    <w:rsid w:val="00C03E04"/>
    <w:rsid w:val="00C04CDA"/>
    <w:rsid w:val="00C05FC1"/>
    <w:rsid w:val="00C062E8"/>
    <w:rsid w:val="00C062EA"/>
    <w:rsid w:val="00C07405"/>
    <w:rsid w:val="00C07500"/>
    <w:rsid w:val="00C075DE"/>
    <w:rsid w:val="00C0786B"/>
    <w:rsid w:val="00C07EA8"/>
    <w:rsid w:val="00C07F72"/>
    <w:rsid w:val="00C117AC"/>
    <w:rsid w:val="00C118EC"/>
    <w:rsid w:val="00C11B6C"/>
    <w:rsid w:val="00C1266B"/>
    <w:rsid w:val="00C136BD"/>
    <w:rsid w:val="00C13AD4"/>
    <w:rsid w:val="00C1407C"/>
    <w:rsid w:val="00C152CF"/>
    <w:rsid w:val="00C156B6"/>
    <w:rsid w:val="00C15CFB"/>
    <w:rsid w:val="00C15FB9"/>
    <w:rsid w:val="00C16244"/>
    <w:rsid w:val="00C1658F"/>
    <w:rsid w:val="00C16BEA"/>
    <w:rsid w:val="00C16E5E"/>
    <w:rsid w:val="00C17689"/>
    <w:rsid w:val="00C17BA4"/>
    <w:rsid w:val="00C20657"/>
    <w:rsid w:val="00C20721"/>
    <w:rsid w:val="00C20AE0"/>
    <w:rsid w:val="00C211F5"/>
    <w:rsid w:val="00C21B60"/>
    <w:rsid w:val="00C22186"/>
    <w:rsid w:val="00C22888"/>
    <w:rsid w:val="00C238E3"/>
    <w:rsid w:val="00C242A6"/>
    <w:rsid w:val="00C24335"/>
    <w:rsid w:val="00C2495C"/>
    <w:rsid w:val="00C24969"/>
    <w:rsid w:val="00C24DF3"/>
    <w:rsid w:val="00C255C8"/>
    <w:rsid w:val="00C25773"/>
    <w:rsid w:val="00C25A0E"/>
    <w:rsid w:val="00C25FE0"/>
    <w:rsid w:val="00C26A70"/>
    <w:rsid w:val="00C2769A"/>
    <w:rsid w:val="00C2798C"/>
    <w:rsid w:val="00C27DF3"/>
    <w:rsid w:val="00C27E32"/>
    <w:rsid w:val="00C306E5"/>
    <w:rsid w:val="00C30799"/>
    <w:rsid w:val="00C30D2F"/>
    <w:rsid w:val="00C310C1"/>
    <w:rsid w:val="00C31981"/>
    <w:rsid w:val="00C31AF7"/>
    <w:rsid w:val="00C322CE"/>
    <w:rsid w:val="00C3255D"/>
    <w:rsid w:val="00C326B1"/>
    <w:rsid w:val="00C32DCE"/>
    <w:rsid w:val="00C330DC"/>
    <w:rsid w:val="00C33882"/>
    <w:rsid w:val="00C33D2C"/>
    <w:rsid w:val="00C34916"/>
    <w:rsid w:val="00C35083"/>
    <w:rsid w:val="00C350D6"/>
    <w:rsid w:val="00C35349"/>
    <w:rsid w:val="00C35547"/>
    <w:rsid w:val="00C36A87"/>
    <w:rsid w:val="00C36C7D"/>
    <w:rsid w:val="00C36DFE"/>
    <w:rsid w:val="00C379F6"/>
    <w:rsid w:val="00C37A6D"/>
    <w:rsid w:val="00C37A99"/>
    <w:rsid w:val="00C37BAF"/>
    <w:rsid w:val="00C37D41"/>
    <w:rsid w:val="00C40538"/>
    <w:rsid w:val="00C4085F"/>
    <w:rsid w:val="00C40D48"/>
    <w:rsid w:val="00C410D2"/>
    <w:rsid w:val="00C41C6A"/>
    <w:rsid w:val="00C41D56"/>
    <w:rsid w:val="00C421B5"/>
    <w:rsid w:val="00C42494"/>
    <w:rsid w:val="00C426D0"/>
    <w:rsid w:val="00C42E20"/>
    <w:rsid w:val="00C43229"/>
    <w:rsid w:val="00C434F4"/>
    <w:rsid w:val="00C43632"/>
    <w:rsid w:val="00C43CD2"/>
    <w:rsid w:val="00C44A57"/>
    <w:rsid w:val="00C44E49"/>
    <w:rsid w:val="00C450E7"/>
    <w:rsid w:val="00C45DE2"/>
    <w:rsid w:val="00C4627C"/>
    <w:rsid w:val="00C46478"/>
    <w:rsid w:val="00C4660E"/>
    <w:rsid w:val="00C4681F"/>
    <w:rsid w:val="00C46C2F"/>
    <w:rsid w:val="00C4782C"/>
    <w:rsid w:val="00C47849"/>
    <w:rsid w:val="00C50C5D"/>
    <w:rsid w:val="00C512F6"/>
    <w:rsid w:val="00C519CD"/>
    <w:rsid w:val="00C51E53"/>
    <w:rsid w:val="00C52320"/>
    <w:rsid w:val="00C52ECC"/>
    <w:rsid w:val="00C53749"/>
    <w:rsid w:val="00C548EA"/>
    <w:rsid w:val="00C54D4D"/>
    <w:rsid w:val="00C5527E"/>
    <w:rsid w:val="00C55504"/>
    <w:rsid w:val="00C55CC5"/>
    <w:rsid w:val="00C56095"/>
    <w:rsid w:val="00C5622E"/>
    <w:rsid w:val="00C56523"/>
    <w:rsid w:val="00C56C55"/>
    <w:rsid w:val="00C575ED"/>
    <w:rsid w:val="00C57A85"/>
    <w:rsid w:val="00C57E4A"/>
    <w:rsid w:val="00C57FBD"/>
    <w:rsid w:val="00C600BE"/>
    <w:rsid w:val="00C60509"/>
    <w:rsid w:val="00C60849"/>
    <w:rsid w:val="00C60D5D"/>
    <w:rsid w:val="00C60E3A"/>
    <w:rsid w:val="00C60FB3"/>
    <w:rsid w:val="00C61538"/>
    <w:rsid w:val="00C615B5"/>
    <w:rsid w:val="00C61831"/>
    <w:rsid w:val="00C618F0"/>
    <w:rsid w:val="00C626CF"/>
    <w:rsid w:val="00C630A7"/>
    <w:rsid w:val="00C63BAC"/>
    <w:rsid w:val="00C63F38"/>
    <w:rsid w:val="00C6479A"/>
    <w:rsid w:val="00C647F5"/>
    <w:rsid w:val="00C64D47"/>
    <w:rsid w:val="00C64F88"/>
    <w:rsid w:val="00C65861"/>
    <w:rsid w:val="00C66005"/>
    <w:rsid w:val="00C670F4"/>
    <w:rsid w:val="00C673F9"/>
    <w:rsid w:val="00C67516"/>
    <w:rsid w:val="00C67655"/>
    <w:rsid w:val="00C67689"/>
    <w:rsid w:val="00C679FC"/>
    <w:rsid w:val="00C7008E"/>
    <w:rsid w:val="00C7081B"/>
    <w:rsid w:val="00C70925"/>
    <w:rsid w:val="00C70D76"/>
    <w:rsid w:val="00C71558"/>
    <w:rsid w:val="00C71DF0"/>
    <w:rsid w:val="00C71FE1"/>
    <w:rsid w:val="00C72026"/>
    <w:rsid w:val="00C7211E"/>
    <w:rsid w:val="00C74506"/>
    <w:rsid w:val="00C74582"/>
    <w:rsid w:val="00C746A4"/>
    <w:rsid w:val="00C747E8"/>
    <w:rsid w:val="00C7492F"/>
    <w:rsid w:val="00C74C64"/>
    <w:rsid w:val="00C7540D"/>
    <w:rsid w:val="00C75704"/>
    <w:rsid w:val="00C7608B"/>
    <w:rsid w:val="00C765A4"/>
    <w:rsid w:val="00C7691D"/>
    <w:rsid w:val="00C770ED"/>
    <w:rsid w:val="00C7762D"/>
    <w:rsid w:val="00C7771C"/>
    <w:rsid w:val="00C77B89"/>
    <w:rsid w:val="00C80028"/>
    <w:rsid w:val="00C80285"/>
    <w:rsid w:val="00C80563"/>
    <w:rsid w:val="00C8085C"/>
    <w:rsid w:val="00C80AB0"/>
    <w:rsid w:val="00C80E40"/>
    <w:rsid w:val="00C81C37"/>
    <w:rsid w:val="00C83C1F"/>
    <w:rsid w:val="00C83E5D"/>
    <w:rsid w:val="00C83FD3"/>
    <w:rsid w:val="00C84163"/>
    <w:rsid w:val="00C842DC"/>
    <w:rsid w:val="00C8462F"/>
    <w:rsid w:val="00C8488E"/>
    <w:rsid w:val="00C85BA4"/>
    <w:rsid w:val="00C860E2"/>
    <w:rsid w:val="00C86AC4"/>
    <w:rsid w:val="00C86B7A"/>
    <w:rsid w:val="00C86DCE"/>
    <w:rsid w:val="00C8728D"/>
    <w:rsid w:val="00C87768"/>
    <w:rsid w:val="00C87F5E"/>
    <w:rsid w:val="00C904CE"/>
    <w:rsid w:val="00C9067B"/>
    <w:rsid w:val="00C90F47"/>
    <w:rsid w:val="00C9142E"/>
    <w:rsid w:val="00C9175B"/>
    <w:rsid w:val="00C9177D"/>
    <w:rsid w:val="00C91843"/>
    <w:rsid w:val="00C91E16"/>
    <w:rsid w:val="00C9208C"/>
    <w:rsid w:val="00C922B8"/>
    <w:rsid w:val="00C92432"/>
    <w:rsid w:val="00C924F8"/>
    <w:rsid w:val="00C927C8"/>
    <w:rsid w:val="00C92A4B"/>
    <w:rsid w:val="00C93071"/>
    <w:rsid w:val="00C93412"/>
    <w:rsid w:val="00C934D7"/>
    <w:rsid w:val="00C93E24"/>
    <w:rsid w:val="00C9598D"/>
    <w:rsid w:val="00C95D4F"/>
    <w:rsid w:val="00C95DEA"/>
    <w:rsid w:val="00C96D2E"/>
    <w:rsid w:val="00C97491"/>
    <w:rsid w:val="00C975E0"/>
    <w:rsid w:val="00C97DC3"/>
    <w:rsid w:val="00C97FBC"/>
    <w:rsid w:val="00CA0344"/>
    <w:rsid w:val="00CA078B"/>
    <w:rsid w:val="00CA0970"/>
    <w:rsid w:val="00CA0DB0"/>
    <w:rsid w:val="00CA162F"/>
    <w:rsid w:val="00CA22B2"/>
    <w:rsid w:val="00CA2948"/>
    <w:rsid w:val="00CA389C"/>
    <w:rsid w:val="00CA4225"/>
    <w:rsid w:val="00CA4C0D"/>
    <w:rsid w:val="00CA4DE2"/>
    <w:rsid w:val="00CA5077"/>
    <w:rsid w:val="00CA523B"/>
    <w:rsid w:val="00CA5395"/>
    <w:rsid w:val="00CA5841"/>
    <w:rsid w:val="00CA5D36"/>
    <w:rsid w:val="00CA5DAE"/>
    <w:rsid w:val="00CA5E54"/>
    <w:rsid w:val="00CA6106"/>
    <w:rsid w:val="00CA6D89"/>
    <w:rsid w:val="00CA6DB0"/>
    <w:rsid w:val="00CA708B"/>
    <w:rsid w:val="00CA723E"/>
    <w:rsid w:val="00CA7BF9"/>
    <w:rsid w:val="00CA7E7E"/>
    <w:rsid w:val="00CB08B5"/>
    <w:rsid w:val="00CB0B0C"/>
    <w:rsid w:val="00CB0BA7"/>
    <w:rsid w:val="00CB1168"/>
    <w:rsid w:val="00CB141A"/>
    <w:rsid w:val="00CB17DE"/>
    <w:rsid w:val="00CB1960"/>
    <w:rsid w:val="00CB19C5"/>
    <w:rsid w:val="00CB2010"/>
    <w:rsid w:val="00CB2530"/>
    <w:rsid w:val="00CB2803"/>
    <w:rsid w:val="00CB37B4"/>
    <w:rsid w:val="00CB38AF"/>
    <w:rsid w:val="00CB3BAB"/>
    <w:rsid w:val="00CB3FB0"/>
    <w:rsid w:val="00CB44FA"/>
    <w:rsid w:val="00CB4643"/>
    <w:rsid w:val="00CB4C42"/>
    <w:rsid w:val="00CB4D82"/>
    <w:rsid w:val="00CB4FDC"/>
    <w:rsid w:val="00CB5036"/>
    <w:rsid w:val="00CB5242"/>
    <w:rsid w:val="00CB5C92"/>
    <w:rsid w:val="00CB5C9E"/>
    <w:rsid w:val="00CB5FD4"/>
    <w:rsid w:val="00CB69F5"/>
    <w:rsid w:val="00CB6B2D"/>
    <w:rsid w:val="00CB6B8E"/>
    <w:rsid w:val="00CB6E67"/>
    <w:rsid w:val="00CB742C"/>
    <w:rsid w:val="00CB7E05"/>
    <w:rsid w:val="00CC0536"/>
    <w:rsid w:val="00CC083E"/>
    <w:rsid w:val="00CC096F"/>
    <w:rsid w:val="00CC0E19"/>
    <w:rsid w:val="00CC1E15"/>
    <w:rsid w:val="00CC1FCB"/>
    <w:rsid w:val="00CC23B3"/>
    <w:rsid w:val="00CC2478"/>
    <w:rsid w:val="00CC2568"/>
    <w:rsid w:val="00CC2F4A"/>
    <w:rsid w:val="00CC361E"/>
    <w:rsid w:val="00CC3A41"/>
    <w:rsid w:val="00CC3BD8"/>
    <w:rsid w:val="00CC45D5"/>
    <w:rsid w:val="00CC46F4"/>
    <w:rsid w:val="00CC4A65"/>
    <w:rsid w:val="00CC4D8D"/>
    <w:rsid w:val="00CC5300"/>
    <w:rsid w:val="00CC5ED7"/>
    <w:rsid w:val="00CC6662"/>
    <w:rsid w:val="00CC68FF"/>
    <w:rsid w:val="00CC6D06"/>
    <w:rsid w:val="00CC7012"/>
    <w:rsid w:val="00CC7182"/>
    <w:rsid w:val="00CC71E7"/>
    <w:rsid w:val="00CC7849"/>
    <w:rsid w:val="00CC79DF"/>
    <w:rsid w:val="00CD049E"/>
    <w:rsid w:val="00CD09E1"/>
    <w:rsid w:val="00CD1690"/>
    <w:rsid w:val="00CD1F17"/>
    <w:rsid w:val="00CD202D"/>
    <w:rsid w:val="00CD21C9"/>
    <w:rsid w:val="00CD2C44"/>
    <w:rsid w:val="00CD336E"/>
    <w:rsid w:val="00CD3524"/>
    <w:rsid w:val="00CD41F5"/>
    <w:rsid w:val="00CD4750"/>
    <w:rsid w:val="00CD49F2"/>
    <w:rsid w:val="00CD5037"/>
    <w:rsid w:val="00CD53EB"/>
    <w:rsid w:val="00CD5B09"/>
    <w:rsid w:val="00CD60CC"/>
    <w:rsid w:val="00CD6957"/>
    <w:rsid w:val="00CD6B9B"/>
    <w:rsid w:val="00CD74DB"/>
    <w:rsid w:val="00CD7AB8"/>
    <w:rsid w:val="00CD7E95"/>
    <w:rsid w:val="00CE07EF"/>
    <w:rsid w:val="00CE08A5"/>
    <w:rsid w:val="00CE0DB0"/>
    <w:rsid w:val="00CE27DD"/>
    <w:rsid w:val="00CE2908"/>
    <w:rsid w:val="00CE2D3C"/>
    <w:rsid w:val="00CE3C75"/>
    <w:rsid w:val="00CE3F92"/>
    <w:rsid w:val="00CE4A6B"/>
    <w:rsid w:val="00CE4EF0"/>
    <w:rsid w:val="00CE53AD"/>
    <w:rsid w:val="00CE54FB"/>
    <w:rsid w:val="00CE5576"/>
    <w:rsid w:val="00CE5578"/>
    <w:rsid w:val="00CE5777"/>
    <w:rsid w:val="00CE5C5F"/>
    <w:rsid w:val="00CE5DF1"/>
    <w:rsid w:val="00CE64CA"/>
    <w:rsid w:val="00CE6866"/>
    <w:rsid w:val="00CE68C9"/>
    <w:rsid w:val="00CE6F25"/>
    <w:rsid w:val="00CE7217"/>
    <w:rsid w:val="00CE7926"/>
    <w:rsid w:val="00CE7EE3"/>
    <w:rsid w:val="00CE7F27"/>
    <w:rsid w:val="00CF0415"/>
    <w:rsid w:val="00CF04FC"/>
    <w:rsid w:val="00CF0D07"/>
    <w:rsid w:val="00CF0EDE"/>
    <w:rsid w:val="00CF149E"/>
    <w:rsid w:val="00CF1DB6"/>
    <w:rsid w:val="00CF2814"/>
    <w:rsid w:val="00CF3296"/>
    <w:rsid w:val="00CF370B"/>
    <w:rsid w:val="00CF3C0A"/>
    <w:rsid w:val="00CF3C60"/>
    <w:rsid w:val="00CF405C"/>
    <w:rsid w:val="00CF488D"/>
    <w:rsid w:val="00CF4AAC"/>
    <w:rsid w:val="00CF4D64"/>
    <w:rsid w:val="00CF64A3"/>
    <w:rsid w:val="00CF734C"/>
    <w:rsid w:val="00CF75F2"/>
    <w:rsid w:val="00CF7749"/>
    <w:rsid w:val="00CF7832"/>
    <w:rsid w:val="00D001F0"/>
    <w:rsid w:val="00D00491"/>
    <w:rsid w:val="00D01693"/>
    <w:rsid w:val="00D0173C"/>
    <w:rsid w:val="00D018B2"/>
    <w:rsid w:val="00D04224"/>
    <w:rsid w:val="00D047CB"/>
    <w:rsid w:val="00D04C3D"/>
    <w:rsid w:val="00D05C37"/>
    <w:rsid w:val="00D06066"/>
    <w:rsid w:val="00D0622A"/>
    <w:rsid w:val="00D064A3"/>
    <w:rsid w:val="00D0695E"/>
    <w:rsid w:val="00D06D4D"/>
    <w:rsid w:val="00D106FC"/>
    <w:rsid w:val="00D108B3"/>
    <w:rsid w:val="00D10BB5"/>
    <w:rsid w:val="00D10E29"/>
    <w:rsid w:val="00D10FB9"/>
    <w:rsid w:val="00D11AC5"/>
    <w:rsid w:val="00D11CC2"/>
    <w:rsid w:val="00D11ECB"/>
    <w:rsid w:val="00D11F01"/>
    <w:rsid w:val="00D12039"/>
    <w:rsid w:val="00D1210A"/>
    <w:rsid w:val="00D1249F"/>
    <w:rsid w:val="00D12536"/>
    <w:rsid w:val="00D12D95"/>
    <w:rsid w:val="00D136D8"/>
    <w:rsid w:val="00D13C48"/>
    <w:rsid w:val="00D1408C"/>
    <w:rsid w:val="00D1468C"/>
    <w:rsid w:val="00D14799"/>
    <w:rsid w:val="00D1493E"/>
    <w:rsid w:val="00D14F17"/>
    <w:rsid w:val="00D15A66"/>
    <w:rsid w:val="00D15E96"/>
    <w:rsid w:val="00D15F47"/>
    <w:rsid w:val="00D16CB0"/>
    <w:rsid w:val="00D173AB"/>
    <w:rsid w:val="00D17603"/>
    <w:rsid w:val="00D177DA"/>
    <w:rsid w:val="00D17DF3"/>
    <w:rsid w:val="00D20A34"/>
    <w:rsid w:val="00D20B39"/>
    <w:rsid w:val="00D20BC0"/>
    <w:rsid w:val="00D212AB"/>
    <w:rsid w:val="00D21D47"/>
    <w:rsid w:val="00D22107"/>
    <w:rsid w:val="00D22690"/>
    <w:rsid w:val="00D22C11"/>
    <w:rsid w:val="00D22D1F"/>
    <w:rsid w:val="00D232D8"/>
    <w:rsid w:val="00D24797"/>
    <w:rsid w:val="00D24798"/>
    <w:rsid w:val="00D25D58"/>
    <w:rsid w:val="00D26C8E"/>
    <w:rsid w:val="00D26FAB"/>
    <w:rsid w:val="00D271D5"/>
    <w:rsid w:val="00D27394"/>
    <w:rsid w:val="00D30338"/>
    <w:rsid w:val="00D30736"/>
    <w:rsid w:val="00D30AAF"/>
    <w:rsid w:val="00D31164"/>
    <w:rsid w:val="00D31272"/>
    <w:rsid w:val="00D31D61"/>
    <w:rsid w:val="00D32166"/>
    <w:rsid w:val="00D32444"/>
    <w:rsid w:val="00D32459"/>
    <w:rsid w:val="00D32CDD"/>
    <w:rsid w:val="00D33645"/>
    <w:rsid w:val="00D33847"/>
    <w:rsid w:val="00D33AB7"/>
    <w:rsid w:val="00D33B51"/>
    <w:rsid w:val="00D33C5A"/>
    <w:rsid w:val="00D3471E"/>
    <w:rsid w:val="00D34E57"/>
    <w:rsid w:val="00D355C4"/>
    <w:rsid w:val="00D358EC"/>
    <w:rsid w:val="00D3594B"/>
    <w:rsid w:val="00D36117"/>
    <w:rsid w:val="00D361BE"/>
    <w:rsid w:val="00D36A5C"/>
    <w:rsid w:val="00D37BCB"/>
    <w:rsid w:val="00D37ED0"/>
    <w:rsid w:val="00D404F0"/>
    <w:rsid w:val="00D40503"/>
    <w:rsid w:val="00D40DA1"/>
    <w:rsid w:val="00D41BCA"/>
    <w:rsid w:val="00D41D8D"/>
    <w:rsid w:val="00D4213D"/>
    <w:rsid w:val="00D4237E"/>
    <w:rsid w:val="00D42BF8"/>
    <w:rsid w:val="00D42F44"/>
    <w:rsid w:val="00D42FE1"/>
    <w:rsid w:val="00D43677"/>
    <w:rsid w:val="00D439F6"/>
    <w:rsid w:val="00D43A6F"/>
    <w:rsid w:val="00D446E0"/>
    <w:rsid w:val="00D452E4"/>
    <w:rsid w:val="00D45640"/>
    <w:rsid w:val="00D4639F"/>
    <w:rsid w:val="00D4693D"/>
    <w:rsid w:val="00D4748B"/>
    <w:rsid w:val="00D47B65"/>
    <w:rsid w:val="00D504AE"/>
    <w:rsid w:val="00D50E08"/>
    <w:rsid w:val="00D51149"/>
    <w:rsid w:val="00D51369"/>
    <w:rsid w:val="00D525C8"/>
    <w:rsid w:val="00D52644"/>
    <w:rsid w:val="00D5298E"/>
    <w:rsid w:val="00D52AAD"/>
    <w:rsid w:val="00D538E1"/>
    <w:rsid w:val="00D53A74"/>
    <w:rsid w:val="00D53FAA"/>
    <w:rsid w:val="00D54129"/>
    <w:rsid w:val="00D548A4"/>
    <w:rsid w:val="00D55472"/>
    <w:rsid w:val="00D554C1"/>
    <w:rsid w:val="00D55500"/>
    <w:rsid w:val="00D5555B"/>
    <w:rsid w:val="00D55645"/>
    <w:rsid w:val="00D5599C"/>
    <w:rsid w:val="00D55BA7"/>
    <w:rsid w:val="00D55D63"/>
    <w:rsid w:val="00D55E40"/>
    <w:rsid w:val="00D560AB"/>
    <w:rsid w:val="00D560B3"/>
    <w:rsid w:val="00D56326"/>
    <w:rsid w:val="00D56703"/>
    <w:rsid w:val="00D5676B"/>
    <w:rsid w:val="00D56A0B"/>
    <w:rsid w:val="00D57344"/>
    <w:rsid w:val="00D57D33"/>
    <w:rsid w:val="00D57EEE"/>
    <w:rsid w:val="00D60273"/>
    <w:rsid w:val="00D60C57"/>
    <w:rsid w:val="00D60D86"/>
    <w:rsid w:val="00D60EB8"/>
    <w:rsid w:val="00D617D1"/>
    <w:rsid w:val="00D61AB6"/>
    <w:rsid w:val="00D61BF6"/>
    <w:rsid w:val="00D61DD9"/>
    <w:rsid w:val="00D62774"/>
    <w:rsid w:val="00D639D3"/>
    <w:rsid w:val="00D63B20"/>
    <w:rsid w:val="00D64498"/>
    <w:rsid w:val="00D64897"/>
    <w:rsid w:val="00D6532A"/>
    <w:rsid w:val="00D653A4"/>
    <w:rsid w:val="00D657C5"/>
    <w:rsid w:val="00D6602C"/>
    <w:rsid w:val="00D66B3D"/>
    <w:rsid w:val="00D67584"/>
    <w:rsid w:val="00D67B57"/>
    <w:rsid w:val="00D700BF"/>
    <w:rsid w:val="00D70789"/>
    <w:rsid w:val="00D70C81"/>
    <w:rsid w:val="00D70CFF"/>
    <w:rsid w:val="00D7113E"/>
    <w:rsid w:val="00D712A0"/>
    <w:rsid w:val="00D7149B"/>
    <w:rsid w:val="00D72500"/>
    <w:rsid w:val="00D72B02"/>
    <w:rsid w:val="00D72C7D"/>
    <w:rsid w:val="00D72CBD"/>
    <w:rsid w:val="00D72E0E"/>
    <w:rsid w:val="00D72FEB"/>
    <w:rsid w:val="00D73109"/>
    <w:rsid w:val="00D73AFB"/>
    <w:rsid w:val="00D73D4F"/>
    <w:rsid w:val="00D74944"/>
    <w:rsid w:val="00D74A17"/>
    <w:rsid w:val="00D74AC3"/>
    <w:rsid w:val="00D74D5F"/>
    <w:rsid w:val="00D7506E"/>
    <w:rsid w:val="00D753DC"/>
    <w:rsid w:val="00D75ADD"/>
    <w:rsid w:val="00D76162"/>
    <w:rsid w:val="00D76490"/>
    <w:rsid w:val="00D772B6"/>
    <w:rsid w:val="00D77398"/>
    <w:rsid w:val="00D774B1"/>
    <w:rsid w:val="00D77951"/>
    <w:rsid w:val="00D77A9A"/>
    <w:rsid w:val="00D80180"/>
    <w:rsid w:val="00D80C74"/>
    <w:rsid w:val="00D810CC"/>
    <w:rsid w:val="00D81F75"/>
    <w:rsid w:val="00D82C13"/>
    <w:rsid w:val="00D83140"/>
    <w:rsid w:val="00D83553"/>
    <w:rsid w:val="00D83651"/>
    <w:rsid w:val="00D83E40"/>
    <w:rsid w:val="00D8400B"/>
    <w:rsid w:val="00D84473"/>
    <w:rsid w:val="00D855CB"/>
    <w:rsid w:val="00D85679"/>
    <w:rsid w:val="00D85933"/>
    <w:rsid w:val="00D85A9E"/>
    <w:rsid w:val="00D86449"/>
    <w:rsid w:val="00D86D65"/>
    <w:rsid w:val="00D870B3"/>
    <w:rsid w:val="00D872E1"/>
    <w:rsid w:val="00D90054"/>
    <w:rsid w:val="00D90251"/>
    <w:rsid w:val="00D902DC"/>
    <w:rsid w:val="00D90917"/>
    <w:rsid w:val="00D90B49"/>
    <w:rsid w:val="00D91269"/>
    <w:rsid w:val="00D917B3"/>
    <w:rsid w:val="00D917D0"/>
    <w:rsid w:val="00D917DF"/>
    <w:rsid w:val="00D91941"/>
    <w:rsid w:val="00D9253A"/>
    <w:rsid w:val="00D9370D"/>
    <w:rsid w:val="00D93A67"/>
    <w:rsid w:val="00D942CC"/>
    <w:rsid w:val="00D94D31"/>
    <w:rsid w:val="00D95021"/>
    <w:rsid w:val="00D95271"/>
    <w:rsid w:val="00D95A58"/>
    <w:rsid w:val="00D95C00"/>
    <w:rsid w:val="00D96131"/>
    <w:rsid w:val="00D966C4"/>
    <w:rsid w:val="00D9673F"/>
    <w:rsid w:val="00D976CE"/>
    <w:rsid w:val="00D97E34"/>
    <w:rsid w:val="00DA03AA"/>
    <w:rsid w:val="00DA0EF5"/>
    <w:rsid w:val="00DA1251"/>
    <w:rsid w:val="00DA12E0"/>
    <w:rsid w:val="00DA2110"/>
    <w:rsid w:val="00DA2197"/>
    <w:rsid w:val="00DA21E5"/>
    <w:rsid w:val="00DA2731"/>
    <w:rsid w:val="00DA2E0A"/>
    <w:rsid w:val="00DA3396"/>
    <w:rsid w:val="00DA3F2E"/>
    <w:rsid w:val="00DA3F81"/>
    <w:rsid w:val="00DA4872"/>
    <w:rsid w:val="00DA4C60"/>
    <w:rsid w:val="00DA4F44"/>
    <w:rsid w:val="00DA5428"/>
    <w:rsid w:val="00DA60D0"/>
    <w:rsid w:val="00DA6350"/>
    <w:rsid w:val="00DA6397"/>
    <w:rsid w:val="00DA65AC"/>
    <w:rsid w:val="00DA6A28"/>
    <w:rsid w:val="00DA71B6"/>
    <w:rsid w:val="00DA78CF"/>
    <w:rsid w:val="00DB0741"/>
    <w:rsid w:val="00DB0807"/>
    <w:rsid w:val="00DB09FA"/>
    <w:rsid w:val="00DB0CD1"/>
    <w:rsid w:val="00DB1719"/>
    <w:rsid w:val="00DB1854"/>
    <w:rsid w:val="00DB1B70"/>
    <w:rsid w:val="00DB2029"/>
    <w:rsid w:val="00DB208F"/>
    <w:rsid w:val="00DB2CA8"/>
    <w:rsid w:val="00DB310C"/>
    <w:rsid w:val="00DB3961"/>
    <w:rsid w:val="00DB3F53"/>
    <w:rsid w:val="00DB40C6"/>
    <w:rsid w:val="00DB5234"/>
    <w:rsid w:val="00DB5A39"/>
    <w:rsid w:val="00DB5F30"/>
    <w:rsid w:val="00DB650D"/>
    <w:rsid w:val="00DB6EFE"/>
    <w:rsid w:val="00DB6FC2"/>
    <w:rsid w:val="00DB6FCA"/>
    <w:rsid w:val="00DB74AC"/>
    <w:rsid w:val="00DB77E7"/>
    <w:rsid w:val="00DC006E"/>
    <w:rsid w:val="00DC0313"/>
    <w:rsid w:val="00DC0EB6"/>
    <w:rsid w:val="00DC1974"/>
    <w:rsid w:val="00DC1AAF"/>
    <w:rsid w:val="00DC2508"/>
    <w:rsid w:val="00DC272C"/>
    <w:rsid w:val="00DC2D90"/>
    <w:rsid w:val="00DC49C4"/>
    <w:rsid w:val="00DC49DE"/>
    <w:rsid w:val="00DC4D61"/>
    <w:rsid w:val="00DC4E84"/>
    <w:rsid w:val="00DC511F"/>
    <w:rsid w:val="00DC5527"/>
    <w:rsid w:val="00DC5830"/>
    <w:rsid w:val="00DC5F59"/>
    <w:rsid w:val="00DC63A2"/>
    <w:rsid w:val="00DC6884"/>
    <w:rsid w:val="00DC6C92"/>
    <w:rsid w:val="00DC6FF3"/>
    <w:rsid w:val="00DC72CE"/>
    <w:rsid w:val="00DC72E7"/>
    <w:rsid w:val="00DC77CB"/>
    <w:rsid w:val="00DC7829"/>
    <w:rsid w:val="00DC7C9A"/>
    <w:rsid w:val="00DD02B8"/>
    <w:rsid w:val="00DD0BF2"/>
    <w:rsid w:val="00DD0C02"/>
    <w:rsid w:val="00DD1011"/>
    <w:rsid w:val="00DD1215"/>
    <w:rsid w:val="00DD132B"/>
    <w:rsid w:val="00DD240A"/>
    <w:rsid w:val="00DD2430"/>
    <w:rsid w:val="00DD27D3"/>
    <w:rsid w:val="00DD31DB"/>
    <w:rsid w:val="00DD3345"/>
    <w:rsid w:val="00DD418F"/>
    <w:rsid w:val="00DD661A"/>
    <w:rsid w:val="00DD7DB7"/>
    <w:rsid w:val="00DD7E4C"/>
    <w:rsid w:val="00DD7F17"/>
    <w:rsid w:val="00DE0E98"/>
    <w:rsid w:val="00DE10DA"/>
    <w:rsid w:val="00DE119B"/>
    <w:rsid w:val="00DE127D"/>
    <w:rsid w:val="00DE1517"/>
    <w:rsid w:val="00DE1A4A"/>
    <w:rsid w:val="00DE2274"/>
    <w:rsid w:val="00DE2978"/>
    <w:rsid w:val="00DE33BB"/>
    <w:rsid w:val="00DE39B7"/>
    <w:rsid w:val="00DE4663"/>
    <w:rsid w:val="00DE469E"/>
    <w:rsid w:val="00DE5AE7"/>
    <w:rsid w:val="00DE5C22"/>
    <w:rsid w:val="00DE6F04"/>
    <w:rsid w:val="00DE78DC"/>
    <w:rsid w:val="00DE7BEB"/>
    <w:rsid w:val="00DE7F77"/>
    <w:rsid w:val="00DF0038"/>
    <w:rsid w:val="00DF01E4"/>
    <w:rsid w:val="00DF0278"/>
    <w:rsid w:val="00DF05BB"/>
    <w:rsid w:val="00DF0644"/>
    <w:rsid w:val="00DF0A44"/>
    <w:rsid w:val="00DF0B20"/>
    <w:rsid w:val="00DF0C6F"/>
    <w:rsid w:val="00DF106D"/>
    <w:rsid w:val="00DF10AB"/>
    <w:rsid w:val="00DF11BD"/>
    <w:rsid w:val="00DF12E0"/>
    <w:rsid w:val="00DF17DE"/>
    <w:rsid w:val="00DF1B15"/>
    <w:rsid w:val="00DF1B29"/>
    <w:rsid w:val="00DF2596"/>
    <w:rsid w:val="00DF3094"/>
    <w:rsid w:val="00DF3321"/>
    <w:rsid w:val="00DF3891"/>
    <w:rsid w:val="00DF4361"/>
    <w:rsid w:val="00DF480D"/>
    <w:rsid w:val="00DF4838"/>
    <w:rsid w:val="00DF4A70"/>
    <w:rsid w:val="00DF4D19"/>
    <w:rsid w:val="00DF4FF6"/>
    <w:rsid w:val="00DF51C1"/>
    <w:rsid w:val="00DF56CB"/>
    <w:rsid w:val="00DF578F"/>
    <w:rsid w:val="00DF5CAF"/>
    <w:rsid w:val="00DF5E57"/>
    <w:rsid w:val="00DF6059"/>
    <w:rsid w:val="00DF63D6"/>
    <w:rsid w:val="00DF7B15"/>
    <w:rsid w:val="00DF7C42"/>
    <w:rsid w:val="00DF7C55"/>
    <w:rsid w:val="00DF7DAA"/>
    <w:rsid w:val="00DF7E3C"/>
    <w:rsid w:val="00E00DE9"/>
    <w:rsid w:val="00E00E1E"/>
    <w:rsid w:val="00E0102A"/>
    <w:rsid w:val="00E010C6"/>
    <w:rsid w:val="00E015C0"/>
    <w:rsid w:val="00E0165D"/>
    <w:rsid w:val="00E01D73"/>
    <w:rsid w:val="00E01FE9"/>
    <w:rsid w:val="00E0200B"/>
    <w:rsid w:val="00E02728"/>
    <w:rsid w:val="00E02B14"/>
    <w:rsid w:val="00E03274"/>
    <w:rsid w:val="00E03A9D"/>
    <w:rsid w:val="00E03C5B"/>
    <w:rsid w:val="00E043B0"/>
    <w:rsid w:val="00E04924"/>
    <w:rsid w:val="00E05338"/>
    <w:rsid w:val="00E054E0"/>
    <w:rsid w:val="00E05B21"/>
    <w:rsid w:val="00E05E8F"/>
    <w:rsid w:val="00E072D3"/>
    <w:rsid w:val="00E0778A"/>
    <w:rsid w:val="00E10226"/>
    <w:rsid w:val="00E102C8"/>
    <w:rsid w:val="00E109E5"/>
    <w:rsid w:val="00E11559"/>
    <w:rsid w:val="00E1176B"/>
    <w:rsid w:val="00E117B6"/>
    <w:rsid w:val="00E128B4"/>
    <w:rsid w:val="00E131E1"/>
    <w:rsid w:val="00E1376B"/>
    <w:rsid w:val="00E13F9F"/>
    <w:rsid w:val="00E14062"/>
    <w:rsid w:val="00E14202"/>
    <w:rsid w:val="00E145FF"/>
    <w:rsid w:val="00E14942"/>
    <w:rsid w:val="00E1523F"/>
    <w:rsid w:val="00E15487"/>
    <w:rsid w:val="00E15BEB"/>
    <w:rsid w:val="00E16570"/>
    <w:rsid w:val="00E168FD"/>
    <w:rsid w:val="00E2255F"/>
    <w:rsid w:val="00E22D92"/>
    <w:rsid w:val="00E23235"/>
    <w:rsid w:val="00E234C6"/>
    <w:rsid w:val="00E23944"/>
    <w:rsid w:val="00E23E4C"/>
    <w:rsid w:val="00E2470E"/>
    <w:rsid w:val="00E2493C"/>
    <w:rsid w:val="00E25793"/>
    <w:rsid w:val="00E26079"/>
    <w:rsid w:val="00E262F8"/>
    <w:rsid w:val="00E27731"/>
    <w:rsid w:val="00E2792E"/>
    <w:rsid w:val="00E27996"/>
    <w:rsid w:val="00E279D2"/>
    <w:rsid w:val="00E27F66"/>
    <w:rsid w:val="00E27FA9"/>
    <w:rsid w:val="00E300E5"/>
    <w:rsid w:val="00E30D30"/>
    <w:rsid w:val="00E30EC5"/>
    <w:rsid w:val="00E315C1"/>
    <w:rsid w:val="00E3183B"/>
    <w:rsid w:val="00E323DB"/>
    <w:rsid w:val="00E3272D"/>
    <w:rsid w:val="00E336D5"/>
    <w:rsid w:val="00E3379D"/>
    <w:rsid w:val="00E3565C"/>
    <w:rsid w:val="00E35EED"/>
    <w:rsid w:val="00E37319"/>
    <w:rsid w:val="00E378F6"/>
    <w:rsid w:val="00E40742"/>
    <w:rsid w:val="00E41589"/>
    <w:rsid w:val="00E42058"/>
    <w:rsid w:val="00E42D92"/>
    <w:rsid w:val="00E43171"/>
    <w:rsid w:val="00E43421"/>
    <w:rsid w:val="00E436D3"/>
    <w:rsid w:val="00E4386D"/>
    <w:rsid w:val="00E43D22"/>
    <w:rsid w:val="00E44FE5"/>
    <w:rsid w:val="00E458D4"/>
    <w:rsid w:val="00E45C51"/>
    <w:rsid w:val="00E45E2F"/>
    <w:rsid w:val="00E45FA9"/>
    <w:rsid w:val="00E4633D"/>
    <w:rsid w:val="00E47101"/>
    <w:rsid w:val="00E502FD"/>
    <w:rsid w:val="00E50384"/>
    <w:rsid w:val="00E50607"/>
    <w:rsid w:val="00E51D25"/>
    <w:rsid w:val="00E52147"/>
    <w:rsid w:val="00E524C2"/>
    <w:rsid w:val="00E52543"/>
    <w:rsid w:val="00E52D1E"/>
    <w:rsid w:val="00E5301B"/>
    <w:rsid w:val="00E53A45"/>
    <w:rsid w:val="00E54744"/>
    <w:rsid w:val="00E54824"/>
    <w:rsid w:val="00E54B98"/>
    <w:rsid w:val="00E54FD3"/>
    <w:rsid w:val="00E55420"/>
    <w:rsid w:val="00E5549C"/>
    <w:rsid w:val="00E556F3"/>
    <w:rsid w:val="00E56109"/>
    <w:rsid w:val="00E56AF0"/>
    <w:rsid w:val="00E57473"/>
    <w:rsid w:val="00E5795B"/>
    <w:rsid w:val="00E57DE8"/>
    <w:rsid w:val="00E6085C"/>
    <w:rsid w:val="00E60F35"/>
    <w:rsid w:val="00E6135F"/>
    <w:rsid w:val="00E6278D"/>
    <w:rsid w:val="00E62DE3"/>
    <w:rsid w:val="00E62DE6"/>
    <w:rsid w:val="00E635CD"/>
    <w:rsid w:val="00E63955"/>
    <w:rsid w:val="00E63A27"/>
    <w:rsid w:val="00E63AD9"/>
    <w:rsid w:val="00E644C2"/>
    <w:rsid w:val="00E64D88"/>
    <w:rsid w:val="00E6527F"/>
    <w:rsid w:val="00E653AB"/>
    <w:rsid w:val="00E659C6"/>
    <w:rsid w:val="00E65A57"/>
    <w:rsid w:val="00E66154"/>
    <w:rsid w:val="00E669C1"/>
    <w:rsid w:val="00E67012"/>
    <w:rsid w:val="00E670AD"/>
    <w:rsid w:val="00E67143"/>
    <w:rsid w:val="00E6722B"/>
    <w:rsid w:val="00E67748"/>
    <w:rsid w:val="00E67A89"/>
    <w:rsid w:val="00E6B90D"/>
    <w:rsid w:val="00E7003E"/>
    <w:rsid w:val="00E7022B"/>
    <w:rsid w:val="00E70680"/>
    <w:rsid w:val="00E708F9"/>
    <w:rsid w:val="00E70E42"/>
    <w:rsid w:val="00E71377"/>
    <w:rsid w:val="00E7142C"/>
    <w:rsid w:val="00E71DCB"/>
    <w:rsid w:val="00E71FFB"/>
    <w:rsid w:val="00E7271B"/>
    <w:rsid w:val="00E72A17"/>
    <w:rsid w:val="00E72B87"/>
    <w:rsid w:val="00E74009"/>
    <w:rsid w:val="00E746C2"/>
    <w:rsid w:val="00E74FF4"/>
    <w:rsid w:val="00E750E4"/>
    <w:rsid w:val="00E7532F"/>
    <w:rsid w:val="00E7550F"/>
    <w:rsid w:val="00E755AD"/>
    <w:rsid w:val="00E75E9B"/>
    <w:rsid w:val="00E75F17"/>
    <w:rsid w:val="00E75FED"/>
    <w:rsid w:val="00E7623A"/>
    <w:rsid w:val="00E7639D"/>
    <w:rsid w:val="00E7648C"/>
    <w:rsid w:val="00E769B2"/>
    <w:rsid w:val="00E7705A"/>
    <w:rsid w:val="00E7743A"/>
    <w:rsid w:val="00E775B2"/>
    <w:rsid w:val="00E77BD4"/>
    <w:rsid w:val="00E77C61"/>
    <w:rsid w:val="00E801B0"/>
    <w:rsid w:val="00E80224"/>
    <w:rsid w:val="00E8024A"/>
    <w:rsid w:val="00E8089C"/>
    <w:rsid w:val="00E80C3E"/>
    <w:rsid w:val="00E813F0"/>
    <w:rsid w:val="00E81407"/>
    <w:rsid w:val="00E81794"/>
    <w:rsid w:val="00E81959"/>
    <w:rsid w:val="00E81BC5"/>
    <w:rsid w:val="00E81D9A"/>
    <w:rsid w:val="00E81F8B"/>
    <w:rsid w:val="00E82A0B"/>
    <w:rsid w:val="00E82C0A"/>
    <w:rsid w:val="00E83055"/>
    <w:rsid w:val="00E83BDE"/>
    <w:rsid w:val="00E845CC"/>
    <w:rsid w:val="00E848B3"/>
    <w:rsid w:val="00E84A4F"/>
    <w:rsid w:val="00E84AC0"/>
    <w:rsid w:val="00E84D70"/>
    <w:rsid w:val="00E85432"/>
    <w:rsid w:val="00E86373"/>
    <w:rsid w:val="00E86608"/>
    <w:rsid w:val="00E87449"/>
    <w:rsid w:val="00E8768C"/>
    <w:rsid w:val="00E87CA7"/>
    <w:rsid w:val="00E87DBA"/>
    <w:rsid w:val="00E9010C"/>
    <w:rsid w:val="00E901C4"/>
    <w:rsid w:val="00E90547"/>
    <w:rsid w:val="00E90BF4"/>
    <w:rsid w:val="00E916F2"/>
    <w:rsid w:val="00E91F83"/>
    <w:rsid w:val="00E920C8"/>
    <w:rsid w:val="00E9280E"/>
    <w:rsid w:val="00E9329E"/>
    <w:rsid w:val="00E93E3B"/>
    <w:rsid w:val="00E940F7"/>
    <w:rsid w:val="00E942FE"/>
    <w:rsid w:val="00E944EE"/>
    <w:rsid w:val="00E94E4D"/>
    <w:rsid w:val="00E95057"/>
    <w:rsid w:val="00E9540E"/>
    <w:rsid w:val="00E95751"/>
    <w:rsid w:val="00E95A47"/>
    <w:rsid w:val="00E95FE1"/>
    <w:rsid w:val="00E9646A"/>
    <w:rsid w:val="00E96952"/>
    <w:rsid w:val="00E96DFA"/>
    <w:rsid w:val="00E96EDC"/>
    <w:rsid w:val="00E975D7"/>
    <w:rsid w:val="00EA110B"/>
    <w:rsid w:val="00EA11C7"/>
    <w:rsid w:val="00EA184E"/>
    <w:rsid w:val="00EA18DE"/>
    <w:rsid w:val="00EA1C9A"/>
    <w:rsid w:val="00EA2056"/>
    <w:rsid w:val="00EA2398"/>
    <w:rsid w:val="00EA27EE"/>
    <w:rsid w:val="00EA3644"/>
    <w:rsid w:val="00EA385C"/>
    <w:rsid w:val="00EA3E9C"/>
    <w:rsid w:val="00EA3F3A"/>
    <w:rsid w:val="00EA4109"/>
    <w:rsid w:val="00EA437E"/>
    <w:rsid w:val="00EA441F"/>
    <w:rsid w:val="00EA46CF"/>
    <w:rsid w:val="00EA4DCF"/>
    <w:rsid w:val="00EA5113"/>
    <w:rsid w:val="00EA51BE"/>
    <w:rsid w:val="00EA53D9"/>
    <w:rsid w:val="00EA5A4E"/>
    <w:rsid w:val="00EA5D63"/>
    <w:rsid w:val="00EA67F4"/>
    <w:rsid w:val="00EA6E23"/>
    <w:rsid w:val="00EA73B9"/>
    <w:rsid w:val="00EA7412"/>
    <w:rsid w:val="00EA7C1D"/>
    <w:rsid w:val="00EB0694"/>
    <w:rsid w:val="00EB0ADA"/>
    <w:rsid w:val="00EB0B39"/>
    <w:rsid w:val="00EB101C"/>
    <w:rsid w:val="00EB15FC"/>
    <w:rsid w:val="00EB160D"/>
    <w:rsid w:val="00EB1A57"/>
    <w:rsid w:val="00EB1D7E"/>
    <w:rsid w:val="00EB2EA0"/>
    <w:rsid w:val="00EB316D"/>
    <w:rsid w:val="00EB37CE"/>
    <w:rsid w:val="00EB3CC4"/>
    <w:rsid w:val="00EB449E"/>
    <w:rsid w:val="00EB4583"/>
    <w:rsid w:val="00EB479B"/>
    <w:rsid w:val="00EB4D0F"/>
    <w:rsid w:val="00EB5C9C"/>
    <w:rsid w:val="00EB6926"/>
    <w:rsid w:val="00EB6CE6"/>
    <w:rsid w:val="00EB6DF4"/>
    <w:rsid w:val="00EB73AD"/>
    <w:rsid w:val="00EB75DE"/>
    <w:rsid w:val="00EC0699"/>
    <w:rsid w:val="00EC0C5F"/>
    <w:rsid w:val="00EC1172"/>
    <w:rsid w:val="00EC1937"/>
    <w:rsid w:val="00EC1CB9"/>
    <w:rsid w:val="00EC25D2"/>
    <w:rsid w:val="00EC25F2"/>
    <w:rsid w:val="00EC2607"/>
    <w:rsid w:val="00EC2741"/>
    <w:rsid w:val="00EC29EC"/>
    <w:rsid w:val="00EC2DE4"/>
    <w:rsid w:val="00EC301F"/>
    <w:rsid w:val="00EC351C"/>
    <w:rsid w:val="00EC3770"/>
    <w:rsid w:val="00EC386F"/>
    <w:rsid w:val="00EC38FF"/>
    <w:rsid w:val="00EC3BA0"/>
    <w:rsid w:val="00EC4642"/>
    <w:rsid w:val="00EC49E2"/>
    <w:rsid w:val="00EC53AD"/>
    <w:rsid w:val="00EC57D4"/>
    <w:rsid w:val="00EC58BE"/>
    <w:rsid w:val="00EC59A0"/>
    <w:rsid w:val="00EC6768"/>
    <w:rsid w:val="00EC75B2"/>
    <w:rsid w:val="00EC77F0"/>
    <w:rsid w:val="00EC7DBB"/>
    <w:rsid w:val="00EC7FD3"/>
    <w:rsid w:val="00ED06B1"/>
    <w:rsid w:val="00ED0819"/>
    <w:rsid w:val="00ED096C"/>
    <w:rsid w:val="00ED0AA6"/>
    <w:rsid w:val="00ED0B44"/>
    <w:rsid w:val="00ED0BA9"/>
    <w:rsid w:val="00ED0F7C"/>
    <w:rsid w:val="00ED0FEA"/>
    <w:rsid w:val="00ED15EA"/>
    <w:rsid w:val="00ED1897"/>
    <w:rsid w:val="00ED1ED9"/>
    <w:rsid w:val="00ED255D"/>
    <w:rsid w:val="00ED271E"/>
    <w:rsid w:val="00ED2AD6"/>
    <w:rsid w:val="00ED2CAE"/>
    <w:rsid w:val="00ED325F"/>
    <w:rsid w:val="00ED35A6"/>
    <w:rsid w:val="00ED424A"/>
    <w:rsid w:val="00ED4521"/>
    <w:rsid w:val="00ED477D"/>
    <w:rsid w:val="00ED4836"/>
    <w:rsid w:val="00ED4CB2"/>
    <w:rsid w:val="00ED500A"/>
    <w:rsid w:val="00ED5369"/>
    <w:rsid w:val="00ED583E"/>
    <w:rsid w:val="00ED5B84"/>
    <w:rsid w:val="00ED5E95"/>
    <w:rsid w:val="00ED6C26"/>
    <w:rsid w:val="00ED70C3"/>
    <w:rsid w:val="00ED735D"/>
    <w:rsid w:val="00ED7954"/>
    <w:rsid w:val="00ED7F86"/>
    <w:rsid w:val="00EDB1B8"/>
    <w:rsid w:val="00EE0132"/>
    <w:rsid w:val="00EE1A48"/>
    <w:rsid w:val="00EE1D97"/>
    <w:rsid w:val="00EE1F26"/>
    <w:rsid w:val="00EE1F53"/>
    <w:rsid w:val="00EE2008"/>
    <w:rsid w:val="00EE2636"/>
    <w:rsid w:val="00EE2840"/>
    <w:rsid w:val="00EE2FED"/>
    <w:rsid w:val="00EE4181"/>
    <w:rsid w:val="00EE4AAE"/>
    <w:rsid w:val="00EE506F"/>
    <w:rsid w:val="00EE5E74"/>
    <w:rsid w:val="00EE609A"/>
    <w:rsid w:val="00EE692D"/>
    <w:rsid w:val="00EE6EF3"/>
    <w:rsid w:val="00EE74EF"/>
    <w:rsid w:val="00EE7A7B"/>
    <w:rsid w:val="00EE7AED"/>
    <w:rsid w:val="00EE7DE4"/>
    <w:rsid w:val="00EE7DF0"/>
    <w:rsid w:val="00EF0187"/>
    <w:rsid w:val="00EF028C"/>
    <w:rsid w:val="00EF078A"/>
    <w:rsid w:val="00EF083F"/>
    <w:rsid w:val="00EF0865"/>
    <w:rsid w:val="00EF0903"/>
    <w:rsid w:val="00EF091D"/>
    <w:rsid w:val="00EF0A48"/>
    <w:rsid w:val="00EF0A8B"/>
    <w:rsid w:val="00EF0AC5"/>
    <w:rsid w:val="00EF0B4C"/>
    <w:rsid w:val="00EF1125"/>
    <w:rsid w:val="00EF28B9"/>
    <w:rsid w:val="00EF29F5"/>
    <w:rsid w:val="00EF2ACB"/>
    <w:rsid w:val="00EF3022"/>
    <w:rsid w:val="00EF3430"/>
    <w:rsid w:val="00EF41B7"/>
    <w:rsid w:val="00EF42B8"/>
    <w:rsid w:val="00EF4F3D"/>
    <w:rsid w:val="00EF60C8"/>
    <w:rsid w:val="00EF6743"/>
    <w:rsid w:val="00EF689A"/>
    <w:rsid w:val="00EF6BE6"/>
    <w:rsid w:val="00EF72EE"/>
    <w:rsid w:val="00EF778A"/>
    <w:rsid w:val="00EF7930"/>
    <w:rsid w:val="00EF7F51"/>
    <w:rsid w:val="00F0011A"/>
    <w:rsid w:val="00F01240"/>
    <w:rsid w:val="00F01696"/>
    <w:rsid w:val="00F016D8"/>
    <w:rsid w:val="00F01DD9"/>
    <w:rsid w:val="00F01E84"/>
    <w:rsid w:val="00F021AC"/>
    <w:rsid w:val="00F025CC"/>
    <w:rsid w:val="00F026F4"/>
    <w:rsid w:val="00F029A3"/>
    <w:rsid w:val="00F02B28"/>
    <w:rsid w:val="00F02EA9"/>
    <w:rsid w:val="00F03043"/>
    <w:rsid w:val="00F0338C"/>
    <w:rsid w:val="00F03638"/>
    <w:rsid w:val="00F03835"/>
    <w:rsid w:val="00F03D96"/>
    <w:rsid w:val="00F0450B"/>
    <w:rsid w:val="00F04646"/>
    <w:rsid w:val="00F04FA0"/>
    <w:rsid w:val="00F05116"/>
    <w:rsid w:val="00F05BFF"/>
    <w:rsid w:val="00F06437"/>
    <w:rsid w:val="00F06ED9"/>
    <w:rsid w:val="00F072CB"/>
    <w:rsid w:val="00F0758C"/>
    <w:rsid w:val="00F106BB"/>
    <w:rsid w:val="00F10F3B"/>
    <w:rsid w:val="00F112FE"/>
    <w:rsid w:val="00F117D2"/>
    <w:rsid w:val="00F11F63"/>
    <w:rsid w:val="00F12370"/>
    <w:rsid w:val="00F12604"/>
    <w:rsid w:val="00F126EE"/>
    <w:rsid w:val="00F12855"/>
    <w:rsid w:val="00F12F3B"/>
    <w:rsid w:val="00F1323A"/>
    <w:rsid w:val="00F13572"/>
    <w:rsid w:val="00F13713"/>
    <w:rsid w:val="00F13FF3"/>
    <w:rsid w:val="00F140D3"/>
    <w:rsid w:val="00F14613"/>
    <w:rsid w:val="00F148E7"/>
    <w:rsid w:val="00F14996"/>
    <w:rsid w:val="00F14DDB"/>
    <w:rsid w:val="00F14F09"/>
    <w:rsid w:val="00F15985"/>
    <w:rsid w:val="00F15ECB"/>
    <w:rsid w:val="00F16ACA"/>
    <w:rsid w:val="00F16D2F"/>
    <w:rsid w:val="00F21328"/>
    <w:rsid w:val="00F21D70"/>
    <w:rsid w:val="00F22629"/>
    <w:rsid w:val="00F22975"/>
    <w:rsid w:val="00F2297E"/>
    <w:rsid w:val="00F22A43"/>
    <w:rsid w:val="00F23094"/>
    <w:rsid w:val="00F2347C"/>
    <w:rsid w:val="00F238BD"/>
    <w:rsid w:val="00F251B4"/>
    <w:rsid w:val="00F25938"/>
    <w:rsid w:val="00F2637C"/>
    <w:rsid w:val="00F26564"/>
    <w:rsid w:val="00F26879"/>
    <w:rsid w:val="00F26BB9"/>
    <w:rsid w:val="00F26EC3"/>
    <w:rsid w:val="00F27849"/>
    <w:rsid w:val="00F27ACC"/>
    <w:rsid w:val="00F30756"/>
    <w:rsid w:val="00F30D57"/>
    <w:rsid w:val="00F3102B"/>
    <w:rsid w:val="00F3145A"/>
    <w:rsid w:val="00F31E8F"/>
    <w:rsid w:val="00F32309"/>
    <w:rsid w:val="00F32651"/>
    <w:rsid w:val="00F3326C"/>
    <w:rsid w:val="00F3330A"/>
    <w:rsid w:val="00F33790"/>
    <w:rsid w:val="00F338C4"/>
    <w:rsid w:val="00F34218"/>
    <w:rsid w:val="00F34DBB"/>
    <w:rsid w:val="00F35E81"/>
    <w:rsid w:val="00F36023"/>
    <w:rsid w:val="00F36043"/>
    <w:rsid w:val="00F366C5"/>
    <w:rsid w:val="00F36AF2"/>
    <w:rsid w:val="00F370CD"/>
    <w:rsid w:val="00F373DA"/>
    <w:rsid w:val="00F4082A"/>
    <w:rsid w:val="00F40D4A"/>
    <w:rsid w:val="00F40F69"/>
    <w:rsid w:val="00F41300"/>
    <w:rsid w:val="00F41845"/>
    <w:rsid w:val="00F41C12"/>
    <w:rsid w:val="00F41D04"/>
    <w:rsid w:val="00F41F7B"/>
    <w:rsid w:val="00F42152"/>
    <w:rsid w:val="00F439B3"/>
    <w:rsid w:val="00F43B37"/>
    <w:rsid w:val="00F442D6"/>
    <w:rsid w:val="00F446C4"/>
    <w:rsid w:val="00F455BE"/>
    <w:rsid w:val="00F459EF"/>
    <w:rsid w:val="00F4617A"/>
    <w:rsid w:val="00F46324"/>
    <w:rsid w:val="00F466CA"/>
    <w:rsid w:val="00F46801"/>
    <w:rsid w:val="00F46927"/>
    <w:rsid w:val="00F46AB5"/>
    <w:rsid w:val="00F47BD8"/>
    <w:rsid w:val="00F5062F"/>
    <w:rsid w:val="00F50905"/>
    <w:rsid w:val="00F50CEB"/>
    <w:rsid w:val="00F513FF"/>
    <w:rsid w:val="00F519C1"/>
    <w:rsid w:val="00F52A43"/>
    <w:rsid w:val="00F52D2C"/>
    <w:rsid w:val="00F53167"/>
    <w:rsid w:val="00F53370"/>
    <w:rsid w:val="00F5378C"/>
    <w:rsid w:val="00F546EE"/>
    <w:rsid w:val="00F54AB6"/>
    <w:rsid w:val="00F54FEB"/>
    <w:rsid w:val="00F553BC"/>
    <w:rsid w:val="00F55622"/>
    <w:rsid w:val="00F5572A"/>
    <w:rsid w:val="00F55794"/>
    <w:rsid w:val="00F557BD"/>
    <w:rsid w:val="00F56434"/>
    <w:rsid w:val="00F56680"/>
    <w:rsid w:val="00F5692D"/>
    <w:rsid w:val="00F56EF0"/>
    <w:rsid w:val="00F57227"/>
    <w:rsid w:val="00F57791"/>
    <w:rsid w:val="00F57DD7"/>
    <w:rsid w:val="00F57F3A"/>
    <w:rsid w:val="00F60A33"/>
    <w:rsid w:val="00F60EA2"/>
    <w:rsid w:val="00F61410"/>
    <w:rsid w:val="00F61C68"/>
    <w:rsid w:val="00F628D4"/>
    <w:rsid w:val="00F62C17"/>
    <w:rsid w:val="00F6408D"/>
    <w:rsid w:val="00F64559"/>
    <w:rsid w:val="00F64CF5"/>
    <w:rsid w:val="00F652AC"/>
    <w:rsid w:val="00F65399"/>
    <w:rsid w:val="00F6558F"/>
    <w:rsid w:val="00F659C0"/>
    <w:rsid w:val="00F65C6B"/>
    <w:rsid w:val="00F65E5E"/>
    <w:rsid w:val="00F66C43"/>
    <w:rsid w:val="00F6716D"/>
    <w:rsid w:val="00F6776C"/>
    <w:rsid w:val="00F67E4E"/>
    <w:rsid w:val="00F70125"/>
    <w:rsid w:val="00F701AD"/>
    <w:rsid w:val="00F707CC"/>
    <w:rsid w:val="00F714FC"/>
    <w:rsid w:val="00F7156B"/>
    <w:rsid w:val="00F71FF2"/>
    <w:rsid w:val="00F721DA"/>
    <w:rsid w:val="00F7264B"/>
    <w:rsid w:val="00F72783"/>
    <w:rsid w:val="00F72CD5"/>
    <w:rsid w:val="00F73000"/>
    <w:rsid w:val="00F736D4"/>
    <w:rsid w:val="00F73D80"/>
    <w:rsid w:val="00F7474D"/>
    <w:rsid w:val="00F74964"/>
    <w:rsid w:val="00F75669"/>
    <w:rsid w:val="00F75852"/>
    <w:rsid w:val="00F75D3B"/>
    <w:rsid w:val="00F75ED4"/>
    <w:rsid w:val="00F76368"/>
    <w:rsid w:val="00F76605"/>
    <w:rsid w:val="00F76927"/>
    <w:rsid w:val="00F76A43"/>
    <w:rsid w:val="00F7708B"/>
    <w:rsid w:val="00F77360"/>
    <w:rsid w:val="00F777A0"/>
    <w:rsid w:val="00F77C9F"/>
    <w:rsid w:val="00F804EA"/>
    <w:rsid w:val="00F80D71"/>
    <w:rsid w:val="00F80DE7"/>
    <w:rsid w:val="00F817A6"/>
    <w:rsid w:val="00F82210"/>
    <w:rsid w:val="00F826DA"/>
    <w:rsid w:val="00F8296B"/>
    <w:rsid w:val="00F82E2C"/>
    <w:rsid w:val="00F84037"/>
    <w:rsid w:val="00F840F7"/>
    <w:rsid w:val="00F842F2"/>
    <w:rsid w:val="00F84B2C"/>
    <w:rsid w:val="00F84E0F"/>
    <w:rsid w:val="00F84E45"/>
    <w:rsid w:val="00F84EF8"/>
    <w:rsid w:val="00F854E1"/>
    <w:rsid w:val="00F85883"/>
    <w:rsid w:val="00F8596B"/>
    <w:rsid w:val="00F86031"/>
    <w:rsid w:val="00F86445"/>
    <w:rsid w:val="00F8680B"/>
    <w:rsid w:val="00F86923"/>
    <w:rsid w:val="00F86A21"/>
    <w:rsid w:val="00F8722B"/>
    <w:rsid w:val="00F87245"/>
    <w:rsid w:val="00F904D4"/>
    <w:rsid w:val="00F90889"/>
    <w:rsid w:val="00F90F7A"/>
    <w:rsid w:val="00F911A6"/>
    <w:rsid w:val="00F91695"/>
    <w:rsid w:val="00F92427"/>
    <w:rsid w:val="00F931D6"/>
    <w:rsid w:val="00F93336"/>
    <w:rsid w:val="00F933E4"/>
    <w:rsid w:val="00F93831"/>
    <w:rsid w:val="00F93CDB"/>
    <w:rsid w:val="00F948D5"/>
    <w:rsid w:val="00F94AAD"/>
    <w:rsid w:val="00F9556B"/>
    <w:rsid w:val="00F968A0"/>
    <w:rsid w:val="00F96E53"/>
    <w:rsid w:val="00F96ECE"/>
    <w:rsid w:val="00F974CD"/>
    <w:rsid w:val="00FA01BC"/>
    <w:rsid w:val="00FA0256"/>
    <w:rsid w:val="00FA0265"/>
    <w:rsid w:val="00FA0350"/>
    <w:rsid w:val="00FA081F"/>
    <w:rsid w:val="00FA0AA0"/>
    <w:rsid w:val="00FA0EBA"/>
    <w:rsid w:val="00FA11C5"/>
    <w:rsid w:val="00FA182B"/>
    <w:rsid w:val="00FA251B"/>
    <w:rsid w:val="00FA2681"/>
    <w:rsid w:val="00FA2DAC"/>
    <w:rsid w:val="00FA2E6B"/>
    <w:rsid w:val="00FA3821"/>
    <w:rsid w:val="00FA3ED3"/>
    <w:rsid w:val="00FA413D"/>
    <w:rsid w:val="00FA428D"/>
    <w:rsid w:val="00FA4A41"/>
    <w:rsid w:val="00FA4A70"/>
    <w:rsid w:val="00FA4C2E"/>
    <w:rsid w:val="00FA4DC7"/>
    <w:rsid w:val="00FA4E19"/>
    <w:rsid w:val="00FA5253"/>
    <w:rsid w:val="00FA56B0"/>
    <w:rsid w:val="00FA599D"/>
    <w:rsid w:val="00FA5DBB"/>
    <w:rsid w:val="00FA5F0E"/>
    <w:rsid w:val="00FA61E7"/>
    <w:rsid w:val="00FA6239"/>
    <w:rsid w:val="00FA6889"/>
    <w:rsid w:val="00FA709B"/>
    <w:rsid w:val="00FA7346"/>
    <w:rsid w:val="00FA748C"/>
    <w:rsid w:val="00FA7C2C"/>
    <w:rsid w:val="00FA7C69"/>
    <w:rsid w:val="00FB022C"/>
    <w:rsid w:val="00FB0463"/>
    <w:rsid w:val="00FB0476"/>
    <w:rsid w:val="00FB073F"/>
    <w:rsid w:val="00FB09AA"/>
    <w:rsid w:val="00FB0B0E"/>
    <w:rsid w:val="00FB0D2B"/>
    <w:rsid w:val="00FB124B"/>
    <w:rsid w:val="00FB1B99"/>
    <w:rsid w:val="00FB26CA"/>
    <w:rsid w:val="00FB28DC"/>
    <w:rsid w:val="00FB33D4"/>
    <w:rsid w:val="00FB34A3"/>
    <w:rsid w:val="00FB4985"/>
    <w:rsid w:val="00FB4C49"/>
    <w:rsid w:val="00FB560A"/>
    <w:rsid w:val="00FB5658"/>
    <w:rsid w:val="00FB5C83"/>
    <w:rsid w:val="00FB5D4F"/>
    <w:rsid w:val="00FB5FC4"/>
    <w:rsid w:val="00FB6700"/>
    <w:rsid w:val="00FB6850"/>
    <w:rsid w:val="00FB686D"/>
    <w:rsid w:val="00FB68BE"/>
    <w:rsid w:val="00FB6F86"/>
    <w:rsid w:val="00FB71C5"/>
    <w:rsid w:val="00FB7216"/>
    <w:rsid w:val="00FB758C"/>
    <w:rsid w:val="00FB77E7"/>
    <w:rsid w:val="00FC05BA"/>
    <w:rsid w:val="00FC1253"/>
    <w:rsid w:val="00FC17FB"/>
    <w:rsid w:val="00FC1AA2"/>
    <w:rsid w:val="00FC1AC9"/>
    <w:rsid w:val="00FC1C36"/>
    <w:rsid w:val="00FC258D"/>
    <w:rsid w:val="00FC2934"/>
    <w:rsid w:val="00FC34BD"/>
    <w:rsid w:val="00FC3A7A"/>
    <w:rsid w:val="00FC3CBE"/>
    <w:rsid w:val="00FC3D45"/>
    <w:rsid w:val="00FC4202"/>
    <w:rsid w:val="00FC42AC"/>
    <w:rsid w:val="00FC450A"/>
    <w:rsid w:val="00FC46BB"/>
    <w:rsid w:val="00FC4901"/>
    <w:rsid w:val="00FC4E7E"/>
    <w:rsid w:val="00FC6236"/>
    <w:rsid w:val="00FC6880"/>
    <w:rsid w:val="00FC6A90"/>
    <w:rsid w:val="00FC7962"/>
    <w:rsid w:val="00FC79DB"/>
    <w:rsid w:val="00FD0977"/>
    <w:rsid w:val="00FD0B24"/>
    <w:rsid w:val="00FD133F"/>
    <w:rsid w:val="00FD147B"/>
    <w:rsid w:val="00FD2655"/>
    <w:rsid w:val="00FD35F6"/>
    <w:rsid w:val="00FD3EF1"/>
    <w:rsid w:val="00FD454C"/>
    <w:rsid w:val="00FD490B"/>
    <w:rsid w:val="00FD4BE6"/>
    <w:rsid w:val="00FD4CBF"/>
    <w:rsid w:val="00FD4E76"/>
    <w:rsid w:val="00FD56B0"/>
    <w:rsid w:val="00FD5790"/>
    <w:rsid w:val="00FD5BF4"/>
    <w:rsid w:val="00FD64D0"/>
    <w:rsid w:val="00FD6D70"/>
    <w:rsid w:val="00FD6EC1"/>
    <w:rsid w:val="00FD70BF"/>
    <w:rsid w:val="00FD7620"/>
    <w:rsid w:val="00FE009D"/>
    <w:rsid w:val="00FE07BA"/>
    <w:rsid w:val="00FE0BD4"/>
    <w:rsid w:val="00FE0C56"/>
    <w:rsid w:val="00FE0EE3"/>
    <w:rsid w:val="00FE1A7C"/>
    <w:rsid w:val="00FE1B22"/>
    <w:rsid w:val="00FE1F9E"/>
    <w:rsid w:val="00FE20B4"/>
    <w:rsid w:val="00FE2BDC"/>
    <w:rsid w:val="00FE2D9D"/>
    <w:rsid w:val="00FE454C"/>
    <w:rsid w:val="00FE47A0"/>
    <w:rsid w:val="00FE4AB2"/>
    <w:rsid w:val="00FE4B74"/>
    <w:rsid w:val="00FE4DE9"/>
    <w:rsid w:val="00FE52B8"/>
    <w:rsid w:val="00FE667F"/>
    <w:rsid w:val="00FE71B4"/>
    <w:rsid w:val="00FE73DB"/>
    <w:rsid w:val="00FE74E3"/>
    <w:rsid w:val="00FE7507"/>
    <w:rsid w:val="00FE759D"/>
    <w:rsid w:val="00FE7871"/>
    <w:rsid w:val="00FF030E"/>
    <w:rsid w:val="00FF123E"/>
    <w:rsid w:val="00FF1A81"/>
    <w:rsid w:val="00FF1BC3"/>
    <w:rsid w:val="00FF1BCB"/>
    <w:rsid w:val="00FF1D22"/>
    <w:rsid w:val="00FF28E2"/>
    <w:rsid w:val="00FF32B4"/>
    <w:rsid w:val="00FF3BCE"/>
    <w:rsid w:val="00FF3FAC"/>
    <w:rsid w:val="00FF4040"/>
    <w:rsid w:val="00FF406F"/>
    <w:rsid w:val="00FF40F3"/>
    <w:rsid w:val="00FF445D"/>
    <w:rsid w:val="00FF47E3"/>
    <w:rsid w:val="00FF4830"/>
    <w:rsid w:val="00FF4C7B"/>
    <w:rsid w:val="00FF4D86"/>
    <w:rsid w:val="00FF537E"/>
    <w:rsid w:val="00FF55D2"/>
    <w:rsid w:val="00FF624D"/>
    <w:rsid w:val="00FF64A9"/>
    <w:rsid w:val="00FF67CA"/>
    <w:rsid w:val="00FF76A6"/>
    <w:rsid w:val="01069FA4"/>
    <w:rsid w:val="010720BF"/>
    <w:rsid w:val="01180605"/>
    <w:rsid w:val="011D5139"/>
    <w:rsid w:val="011D7909"/>
    <w:rsid w:val="01327A25"/>
    <w:rsid w:val="0154FB1E"/>
    <w:rsid w:val="015973BE"/>
    <w:rsid w:val="016A1994"/>
    <w:rsid w:val="016F71F0"/>
    <w:rsid w:val="0182FB03"/>
    <w:rsid w:val="018C7E96"/>
    <w:rsid w:val="01CD045C"/>
    <w:rsid w:val="01D052BC"/>
    <w:rsid w:val="01DFFE81"/>
    <w:rsid w:val="01EE5858"/>
    <w:rsid w:val="01FCA428"/>
    <w:rsid w:val="0208109E"/>
    <w:rsid w:val="020B2D61"/>
    <w:rsid w:val="02409EF8"/>
    <w:rsid w:val="024ECCE9"/>
    <w:rsid w:val="02528A6A"/>
    <w:rsid w:val="025BDDB5"/>
    <w:rsid w:val="027A528E"/>
    <w:rsid w:val="027B012E"/>
    <w:rsid w:val="029AC13A"/>
    <w:rsid w:val="02ACFC9C"/>
    <w:rsid w:val="02BD02B4"/>
    <w:rsid w:val="02BE48EF"/>
    <w:rsid w:val="02C2EB44"/>
    <w:rsid w:val="02D260AE"/>
    <w:rsid w:val="02D46CDA"/>
    <w:rsid w:val="02D75665"/>
    <w:rsid w:val="02F0CB7F"/>
    <w:rsid w:val="02F2E0CE"/>
    <w:rsid w:val="02F6893A"/>
    <w:rsid w:val="031BFA63"/>
    <w:rsid w:val="031CB472"/>
    <w:rsid w:val="033F2498"/>
    <w:rsid w:val="03415D27"/>
    <w:rsid w:val="0348BC9B"/>
    <w:rsid w:val="034FCD7E"/>
    <w:rsid w:val="036EF345"/>
    <w:rsid w:val="037F31FD"/>
    <w:rsid w:val="0392DFE4"/>
    <w:rsid w:val="039BF0C7"/>
    <w:rsid w:val="03A422D7"/>
    <w:rsid w:val="03A8BD96"/>
    <w:rsid w:val="03AB30AF"/>
    <w:rsid w:val="03AB315E"/>
    <w:rsid w:val="03BD14D2"/>
    <w:rsid w:val="03C94ED3"/>
    <w:rsid w:val="03C9CD03"/>
    <w:rsid w:val="03CEEA76"/>
    <w:rsid w:val="03DFB8C6"/>
    <w:rsid w:val="03E14C5D"/>
    <w:rsid w:val="03E35F69"/>
    <w:rsid w:val="03E4E281"/>
    <w:rsid w:val="03FE737B"/>
    <w:rsid w:val="0428D774"/>
    <w:rsid w:val="042DFF7D"/>
    <w:rsid w:val="042FBC80"/>
    <w:rsid w:val="043ED431"/>
    <w:rsid w:val="044604A7"/>
    <w:rsid w:val="044DD6A7"/>
    <w:rsid w:val="04591F22"/>
    <w:rsid w:val="046D9FB6"/>
    <w:rsid w:val="046DA449"/>
    <w:rsid w:val="046E7794"/>
    <w:rsid w:val="0474255C"/>
    <w:rsid w:val="047D79C7"/>
    <w:rsid w:val="048435F6"/>
    <w:rsid w:val="0484D1D7"/>
    <w:rsid w:val="0488CB83"/>
    <w:rsid w:val="048C9BE0"/>
    <w:rsid w:val="04971DA3"/>
    <w:rsid w:val="04A26CC8"/>
    <w:rsid w:val="04AF7274"/>
    <w:rsid w:val="04B75AE3"/>
    <w:rsid w:val="04DD08C9"/>
    <w:rsid w:val="04E1674C"/>
    <w:rsid w:val="05067055"/>
    <w:rsid w:val="050C9747"/>
    <w:rsid w:val="050CC995"/>
    <w:rsid w:val="052CD99E"/>
    <w:rsid w:val="053942ED"/>
    <w:rsid w:val="0549C7C4"/>
    <w:rsid w:val="054B54A5"/>
    <w:rsid w:val="055BD7E7"/>
    <w:rsid w:val="0582AA62"/>
    <w:rsid w:val="058C0375"/>
    <w:rsid w:val="05CB4553"/>
    <w:rsid w:val="05DD5C2D"/>
    <w:rsid w:val="05FCE32A"/>
    <w:rsid w:val="06265CB3"/>
    <w:rsid w:val="0627436F"/>
    <w:rsid w:val="062FF06A"/>
    <w:rsid w:val="0631B698"/>
    <w:rsid w:val="064E1E5B"/>
    <w:rsid w:val="064E99D7"/>
    <w:rsid w:val="065A5874"/>
    <w:rsid w:val="06627831"/>
    <w:rsid w:val="0671E068"/>
    <w:rsid w:val="068820A0"/>
    <w:rsid w:val="0691C5A2"/>
    <w:rsid w:val="0697DA56"/>
    <w:rsid w:val="069CB6E9"/>
    <w:rsid w:val="06AFA526"/>
    <w:rsid w:val="06B1B972"/>
    <w:rsid w:val="06B4CD2F"/>
    <w:rsid w:val="06B8145D"/>
    <w:rsid w:val="06BABE96"/>
    <w:rsid w:val="06F37781"/>
    <w:rsid w:val="06F88F43"/>
    <w:rsid w:val="0702084E"/>
    <w:rsid w:val="070B7442"/>
    <w:rsid w:val="07126CED"/>
    <w:rsid w:val="0712B583"/>
    <w:rsid w:val="0720C290"/>
    <w:rsid w:val="07351471"/>
    <w:rsid w:val="075D49D6"/>
    <w:rsid w:val="0766833B"/>
    <w:rsid w:val="07696BAE"/>
    <w:rsid w:val="076D620E"/>
    <w:rsid w:val="0780362B"/>
    <w:rsid w:val="0794E438"/>
    <w:rsid w:val="07975FA0"/>
    <w:rsid w:val="07AED264"/>
    <w:rsid w:val="07DC8246"/>
    <w:rsid w:val="07EB03B2"/>
    <w:rsid w:val="07F2F3EC"/>
    <w:rsid w:val="07FFEBD9"/>
    <w:rsid w:val="0804CAC7"/>
    <w:rsid w:val="0815FE5E"/>
    <w:rsid w:val="0828818D"/>
    <w:rsid w:val="0835812B"/>
    <w:rsid w:val="0839BF5F"/>
    <w:rsid w:val="08412E2C"/>
    <w:rsid w:val="0848CCF3"/>
    <w:rsid w:val="08510F89"/>
    <w:rsid w:val="08636F65"/>
    <w:rsid w:val="0865EC60"/>
    <w:rsid w:val="0872F655"/>
    <w:rsid w:val="087C01B1"/>
    <w:rsid w:val="08836084"/>
    <w:rsid w:val="08848262"/>
    <w:rsid w:val="08A3B797"/>
    <w:rsid w:val="08B0A58D"/>
    <w:rsid w:val="08B5C532"/>
    <w:rsid w:val="08B68564"/>
    <w:rsid w:val="08B72061"/>
    <w:rsid w:val="08C70E7B"/>
    <w:rsid w:val="08CA590D"/>
    <w:rsid w:val="08DBB90C"/>
    <w:rsid w:val="08DBEC34"/>
    <w:rsid w:val="08ED16B4"/>
    <w:rsid w:val="08FD1BA1"/>
    <w:rsid w:val="0900D928"/>
    <w:rsid w:val="09123A87"/>
    <w:rsid w:val="09137E4F"/>
    <w:rsid w:val="092D908C"/>
    <w:rsid w:val="09484A6A"/>
    <w:rsid w:val="094A9553"/>
    <w:rsid w:val="0957BD13"/>
    <w:rsid w:val="097BC05A"/>
    <w:rsid w:val="098F40D3"/>
    <w:rsid w:val="09AE9B35"/>
    <w:rsid w:val="09B0A9B4"/>
    <w:rsid w:val="09C56137"/>
    <w:rsid w:val="09C96664"/>
    <w:rsid w:val="09CFF9E2"/>
    <w:rsid w:val="09ED63C5"/>
    <w:rsid w:val="09F8056E"/>
    <w:rsid w:val="0A054071"/>
    <w:rsid w:val="0A07624F"/>
    <w:rsid w:val="0A240099"/>
    <w:rsid w:val="0A401437"/>
    <w:rsid w:val="0A838F28"/>
    <w:rsid w:val="0AB0BBA3"/>
    <w:rsid w:val="0AB3117A"/>
    <w:rsid w:val="0AB8D30C"/>
    <w:rsid w:val="0ABC3773"/>
    <w:rsid w:val="0AE7C5A0"/>
    <w:rsid w:val="0B0BC20D"/>
    <w:rsid w:val="0B162EFA"/>
    <w:rsid w:val="0B1B0B3A"/>
    <w:rsid w:val="0B2AB9EB"/>
    <w:rsid w:val="0B62213C"/>
    <w:rsid w:val="0B627669"/>
    <w:rsid w:val="0B67573C"/>
    <w:rsid w:val="0B6E2728"/>
    <w:rsid w:val="0B76FA62"/>
    <w:rsid w:val="0BB3CF7B"/>
    <w:rsid w:val="0BC19A14"/>
    <w:rsid w:val="0BCCC3A2"/>
    <w:rsid w:val="0BCCC55B"/>
    <w:rsid w:val="0BD91DE2"/>
    <w:rsid w:val="0BE970FF"/>
    <w:rsid w:val="0BEB3DE2"/>
    <w:rsid w:val="0BF66B01"/>
    <w:rsid w:val="0BF8DA7F"/>
    <w:rsid w:val="0BFC3F28"/>
    <w:rsid w:val="0C0F7737"/>
    <w:rsid w:val="0C178789"/>
    <w:rsid w:val="0C23702A"/>
    <w:rsid w:val="0C274DCF"/>
    <w:rsid w:val="0C4A0D24"/>
    <w:rsid w:val="0C5762D3"/>
    <w:rsid w:val="0C5D5489"/>
    <w:rsid w:val="0C76806D"/>
    <w:rsid w:val="0C8D3ACA"/>
    <w:rsid w:val="0C9BD28E"/>
    <w:rsid w:val="0CC21D48"/>
    <w:rsid w:val="0CC5D7D9"/>
    <w:rsid w:val="0CC9F9D4"/>
    <w:rsid w:val="0CDD2AEB"/>
    <w:rsid w:val="0CDD7893"/>
    <w:rsid w:val="0CF2CEB9"/>
    <w:rsid w:val="0CFCE396"/>
    <w:rsid w:val="0D004D87"/>
    <w:rsid w:val="0D2578AE"/>
    <w:rsid w:val="0D32D858"/>
    <w:rsid w:val="0D513564"/>
    <w:rsid w:val="0D63F78C"/>
    <w:rsid w:val="0D74A6B9"/>
    <w:rsid w:val="0DD6E6CA"/>
    <w:rsid w:val="0DDD011F"/>
    <w:rsid w:val="0DE3F76C"/>
    <w:rsid w:val="0DE56167"/>
    <w:rsid w:val="0E00B286"/>
    <w:rsid w:val="0E0F1A4D"/>
    <w:rsid w:val="0E0FC24E"/>
    <w:rsid w:val="0E16B3E9"/>
    <w:rsid w:val="0E290B2B"/>
    <w:rsid w:val="0E4F36E1"/>
    <w:rsid w:val="0E53751D"/>
    <w:rsid w:val="0E574478"/>
    <w:rsid w:val="0E5F5DE4"/>
    <w:rsid w:val="0E7190B6"/>
    <w:rsid w:val="0E89C4C5"/>
    <w:rsid w:val="0E8F619A"/>
    <w:rsid w:val="0EA87073"/>
    <w:rsid w:val="0EAE4BED"/>
    <w:rsid w:val="0EB54A55"/>
    <w:rsid w:val="0EB80E77"/>
    <w:rsid w:val="0EBCEF17"/>
    <w:rsid w:val="0EC3993D"/>
    <w:rsid w:val="0ECDC0CF"/>
    <w:rsid w:val="0EF35DC3"/>
    <w:rsid w:val="0F0125B3"/>
    <w:rsid w:val="0F1335BE"/>
    <w:rsid w:val="0F2F1378"/>
    <w:rsid w:val="0F4637FD"/>
    <w:rsid w:val="0F54B051"/>
    <w:rsid w:val="0F5C2AA0"/>
    <w:rsid w:val="0F6DC5CA"/>
    <w:rsid w:val="0F6E5675"/>
    <w:rsid w:val="0F7470A7"/>
    <w:rsid w:val="0FBAD43C"/>
    <w:rsid w:val="0FC4EA30"/>
    <w:rsid w:val="0FC52799"/>
    <w:rsid w:val="0FC5D468"/>
    <w:rsid w:val="0FDF3330"/>
    <w:rsid w:val="0FF53543"/>
    <w:rsid w:val="10025182"/>
    <w:rsid w:val="10054760"/>
    <w:rsid w:val="100C8BA3"/>
    <w:rsid w:val="101DA7A0"/>
    <w:rsid w:val="102249CB"/>
    <w:rsid w:val="10328182"/>
    <w:rsid w:val="1040B88F"/>
    <w:rsid w:val="1051DAB0"/>
    <w:rsid w:val="105CA0B9"/>
    <w:rsid w:val="1067C18A"/>
    <w:rsid w:val="106B93DB"/>
    <w:rsid w:val="1083C397"/>
    <w:rsid w:val="108819B5"/>
    <w:rsid w:val="108BDC2F"/>
    <w:rsid w:val="10901B15"/>
    <w:rsid w:val="109B984E"/>
    <w:rsid w:val="109EFE1E"/>
    <w:rsid w:val="109F1866"/>
    <w:rsid w:val="10A427BF"/>
    <w:rsid w:val="10A5A2C8"/>
    <w:rsid w:val="10B9D843"/>
    <w:rsid w:val="10D3C6FE"/>
    <w:rsid w:val="10F43D24"/>
    <w:rsid w:val="10F4B5A7"/>
    <w:rsid w:val="10F8A8DB"/>
    <w:rsid w:val="10FC8A52"/>
    <w:rsid w:val="111E0035"/>
    <w:rsid w:val="112A0E78"/>
    <w:rsid w:val="112FA45A"/>
    <w:rsid w:val="11372A53"/>
    <w:rsid w:val="1142DDED"/>
    <w:rsid w:val="114F929E"/>
    <w:rsid w:val="1150E181"/>
    <w:rsid w:val="115BDC68"/>
    <w:rsid w:val="11712DC0"/>
    <w:rsid w:val="117D8E8B"/>
    <w:rsid w:val="11814673"/>
    <w:rsid w:val="119DE047"/>
    <w:rsid w:val="11B0C6B5"/>
    <w:rsid w:val="11DB403E"/>
    <w:rsid w:val="11E687BE"/>
    <w:rsid w:val="11F9D223"/>
    <w:rsid w:val="11FBEDDE"/>
    <w:rsid w:val="1207C63D"/>
    <w:rsid w:val="1210C421"/>
    <w:rsid w:val="12117F8D"/>
    <w:rsid w:val="12311B8C"/>
    <w:rsid w:val="1234FB38"/>
    <w:rsid w:val="125CF6EE"/>
    <w:rsid w:val="1262E383"/>
    <w:rsid w:val="12691BF7"/>
    <w:rsid w:val="126C8C21"/>
    <w:rsid w:val="126D988A"/>
    <w:rsid w:val="127E9EDA"/>
    <w:rsid w:val="12835B9D"/>
    <w:rsid w:val="12ADE9A6"/>
    <w:rsid w:val="12B3ED3C"/>
    <w:rsid w:val="12CEFF61"/>
    <w:rsid w:val="12FEB77D"/>
    <w:rsid w:val="1307429A"/>
    <w:rsid w:val="1315BAEA"/>
    <w:rsid w:val="131970B7"/>
    <w:rsid w:val="13397CB4"/>
    <w:rsid w:val="1340C230"/>
    <w:rsid w:val="134F655A"/>
    <w:rsid w:val="13554862"/>
    <w:rsid w:val="1364D1D6"/>
    <w:rsid w:val="13684042"/>
    <w:rsid w:val="137EC1B3"/>
    <w:rsid w:val="1390603A"/>
    <w:rsid w:val="139B6A94"/>
    <w:rsid w:val="13B6EA3D"/>
    <w:rsid w:val="13D2CF6A"/>
    <w:rsid w:val="13D83BD6"/>
    <w:rsid w:val="1400AFE4"/>
    <w:rsid w:val="1412A5DB"/>
    <w:rsid w:val="141C87C0"/>
    <w:rsid w:val="141CB0BD"/>
    <w:rsid w:val="1422A83C"/>
    <w:rsid w:val="14279D6D"/>
    <w:rsid w:val="143CAF80"/>
    <w:rsid w:val="143F8E9B"/>
    <w:rsid w:val="1449C108"/>
    <w:rsid w:val="1451B546"/>
    <w:rsid w:val="145B7A8F"/>
    <w:rsid w:val="14782AA0"/>
    <w:rsid w:val="147B8688"/>
    <w:rsid w:val="147F428D"/>
    <w:rsid w:val="1487BB8B"/>
    <w:rsid w:val="14901B4E"/>
    <w:rsid w:val="149E142D"/>
    <w:rsid w:val="14ABC7B4"/>
    <w:rsid w:val="14BF66C5"/>
    <w:rsid w:val="14CBF9CA"/>
    <w:rsid w:val="14D70FEF"/>
    <w:rsid w:val="14F5F7FE"/>
    <w:rsid w:val="14F90649"/>
    <w:rsid w:val="14FC2CF9"/>
    <w:rsid w:val="15101BD8"/>
    <w:rsid w:val="1514B961"/>
    <w:rsid w:val="15371E22"/>
    <w:rsid w:val="154D6932"/>
    <w:rsid w:val="1550A379"/>
    <w:rsid w:val="15578868"/>
    <w:rsid w:val="15601E5F"/>
    <w:rsid w:val="1564000D"/>
    <w:rsid w:val="1571CAA6"/>
    <w:rsid w:val="157BBD8D"/>
    <w:rsid w:val="158D2200"/>
    <w:rsid w:val="158D3EE9"/>
    <w:rsid w:val="1592B11C"/>
    <w:rsid w:val="15BB56E4"/>
    <w:rsid w:val="15D92F60"/>
    <w:rsid w:val="15DA05CC"/>
    <w:rsid w:val="15DE5E95"/>
    <w:rsid w:val="15E6F463"/>
    <w:rsid w:val="15EA421B"/>
    <w:rsid w:val="160AACB5"/>
    <w:rsid w:val="1632F383"/>
    <w:rsid w:val="16396318"/>
    <w:rsid w:val="16628680"/>
    <w:rsid w:val="1664E958"/>
    <w:rsid w:val="16BA9B66"/>
    <w:rsid w:val="16BC56C1"/>
    <w:rsid w:val="16CFC1A6"/>
    <w:rsid w:val="16D72FEF"/>
    <w:rsid w:val="16F68222"/>
    <w:rsid w:val="170D8604"/>
    <w:rsid w:val="17513AEE"/>
    <w:rsid w:val="1761A4A2"/>
    <w:rsid w:val="177566DF"/>
    <w:rsid w:val="17A10DDA"/>
    <w:rsid w:val="17A388B9"/>
    <w:rsid w:val="17A4054A"/>
    <w:rsid w:val="17A75C4C"/>
    <w:rsid w:val="17AB6ADC"/>
    <w:rsid w:val="17BA9F81"/>
    <w:rsid w:val="17CD0A9B"/>
    <w:rsid w:val="17CD29DE"/>
    <w:rsid w:val="17DFADD3"/>
    <w:rsid w:val="17FDDE0F"/>
    <w:rsid w:val="1807DD39"/>
    <w:rsid w:val="1808AF60"/>
    <w:rsid w:val="18189F59"/>
    <w:rsid w:val="181E27D4"/>
    <w:rsid w:val="181F760D"/>
    <w:rsid w:val="182079A9"/>
    <w:rsid w:val="18375D5D"/>
    <w:rsid w:val="183AEC66"/>
    <w:rsid w:val="183CE2C8"/>
    <w:rsid w:val="183D9356"/>
    <w:rsid w:val="186B5F36"/>
    <w:rsid w:val="1884C2FA"/>
    <w:rsid w:val="18990C1A"/>
    <w:rsid w:val="18A482CC"/>
    <w:rsid w:val="18ACF607"/>
    <w:rsid w:val="18B7B54B"/>
    <w:rsid w:val="18D8363D"/>
    <w:rsid w:val="18ED7222"/>
    <w:rsid w:val="192610A3"/>
    <w:rsid w:val="1926A432"/>
    <w:rsid w:val="1933BBBC"/>
    <w:rsid w:val="1935A4D5"/>
    <w:rsid w:val="1950849D"/>
    <w:rsid w:val="1954A84F"/>
    <w:rsid w:val="1959FA27"/>
    <w:rsid w:val="1974DA9F"/>
    <w:rsid w:val="198F1408"/>
    <w:rsid w:val="1990E805"/>
    <w:rsid w:val="19A135F8"/>
    <w:rsid w:val="19A778B0"/>
    <w:rsid w:val="19AD4228"/>
    <w:rsid w:val="19AEEE35"/>
    <w:rsid w:val="19B87F96"/>
    <w:rsid w:val="19C1FC82"/>
    <w:rsid w:val="19C489E6"/>
    <w:rsid w:val="19C733A6"/>
    <w:rsid w:val="19F7CCC1"/>
    <w:rsid w:val="1A0A342A"/>
    <w:rsid w:val="1A21BCC1"/>
    <w:rsid w:val="1A273D15"/>
    <w:rsid w:val="1A3A20A0"/>
    <w:rsid w:val="1A3A2EB7"/>
    <w:rsid w:val="1A4AB571"/>
    <w:rsid w:val="1A4AD217"/>
    <w:rsid w:val="1A56DA3B"/>
    <w:rsid w:val="1A5CC48F"/>
    <w:rsid w:val="1A5D2E8C"/>
    <w:rsid w:val="1A6900F8"/>
    <w:rsid w:val="1A6C9CB0"/>
    <w:rsid w:val="1A773B72"/>
    <w:rsid w:val="1A78AAED"/>
    <w:rsid w:val="1A83A234"/>
    <w:rsid w:val="1A9950BE"/>
    <w:rsid w:val="1ADB2748"/>
    <w:rsid w:val="1AE0FBF6"/>
    <w:rsid w:val="1AE1936E"/>
    <w:rsid w:val="1AEEF1BF"/>
    <w:rsid w:val="1B09A843"/>
    <w:rsid w:val="1B195F51"/>
    <w:rsid w:val="1B3AD247"/>
    <w:rsid w:val="1B60D27A"/>
    <w:rsid w:val="1B6985FF"/>
    <w:rsid w:val="1B6A8A0F"/>
    <w:rsid w:val="1B6EAF65"/>
    <w:rsid w:val="1BAE5417"/>
    <w:rsid w:val="1BC2067E"/>
    <w:rsid w:val="1BC25175"/>
    <w:rsid w:val="1BE8F9FA"/>
    <w:rsid w:val="1BF6E173"/>
    <w:rsid w:val="1C087A06"/>
    <w:rsid w:val="1C0A3AC1"/>
    <w:rsid w:val="1C1EDDAB"/>
    <w:rsid w:val="1C27161E"/>
    <w:rsid w:val="1C3B98F7"/>
    <w:rsid w:val="1C3C0CDB"/>
    <w:rsid w:val="1C4BC92B"/>
    <w:rsid w:val="1C50FB94"/>
    <w:rsid w:val="1C6BE09D"/>
    <w:rsid w:val="1C6FE788"/>
    <w:rsid w:val="1C7A2FD8"/>
    <w:rsid w:val="1C90BAB4"/>
    <w:rsid w:val="1C975C65"/>
    <w:rsid w:val="1C97C3AD"/>
    <w:rsid w:val="1C9D086E"/>
    <w:rsid w:val="1CAEFBDA"/>
    <w:rsid w:val="1CB2A8CB"/>
    <w:rsid w:val="1CBE8015"/>
    <w:rsid w:val="1CD956FB"/>
    <w:rsid w:val="1CDA1D73"/>
    <w:rsid w:val="1CEFCCEA"/>
    <w:rsid w:val="1D013BEF"/>
    <w:rsid w:val="1D04182E"/>
    <w:rsid w:val="1D1432B9"/>
    <w:rsid w:val="1D1C5AA3"/>
    <w:rsid w:val="1D1F1876"/>
    <w:rsid w:val="1D4761F1"/>
    <w:rsid w:val="1D734518"/>
    <w:rsid w:val="1D89479A"/>
    <w:rsid w:val="1DA6F188"/>
    <w:rsid w:val="1DA8DA41"/>
    <w:rsid w:val="1DA92D92"/>
    <w:rsid w:val="1DB4973D"/>
    <w:rsid w:val="1DB4F003"/>
    <w:rsid w:val="1DC0A973"/>
    <w:rsid w:val="1DD4AC80"/>
    <w:rsid w:val="1DEB173F"/>
    <w:rsid w:val="1DF0D758"/>
    <w:rsid w:val="1E01DA4F"/>
    <w:rsid w:val="1E01E907"/>
    <w:rsid w:val="1E07E037"/>
    <w:rsid w:val="1E1C9428"/>
    <w:rsid w:val="1E2B700F"/>
    <w:rsid w:val="1E3270D9"/>
    <w:rsid w:val="1E386719"/>
    <w:rsid w:val="1E3B201B"/>
    <w:rsid w:val="1E3E75F1"/>
    <w:rsid w:val="1E416774"/>
    <w:rsid w:val="1E4F5216"/>
    <w:rsid w:val="1E4FE274"/>
    <w:rsid w:val="1E539EBF"/>
    <w:rsid w:val="1E62B340"/>
    <w:rsid w:val="1E8CC5C4"/>
    <w:rsid w:val="1E9FE88F"/>
    <w:rsid w:val="1EBB3FEB"/>
    <w:rsid w:val="1ECFB8B8"/>
    <w:rsid w:val="1ED61FC7"/>
    <w:rsid w:val="1EE1ABCE"/>
    <w:rsid w:val="1EE2C218"/>
    <w:rsid w:val="1EE45C03"/>
    <w:rsid w:val="1F021756"/>
    <w:rsid w:val="1F024C2B"/>
    <w:rsid w:val="1F11B5D6"/>
    <w:rsid w:val="1F151F80"/>
    <w:rsid w:val="1F158865"/>
    <w:rsid w:val="1F17AEE4"/>
    <w:rsid w:val="1F3181A1"/>
    <w:rsid w:val="1F610B0A"/>
    <w:rsid w:val="1F795BD8"/>
    <w:rsid w:val="1F8F4B58"/>
    <w:rsid w:val="1FB20F39"/>
    <w:rsid w:val="1FBDD0F7"/>
    <w:rsid w:val="200965C9"/>
    <w:rsid w:val="200FD0C9"/>
    <w:rsid w:val="20289625"/>
    <w:rsid w:val="2029EC53"/>
    <w:rsid w:val="20311585"/>
    <w:rsid w:val="2042852F"/>
    <w:rsid w:val="204DD58C"/>
    <w:rsid w:val="2053A85F"/>
    <w:rsid w:val="205FB99B"/>
    <w:rsid w:val="206545D4"/>
    <w:rsid w:val="206A03BC"/>
    <w:rsid w:val="206E76E2"/>
    <w:rsid w:val="20882500"/>
    <w:rsid w:val="208AD799"/>
    <w:rsid w:val="209AD992"/>
    <w:rsid w:val="209BF151"/>
    <w:rsid w:val="20A2B569"/>
    <w:rsid w:val="20B68BE3"/>
    <w:rsid w:val="20C025D1"/>
    <w:rsid w:val="20DC82A1"/>
    <w:rsid w:val="20DCA99E"/>
    <w:rsid w:val="21018FEB"/>
    <w:rsid w:val="211B45EC"/>
    <w:rsid w:val="211DF6D0"/>
    <w:rsid w:val="2125D75C"/>
    <w:rsid w:val="213330A9"/>
    <w:rsid w:val="214B6F29"/>
    <w:rsid w:val="215F8AF6"/>
    <w:rsid w:val="216B6206"/>
    <w:rsid w:val="21996B4E"/>
    <w:rsid w:val="21A14ED9"/>
    <w:rsid w:val="21A6B394"/>
    <w:rsid w:val="21BAA7D6"/>
    <w:rsid w:val="21D69A3E"/>
    <w:rsid w:val="21FD40E5"/>
    <w:rsid w:val="220FF746"/>
    <w:rsid w:val="221B2A19"/>
    <w:rsid w:val="221E23F7"/>
    <w:rsid w:val="22330E9B"/>
    <w:rsid w:val="223A5815"/>
    <w:rsid w:val="2241224F"/>
    <w:rsid w:val="2253B4D0"/>
    <w:rsid w:val="22597D34"/>
    <w:rsid w:val="22608B5A"/>
    <w:rsid w:val="2268E8BA"/>
    <w:rsid w:val="22817366"/>
    <w:rsid w:val="2281D072"/>
    <w:rsid w:val="22902FF6"/>
    <w:rsid w:val="22930024"/>
    <w:rsid w:val="2295D84B"/>
    <w:rsid w:val="229D5216"/>
    <w:rsid w:val="22AC7AC1"/>
    <w:rsid w:val="22B223E7"/>
    <w:rsid w:val="22B640E0"/>
    <w:rsid w:val="22B94CAC"/>
    <w:rsid w:val="22BBB2AD"/>
    <w:rsid w:val="22CB7CBA"/>
    <w:rsid w:val="22F361B8"/>
    <w:rsid w:val="22F3E0DB"/>
    <w:rsid w:val="22F85616"/>
    <w:rsid w:val="2314908C"/>
    <w:rsid w:val="2320A15F"/>
    <w:rsid w:val="233C523F"/>
    <w:rsid w:val="233FAC1F"/>
    <w:rsid w:val="23631330"/>
    <w:rsid w:val="2366EE6E"/>
    <w:rsid w:val="2369694D"/>
    <w:rsid w:val="236AD952"/>
    <w:rsid w:val="2371D19B"/>
    <w:rsid w:val="237359B2"/>
    <w:rsid w:val="23738CDA"/>
    <w:rsid w:val="237930EC"/>
    <w:rsid w:val="237A276D"/>
    <w:rsid w:val="238D1BD8"/>
    <w:rsid w:val="23AD1B6D"/>
    <w:rsid w:val="23B355F7"/>
    <w:rsid w:val="23B8A1EB"/>
    <w:rsid w:val="23BBBDCA"/>
    <w:rsid w:val="23BD3572"/>
    <w:rsid w:val="23CD1893"/>
    <w:rsid w:val="23CF6299"/>
    <w:rsid w:val="23D00FB6"/>
    <w:rsid w:val="23D81BDA"/>
    <w:rsid w:val="23DE0835"/>
    <w:rsid w:val="23ECBA84"/>
    <w:rsid w:val="2405AA07"/>
    <w:rsid w:val="242254DF"/>
    <w:rsid w:val="2427B5EE"/>
    <w:rsid w:val="243054CA"/>
    <w:rsid w:val="243801BD"/>
    <w:rsid w:val="244EF5EF"/>
    <w:rsid w:val="245CFD74"/>
    <w:rsid w:val="248814FB"/>
    <w:rsid w:val="24A82DC4"/>
    <w:rsid w:val="24A830C1"/>
    <w:rsid w:val="24BAF7D2"/>
    <w:rsid w:val="24D35685"/>
    <w:rsid w:val="24DA0337"/>
    <w:rsid w:val="24ED26B5"/>
    <w:rsid w:val="24F3FF64"/>
    <w:rsid w:val="25005407"/>
    <w:rsid w:val="250AC903"/>
    <w:rsid w:val="2522BAB6"/>
    <w:rsid w:val="2533D73E"/>
    <w:rsid w:val="25383BA6"/>
    <w:rsid w:val="254847AE"/>
    <w:rsid w:val="254F374B"/>
    <w:rsid w:val="255A26A5"/>
    <w:rsid w:val="255C0ED1"/>
    <w:rsid w:val="256E24E8"/>
    <w:rsid w:val="257E6E4E"/>
    <w:rsid w:val="25A71205"/>
    <w:rsid w:val="25B3DE34"/>
    <w:rsid w:val="25B3FDBC"/>
    <w:rsid w:val="25BF582F"/>
    <w:rsid w:val="25CC1769"/>
    <w:rsid w:val="25CD2CBB"/>
    <w:rsid w:val="25CF24DE"/>
    <w:rsid w:val="25E1BC0E"/>
    <w:rsid w:val="25E7EC30"/>
    <w:rsid w:val="25ED9C8B"/>
    <w:rsid w:val="25FC286E"/>
    <w:rsid w:val="260EDA2D"/>
    <w:rsid w:val="261F33CC"/>
    <w:rsid w:val="262A1ECB"/>
    <w:rsid w:val="263A354A"/>
    <w:rsid w:val="264765B9"/>
    <w:rsid w:val="2649E9BB"/>
    <w:rsid w:val="26705E10"/>
    <w:rsid w:val="267ED04B"/>
    <w:rsid w:val="26808349"/>
    <w:rsid w:val="269F9A55"/>
    <w:rsid w:val="26A2A49A"/>
    <w:rsid w:val="26A67734"/>
    <w:rsid w:val="26AFECC0"/>
    <w:rsid w:val="26C64F4B"/>
    <w:rsid w:val="26C68F13"/>
    <w:rsid w:val="26CAFFE0"/>
    <w:rsid w:val="26D14804"/>
    <w:rsid w:val="26FD6529"/>
    <w:rsid w:val="2702EC87"/>
    <w:rsid w:val="270E5A03"/>
    <w:rsid w:val="27149372"/>
    <w:rsid w:val="2719D560"/>
    <w:rsid w:val="273952EF"/>
    <w:rsid w:val="2739BC53"/>
    <w:rsid w:val="274C3B31"/>
    <w:rsid w:val="27563FB7"/>
    <w:rsid w:val="27566680"/>
    <w:rsid w:val="275C01A7"/>
    <w:rsid w:val="275D8766"/>
    <w:rsid w:val="2767A726"/>
    <w:rsid w:val="2767EB77"/>
    <w:rsid w:val="277717FD"/>
    <w:rsid w:val="27896CEC"/>
    <w:rsid w:val="2791BC1C"/>
    <w:rsid w:val="279E8098"/>
    <w:rsid w:val="27C8B92B"/>
    <w:rsid w:val="27CAAB99"/>
    <w:rsid w:val="27D2DDC9"/>
    <w:rsid w:val="27D8A52A"/>
    <w:rsid w:val="27D9BB35"/>
    <w:rsid w:val="27DE3E32"/>
    <w:rsid w:val="27E94E94"/>
    <w:rsid w:val="27F1D955"/>
    <w:rsid w:val="2805D482"/>
    <w:rsid w:val="280B3B23"/>
    <w:rsid w:val="281681F8"/>
    <w:rsid w:val="281CDAEC"/>
    <w:rsid w:val="2823E628"/>
    <w:rsid w:val="2824C777"/>
    <w:rsid w:val="2846A6A8"/>
    <w:rsid w:val="285E6ACC"/>
    <w:rsid w:val="286B5B21"/>
    <w:rsid w:val="286F9F9A"/>
    <w:rsid w:val="2880ACCB"/>
    <w:rsid w:val="28B60E04"/>
    <w:rsid w:val="28B6B8E3"/>
    <w:rsid w:val="28B89EC6"/>
    <w:rsid w:val="28D91B2A"/>
    <w:rsid w:val="28E7FE16"/>
    <w:rsid w:val="290BCA02"/>
    <w:rsid w:val="2914A156"/>
    <w:rsid w:val="294B397C"/>
    <w:rsid w:val="294B5789"/>
    <w:rsid w:val="29564055"/>
    <w:rsid w:val="295D10F5"/>
    <w:rsid w:val="297B19C0"/>
    <w:rsid w:val="29A0137F"/>
    <w:rsid w:val="29B29183"/>
    <w:rsid w:val="29B390E0"/>
    <w:rsid w:val="29B6E2E3"/>
    <w:rsid w:val="29BF8A4C"/>
    <w:rsid w:val="29C45F14"/>
    <w:rsid w:val="29E18380"/>
    <w:rsid w:val="29E29B36"/>
    <w:rsid w:val="29E75CCE"/>
    <w:rsid w:val="29F42657"/>
    <w:rsid w:val="29FD07B3"/>
    <w:rsid w:val="2A026799"/>
    <w:rsid w:val="2A06F87F"/>
    <w:rsid w:val="2A08222A"/>
    <w:rsid w:val="2A08514E"/>
    <w:rsid w:val="2A1242F2"/>
    <w:rsid w:val="2A1B9C17"/>
    <w:rsid w:val="2A3959F6"/>
    <w:rsid w:val="2A39B7C9"/>
    <w:rsid w:val="2A4C3C6E"/>
    <w:rsid w:val="2A5BD3A4"/>
    <w:rsid w:val="2A785819"/>
    <w:rsid w:val="2A7D7583"/>
    <w:rsid w:val="2A95AE5B"/>
    <w:rsid w:val="2A97D27F"/>
    <w:rsid w:val="2ABD35CC"/>
    <w:rsid w:val="2AE1BE20"/>
    <w:rsid w:val="2AE75D2C"/>
    <w:rsid w:val="2AEC689D"/>
    <w:rsid w:val="2AF5230C"/>
    <w:rsid w:val="2AFF508B"/>
    <w:rsid w:val="2B155732"/>
    <w:rsid w:val="2B235CC8"/>
    <w:rsid w:val="2B2A118F"/>
    <w:rsid w:val="2B824726"/>
    <w:rsid w:val="2B85A10F"/>
    <w:rsid w:val="2B90DBF5"/>
    <w:rsid w:val="2B94441E"/>
    <w:rsid w:val="2B989A5F"/>
    <w:rsid w:val="2BA6A209"/>
    <w:rsid w:val="2BB4A2CF"/>
    <w:rsid w:val="2BB9B139"/>
    <w:rsid w:val="2BBC0650"/>
    <w:rsid w:val="2BC9A448"/>
    <w:rsid w:val="2BD3060E"/>
    <w:rsid w:val="2BDF4271"/>
    <w:rsid w:val="2BE5966B"/>
    <w:rsid w:val="2BE86020"/>
    <w:rsid w:val="2BEE4543"/>
    <w:rsid w:val="2BF98418"/>
    <w:rsid w:val="2C000B09"/>
    <w:rsid w:val="2C08EE3E"/>
    <w:rsid w:val="2C15CD56"/>
    <w:rsid w:val="2C1A1CC7"/>
    <w:rsid w:val="2C286AD4"/>
    <w:rsid w:val="2C3C92ED"/>
    <w:rsid w:val="2C4B16B5"/>
    <w:rsid w:val="2C56F890"/>
    <w:rsid w:val="2C6B2CAF"/>
    <w:rsid w:val="2C78097E"/>
    <w:rsid w:val="2C880C0D"/>
    <w:rsid w:val="2C8FCBCF"/>
    <w:rsid w:val="2C9A829D"/>
    <w:rsid w:val="2CA4C759"/>
    <w:rsid w:val="2CA94D47"/>
    <w:rsid w:val="2CAB58CD"/>
    <w:rsid w:val="2CB8C95A"/>
    <w:rsid w:val="2CC29F2B"/>
    <w:rsid w:val="2CC717CB"/>
    <w:rsid w:val="2CD40C0A"/>
    <w:rsid w:val="2CD56F15"/>
    <w:rsid w:val="2CD8B547"/>
    <w:rsid w:val="2CDE79C0"/>
    <w:rsid w:val="2CF532CA"/>
    <w:rsid w:val="2CFF8477"/>
    <w:rsid w:val="2D010A92"/>
    <w:rsid w:val="2D015603"/>
    <w:rsid w:val="2D068630"/>
    <w:rsid w:val="2D09E931"/>
    <w:rsid w:val="2D51553E"/>
    <w:rsid w:val="2D6C2347"/>
    <w:rsid w:val="2D74DA1B"/>
    <w:rsid w:val="2D815ECD"/>
    <w:rsid w:val="2D8ED03F"/>
    <w:rsid w:val="2D91A67A"/>
    <w:rsid w:val="2DAF1EC2"/>
    <w:rsid w:val="2DB64208"/>
    <w:rsid w:val="2DC05ED1"/>
    <w:rsid w:val="2DC46C33"/>
    <w:rsid w:val="2DD45ED0"/>
    <w:rsid w:val="2DEFE8B4"/>
    <w:rsid w:val="2DF58C41"/>
    <w:rsid w:val="2DFB5DDC"/>
    <w:rsid w:val="2E1D100C"/>
    <w:rsid w:val="2E1E1FF9"/>
    <w:rsid w:val="2E2B0DC6"/>
    <w:rsid w:val="2E302631"/>
    <w:rsid w:val="2E30F51E"/>
    <w:rsid w:val="2E467F3C"/>
    <w:rsid w:val="2E5E6F8C"/>
    <w:rsid w:val="2E6C2D5C"/>
    <w:rsid w:val="2E701A89"/>
    <w:rsid w:val="2E791138"/>
    <w:rsid w:val="2E7AEA2F"/>
    <w:rsid w:val="2E7CB6CF"/>
    <w:rsid w:val="2E842F98"/>
    <w:rsid w:val="2E8772DF"/>
    <w:rsid w:val="2E8C0466"/>
    <w:rsid w:val="2E8C6011"/>
    <w:rsid w:val="2E8D7228"/>
    <w:rsid w:val="2E9AB63B"/>
    <w:rsid w:val="2EA62E9B"/>
    <w:rsid w:val="2EB38EF6"/>
    <w:rsid w:val="2EBB4501"/>
    <w:rsid w:val="2EE4F7F1"/>
    <w:rsid w:val="2EEF3DB1"/>
    <w:rsid w:val="2EF286D5"/>
    <w:rsid w:val="2EF6FE74"/>
    <w:rsid w:val="2EFDB532"/>
    <w:rsid w:val="2F050682"/>
    <w:rsid w:val="2F20EDAD"/>
    <w:rsid w:val="2F58686B"/>
    <w:rsid w:val="2F5AC550"/>
    <w:rsid w:val="2F702F31"/>
    <w:rsid w:val="2F7D8424"/>
    <w:rsid w:val="2F8400AE"/>
    <w:rsid w:val="2F9632E8"/>
    <w:rsid w:val="2F9893C5"/>
    <w:rsid w:val="2F9C3FBE"/>
    <w:rsid w:val="2FA397BC"/>
    <w:rsid w:val="2FAAF3E2"/>
    <w:rsid w:val="2FAE6760"/>
    <w:rsid w:val="2FAF7048"/>
    <w:rsid w:val="2FBD7A4A"/>
    <w:rsid w:val="2FC306CE"/>
    <w:rsid w:val="2FC4706D"/>
    <w:rsid w:val="2FC6DE27"/>
    <w:rsid w:val="2FD10111"/>
    <w:rsid w:val="2FE568F2"/>
    <w:rsid w:val="300F07E4"/>
    <w:rsid w:val="301E0CD5"/>
    <w:rsid w:val="3021F064"/>
    <w:rsid w:val="30227FA4"/>
    <w:rsid w:val="3027B7FE"/>
    <w:rsid w:val="3036EB43"/>
    <w:rsid w:val="304C4651"/>
    <w:rsid w:val="3051D215"/>
    <w:rsid w:val="30529D05"/>
    <w:rsid w:val="306AC17E"/>
    <w:rsid w:val="307DEB7A"/>
    <w:rsid w:val="308D425A"/>
    <w:rsid w:val="30A7EBCF"/>
    <w:rsid w:val="30A8ADDE"/>
    <w:rsid w:val="30AB954D"/>
    <w:rsid w:val="30B0FF10"/>
    <w:rsid w:val="30B6E6F7"/>
    <w:rsid w:val="30CAD606"/>
    <w:rsid w:val="30CBDBF1"/>
    <w:rsid w:val="30F1F0B9"/>
    <w:rsid w:val="30F779E6"/>
    <w:rsid w:val="310F3A4A"/>
    <w:rsid w:val="311EA9C6"/>
    <w:rsid w:val="316857E6"/>
    <w:rsid w:val="31822042"/>
    <w:rsid w:val="31851D35"/>
    <w:rsid w:val="31881A7A"/>
    <w:rsid w:val="31909ADA"/>
    <w:rsid w:val="3194FBC9"/>
    <w:rsid w:val="31A2F6F9"/>
    <w:rsid w:val="31C57AD0"/>
    <w:rsid w:val="31C8103A"/>
    <w:rsid w:val="31D098CF"/>
    <w:rsid w:val="31F5AC09"/>
    <w:rsid w:val="320ACF16"/>
    <w:rsid w:val="32222ED4"/>
    <w:rsid w:val="3242F901"/>
    <w:rsid w:val="3253AECA"/>
    <w:rsid w:val="32586EB1"/>
    <w:rsid w:val="326372A8"/>
    <w:rsid w:val="326CF990"/>
    <w:rsid w:val="326FF980"/>
    <w:rsid w:val="3272F6D5"/>
    <w:rsid w:val="3288BA39"/>
    <w:rsid w:val="329C2221"/>
    <w:rsid w:val="329D8E7A"/>
    <w:rsid w:val="32A0A2EC"/>
    <w:rsid w:val="32AE9BB3"/>
    <w:rsid w:val="32D0F487"/>
    <w:rsid w:val="32D9D92D"/>
    <w:rsid w:val="32DDC2BE"/>
    <w:rsid w:val="32E5A360"/>
    <w:rsid w:val="32ED9006"/>
    <w:rsid w:val="32F3C4FE"/>
    <w:rsid w:val="32F7238C"/>
    <w:rsid w:val="330C75A9"/>
    <w:rsid w:val="332F4566"/>
    <w:rsid w:val="333AD5E2"/>
    <w:rsid w:val="33429BF8"/>
    <w:rsid w:val="33659216"/>
    <w:rsid w:val="3365DD6B"/>
    <w:rsid w:val="337D0D8A"/>
    <w:rsid w:val="33810C18"/>
    <w:rsid w:val="3384956E"/>
    <w:rsid w:val="3398B617"/>
    <w:rsid w:val="33A9B640"/>
    <w:rsid w:val="33AF49BF"/>
    <w:rsid w:val="33AF9ADC"/>
    <w:rsid w:val="33B0CDA6"/>
    <w:rsid w:val="33CE51BA"/>
    <w:rsid w:val="33CE7B56"/>
    <w:rsid w:val="33D469D0"/>
    <w:rsid w:val="33E07BD4"/>
    <w:rsid w:val="33E0C84E"/>
    <w:rsid w:val="33EF409A"/>
    <w:rsid w:val="33FC1E95"/>
    <w:rsid w:val="33FCC88B"/>
    <w:rsid w:val="3415BEF9"/>
    <w:rsid w:val="3418420D"/>
    <w:rsid w:val="341DCC04"/>
    <w:rsid w:val="342957B2"/>
    <w:rsid w:val="342DDE95"/>
    <w:rsid w:val="34396E16"/>
    <w:rsid w:val="343A0B6B"/>
    <w:rsid w:val="34403E77"/>
    <w:rsid w:val="347D406F"/>
    <w:rsid w:val="3495AFC3"/>
    <w:rsid w:val="34990DE4"/>
    <w:rsid w:val="349BB0EB"/>
    <w:rsid w:val="34A4C744"/>
    <w:rsid w:val="34A5F677"/>
    <w:rsid w:val="34AB7B2C"/>
    <w:rsid w:val="34C08331"/>
    <w:rsid w:val="34C38E9C"/>
    <w:rsid w:val="34D0C8EA"/>
    <w:rsid w:val="34E24B56"/>
    <w:rsid w:val="34EEFFD1"/>
    <w:rsid w:val="34F96942"/>
    <w:rsid w:val="34FA2F04"/>
    <w:rsid w:val="34FF42AD"/>
    <w:rsid w:val="35091C63"/>
    <w:rsid w:val="350B5468"/>
    <w:rsid w:val="3512C396"/>
    <w:rsid w:val="3523F4F9"/>
    <w:rsid w:val="35292707"/>
    <w:rsid w:val="354C9908"/>
    <w:rsid w:val="354FA214"/>
    <w:rsid w:val="355984DB"/>
    <w:rsid w:val="355A11BB"/>
    <w:rsid w:val="3561B1CC"/>
    <w:rsid w:val="3568384A"/>
    <w:rsid w:val="357485D8"/>
    <w:rsid w:val="35777576"/>
    <w:rsid w:val="35BC78A4"/>
    <w:rsid w:val="35C5BF26"/>
    <w:rsid w:val="35CBB96F"/>
    <w:rsid w:val="35CFAE65"/>
    <w:rsid w:val="35D0F66A"/>
    <w:rsid w:val="35D26D20"/>
    <w:rsid w:val="35F4CB4B"/>
    <w:rsid w:val="361DC7E8"/>
    <w:rsid w:val="361EA68D"/>
    <w:rsid w:val="362539E4"/>
    <w:rsid w:val="3627ACF4"/>
    <w:rsid w:val="36333E36"/>
    <w:rsid w:val="36366C96"/>
    <w:rsid w:val="3638784F"/>
    <w:rsid w:val="364054D2"/>
    <w:rsid w:val="364C4319"/>
    <w:rsid w:val="3655BF35"/>
    <w:rsid w:val="365CBD38"/>
    <w:rsid w:val="365FB397"/>
    <w:rsid w:val="36698171"/>
    <w:rsid w:val="367806E9"/>
    <w:rsid w:val="367F4AA3"/>
    <w:rsid w:val="368B0A62"/>
    <w:rsid w:val="368DE622"/>
    <w:rsid w:val="3692A33F"/>
    <w:rsid w:val="3695A8CE"/>
    <w:rsid w:val="3699058D"/>
    <w:rsid w:val="36B85AA0"/>
    <w:rsid w:val="36C1647C"/>
    <w:rsid w:val="36C1F7AC"/>
    <w:rsid w:val="36C8BF5E"/>
    <w:rsid w:val="36CE9CB7"/>
    <w:rsid w:val="36EAB124"/>
    <w:rsid w:val="36F2D123"/>
    <w:rsid w:val="37072C19"/>
    <w:rsid w:val="3710F720"/>
    <w:rsid w:val="371FE427"/>
    <w:rsid w:val="372CCE7E"/>
    <w:rsid w:val="373BA903"/>
    <w:rsid w:val="37536E93"/>
    <w:rsid w:val="377138A6"/>
    <w:rsid w:val="3783E048"/>
    <w:rsid w:val="3784D4C2"/>
    <w:rsid w:val="3797029B"/>
    <w:rsid w:val="37989D4D"/>
    <w:rsid w:val="379BFC1E"/>
    <w:rsid w:val="37A2AAF0"/>
    <w:rsid w:val="37C6766E"/>
    <w:rsid w:val="37E550F3"/>
    <w:rsid w:val="37F8A5CC"/>
    <w:rsid w:val="37FA9E6C"/>
    <w:rsid w:val="380A2DD0"/>
    <w:rsid w:val="3812F2A5"/>
    <w:rsid w:val="38231B89"/>
    <w:rsid w:val="383188AE"/>
    <w:rsid w:val="38372D96"/>
    <w:rsid w:val="384EE3A7"/>
    <w:rsid w:val="3850BD4C"/>
    <w:rsid w:val="385C0B89"/>
    <w:rsid w:val="38727097"/>
    <w:rsid w:val="387373E9"/>
    <w:rsid w:val="3879FD7A"/>
    <w:rsid w:val="38815E20"/>
    <w:rsid w:val="3884004B"/>
    <w:rsid w:val="388ABFD4"/>
    <w:rsid w:val="388E3E92"/>
    <w:rsid w:val="389B3AD8"/>
    <w:rsid w:val="389EC39B"/>
    <w:rsid w:val="38A00832"/>
    <w:rsid w:val="38A71CB3"/>
    <w:rsid w:val="38A9F5ED"/>
    <w:rsid w:val="38B9786C"/>
    <w:rsid w:val="38D007BF"/>
    <w:rsid w:val="38D4571F"/>
    <w:rsid w:val="38D61697"/>
    <w:rsid w:val="38E20823"/>
    <w:rsid w:val="38FA9122"/>
    <w:rsid w:val="39164E28"/>
    <w:rsid w:val="3928C3F8"/>
    <w:rsid w:val="3969BC4E"/>
    <w:rsid w:val="397178E9"/>
    <w:rsid w:val="399D5C5F"/>
    <w:rsid w:val="3A0916F4"/>
    <w:rsid w:val="3A15CDDB"/>
    <w:rsid w:val="3A395590"/>
    <w:rsid w:val="3A39BA83"/>
    <w:rsid w:val="3A4D52EE"/>
    <w:rsid w:val="3A5A4430"/>
    <w:rsid w:val="3A5B9114"/>
    <w:rsid w:val="3A82F982"/>
    <w:rsid w:val="3A834B41"/>
    <w:rsid w:val="3A8D3105"/>
    <w:rsid w:val="3AAEA443"/>
    <w:rsid w:val="3ABA96DB"/>
    <w:rsid w:val="3AC75767"/>
    <w:rsid w:val="3B08ED56"/>
    <w:rsid w:val="3B1C01F1"/>
    <w:rsid w:val="3B3B6617"/>
    <w:rsid w:val="3B3EDB7E"/>
    <w:rsid w:val="3B41E3B5"/>
    <w:rsid w:val="3B49BB94"/>
    <w:rsid w:val="3B63073F"/>
    <w:rsid w:val="3B83785E"/>
    <w:rsid w:val="3B956095"/>
    <w:rsid w:val="3B9BA85D"/>
    <w:rsid w:val="3BA3574D"/>
    <w:rsid w:val="3BA362F9"/>
    <w:rsid w:val="3BA59449"/>
    <w:rsid w:val="3BB92854"/>
    <w:rsid w:val="3BD5A72A"/>
    <w:rsid w:val="3C078830"/>
    <w:rsid w:val="3C07FDD4"/>
    <w:rsid w:val="3C0DB759"/>
    <w:rsid w:val="3C107FD5"/>
    <w:rsid w:val="3C1B28A5"/>
    <w:rsid w:val="3C5733C5"/>
    <w:rsid w:val="3C783770"/>
    <w:rsid w:val="3C9A7F4C"/>
    <w:rsid w:val="3CBFBE15"/>
    <w:rsid w:val="3CC0D676"/>
    <w:rsid w:val="3CD80E80"/>
    <w:rsid w:val="3CE3A58A"/>
    <w:rsid w:val="3CE8821F"/>
    <w:rsid w:val="3CEA7825"/>
    <w:rsid w:val="3D143A57"/>
    <w:rsid w:val="3D1F5813"/>
    <w:rsid w:val="3D389E92"/>
    <w:rsid w:val="3D3A5F88"/>
    <w:rsid w:val="3D3ACE01"/>
    <w:rsid w:val="3D505BA9"/>
    <w:rsid w:val="3D56C992"/>
    <w:rsid w:val="3D576076"/>
    <w:rsid w:val="3D5CAA91"/>
    <w:rsid w:val="3D7115B2"/>
    <w:rsid w:val="3D737955"/>
    <w:rsid w:val="3D97B0D9"/>
    <w:rsid w:val="3DB35D8B"/>
    <w:rsid w:val="3DC2076E"/>
    <w:rsid w:val="3DEF1A9A"/>
    <w:rsid w:val="3DF65D2C"/>
    <w:rsid w:val="3E20560B"/>
    <w:rsid w:val="3E2A3676"/>
    <w:rsid w:val="3E45E756"/>
    <w:rsid w:val="3E627D6A"/>
    <w:rsid w:val="3E636E54"/>
    <w:rsid w:val="3E6D5FD5"/>
    <w:rsid w:val="3E7E3BFA"/>
    <w:rsid w:val="3E9C5F90"/>
    <w:rsid w:val="3EB32868"/>
    <w:rsid w:val="3EC2E68B"/>
    <w:rsid w:val="3EC58A17"/>
    <w:rsid w:val="3EC94AEB"/>
    <w:rsid w:val="3ECA493B"/>
    <w:rsid w:val="3ECAF13D"/>
    <w:rsid w:val="3EE9760E"/>
    <w:rsid w:val="3F00F87A"/>
    <w:rsid w:val="3F37761E"/>
    <w:rsid w:val="3F458C9F"/>
    <w:rsid w:val="3F4D45A1"/>
    <w:rsid w:val="3F622CB2"/>
    <w:rsid w:val="3F830826"/>
    <w:rsid w:val="3F92D26B"/>
    <w:rsid w:val="3F95E7B9"/>
    <w:rsid w:val="3F9EDC43"/>
    <w:rsid w:val="3FA3DB99"/>
    <w:rsid w:val="3FD0A3F4"/>
    <w:rsid w:val="3FDB429C"/>
    <w:rsid w:val="3FF62A4E"/>
    <w:rsid w:val="3FFE69C9"/>
    <w:rsid w:val="400C4151"/>
    <w:rsid w:val="40161BE1"/>
    <w:rsid w:val="403C7AF3"/>
    <w:rsid w:val="4058AB7F"/>
    <w:rsid w:val="405C06EB"/>
    <w:rsid w:val="4065D501"/>
    <w:rsid w:val="40661EE1"/>
    <w:rsid w:val="40737D25"/>
    <w:rsid w:val="4075BB2D"/>
    <w:rsid w:val="4075C5C5"/>
    <w:rsid w:val="4081084B"/>
    <w:rsid w:val="409EB5AE"/>
    <w:rsid w:val="40AAA837"/>
    <w:rsid w:val="40BC851E"/>
    <w:rsid w:val="40E91602"/>
    <w:rsid w:val="410E542C"/>
    <w:rsid w:val="412636CF"/>
    <w:rsid w:val="4128BA68"/>
    <w:rsid w:val="41612BF3"/>
    <w:rsid w:val="416784D3"/>
    <w:rsid w:val="416DD46A"/>
    <w:rsid w:val="418CFD82"/>
    <w:rsid w:val="419B5DB4"/>
    <w:rsid w:val="41A1A788"/>
    <w:rsid w:val="41BB5DB6"/>
    <w:rsid w:val="41BDF64C"/>
    <w:rsid w:val="41C9BEE7"/>
    <w:rsid w:val="41EDBD54"/>
    <w:rsid w:val="41F153C1"/>
    <w:rsid w:val="41F45C98"/>
    <w:rsid w:val="42019E6B"/>
    <w:rsid w:val="420ABD39"/>
    <w:rsid w:val="42110322"/>
    <w:rsid w:val="4235F15C"/>
    <w:rsid w:val="423FEE8F"/>
    <w:rsid w:val="427A8C05"/>
    <w:rsid w:val="42800D71"/>
    <w:rsid w:val="42A3A562"/>
    <w:rsid w:val="42A9D48C"/>
    <w:rsid w:val="42ACE258"/>
    <w:rsid w:val="42B179DC"/>
    <w:rsid w:val="42BF2972"/>
    <w:rsid w:val="42C0A1AD"/>
    <w:rsid w:val="42C626A3"/>
    <w:rsid w:val="42CBEBE0"/>
    <w:rsid w:val="42E27EC4"/>
    <w:rsid w:val="42EEB8D7"/>
    <w:rsid w:val="42EF7FFD"/>
    <w:rsid w:val="433878BA"/>
    <w:rsid w:val="433F638D"/>
    <w:rsid w:val="43468F15"/>
    <w:rsid w:val="435B5B0B"/>
    <w:rsid w:val="438A09D0"/>
    <w:rsid w:val="438C4909"/>
    <w:rsid w:val="43923B54"/>
    <w:rsid w:val="439873E1"/>
    <w:rsid w:val="43B301B8"/>
    <w:rsid w:val="43B3C278"/>
    <w:rsid w:val="43CF8829"/>
    <w:rsid w:val="43F6C6D4"/>
    <w:rsid w:val="4422FBFA"/>
    <w:rsid w:val="44230936"/>
    <w:rsid w:val="4427C3CA"/>
    <w:rsid w:val="4434BC19"/>
    <w:rsid w:val="4437B2ED"/>
    <w:rsid w:val="4439E41B"/>
    <w:rsid w:val="443AB7D1"/>
    <w:rsid w:val="444850C4"/>
    <w:rsid w:val="445A469E"/>
    <w:rsid w:val="4467146E"/>
    <w:rsid w:val="44674941"/>
    <w:rsid w:val="4474C199"/>
    <w:rsid w:val="447FF484"/>
    <w:rsid w:val="448C511C"/>
    <w:rsid w:val="44BACD71"/>
    <w:rsid w:val="44CF41F5"/>
    <w:rsid w:val="44D400E3"/>
    <w:rsid w:val="44E3CA42"/>
    <w:rsid w:val="45024AB8"/>
    <w:rsid w:val="4503D059"/>
    <w:rsid w:val="45166202"/>
    <w:rsid w:val="452A69F8"/>
    <w:rsid w:val="45373F1A"/>
    <w:rsid w:val="453A3A1E"/>
    <w:rsid w:val="454FF54F"/>
    <w:rsid w:val="4554D672"/>
    <w:rsid w:val="4565BDE7"/>
    <w:rsid w:val="4571D6B1"/>
    <w:rsid w:val="457207CB"/>
    <w:rsid w:val="4576DE76"/>
    <w:rsid w:val="457C0837"/>
    <w:rsid w:val="458F55AD"/>
    <w:rsid w:val="459579F5"/>
    <w:rsid w:val="45987C31"/>
    <w:rsid w:val="45AEC926"/>
    <w:rsid w:val="45C2E4D5"/>
    <w:rsid w:val="45DBBBE9"/>
    <w:rsid w:val="45E3E651"/>
    <w:rsid w:val="45F23871"/>
    <w:rsid w:val="45FAA892"/>
    <w:rsid w:val="45FBCB0A"/>
    <w:rsid w:val="4635DB71"/>
    <w:rsid w:val="4640A92D"/>
    <w:rsid w:val="4643EB6D"/>
    <w:rsid w:val="464ECC2A"/>
    <w:rsid w:val="467D37C4"/>
    <w:rsid w:val="467FFF17"/>
    <w:rsid w:val="4694C15E"/>
    <w:rsid w:val="469CE443"/>
    <w:rsid w:val="469D4ECE"/>
    <w:rsid w:val="46A32041"/>
    <w:rsid w:val="46AAC269"/>
    <w:rsid w:val="46AFA950"/>
    <w:rsid w:val="46B23263"/>
    <w:rsid w:val="46C4EA7C"/>
    <w:rsid w:val="46C63A59"/>
    <w:rsid w:val="46C832E8"/>
    <w:rsid w:val="46CF5C68"/>
    <w:rsid w:val="46DFEF7D"/>
    <w:rsid w:val="46EB274D"/>
    <w:rsid w:val="46EBE2C8"/>
    <w:rsid w:val="470C4813"/>
    <w:rsid w:val="47110BA9"/>
    <w:rsid w:val="47195243"/>
    <w:rsid w:val="473818E2"/>
    <w:rsid w:val="473B29BB"/>
    <w:rsid w:val="473C29CD"/>
    <w:rsid w:val="4742803F"/>
    <w:rsid w:val="4742F3C4"/>
    <w:rsid w:val="47506A00"/>
    <w:rsid w:val="4753D626"/>
    <w:rsid w:val="475485EF"/>
    <w:rsid w:val="47585786"/>
    <w:rsid w:val="475BB64D"/>
    <w:rsid w:val="4760E72D"/>
    <w:rsid w:val="476F8C4B"/>
    <w:rsid w:val="47997824"/>
    <w:rsid w:val="479A8CFA"/>
    <w:rsid w:val="47BA301D"/>
    <w:rsid w:val="47C2C3B0"/>
    <w:rsid w:val="47C41773"/>
    <w:rsid w:val="47E0C95B"/>
    <w:rsid w:val="47E5AA0C"/>
    <w:rsid w:val="47EDF5C5"/>
    <w:rsid w:val="47F8B034"/>
    <w:rsid w:val="47F9C898"/>
    <w:rsid w:val="4804A620"/>
    <w:rsid w:val="4828E6F1"/>
    <w:rsid w:val="48485BE4"/>
    <w:rsid w:val="484B5392"/>
    <w:rsid w:val="485B069A"/>
    <w:rsid w:val="486BBEF3"/>
    <w:rsid w:val="4897F818"/>
    <w:rsid w:val="48A20ECD"/>
    <w:rsid w:val="48B5BE7C"/>
    <w:rsid w:val="48B5C903"/>
    <w:rsid w:val="48BFA186"/>
    <w:rsid w:val="48E1B480"/>
    <w:rsid w:val="490FF6DE"/>
    <w:rsid w:val="4918767B"/>
    <w:rsid w:val="492046B6"/>
    <w:rsid w:val="492EBE3E"/>
    <w:rsid w:val="4934DBFF"/>
    <w:rsid w:val="4936F4D3"/>
    <w:rsid w:val="493BA47B"/>
    <w:rsid w:val="495B183E"/>
    <w:rsid w:val="495E0B2B"/>
    <w:rsid w:val="49706C7C"/>
    <w:rsid w:val="49935743"/>
    <w:rsid w:val="49B25DCC"/>
    <w:rsid w:val="49B401E6"/>
    <w:rsid w:val="49F240E9"/>
    <w:rsid w:val="49F805DA"/>
    <w:rsid w:val="4A51197A"/>
    <w:rsid w:val="4A6D819F"/>
    <w:rsid w:val="4A7B51A8"/>
    <w:rsid w:val="4A7D01C2"/>
    <w:rsid w:val="4A7E205B"/>
    <w:rsid w:val="4AA0E101"/>
    <w:rsid w:val="4AA3AE26"/>
    <w:rsid w:val="4AB98BD4"/>
    <w:rsid w:val="4AD29032"/>
    <w:rsid w:val="4AD2BC6F"/>
    <w:rsid w:val="4ADA6FBD"/>
    <w:rsid w:val="4ADE481B"/>
    <w:rsid w:val="4AF26822"/>
    <w:rsid w:val="4B021813"/>
    <w:rsid w:val="4B15A297"/>
    <w:rsid w:val="4B1923D4"/>
    <w:rsid w:val="4B1CC03B"/>
    <w:rsid w:val="4B57EA89"/>
    <w:rsid w:val="4B982FCF"/>
    <w:rsid w:val="4BAA295F"/>
    <w:rsid w:val="4BB0834B"/>
    <w:rsid w:val="4BC12581"/>
    <w:rsid w:val="4BCC8D77"/>
    <w:rsid w:val="4BEB49BB"/>
    <w:rsid w:val="4BEE7D5C"/>
    <w:rsid w:val="4C09DB85"/>
    <w:rsid w:val="4C0A1B24"/>
    <w:rsid w:val="4C224D1F"/>
    <w:rsid w:val="4C329DF8"/>
    <w:rsid w:val="4C41AA1C"/>
    <w:rsid w:val="4C5B8290"/>
    <w:rsid w:val="4C7ECAA9"/>
    <w:rsid w:val="4C80FB5D"/>
    <w:rsid w:val="4C951D81"/>
    <w:rsid w:val="4C95A5B5"/>
    <w:rsid w:val="4CAD8221"/>
    <w:rsid w:val="4CC176C0"/>
    <w:rsid w:val="4CC1E47B"/>
    <w:rsid w:val="4CC6C482"/>
    <w:rsid w:val="4CD9541E"/>
    <w:rsid w:val="4CE70F21"/>
    <w:rsid w:val="4CF866E1"/>
    <w:rsid w:val="4D042D98"/>
    <w:rsid w:val="4D4892BB"/>
    <w:rsid w:val="4D57A76F"/>
    <w:rsid w:val="4D5B83F0"/>
    <w:rsid w:val="4D6C6DF1"/>
    <w:rsid w:val="4D6E4122"/>
    <w:rsid w:val="4D8408D6"/>
    <w:rsid w:val="4DAB46EC"/>
    <w:rsid w:val="4DC98155"/>
    <w:rsid w:val="4DD7D69D"/>
    <w:rsid w:val="4DFC79B8"/>
    <w:rsid w:val="4E0FA777"/>
    <w:rsid w:val="4E36F2E9"/>
    <w:rsid w:val="4E430D9D"/>
    <w:rsid w:val="4E4352D9"/>
    <w:rsid w:val="4E450B3E"/>
    <w:rsid w:val="4E49E779"/>
    <w:rsid w:val="4E67E264"/>
    <w:rsid w:val="4E684E34"/>
    <w:rsid w:val="4E6A1CC7"/>
    <w:rsid w:val="4E7326E8"/>
    <w:rsid w:val="4E749C05"/>
    <w:rsid w:val="4E7A7EFC"/>
    <w:rsid w:val="4E7F98B6"/>
    <w:rsid w:val="4E824419"/>
    <w:rsid w:val="4E8992A2"/>
    <w:rsid w:val="4E96EBAF"/>
    <w:rsid w:val="4E9E481E"/>
    <w:rsid w:val="4EAE5848"/>
    <w:rsid w:val="4EE363E7"/>
    <w:rsid w:val="4EF6D0AA"/>
    <w:rsid w:val="4F07EE0E"/>
    <w:rsid w:val="4F0A1FB2"/>
    <w:rsid w:val="4F22EA7D"/>
    <w:rsid w:val="4F2D5B06"/>
    <w:rsid w:val="4F3B046A"/>
    <w:rsid w:val="4F477BE6"/>
    <w:rsid w:val="4F640B4F"/>
    <w:rsid w:val="4F6900C5"/>
    <w:rsid w:val="4F6E56F2"/>
    <w:rsid w:val="4F85BA9B"/>
    <w:rsid w:val="4F969C3A"/>
    <w:rsid w:val="4FA046F3"/>
    <w:rsid w:val="4FA0A480"/>
    <w:rsid w:val="4FA4A2AA"/>
    <w:rsid w:val="4FA71223"/>
    <w:rsid w:val="4FAB77D8"/>
    <w:rsid w:val="4FB30F6C"/>
    <w:rsid w:val="4FCC271E"/>
    <w:rsid w:val="4FE6A457"/>
    <w:rsid w:val="4FFC2BD4"/>
    <w:rsid w:val="4FFE921A"/>
    <w:rsid w:val="5009E0A1"/>
    <w:rsid w:val="5012A8CB"/>
    <w:rsid w:val="5012CD50"/>
    <w:rsid w:val="5016AD70"/>
    <w:rsid w:val="50284D07"/>
    <w:rsid w:val="50400126"/>
    <w:rsid w:val="50437A12"/>
    <w:rsid w:val="5051690A"/>
    <w:rsid w:val="5058F5CE"/>
    <w:rsid w:val="508987C1"/>
    <w:rsid w:val="50D23F43"/>
    <w:rsid w:val="50E1C146"/>
    <w:rsid w:val="50E57B03"/>
    <w:rsid w:val="50EFE740"/>
    <w:rsid w:val="50F198A1"/>
    <w:rsid w:val="50F51C94"/>
    <w:rsid w:val="5148384B"/>
    <w:rsid w:val="5152BC58"/>
    <w:rsid w:val="5154925D"/>
    <w:rsid w:val="51573912"/>
    <w:rsid w:val="51648EE4"/>
    <w:rsid w:val="516D0B01"/>
    <w:rsid w:val="517BA372"/>
    <w:rsid w:val="5180D3EE"/>
    <w:rsid w:val="518AECB1"/>
    <w:rsid w:val="518DB795"/>
    <w:rsid w:val="5192ED2C"/>
    <w:rsid w:val="5196DBA6"/>
    <w:rsid w:val="519F2FD5"/>
    <w:rsid w:val="51B29C36"/>
    <w:rsid w:val="51C177CA"/>
    <w:rsid w:val="51C31217"/>
    <w:rsid w:val="51C47905"/>
    <w:rsid w:val="51D7D130"/>
    <w:rsid w:val="51E152E7"/>
    <w:rsid w:val="51ECCC42"/>
    <w:rsid w:val="51F2FC14"/>
    <w:rsid w:val="521B00EE"/>
    <w:rsid w:val="521BAA4F"/>
    <w:rsid w:val="5232C3E5"/>
    <w:rsid w:val="523B22D3"/>
    <w:rsid w:val="5247FF95"/>
    <w:rsid w:val="52538263"/>
    <w:rsid w:val="526A7D41"/>
    <w:rsid w:val="5278793C"/>
    <w:rsid w:val="52789384"/>
    <w:rsid w:val="527A61E3"/>
    <w:rsid w:val="52901C69"/>
    <w:rsid w:val="529543B6"/>
    <w:rsid w:val="5299247E"/>
    <w:rsid w:val="52AA85C9"/>
    <w:rsid w:val="52B3EAC7"/>
    <w:rsid w:val="52BF6465"/>
    <w:rsid w:val="52CFB1E6"/>
    <w:rsid w:val="52D1646D"/>
    <w:rsid w:val="52F40CC8"/>
    <w:rsid w:val="52FC3012"/>
    <w:rsid w:val="53245F6E"/>
    <w:rsid w:val="532BD3AB"/>
    <w:rsid w:val="535429B7"/>
    <w:rsid w:val="535B5A15"/>
    <w:rsid w:val="535CF037"/>
    <w:rsid w:val="536A527C"/>
    <w:rsid w:val="538626C6"/>
    <w:rsid w:val="538BB33B"/>
    <w:rsid w:val="538CAA9A"/>
    <w:rsid w:val="53969604"/>
    <w:rsid w:val="5397BBBF"/>
    <w:rsid w:val="5398C573"/>
    <w:rsid w:val="539F94D9"/>
    <w:rsid w:val="53ABC3B5"/>
    <w:rsid w:val="53C3B293"/>
    <w:rsid w:val="53C805A6"/>
    <w:rsid w:val="53CCB797"/>
    <w:rsid w:val="53CF1289"/>
    <w:rsid w:val="53D0057A"/>
    <w:rsid w:val="53DD6C35"/>
    <w:rsid w:val="53F7EB76"/>
    <w:rsid w:val="53FE4926"/>
    <w:rsid w:val="5400CC29"/>
    <w:rsid w:val="5409FB06"/>
    <w:rsid w:val="5422E78C"/>
    <w:rsid w:val="5433E093"/>
    <w:rsid w:val="546AE777"/>
    <w:rsid w:val="5470D68B"/>
    <w:rsid w:val="547DCFB0"/>
    <w:rsid w:val="547EA5CD"/>
    <w:rsid w:val="547F57F7"/>
    <w:rsid w:val="5480F6DE"/>
    <w:rsid w:val="549959C6"/>
    <w:rsid w:val="54998B41"/>
    <w:rsid w:val="549E97C8"/>
    <w:rsid w:val="54A59FF6"/>
    <w:rsid w:val="54E276E7"/>
    <w:rsid w:val="54E9B938"/>
    <w:rsid w:val="55079555"/>
    <w:rsid w:val="554DEB8E"/>
    <w:rsid w:val="554F7037"/>
    <w:rsid w:val="555C16D2"/>
    <w:rsid w:val="558DA6DB"/>
    <w:rsid w:val="55918535"/>
    <w:rsid w:val="55930E77"/>
    <w:rsid w:val="55A67EB2"/>
    <w:rsid w:val="55A8374D"/>
    <w:rsid w:val="55ABE75E"/>
    <w:rsid w:val="55B98292"/>
    <w:rsid w:val="55BD6389"/>
    <w:rsid w:val="55C02B28"/>
    <w:rsid w:val="55C0873F"/>
    <w:rsid w:val="55C75EC7"/>
    <w:rsid w:val="55CAEFDE"/>
    <w:rsid w:val="55D2AAEF"/>
    <w:rsid w:val="55DF65C9"/>
    <w:rsid w:val="55F0C120"/>
    <w:rsid w:val="55F6201F"/>
    <w:rsid w:val="56030F70"/>
    <w:rsid w:val="5631AC50"/>
    <w:rsid w:val="563B5A10"/>
    <w:rsid w:val="563D63FC"/>
    <w:rsid w:val="564C4944"/>
    <w:rsid w:val="564F2450"/>
    <w:rsid w:val="565EBD2F"/>
    <w:rsid w:val="56600FF3"/>
    <w:rsid w:val="5683BAC9"/>
    <w:rsid w:val="56AD4585"/>
    <w:rsid w:val="56AE499B"/>
    <w:rsid w:val="56B3080D"/>
    <w:rsid w:val="56B4CC44"/>
    <w:rsid w:val="56C4A0EE"/>
    <w:rsid w:val="56D9F249"/>
    <w:rsid w:val="56F5F779"/>
    <w:rsid w:val="57015FC6"/>
    <w:rsid w:val="5724D97C"/>
    <w:rsid w:val="5728A09B"/>
    <w:rsid w:val="573FCAF0"/>
    <w:rsid w:val="574F0D89"/>
    <w:rsid w:val="57539652"/>
    <w:rsid w:val="575B946F"/>
    <w:rsid w:val="5776F674"/>
    <w:rsid w:val="577D6139"/>
    <w:rsid w:val="577E5657"/>
    <w:rsid w:val="57999323"/>
    <w:rsid w:val="57A4D2C2"/>
    <w:rsid w:val="57ADB7BF"/>
    <w:rsid w:val="57B69595"/>
    <w:rsid w:val="57C60BF2"/>
    <w:rsid w:val="57F5678E"/>
    <w:rsid w:val="580E7B7B"/>
    <w:rsid w:val="581CAD3B"/>
    <w:rsid w:val="5827834D"/>
    <w:rsid w:val="582C7A58"/>
    <w:rsid w:val="583A1FDD"/>
    <w:rsid w:val="5847B616"/>
    <w:rsid w:val="58553948"/>
    <w:rsid w:val="585AD343"/>
    <w:rsid w:val="587A8837"/>
    <w:rsid w:val="58916027"/>
    <w:rsid w:val="58989208"/>
    <w:rsid w:val="589C944F"/>
    <w:rsid w:val="589E8358"/>
    <w:rsid w:val="58AA445C"/>
    <w:rsid w:val="58AD475E"/>
    <w:rsid w:val="58C9CCC3"/>
    <w:rsid w:val="58D7F951"/>
    <w:rsid w:val="58DBC6FF"/>
    <w:rsid w:val="58E79C81"/>
    <w:rsid w:val="58EAD62D"/>
    <w:rsid w:val="590A4BB1"/>
    <w:rsid w:val="590D3E1D"/>
    <w:rsid w:val="5914CE1D"/>
    <w:rsid w:val="5917851A"/>
    <w:rsid w:val="591F83A3"/>
    <w:rsid w:val="59235A04"/>
    <w:rsid w:val="593DA819"/>
    <w:rsid w:val="594007FE"/>
    <w:rsid w:val="5985C265"/>
    <w:rsid w:val="59880F5F"/>
    <w:rsid w:val="5988CD2A"/>
    <w:rsid w:val="599182C4"/>
    <w:rsid w:val="59965DF1"/>
    <w:rsid w:val="59ACACC2"/>
    <w:rsid w:val="59CD8D05"/>
    <w:rsid w:val="59DD1EAE"/>
    <w:rsid w:val="59E6E91D"/>
    <w:rsid w:val="59E95627"/>
    <w:rsid w:val="59EAB934"/>
    <w:rsid w:val="5A06A334"/>
    <w:rsid w:val="5A0EAA4A"/>
    <w:rsid w:val="5A0FC1AC"/>
    <w:rsid w:val="5A0FF842"/>
    <w:rsid w:val="5A104D91"/>
    <w:rsid w:val="5A41E3FC"/>
    <w:rsid w:val="5A4C91E5"/>
    <w:rsid w:val="5A636E11"/>
    <w:rsid w:val="5A691062"/>
    <w:rsid w:val="5A7792F0"/>
    <w:rsid w:val="5A7C21FE"/>
    <w:rsid w:val="5A8873B8"/>
    <w:rsid w:val="5AC56E1B"/>
    <w:rsid w:val="5AD3F498"/>
    <w:rsid w:val="5ADF0109"/>
    <w:rsid w:val="5AED19B1"/>
    <w:rsid w:val="5AF4DEBB"/>
    <w:rsid w:val="5AF9EF81"/>
    <w:rsid w:val="5B0F8B5B"/>
    <w:rsid w:val="5B144655"/>
    <w:rsid w:val="5B2035D4"/>
    <w:rsid w:val="5B249D8B"/>
    <w:rsid w:val="5B32BEF8"/>
    <w:rsid w:val="5B335DF9"/>
    <w:rsid w:val="5B4001C1"/>
    <w:rsid w:val="5B424A59"/>
    <w:rsid w:val="5B5BB419"/>
    <w:rsid w:val="5B62FB6D"/>
    <w:rsid w:val="5B7084BD"/>
    <w:rsid w:val="5B72FAE1"/>
    <w:rsid w:val="5B8F3456"/>
    <w:rsid w:val="5BC6F9EF"/>
    <w:rsid w:val="5BD56564"/>
    <w:rsid w:val="5BDCCDFF"/>
    <w:rsid w:val="5BE18EDD"/>
    <w:rsid w:val="5C364216"/>
    <w:rsid w:val="5C3AA9B9"/>
    <w:rsid w:val="5C54F956"/>
    <w:rsid w:val="5C667D3D"/>
    <w:rsid w:val="5C68316A"/>
    <w:rsid w:val="5C84990C"/>
    <w:rsid w:val="5C86D28D"/>
    <w:rsid w:val="5C919BE7"/>
    <w:rsid w:val="5CAAB929"/>
    <w:rsid w:val="5CB60ACE"/>
    <w:rsid w:val="5CC5BDCB"/>
    <w:rsid w:val="5CC8EE7B"/>
    <w:rsid w:val="5CEAE919"/>
    <w:rsid w:val="5CF8DFCA"/>
    <w:rsid w:val="5CFCE211"/>
    <w:rsid w:val="5D1FDFE3"/>
    <w:rsid w:val="5D2117EF"/>
    <w:rsid w:val="5D53A21A"/>
    <w:rsid w:val="5D5EC877"/>
    <w:rsid w:val="5D710A94"/>
    <w:rsid w:val="5D7DE511"/>
    <w:rsid w:val="5D844452"/>
    <w:rsid w:val="5DA2DB2E"/>
    <w:rsid w:val="5DA93EF6"/>
    <w:rsid w:val="5DC56BB6"/>
    <w:rsid w:val="5DCD7CF7"/>
    <w:rsid w:val="5DEFFD71"/>
    <w:rsid w:val="5DF97CDE"/>
    <w:rsid w:val="5E032F61"/>
    <w:rsid w:val="5E2B88BA"/>
    <w:rsid w:val="5E45B139"/>
    <w:rsid w:val="5E461407"/>
    <w:rsid w:val="5E4C8776"/>
    <w:rsid w:val="5E599F00"/>
    <w:rsid w:val="5E885C7D"/>
    <w:rsid w:val="5E8F6D85"/>
    <w:rsid w:val="5E91F59F"/>
    <w:rsid w:val="5E92300C"/>
    <w:rsid w:val="5E95639A"/>
    <w:rsid w:val="5EAA2936"/>
    <w:rsid w:val="5EB558B3"/>
    <w:rsid w:val="5EB7F4EF"/>
    <w:rsid w:val="5ECD3A6F"/>
    <w:rsid w:val="5ED03BA0"/>
    <w:rsid w:val="5EDBA8D9"/>
    <w:rsid w:val="5EE2D22C"/>
    <w:rsid w:val="5EEF1D71"/>
    <w:rsid w:val="5EF9A2FA"/>
    <w:rsid w:val="5F03D84A"/>
    <w:rsid w:val="5F0F95DC"/>
    <w:rsid w:val="5F11DC82"/>
    <w:rsid w:val="5F187A98"/>
    <w:rsid w:val="5F198E34"/>
    <w:rsid w:val="5F19B572"/>
    <w:rsid w:val="5F1AEAEB"/>
    <w:rsid w:val="5F3E1FA1"/>
    <w:rsid w:val="5F4AFCA5"/>
    <w:rsid w:val="5F5359E3"/>
    <w:rsid w:val="5F61A909"/>
    <w:rsid w:val="5F6C9D50"/>
    <w:rsid w:val="5F74D366"/>
    <w:rsid w:val="5F7EA913"/>
    <w:rsid w:val="5FC1F2AD"/>
    <w:rsid w:val="5FC2C7D2"/>
    <w:rsid w:val="5FCF4FCB"/>
    <w:rsid w:val="5FD7E64E"/>
    <w:rsid w:val="5FDA3858"/>
    <w:rsid w:val="5FDD78B9"/>
    <w:rsid w:val="5FE5BF05"/>
    <w:rsid w:val="5FF33AD7"/>
    <w:rsid w:val="5FFA1223"/>
    <w:rsid w:val="5FFD5E8D"/>
    <w:rsid w:val="600C916C"/>
    <w:rsid w:val="60148EBD"/>
    <w:rsid w:val="6031AF39"/>
    <w:rsid w:val="60405FD2"/>
    <w:rsid w:val="60467FE2"/>
    <w:rsid w:val="6046E365"/>
    <w:rsid w:val="604E18F3"/>
    <w:rsid w:val="60542328"/>
    <w:rsid w:val="605740F7"/>
    <w:rsid w:val="60591B56"/>
    <w:rsid w:val="605C9999"/>
    <w:rsid w:val="605E5604"/>
    <w:rsid w:val="6061E003"/>
    <w:rsid w:val="6092EE65"/>
    <w:rsid w:val="609D7ACD"/>
    <w:rsid w:val="60B54702"/>
    <w:rsid w:val="60BF13BF"/>
    <w:rsid w:val="60CBD65C"/>
    <w:rsid w:val="60E2449A"/>
    <w:rsid w:val="60E836E5"/>
    <w:rsid w:val="60EA6626"/>
    <w:rsid w:val="60F30C70"/>
    <w:rsid w:val="611FDA7E"/>
    <w:rsid w:val="6120A1FE"/>
    <w:rsid w:val="61344876"/>
    <w:rsid w:val="614D4869"/>
    <w:rsid w:val="614DECD4"/>
    <w:rsid w:val="614F2BB5"/>
    <w:rsid w:val="615A27A9"/>
    <w:rsid w:val="615B2032"/>
    <w:rsid w:val="615EBD32"/>
    <w:rsid w:val="616AC4E9"/>
    <w:rsid w:val="618ADF15"/>
    <w:rsid w:val="61B0AE27"/>
    <w:rsid w:val="61B50FFD"/>
    <w:rsid w:val="61C5ED1F"/>
    <w:rsid w:val="61CD82EB"/>
    <w:rsid w:val="61D0E474"/>
    <w:rsid w:val="61F0DA0E"/>
    <w:rsid w:val="620BA363"/>
    <w:rsid w:val="620DC9DB"/>
    <w:rsid w:val="62213E8C"/>
    <w:rsid w:val="622B2736"/>
    <w:rsid w:val="6237236C"/>
    <w:rsid w:val="623DBCB4"/>
    <w:rsid w:val="62516ACA"/>
    <w:rsid w:val="625B0EFE"/>
    <w:rsid w:val="62650D91"/>
    <w:rsid w:val="626B6CBF"/>
    <w:rsid w:val="6270083D"/>
    <w:rsid w:val="62789C8F"/>
    <w:rsid w:val="6279B73E"/>
    <w:rsid w:val="628BC8E6"/>
    <w:rsid w:val="62AE5E62"/>
    <w:rsid w:val="62F68244"/>
    <w:rsid w:val="62FB7E70"/>
    <w:rsid w:val="630C8F55"/>
    <w:rsid w:val="631A8987"/>
    <w:rsid w:val="6324CD8D"/>
    <w:rsid w:val="632B7370"/>
    <w:rsid w:val="6332B9CE"/>
    <w:rsid w:val="63597082"/>
    <w:rsid w:val="6379DEE5"/>
    <w:rsid w:val="63A2A015"/>
    <w:rsid w:val="63AB41EE"/>
    <w:rsid w:val="63B19ADA"/>
    <w:rsid w:val="63B7EC89"/>
    <w:rsid w:val="63B8B436"/>
    <w:rsid w:val="63BA5047"/>
    <w:rsid w:val="63C9B3A3"/>
    <w:rsid w:val="63D02361"/>
    <w:rsid w:val="63DBB4A2"/>
    <w:rsid w:val="63E126AB"/>
    <w:rsid w:val="63EBE80E"/>
    <w:rsid w:val="63FF2A09"/>
    <w:rsid w:val="6404F6CC"/>
    <w:rsid w:val="6413D5BB"/>
    <w:rsid w:val="641CDC1D"/>
    <w:rsid w:val="64720B3B"/>
    <w:rsid w:val="6475D2EF"/>
    <w:rsid w:val="649AC6ED"/>
    <w:rsid w:val="64A136BB"/>
    <w:rsid w:val="64A625B4"/>
    <w:rsid w:val="64BB352F"/>
    <w:rsid w:val="64CAE5C9"/>
    <w:rsid w:val="64CE3B57"/>
    <w:rsid w:val="64D1A828"/>
    <w:rsid w:val="64F79343"/>
    <w:rsid w:val="6501260C"/>
    <w:rsid w:val="65099D67"/>
    <w:rsid w:val="6535B968"/>
    <w:rsid w:val="655FC4F6"/>
    <w:rsid w:val="6573C9A8"/>
    <w:rsid w:val="658208FC"/>
    <w:rsid w:val="65A76003"/>
    <w:rsid w:val="65AD1AA4"/>
    <w:rsid w:val="65DF237A"/>
    <w:rsid w:val="65E37C8C"/>
    <w:rsid w:val="65E53250"/>
    <w:rsid w:val="65E583E4"/>
    <w:rsid w:val="65EB00DB"/>
    <w:rsid w:val="65F2A48A"/>
    <w:rsid w:val="660A9049"/>
    <w:rsid w:val="6611E112"/>
    <w:rsid w:val="66183D69"/>
    <w:rsid w:val="6622C414"/>
    <w:rsid w:val="66480D14"/>
    <w:rsid w:val="66485A6F"/>
    <w:rsid w:val="664CB11A"/>
    <w:rsid w:val="66814574"/>
    <w:rsid w:val="66878312"/>
    <w:rsid w:val="668C5C2A"/>
    <w:rsid w:val="669544D4"/>
    <w:rsid w:val="6696CF4F"/>
    <w:rsid w:val="66973A28"/>
    <w:rsid w:val="6698BD1C"/>
    <w:rsid w:val="66A60D8A"/>
    <w:rsid w:val="66AD3DE8"/>
    <w:rsid w:val="66B54C47"/>
    <w:rsid w:val="66BDE529"/>
    <w:rsid w:val="66BE3E50"/>
    <w:rsid w:val="66D27896"/>
    <w:rsid w:val="66DE0694"/>
    <w:rsid w:val="66E6E7A5"/>
    <w:rsid w:val="66F0DAA2"/>
    <w:rsid w:val="66F162C6"/>
    <w:rsid w:val="66F23FC8"/>
    <w:rsid w:val="66FA6E03"/>
    <w:rsid w:val="67204B21"/>
    <w:rsid w:val="6720F65C"/>
    <w:rsid w:val="6727174D"/>
    <w:rsid w:val="672C39A3"/>
    <w:rsid w:val="673FDC35"/>
    <w:rsid w:val="674C0DB2"/>
    <w:rsid w:val="6750FC8A"/>
    <w:rsid w:val="676A9697"/>
    <w:rsid w:val="677A4D47"/>
    <w:rsid w:val="678EE73D"/>
    <w:rsid w:val="67AD0F6F"/>
    <w:rsid w:val="67B6D5CA"/>
    <w:rsid w:val="67B743AD"/>
    <w:rsid w:val="67BCBBF9"/>
    <w:rsid w:val="67C86719"/>
    <w:rsid w:val="67D650E3"/>
    <w:rsid w:val="67DB1C78"/>
    <w:rsid w:val="67E20CE4"/>
    <w:rsid w:val="67E4061D"/>
    <w:rsid w:val="67E40776"/>
    <w:rsid w:val="67E8E96F"/>
    <w:rsid w:val="67EC9323"/>
    <w:rsid w:val="67EE0985"/>
    <w:rsid w:val="67F9C5FA"/>
    <w:rsid w:val="67FB7171"/>
    <w:rsid w:val="67FF7683"/>
    <w:rsid w:val="68108D99"/>
    <w:rsid w:val="682D946D"/>
    <w:rsid w:val="6832025A"/>
    <w:rsid w:val="6832A8CC"/>
    <w:rsid w:val="6837FCFA"/>
    <w:rsid w:val="684C07BB"/>
    <w:rsid w:val="685FD003"/>
    <w:rsid w:val="68689DBD"/>
    <w:rsid w:val="68690F81"/>
    <w:rsid w:val="686A8A4C"/>
    <w:rsid w:val="686D8B00"/>
    <w:rsid w:val="686E4A6E"/>
    <w:rsid w:val="686F39EC"/>
    <w:rsid w:val="68726169"/>
    <w:rsid w:val="6879C11E"/>
    <w:rsid w:val="68883A3F"/>
    <w:rsid w:val="68C0B77A"/>
    <w:rsid w:val="68D6B169"/>
    <w:rsid w:val="68E612EF"/>
    <w:rsid w:val="68EBEA1D"/>
    <w:rsid w:val="68EC5A4A"/>
    <w:rsid w:val="68F1969F"/>
    <w:rsid w:val="6917F6B4"/>
    <w:rsid w:val="6921AEF8"/>
    <w:rsid w:val="6929B09F"/>
    <w:rsid w:val="692A007F"/>
    <w:rsid w:val="69416FDD"/>
    <w:rsid w:val="69593FD9"/>
    <w:rsid w:val="6991D269"/>
    <w:rsid w:val="6995948D"/>
    <w:rsid w:val="699A786D"/>
    <w:rsid w:val="69BF04BE"/>
    <w:rsid w:val="69E1E1B4"/>
    <w:rsid w:val="69E64081"/>
    <w:rsid w:val="69E9BCCC"/>
    <w:rsid w:val="69FD0855"/>
    <w:rsid w:val="6A23B0A8"/>
    <w:rsid w:val="6A2912DC"/>
    <w:rsid w:val="6A303187"/>
    <w:rsid w:val="6A4B41D8"/>
    <w:rsid w:val="6A58A474"/>
    <w:rsid w:val="6A6D0922"/>
    <w:rsid w:val="6A6EC9FA"/>
    <w:rsid w:val="6A7EA6F2"/>
    <w:rsid w:val="6A8136A8"/>
    <w:rsid w:val="6A8FBA8B"/>
    <w:rsid w:val="6A9D9D99"/>
    <w:rsid w:val="6AB2408D"/>
    <w:rsid w:val="6AE82B6D"/>
    <w:rsid w:val="6AEA32DE"/>
    <w:rsid w:val="6B082F2E"/>
    <w:rsid w:val="6B0C995B"/>
    <w:rsid w:val="6B10DBE8"/>
    <w:rsid w:val="6B119896"/>
    <w:rsid w:val="6B13E5F2"/>
    <w:rsid w:val="6B14361F"/>
    <w:rsid w:val="6B267873"/>
    <w:rsid w:val="6B27B319"/>
    <w:rsid w:val="6B28519A"/>
    <w:rsid w:val="6B371745"/>
    <w:rsid w:val="6B5E490A"/>
    <w:rsid w:val="6B814A89"/>
    <w:rsid w:val="6B850E27"/>
    <w:rsid w:val="6B876DFA"/>
    <w:rsid w:val="6BA5EFC3"/>
    <w:rsid w:val="6BB9A47B"/>
    <w:rsid w:val="6BBBAE70"/>
    <w:rsid w:val="6BCDEA1C"/>
    <w:rsid w:val="6BD38B77"/>
    <w:rsid w:val="6BE1F9AA"/>
    <w:rsid w:val="6C040513"/>
    <w:rsid w:val="6C0EACD1"/>
    <w:rsid w:val="6C1F7ED5"/>
    <w:rsid w:val="6C3662B8"/>
    <w:rsid w:val="6C48E12E"/>
    <w:rsid w:val="6C4CF95B"/>
    <w:rsid w:val="6C4DA22B"/>
    <w:rsid w:val="6C5EAE91"/>
    <w:rsid w:val="6C61E60E"/>
    <w:rsid w:val="6C657A1C"/>
    <w:rsid w:val="6C7BF839"/>
    <w:rsid w:val="6C7C5BD1"/>
    <w:rsid w:val="6C83EB2C"/>
    <w:rsid w:val="6C8A32F0"/>
    <w:rsid w:val="6C96AAE6"/>
    <w:rsid w:val="6C975059"/>
    <w:rsid w:val="6C9DF9EC"/>
    <w:rsid w:val="6CBCBB8C"/>
    <w:rsid w:val="6CC8116A"/>
    <w:rsid w:val="6CD486E4"/>
    <w:rsid w:val="6CD4FD53"/>
    <w:rsid w:val="6CD691B6"/>
    <w:rsid w:val="6CDD7089"/>
    <w:rsid w:val="6CE0186C"/>
    <w:rsid w:val="6CEF1D9C"/>
    <w:rsid w:val="6CFFDD89"/>
    <w:rsid w:val="6D36155F"/>
    <w:rsid w:val="6D389B4C"/>
    <w:rsid w:val="6D3A9952"/>
    <w:rsid w:val="6D5F9862"/>
    <w:rsid w:val="6D67D249"/>
    <w:rsid w:val="6D8FA124"/>
    <w:rsid w:val="6DA4DA0C"/>
    <w:rsid w:val="6DAF8EDD"/>
    <w:rsid w:val="6DC938CF"/>
    <w:rsid w:val="6DD42E91"/>
    <w:rsid w:val="6DD52E90"/>
    <w:rsid w:val="6DD5CC22"/>
    <w:rsid w:val="6DE47230"/>
    <w:rsid w:val="6DF1E0B4"/>
    <w:rsid w:val="6E173BBA"/>
    <w:rsid w:val="6E1F675F"/>
    <w:rsid w:val="6E4DEA65"/>
    <w:rsid w:val="6E4F1087"/>
    <w:rsid w:val="6E862B52"/>
    <w:rsid w:val="6E9C2F4C"/>
    <w:rsid w:val="6EAFD25B"/>
    <w:rsid w:val="6EBE3F2C"/>
    <w:rsid w:val="6EBFC556"/>
    <w:rsid w:val="6EC86C5C"/>
    <w:rsid w:val="6EDC7495"/>
    <w:rsid w:val="6EE4BB2F"/>
    <w:rsid w:val="6F11EAD5"/>
    <w:rsid w:val="6F23B8D2"/>
    <w:rsid w:val="6F322F20"/>
    <w:rsid w:val="6F4DE3B0"/>
    <w:rsid w:val="6F5AF36D"/>
    <w:rsid w:val="6F647D3A"/>
    <w:rsid w:val="6F66250A"/>
    <w:rsid w:val="6FBBD0CF"/>
    <w:rsid w:val="6FBF256B"/>
    <w:rsid w:val="6FDACDE7"/>
    <w:rsid w:val="6FE4CC6B"/>
    <w:rsid w:val="6FE6A2B4"/>
    <w:rsid w:val="6FEC9EA1"/>
    <w:rsid w:val="6FECB8E9"/>
    <w:rsid w:val="6FEEAC28"/>
    <w:rsid w:val="6FF1600B"/>
    <w:rsid w:val="6FF2D6FF"/>
    <w:rsid w:val="7021E761"/>
    <w:rsid w:val="7037EDD4"/>
    <w:rsid w:val="7039BB3F"/>
    <w:rsid w:val="703BE16B"/>
    <w:rsid w:val="70431369"/>
    <w:rsid w:val="70509035"/>
    <w:rsid w:val="70619AB6"/>
    <w:rsid w:val="70903FF7"/>
    <w:rsid w:val="709CD9C9"/>
    <w:rsid w:val="70A29DA2"/>
    <w:rsid w:val="70D0A764"/>
    <w:rsid w:val="70DE732A"/>
    <w:rsid w:val="70F6C3CE"/>
    <w:rsid w:val="70F8D4F1"/>
    <w:rsid w:val="71109271"/>
    <w:rsid w:val="7112FFA5"/>
    <w:rsid w:val="71260FB5"/>
    <w:rsid w:val="71296DB5"/>
    <w:rsid w:val="712B7846"/>
    <w:rsid w:val="71484BCE"/>
    <w:rsid w:val="71512275"/>
    <w:rsid w:val="71514B46"/>
    <w:rsid w:val="715A50EE"/>
    <w:rsid w:val="71728BC2"/>
    <w:rsid w:val="718C69EC"/>
    <w:rsid w:val="719C08BD"/>
    <w:rsid w:val="71A0511F"/>
    <w:rsid w:val="71A64A84"/>
    <w:rsid w:val="71CD8A8E"/>
    <w:rsid w:val="71E634D9"/>
    <w:rsid w:val="71EEBCF6"/>
    <w:rsid w:val="7209510D"/>
    <w:rsid w:val="72259ECC"/>
    <w:rsid w:val="7225F149"/>
    <w:rsid w:val="722CD9AB"/>
    <w:rsid w:val="723EE99F"/>
    <w:rsid w:val="724E6637"/>
    <w:rsid w:val="725A5459"/>
    <w:rsid w:val="72690102"/>
    <w:rsid w:val="726FEEEA"/>
    <w:rsid w:val="7277F5C3"/>
    <w:rsid w:val="72889954"/>
    <w:rsid w:val="729182E0"/>
    <w:rsid w:val="72969A07"/>
    <w:rsid w:val="72ACAE13"/>
    <w:rsid w:val="72AE293A"/>
    <w:rsid w:val="72AE42E0"/>
    <w:rsid w:val="72C6A809"/>
    <w:rsid w:val="72C878DC"/>
    <w:rsid w:val="72D0A338"/>
    <w:rsid w:val="72D8306C"/>
    <w:rsid w:val="72EED13E"/>
    <w:rsid w:val="72F4ECB0"/>
    <w:rsid w:val="72FF6BEE"/>
    <w:rsid w:val="730152DE"/>
    <w:rsid w:val="7312D350"/>
    <w:rsid w:val="7315C50E"/>
    <w:rsid w:val="732AB214"/>
    <w:rsid w:val="73318B7D"/>
    <w:rsid w:val="7354AACB"/>
    <w:rsid w:val="73592C2C"/>
    <w:rsid w:val="735EEC48"/>
    <w:rsid w:val="736D1B11"/>
    <w:rsid w:val="737040DE"/>
    <w:rsid w:val="737D9EDE"/>
    <w:rsid w:val="737EBA2A"/>
    <w:rsid w:val="7384FEA5"/>
    <w:rsid w:val="73A3D4A2"/>
    <w:rsid w:val="73ABC3A4"/>
    <w:rsid w:val="73C1BC3B"/>
    <w:rsid w:val="73C5F81D"/>
    <w:rsid w:val="73D710E9"/>
    <w:rsid w:val="73DF864D"/>
    <w:rsid w:val="73EA48D3"/>
    <w:rsid w:val="73F2241E"/>
    <w:rsid w:val="740593AE"/>
    <w:rsid w:val="7406D55D"/>
    <w:rsid w:val="74080025"/>
    <w:rsid w:val="74181A0A"/>
    <w:rsid w:val="74216172"/>
    <w:rsid w:val="7473D125"/>
    <w:rsid w:val="748947FF"/>
    <w:rsid w:val="749F1D79"/>
    <w:rsid w:val="74ABFB4F"/>
    <w:rsid w:val="74B731A6"/>
    <w:rsid w:val="74C0CC1C"/>
    <w:rsid w:val="74C4EF26"/>
    <w:rsid w:val="74C7B329"/>
    <w:rsid w:val="74C982F0"/>
    <w:rsid w:val="74CE2E1E"/>
    <w:rsid w:val="74D4E3C2"/>
    <w:rsid w:val="74EE85F6"/>
    <w:rsid w:val="75052B50"/>
    <w:rsid w:val="751A44A1"/>
    <w:rsid w:val="751B3B4D"/>
    <w:rsid w:val="752ABC85"/>
    <w:rsid w:val="753CFB61"/>
    <w:rsid w:val="75453D4A"/>
    <w:rsid w:val="754CDF80"/>
    <w:rsid w:val="75673D77"/>
    <w:rsid w:val="758B5531"/>
    <w:rsid w:val="759E3511"/>
    <w:rsid w:val="75A75004"/>
    <w:rsid w:val="75D37E11"/>
    <w:rsid w:val="75EA38B2"/>
    <w:rsid w:val="75F14816"/>
    <w:rsid w:val="76081AB9"/>
    <w:rsid w:val="760A291A"/>
    <w:rsid w:val="760A97FC"/>
    <w:rsid w:val="760ED838"/>
    <w:rsid w:val="76276273"/>
    <w:rsid w:val="763B7113"/>
    <w:rsid w:val="76450E5B"/>
    <w:rsid w:val="764E55C0"/>
    <w:rsid w:val="7654C915"/>
    <w:rsid w:val="7670269F"/>
    <w:rsid w:val="767597AC"/>
    <w:rsid w:val="76769AF4"/>
    <w:rsid w:val="767C4988"/>
    <w:rsid w:val="76835C2C"/>
    <w:rsid w:val="76884EDE"/>
    <w:rsid w:val="768AAA8E"/>
    <w:rsid w:val="769D87C6"/>
    <w:rsid w:val="76A03A9D"/>
    <w:rsid w:val="76A0FBB1"/>
    <w:rsid w:val="76A2DDB0"/>
    <w:rsid w:val="76A7646E"/>
    <w:rsid w:val="76BDD055"/>
    <w:rsid w:val="76C064BC"/>
    <w:rsid w:val="76D0BBA1"/>
    <w:rsid w:val="76F29A86"/>
    <w:rsid w:val="76F2F2F0"/>
    <w:rsid w:val="76F8ED21"/>
    <w:rsid w:val="7703C64B"/>
    <w:rsid w:val="77244EAF"/>
    <w:rsid w:val="7726E7EB"/>
    <w:rsid w:val="773631D8"/>
    <w:rsid w:val="773C1EDD"/>
    <w:rsid w:val="77580E92"/>
    <w:rsid w:val="7758DE74"/>
    <w:rsid w:val="7773137C"/>
    <w:rsid w:val="7773FA0D"/>
    <w:rsid w:val="7794E249"/>
    <w:rsid w:val="77A9D738"/>
    <w:rsid w:val="77B60092"/>
    <w:rsid w:val="77B8DAB6"/>
    <w:rsid w:val="77BBEA5B"/>
    <w:rsid w:val="77C20D5C"/>
    <w:rsid w:val="77C55B8C"/>
    <w:rsid w:val="77C6C049"/>
    <w:rsid w:val="77D725DD"/>
    <w:rsid w:val="77F1E7A8"/>
    <w:rsid w:val="78005DD0"/>
    <w:rsid w:val="781DFA23"/>
    <w:rsid w:val="782525F6"/>
    <w:rsid w:val="7825F879"/>
    <w:rsid w:val="78282CE7"/>
    <w:rsid w:val="7835F73D"/>
    <w:rsid w:val="783AE2A2"/>
    <w:rsid w:val="783D16CD"/>
    <w:rsid w:val="78527CCA"/>
    <w:rsid w:val="7854111E"/>
    <w:rsid w:val="78546AAE"/>
    <w:rsid w:val="7859D395"/>
    <w:rsid w:val="78660AEE"/>
    <w:rsid w:val="786BE54F"/>
    <w:rsid w:val="787229CA"/>
    <w:rsid w:val="78A2C562"/>
    <w:rsid w:val="78AA4935"/>
    <w:rsid w:val="78D7BFE9"/>
    <w:rsid w:val="78DFC8E2"/>
    <w:rsid w:val="78E78CB3"/>
    <w:rsid w:val="78E8BBA3"/>
    <w:rsid w:val="78EAB4F8"/>
    <w:rsid w:val="78F7DAD8"/>
    <w:rsid w:val="78F8BF93"/>
    <w:rsid w:val="79063313"/>
    <w:rsid w:val="79176E60"/>
    <w:rsid w:val="791AC624"/>
    <w:rsid w:val="79216803"/>
    <w:rsid w:val="7923C1BD"/>
    <w:rsid w:val="79270E2B"/>
    <w:rsid w:val="7929BA30"/>
    <w:rsid w:val="79409B2F"/>
    <w:rsid w:val="7942DB7F"/>
    <w:rsid w:val="79500B35"/>
    <w:rsid w:val="795E44DE"/>
    <w:rsid w:val="79670262"/>
    <w:rsid w:val="7977B146"/>
    <w:rsid w:val="798343C4"/>
    <w:rsid w:val="79916089"/>
    <w:rsid w:val="79932EE8"/>
    <w:rsid w:val="7997E397"/>
    <w:rsid w:val="79AEC201"/>
    <w:rsid w:val="79D293D9"/>
    <w:rsid w:val="79E2B04C"/>
    <w:rsid w:val="79F703A0"/>
    <w:rsid w:val="7A00068E"/>
    <w:rsid w:val="7A048C80"/>
    <w:rsid w:val="7A0810AC"/>
    <w:rsid w:val="7A1B03AC"/>
    <w:rsid w:val="7A22D916"/>
    <w:rsid w:val="7A36D525"/>
    <w:rsid w:val="7A3C13D8"/>
    <w:rsid w:val="7A428EDC"/>
    <w:rsid w:val="7A53ADC8"/>
    <w:rsid w:val="7A6D9E0A"/>
    <w:rsid w:val="7A6DBA86"/>
    <w:rsid w:val="7AA63BFB"/>
    <w:rsid w:val="7AB0C43C"/>
    <w:rsid w:val="7AB217E2"/>
    <w:rsid w:val="7AE17B65"/>
    <w:rsid w:val="7AF40D55"/>
    <w:rsid w:val="7AF9764E"/>
    <w:rsid w:val="7AFD4E46"/>
    <w:rsid w:val="7AFF6CCC"/>
    <w:rsid w:val="7B0886E4"/>
    <w:rsid w:val="7B20860D"/>
    <w:rsid w:val="7B3412B2"/>
    <w:rsid w:val="7B57B49E"/>
    <w:rsid w:val="7B667BAD"/>
    <w:rsid w:val="7B6D96AD"/>
    <w:rsid w:val="7B9193A9"/>
    <w:rsid w:val="7B9DABB0"/>
    <w:rsid w:val="7BA8496C"/>
    <w:rsid w:val="7BA97420"/>
    <w:rsid w:val="7BC969CD"/>
    <w:rsid w:val="7BCABA6D"/>
    <w:rsid w:val="7BCE6519"/>
    <w:rsid w:val="7BCFE183"/>
    <w:rsid w:val="7BEA1338"/>
    <w:rsid w:val="7C169188"/>
    <w:rsid w:val="7C175081"/>
    <w:rsid w:val="7C5E308F"/>
    <w:rsid w:val="7C5EE17B"/>
    <w:rsid w:val="7C604241"/>
    <w:rsid w:val="7C9132B6"/>
    <w:rsid w:val="7C915D4F"/>
    <w:rsid w:val="7C917537"/>
    <w:rsid w:val="7CA5BF18"/>
    <w:rsid w:val="7CDD23E0"/>
    <w:rsid w:val="7CDE53DF"/>
    <w:rsid w:val="7CF7316A"/>
    <w:rsid w:val="7D08A300"/>
    <w:rsid w:val="7D2E457A"/>
    <w:rsid w:val="7D39969C"/>
    <w:rsid w:val="7D3A7407"/>
    <w:rsid w:val="7D551E9D"/>
    <w:rsid w:val="7D61D7B3"/>
    <w:rsid w:val="7D6BFEE4"/>
    <w:rsid w:val="7D7ADAA4"/>
    <w:rsid w:val="7D8313D9"/>
    <w:rsid w:val="7DC8C750"/>
    <w:rsid w:val="7DD6C322"/>
    <w:rsid w:val="7DE3ECAE"/>
    <w:rsid w:val="7DEE19F7"/>
    <w:rsid w:val="7E04AF8A"/>
    <w:rsid w:val="7E23E607"/>
    <w:rsid w:val="7E24A0F0"/>
    <w:rsid w:val="7E2B2147"/>
    <w:rsid w:val="7E3F744F"/>
    <w:rsid w:val="7E45F228"/>
    <w:rsid w:val="7E52B309"/>
    <w:rsid w:val="7E583F49"/>
    <w:rsid w:val="7E5EF1BD"/>
    <w:rsid w:val="7E69977D"/>
    <w:rsid w:val="7E6EBB07"/>
    <w:rsid w:val="7E6F823A"/>
    <w:rsid w:val="7E76388C"/>
    <w:rsid w:val="7E8BB0A6"/>
    <w:rsid w:val="7EB40F91"/>
    <w:rsid w:val="7EC9DE67"/>
    <w:rsid w:val="7EE0E164"/>
    <w:rsid w:val="7EF753D7"/>
    <w:rsid w:val="7F345EC1"/>
    <w:rsid w:val="7F41E89F"/>
    <w:rsid w:val="7F5D66FC"/>
    <w:rsid w:val="7F6B0DFD"/>
    <w:rsid w:val="7F74333F"/>
    <w:rsid w:val="7F75B829"/>
    <w:rsid w:val="7F7A3C0A"/>
    <w:rsid w:val="7F832371"/>
    <w:rsid w:val="7F8F1041"/>
    <w:rsid w:val="7FA3A58D"/>
    <w:rsid w:val="7FAF9BA6"/>
    <w:rsid w:val="7FBB11A4"/>
    <w:rsid w:val="7FE776A6"/>
    <w:rsid w:val="7FECDDB8"/>
    <w:rsid w:val="7FF01A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22D916"/>
  <w15:docId w15:val="{220EE474-D8F6-4572-8B4A-686CA4F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B70"/>
    <w:pPr>
      <w:spacing w:after="240" w:line="240" w:lineRule="auto"/>
      <w:textAlignment w:val="baseline"/>
    </w:pPr>
    <w:rPr>
      <w:rFonts w:ascii="Corbel" w:eastAsia="Times New Roman" w:hAnsi="Corbel" w:cs="Segoe UI"/>
      <w:lang w:eastAsia="ja-JP"/>
    </w:rPr>
  </w:style>
  <w:style w:type="paragraph" w:styleId="Heading1">
    <w:name w:val="heading 1"/>
    <w:basedOn w:val="Normal"/>
    <w:next w:val="Normal"/>
    <w:link w:val="Heading1Char"/>
    <w:uiPriority w:val="9"/>
    <w:qFormat/>
    <w:rsid w:val="00555644"/>
    <w:pPr>
      <w:spacing w:line="180" w:lineRule="auto"/>
      <w:outlineLvl w:val="0"/>
    </w:pPr>
    <w:rPr>
      <w:rFonts w:ascii="Interstate" w:hAnsi="Interstate"/>
      <w:b/>
      <w:bCs/>
      <w:sz w:val="32"/>
      <w:szCs w:val="32"/>
    </w:rPr>
  </w:style>
  <w:style w:type="paragraph" w:styleId="Heading2">
    <w:name w:val="heading 2"/>
    <w:basedOn w:val="TOCHeading"/>
    <w:next w:val="Normal"/>
    <w:link w:val="Heading2Char"/>
    <w:uiPriority w:val="9"/>
    <w:unhideWhenUsed/>
    <w:qFormat/>
    <w:rsid w:val="00EC4642"/>
    <w:pPr>
      <w:spacing w:before="480" w:after="240" w:line="240" w:lineRule="auto"/>
      <w:ind w:left="446" w:hanging="446"/>
      <w:outlineLvl w:val="1"/>
    </w:pPr>
    <w:rPr>
      <w:color w:val="000000" w:themeColor="text1"/>
      <w:sz w:val="28"/>
      <w:szCs w:val="28"/>
    </w:rPr>
  </w:style>
  <w:style w:type="paragraph" w:styleId="Heading3">
    <w:name w:val="heading 3"/>
    <w:basedOn w:val="ListParagraph"/>
    <w:next w:val="Normal"/>
    <w:link w:val="Heading3Char"/>
    <w:uiPriority w:val="9"/>
    <w:unhideWhenUsed/>
    <w:qFormat/>
    <w:rsid w:val="00A6275B"/>
    <w:pPr>
      <w:numPr>
        <w:numId w:val="27"/>
      </w:numPr>
      <w:ind w:leftChars="0" w:left="0"/>
      <w:outlineLvl w:val="2"/>
    </w:pPr>
    <w:rPr>
      <w:rFonts w:ascii="Interstate" w:hAnsi="Interstate"/>
      <w:b/>
      <w:bCs/>
      <w:sz w:val="24"/>
      <w:szCs w:val="24"/>
    </w:rPr>
  </w:style>
  <w:style w:type="paragraph" w:styleId="Heading4">
    <w:name w:val="heading 4"/>
    <w:basedOn w:val="ListParagraph"/>
    <w:next w:val="Normal"/>
    <w:link w:val="Heading4Char"/>
    <w:uiPriority w:val="9"/>
    <w:unhideWhenUsed/>
    <w:qFormat/>
    <w:rsid w:val="006A74A3"/>
    <w:pPr>
      <w:spacing w:before="160"/>
      <w:ind w:leftChars="0" w:left="0"/>
      <w:outlineLvl w:val="3"/>
    </w:pPr>
    <w:rPr>
      <w:rFonts w:ascii="Interstate Light" w:hAnsi="Interstate Light"/>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7299B"/>
    <w:pPr>
      <w:ind w:leftChars="400" w:left="840"/>
    </w:pPr>
  </w:style>
  <w:style w:type="character" w:styleId="CommentReference">
    <w:name w:val="annotation reference"/>
    <w:basedOn w:val="DefaultParagraphFont"/>
    <w:uiPriority w:val="99"/>
    <w:semiHidden/>
    <w:unhideWhenUsed/>
    <w:rsid w:val="00960C69"/>
    <w:rPr>
      <w:sz w:val="18"/>
      <w:szCs w:val="18"/>
    </w:rPr>
  </w:style>
  <w:style w:type="paragraph" w:styleId="CommentText">
    <w:name w:val="annotation text"/>
    <w:basedOn w:val="Normal"/>
    <w:link w:val="CommentTextChar"/>
    <w:uiPriority w:val="99"/>
    <w:unhideWhenUsed/>
    <w:rsid w:val="00960C69"/>
  </w:style>
  <w:style w:type="character" w:customStyle="1" w:styleId="CommentTextChar">
    <w:name w:val="Comment Text Char"/>
    <w:basedOn w:val="DefaultParagraphFont"/>
    <w:link w:val="CommentText"/>
    <w:uiPriority w:val="99"/>
    <w:rsid w:val="00960C69"/>
  </w:style>
  <w:style w:type="paragraph" w:styleId="CommentSubject">
    <w:name w:val="annotation subject"/>
    <w:basedOn w:val="CommentText"/>
    <w:next w:val="CommentText"/>
    <w:link w:val="CommentSubjectChar"/>
    <w:uiPriority w:val="99"/>
    <w:semiHidden/>
    <w:unhideWhenUsed/>
    <w:rsid w:val="00960C69"/>
    <w:rPr>
      <w:b/>
      <w:bCs/>
    </w:rPr>
  </w:style>
  <w:style w:type="character" w:customStyle="1" w:styleId="CommentSubjectChar">
    <w:name w:val="Comment Subject Char"/>
    <w:basedOn w:val="CommentTextChar"/>
    <w:link w:val="CommentSubject"/>
    <w:uiPriority w:val="99"/>
    <w:semiHidden/>
    <w:rsid w:val="00960C69"/>
    <w:rPr>
      <w:b/>
      <w:bCs/>
    </w:rPr>
  </w:style>
  <w:style w:type="paragraph" w:styleId="FootnoteText">
    <w:name w:val="footnote text"/>
    <w:basedOn w:val="Normal"/>
    <w:link w:val="FootnoteTextChar"/>
    <w:uiPriority w:val="99"/>
    <w:unhideWhenUsed/>
    <w:rsid w:val="00672A50"/>
    <w:pPr>
      <w:snapToGrid w:val="0"/>
    </w:pPr>
  </w:style>
  <w:style w:type="character" w:customStyle="1" w:styleId="FootnoteTextChar">
    <w:name w:val="Footnote Text Char"/>
    <w:basedOn w:val="DefaultParagraphFont"/>
    <w:link w:val="FootnoteText"/>
    <w:uiPriority w:val="99"/>
    <w:rsid w:val="00672A50"/>
  </w:style>
  <w:style w:type="character" w:styleId="FootnoteReference">
    <w:name w:val="footnote reference"/>
    <w:basedOn w:val="DefaultParagraphFont"/>
    <w:uiPriority w:val="99"/>
    <w:semiHidden/>
    <w:unhideWhenUsed/>
    <w:rsid w:val="00672A50"/>
    <w:rPr>
      <w:vertAlign w:val="superscript"/>
    </w:rPr>
  </w:style>
  <w:style w:type="character" w:customStyle="1" w:styleId="normaltextrun">
    <w:name w:val="normaltextrun"/>
    <w:basedOn w:val="DefaultParagraphFont"/>
    <w:rsid w:val="00585A77"/>
  </w:style>
  <w:style w:type="character" w:customStyle="1" w:styleId="eop">
    <w:name w:val="eop"/>
    <w:basedOn w:val="DefaultParagraphFont"/>
    <w:rsid w:val="00585A77"/>
  </w:style>
  <w:style w:type="character" w:styleId="Hyperlink">
    <w:name w:val="Hyperlink"/>
    <w:basedOn w:val="DefaultParagraphFont"/>
    <w:uiPriority w:val="99"/>
    <w:unhideWhenUsed/>
    <w:rsid w:val="00A37F87"/>
    <w:rPr>
      <w:color w:val="0563C1" w:themeColor="hyperlink"/>
      <w:u w:val="single"/>
    </w:rPr>
  </w:style>
  <w:style w:type="character" w:styleId="UnresolvedMention">
    <w:name w:val="Unresolved Mention"/>
    <w:basedOn w:val="DefaultParagraphFont"/>
    <w:uiPriority w:val="99"/>
    <w:semiHidden/>
    <w:unhideWhenUsed/>
    <w:rsid w:val="00A37F87"/>
    <w:rPr>
      <w:color w:val="605E5C"/>
      <w:shd w:val="clear" w:color="auto" w:fill="E1DFDD"/>
    </w:rPr>
  </w:style>
  <w:style w:type="character" w:styleId="FollowedHyperlink">
    <w:name w:val="FollowedHyperlink"/>
    <w:basedOn w:val="DefaultParagraphFont"/>
    <w:uiPriority w:val="99"/>
    <w:semiHidden/>
    <w:unhideWhenUsed/>
    <w:rsid w:val="00483B87"/>
    <w:rPr>
      <w:color w:val="954F72" w:themeColor="followedHyperlink"/>
      <w:u w:val="single"/>
    </w:rPr>
  </w:style>
  <w:style w:type="paragraph" w:styleId="Footer">
    <w:name w:val="footer"/>
    <w:basedOn w:val="Normal"/>
    <w:link w:val="FooterChar"/>
    <w:uiPriority w:val="99"/>
    <w:unhideWhenUsed/>
    <w:rsid w:val="00B97DD8"/>
    <w:pPr>
      <w:tabs>
        <w:tab w:val="center" w:pos="4513"/>
        <w:tab w:val="right" w:pos="9026"/>
      </w:tabs>
      <w:snapToGrid w:val="0"/>
    </w:pPr>
  </w:style>
  <w:style w:type="character" w:customStyle="1" w:styleId="FooterChar">
    <w:name w:val="Footer Char"/>
    <w:basedOn w:val="DefaultParagraphFont"/>
    <w:link w:val="Footer"/>
    <w:uiPriority w:val="99"/>
    <w:rsid w:val="00B97DD8"/>
  </w:style>
  <w:style w:type="character" w:styleId="PageNumber">
    <w:name w:val="page number"/>
    <w:basedOn w:val="DefaultParagraphFont"/>
    <w:uiPriority w:val="99"/>
    <w:semiHidden/>
    <w:unhideWhenUsed/>
    <w:rsid w:val="00B97DD8"/>
  </w:style>
  <w:style w:type="paragraph" w:styleId="Header">
    <w:name w:val="header"/>
    <w:basedOn w:val="Normal"/>
    <w:link w:val="HeaderChar"/>
    <w:uiPriority w:val="99"/>
    <w:unhideWhenUsed/>
    <w:rsid w:val="00F84037"/>
    <w:pPr>
      <w:tabs>
        <w:tab w:val="center" w:pos="4513"/>
        <w:tab w:val="right" w:pos="9026"/>
      </w:tabs>
      <w:snapToGrid w:val="0"/>
    </w:pPr>
  </w:style>
  <w:style w:type="character" w:customStyle="1" w:styleId="HeaderChar">
    <w:name w:val="Header Char"/>
    <w:basedOn w:val="DefaultParagraphFont"/>
    <w:link w:val="Header"/>
    <w:uiPriority w:val="99"/>
    <w:rsid w:val="00F84037"/>
  </w:style>
  <w:style w:type="paragraph" w:customStyle="1" w:styleId="paragraph">
    <w:name w:val="paragraph"/>
    <w:basedOn w:val="Normal"/>
    <w:rsid w:val="00BB5F8F"/>
    <w:pPr>
      <w:spacing w:before="100" w:beforeAutospacing="1" w:after="100" w:afterAutospacing="1"/>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1A0040"/>
    <w:rPr>
      <w:rFonts w:ascii="Interstate" w:hAnsi="Interstate"/>
      <w:b/>
      <w:bCs/>
      <w:sz w:val="32"/>
      <w:szCs w:val="32"/>
    </w:rPr>
  </w:style>
  <w:style w:type="paragraph" w:styleId="NormalWeb">
    <w:name w:val="Normal (Web)"/>
    <w:basedOn w:val="Normal"/>
    <w:uiPriority w:val="99"/>
    <w:unhideWhenUsed/>
    <w:rsid w:val="00F57DD7"/>
    <w:rPr>
      <w:rFonts w:ascii="Times New Roman" w:hAnsi="Times New Roman" w:cs="Times New Roman"/>
      <w:sz w:val="24"/>
      <w:szCs w:val="24"/>
    </w:rPr>
  </w:style>
  <w:style w:type="paragraph" w:styleId="Revision">
    <w:name w:val="Revision"/>
    <w:hidden/>
    <w:uiPriority w:val="99"/>
    <w:semiHidden/>
    <w:rsid w:val="003863E0"/>
    <w:pPr>
      <w:spacing w:after="0" w:line="240" w:lineRule="auto"/>
    </w:pPr>
  </w:style>
  <w:style w:type="character" w:styleId="Mention">
    <w:name w:val="Mention"/>
    <w:basedOn w:val="DefaultParagraphFont"/>
    <w:uiPriority w:val="99"/>
    <w:unhideWhenUsed/>
    <w:rsid w:val="00952A39"/>
    <w:rPr>
      <w:color w:val="2B579A"/>
      <w:shd w:val="clear" w:color="auto" w:fill="E1DFDD"/>
    </w:rPr>
  </w:style>
  <w:style w:type="character" w:customStyle="1" w:styleId="Heading2Char">
    <w:name w:val="Heading 2 Char"/>
    <w:basedOn w:val="DefaultParagraphFont"/>
    <w:link w:val="Heading2"/>
    <w:uiPriority w:val="9"/>
    <w:rsid w:val="00EC4642"/>
    <w:rPr>
      <w:rFonts w:ascii="Interstate" w:eastAsiaTheme="majorEastAsia" w:hAnsi="Interstate" w:cstheme="majorBidi"/>
      <w:color w:val="000000" w:themeColor="text1"/>
      <w:sz w:val="28"/>
      <w:szCs w:val="28"/>
      <w:lang w:eastAsia="ja-JP"/>
    </w:rPr>
  </w:style>
  <w:style w:type="character" w:customStyle="1" w:styleId="Heading3Char">
    <w:name w:val="Heading 3 Char"/>
    <w:basedOn w:val="DefaultParagraphFont"/>
    <w:link w:val="Heading3"/>
    <w:uiPriority w:val="9"/>
    <w:rsid w:val="00A6275B"/>
    <w:rPr>
      <w:rFonts w:ascii="Interstate" w:eastAsia="Times New Roman" w:hAnsi="Interstate" w:cs="Segoe UI"/>
      <w:b/>
      <w:bCs/>
      <w:sz w:val="24"/>
      <w:szCs w:val="24"/>
      <w:lang w:eastAsia="ja-JP"/>
    </w:rPr>
  </w:style>
  <w:style w:type="character" w:customStyle="1" w:styleId="Heading4Char">
    <w:name w:val="Heading 4 Char"/>
    <w:basedOn w:val="DefaultParagraphFont"/>
    <w:link w:val="Heading4"/>
    <w:uiPriority w:val="9"/>
    <w:rsid w:val="006A74A3"/>
    <w:rPr>
      <w:rFonts w:ascii="Interstate Light" w:hAnsi="Interstate Light"/>
      <w:b/>
      <w:bCs/>
      <w:sz w:val="24"/>
      <w:szCs w:val="24"/>
      <w:u w:val="single"/>
    </w:rPr>
  </w:style>
  <w:style w:type="paragraph" w:styleId="TOCHeading">
    <w:name w:val="TOC Heading"/>
    <w:basedOn w:val="Heading1"/>
    <w:next w:val="Normal"/>
    <w:uiPriority w:val="39"/>
    <w:unhideWhenUsed/>
    <w:qFormat/>
    <w:rsid w:val="00EC4642"/>
    <w:pPr>
      <w:keepLines/>
      <w:spacing w:before="240" w:after="0"/>
      <w:outlineLvl w:val="9"/>
    </w:pPr>
    <w:rPr>
      <w:color w:val="2F5496" w:themeColor="accent1" w:themeShade="BF"/>
    </w:rPr>
  </w:style>
  <w:style w:type="numbering" w:customStyle="1" w:styleId="CurrentList1">
    <w:name w:val="Current List1"/>
    <w:uiPriority w:val="99"/>
    <w:rsid w:val="00EC4642"/>
    <w:pPr>
      <w:numPr>
        <w:numId w:val="4"/>
      </w:numPr>
    </w:pPr>
  </w:style>
  <w:style w:type="numbering" w:styleId="111111">
    <w:name w:val="Outline List 2"/>
    <w:basedOn w:val="NoList"/>
    <w:uiPriority w:val="99"/>
    <w:semiHidden/>
    <w:unhideWhenUsed/>
    <w:rsid w:val="0078490E"/>
    <w:pPr>
      <w:numPr>
        <w:numId w:val="5"/>
      </w:numPr>
    </w:pPr>
  </w:style>
  <w:style w:type="paragraph" w:styleId="TOC1">
    <w:name w:val="toc 1"/>
    <w:basedOn w:val="Normal"/>
    <w:next w:val="Normal"/>
    <w:autoRedefine/>
    <w:uiPriority w:val="39"/>
    <w:unhideWhenUsed/>
    <w:rsid w:val="00111DBB"/>
    <w:pPr>
      <w:tabs>
        <w:tab w:val="right" w:leader="dot" w:pos="9350"/>
      </w:tabs>
      <w:spacing w:before="120" w:after="120"/>
    </w:pPr>
    <w:rPr>
      <w:rFonts w:ascii="Interstate" w:hAnsi="Interstate" w:cstheme="minorHAnsi"/>
      <w:b/>
      <w:bCs/>
      <w:caps/>
      <w:sz w:val="20"/>
      <w:szCs w:val="20"/>
    </w:rPr>
  </w:style>
  <w:style w:type="paragraph" w:styleId="TOC2">
    <w:name w:val="toc 2"/>
    <w:basedOn w:val="Normal"/>
    <w:next w:val="Normal"/>
    <w:autoRedefine/>
    <w:uiPriority w:val="39"/>
    <w:unhideWhenUsed/>
    <w:rsid w:val="00E0200B"/>
    <w:pPr>
      <w:tabs>
        <w:tab w:val="right" w:leader="dot" w:pos="9350"/>
      </w:tabs>
      <w:spacing w:after="0"/>
      <w:ind w:left="220"/>
    </w:pPr>
    <w:rPr>
      <w:rFonts w:ascii="Interstate" w:hAnsi="Interstate" w:cstheme="minorHAnsi"/>
      <w:smallCaps/>
      <w:sz w:val="20"/>
      <w:szCs w:val="20"/>
    </w:rPr>
  </w:style>
  <w:style w:type="paragraph" w:styleId="TOC3">
    <w:name w:val="toc 3"/>
    <w:basedOn w:val="Normal"/>
    <w:next w:val="Normal"/>
    <w:autoRedefine/>
    <w:uiPriority w:val="39"/>
    <w:unhideWhenUsed/>
    <w:rsid w:val="00543B21"/>
    <w:pPr>
      <w:tabs>
        <w:tab w:val="left" w:pos="880"/>
        <w:tab w:val="right" w:leader="dot" w:pos="9350"/>
      </w:tabs>
      <w:spacing w:after="0"/>
      <w:ind w:left="440"/>
    </w:pPr>
    <w:rPr>
      <w:rFonts w:ascii="Interstate" w:hAnsi="Interstate" w:cstheme="minorHAnsi"/>
      <w:i/>
      <w:iCs/>
      <w:sz w:val="20"/>
      <w:szCs w:val="20"/>
    </w:rPr>
  </w:style>
  <w:style w:type="paragraph" w:styleId="TOC4">
    <w:name w:val="toc 4"/>
    <w:basedOn w:val="Normal"/>
    <w:next w:val="Normal"/>
    <w:autoRedefine/>
    <w:uiPriority w:val="39"/>
    <w:unhideWhenUsed/>
    <w:rsid w:val="00EC4642"/>
    <w:pPr>
      <w:spacing w:after="0"/>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EC4642"/>
    <w:pPr>
      <w:spacing w:after="0"/>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EC4642"/>
    <w:pPr>
      <w:spacing w:after="0"/>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EC4642"/>
    <w:pPr>
      <w:spacing w:after="0"/>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EC4642"/>
    <w:pPr>
      <w:spacing w:after="0"/>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EC4642"/>
    <w:pPr>
      <w:spacing w:after="0"/>
      <w:ind w:left="1760"/>
    </w:pPr>
    <w:rPr>
      <w:rFonts w:asciiTheme="minorHAnsi" w:hAnsiTheme="minorHAnsi" w:cstheme="minorHAnsi"/>
      <w:sz w:val="18"/>
      <w:szCs w:val="18"/>
    </w:rPr>
  </w:style>
  <w:style w:type="character" w:customStyle="1" w:styleId="apple-converted-space">
    <w:name w:val="apple-converted-space"/>
    <w:basedOn w:val="DefaultParagraphFont"/>
    <w:rsid w:val="00DD0C02"/>
  </w:style>
  <w:style w:type="paragraph" w:customStyle="1" w:styleId="Footnotes">
    <w:name w:val="Footnotes"/>
    <w:basedOn w:val="NormalWeb"/>
    <w:qFormat/>
    <w:rsid w:val="004C72AC"/>
    <w:pPr>
      <w:shd w:val="clear" w:color="auto" w:fill="FFFFFF"/>
      <w:spacing w:after="0"/>
      <w:ind w:left="720" w:hanging="720"/>
    </w:pPr>
    <w:rPr>
      <w:rFonts w:ascii="Corbel" w:hAnsi="Corbel"/>
      <w:color w:val="000000"/>
      <w:sz w:val="18"/>
      <w:szCs w:val="18"/>
    </w:rPr>
  </w:style>
  <w:style w:type="paragraph" w:customStyle="1" w:styleId="Footnote">
    <w:name w:val="Footnote"/>
    <w:basedOn w:val="ListParagraph"/>
    <w:qFormat/>
    <w:rsid w:val="005B2025"/>
    <w:pPr>
      <w:ind w:leftChars="0" w:left="0" w:hanging="360"/>
    </w:pPr>
  </w:style>
  <w:style w:type="character" w:customStyle="1" w:styleId="cds-343">
    <w:name w:val="cds-343"/>
    <w:basedOn w:val="DefaultParagraphFont"/>
    <w:rsid w:val="005B2025"/>
  </w:style>
  <w:style w:type="paragraph" w:styleId="NoSpacing">
    <w:name w:val="No Spacing"/>
    <w:basedOn w:val="ListParagraph"/>
    <w:uiPriority w:val="1"/>
    <w:qFormat/>
    <w:rsid w:val="005B2025"/>
    <w:pPr>
      <w:spacing w:after="0"/>
      <w:ind w:leftChars="0" w:left="0"/>
    </w:pPr>
  </w:style>
  <w:style w:type="numbering" w:customStyle="1" w:styleId="CurrentList2">
    <w:name w:val="Current List2"/>
    <w:uiPriority w:val="99"/>
    <w:rsid w:val="00065BA2"/>
    <w:pPr>
      <w:numPr>
        <w:numId w:val="8"/>
      </w:numPr>
    </w:pPr>
  </w:style>
  <w:style w:type="numbering" w:customStyle="1" w:styleId="CurrentList3">
    <w:name w:val="Current List3"/>
    <w:uiPriority w:val="99"/>
    <w:rsid w:val="00065BA2"/>
    <w:pPr>
      <w:numPr>
        <w:numId w:val="9"/>
      </w:numPr>
    </w:pPr>
  </w:style>
  <w:style w:type="numbering" w:customStyle="1" w:styleId="CurrentList4">
    <w:name w:val="Current List4"/>
    <w:uiPriority w:val="99"/>
    <w:rsid w:val="00065BA2"/>
    <w:pPr>
      <w:numPr>
        <w:numId w:val="10"/>
      </w:numPr>
    </w:pPr>
  </w:style>
  <w:style w:type="numbering" w:customStyle="1" w:styleId="CurrentList5">
    <w:name w:val="Current List5"/>
    <w:uiPriority w:val="99"/>
    <w:rsid w:val="00065BA2"/>
    <w:pPr>
      <w:numPr>
        <w:numId w:val="11"/>
      </w:numPr>
    </w:pPr>
  </w:style>
  <w:style w:type="numbering" w:customStyle="1" w:styleId="CurrentList6">
    <w:name w:val="Current List6"/>
    <w:uiPriority w:val="99"/>
    <w:rsid w:val="00065BA2"/>
    <w:pPr>
      <w:numPr>
        <w:numId w:val="12"/>
      </w:numPr>
    </w:pPr>
  </w:style>
  <w:style w:type="numbering" w:customStyle="1" w:styleId="CurrentList7">
    <w:name w:val="Current List7"/>
    <w:uiPriority w:val="99"/>
    <w:rsid w:val="00065BA2"/>
    <w:pPr>
      <w:numPr>
        <w:numId w:val="13"/>
      </w:numPr>
    </w:pPr>
  </w:style>
  <w:style w:type="numbering" w:customStyle="1" w:styleId="CurrentList8">
    <w:name w:val="Current List8"/>
    <w:uiPriority w:val="99"/>
    <w:rsid w:val="00065BA2"/>
    <w:pPr>
      <w:numPr>
        <w:numId w:val="14"/>
      </w:numPr>
    </w:pPr>
  </w:style>
  <w:style w:type="numbering" w:customStyle="1" w:styleId="CurrentList9">
    <w:name w:val="Current List9"/>
    <w:uiPriority w:val="99"/>
    <w:rsid w:val="00065BA2"/>
    <w:pPr>
      <w:numPr>
        <w:numId w:val="15"/>
      </w:numPr>
    </w:pPr>
  </w:style>
  <w:style w:type="numbering" w:customStyle="1" w:styleId="CurrentList10">
    <w:name w:val="Current List10"/>
    <w:uiPriority w:val="99"/>
    <w:rsid w:val="00065BA2"/>
    <w:pPr>
      <w:numPr>
        <w:numId w:val="16"/>
      </w:numPr>
    </w:pPr>
  </w:style>
  <w:style w:type="numbering" w:customStyle="1" w:styleId="CurrentList11">
    <w:name w:val="Current List11"/>
    <w:uiPriority w:val="99"/>
    <w:rsid w:val="00065BA2"/>
    <w:pPr>
      <w:numPr>
        <w:numId w:val="17"/>
      </w:numPr>
    </w:pPr>
  </w:style>
  <w:style w:type="numbering" w:customStyle="1" w:styleId="CurrentList12">
    <w:name w:val="Current List12"/>
    <w:uiPriority w:val="99"/>
    <w:rsid w:val="00065BA2"/>
    <w:pPr>
      <w:numPr>
        <w:numId w:val="18"/>
      </w:numPr>
    </w:pPr>
  </w:style>
  <w:style w:type="numbering" w:customStyle="1" w:styleId="CurrentList13">
    <w:name w:val="Current List13"/>
    <w:uiPriority w:val="99"/>
    <w:rsid w:val="00065BA2"/>
    <w:pPr>
      <w:numPr>
        <w:numId w:val="19"/>
      </w:numPr>
    </w:pPr>
  </w:style>
  <w:style w:type="numbering" w:customStyle="1" w:styleId="CurrentList14">
    <w:name w:val="Current List14"/>
    <w:uiPriority w:val="99"/>
    <w:rsid w:val="00065BA2"/>
    <w:pPr>
      <w:numPr>
        <w:numId w:val="20"/>
      </w:numPr>
    </w:pPr>
  </w:style>
  <w:style w:type="numbering" w:customStyle="1" w:styleId="CurrentList15">
    <w:name w:val="Current List15"/>
    <w:uiPriority w:val="99"/>
    <w:rsid w:val="00065BA2"/>
    <w:pPr>
      <w:numPr>
        <w:numId w:val="21"/>
      </w:numPr>
    </w:pPr>
  </w:style>
  <w:style w:type="numbering" w:customStyle="1" w:styleId="CurrentList16">
    <w:name w:val="Current List16"/>
    <w:uiPriority w:val="99"/>
    <w:rsid w:val="00065BA2"/>
    <w:pPr>
      <w:numPr>
        <w:numId w:val="22"/>
      </w:numPr>
    </w:pPr>
  </w:style>
  <w:style w:type="character" w:customStyle="1" w:styleId="contextualspellingandgrammarerror">
    <w:name w:val="contextualspellingandgrammarerror"/>
    <w:basedOn w:val="DefaultParagraphFont"/>
    <w:rsid w:val="00065BA2"/>
  </w:style>
  <w:style w:type="character" w:customStyle="1" w:styleId="spellingerror">
    <w:name w:val="spellingerror"/>
    <w:basedOn w:val="DefaultParagraphFont"/>
    <w:rsid w:val="00065BA2"/>
  </w:style>
  <w:style w:type="paragraph" w:customStyle="1" w:styleId="Default">
    <w:name w:val="Default"/>
    <w:rsid w:val="00065BA2"/>
    <w:pPr>
      <w:autoSpaceDE w:val="0"/>
      <w:autoSpaceDN w:val="0"/>
      <w:adjustRightInd w:val="0"/>
      <w:spacing w:after="0" w:line="240" w:lineRule="auto"/>
    </w:pPr>
    <w:rPr>
      <w:rFonts w:ascii="Arial" w:hAnsi="Arial" w:cs="Arial"/>
      <w:color w:val="000000"/>
      <w:sz w:val="24"/>
      <w:szCs w:val="24"/>
    </w:rPr>
  </w:style>
  <w:style w:type="numbering" w:customStyle="1" w:styleId="CurrentList17">
    <w:name w:val="Current List17"/>
    <w:uiPriority w:val="99"/>
    <w:rsid w:val="00065BA2"/>
    <w:pPr>
      <w:numPr>
        <w:numId w:val="23"/>
      </w:numPr>
    </w:pPr>
  </w:style>
  <w:style w:type="numbering" w:customStyle="1" w:styleId="CurrentList18">
    <w:name w:val="Current List18"/>
    <w:uiPriority w:val="99"/>
    <w:rsid w:val="00065BA2"/>
    <w:pPr>
      <w:numPr>
        <w:numId w:val="24"/>
      </w:numPr>
    </w:pPr>
  </w:style>
  <w:style w:type="character" w:customStyle="1" w:styleId="msoins0">
    <w:name w:val="msoins"/>
    <w:basedOn w:val="DefaultParagraphFont"/>
    <w:rsid w:val="00065BA2"/>
  </w:style>
  <w:style w:type="numbering" w:customStyle="1" w:styleId="CurrentList19">
    <w:name w:val="Current List19"/>
    <w:uiPriority w:val="99"/>
    <w:rsid w:val="00A6275B"/>
    <w:pPr>
      <w:numPr>
        <w:numId w:val="26"/>
      </w:numPr>
    </w:pPr>
  </w:style>
  <w:style w:type="character" w:styleId="SubtleReference">
    <w:name w:val="Subtle Reference"/>
    <w:basedOn w:val="DefaultParagraphFont"/>
    <w:uiPriority w:val="31"/>
    <w:qFormat/>
    <w:rsid w:val="001341C2"/>
    <w:rPr>
      <w:smallCaps/>
      <w:color w:val="5A5A5A" w:themeColor="text1" w:themeTint="A5"/>
    </w:rPr>
  </w:style>
  <w:style w:type="paragraph" w:customStyle="1" w:styleId="ReferenceFootnote">
    <w:name w:val="Reference Footnote"/>
    <w:basedOn w:val="NormalWeb"/>
    <w:qFormat/>
    <w:rsid w:val="001341C2"/>
    <w:pPr>
      <w:shd w:val="clear" w:color="auto" w:fill="FFFFFF"/>
      <w:spacing w:after="0"/>
      <w:ind w:left="720" w:hanging="720"/>
    </w:pPr>
    <w:rPr>
      <w:rFonts w:ascii="Corbel" w:hAnsi="Corbel"/>
      <w:sz w:val="18"/>
      <w:szCs w:val="18"/>
    </w:rPr>
  </w:style>
  <w:style w:type="numbering" w:customStyle="1" w:styleId="CurrentList20">
    <w:name w:val="Current List20"/>
    <w:uiPriority w:val="99"/>
    <w:rsid w:val="00252B30"/>
    <w:pPr>
      <w:numPr>
        <w:numId w:val="30"/>
      </w:numPr>
    </w:pPr>
  </w:style>
  <w:style w:type="numbering" w:customStyle="1" w:styleId="CurrentList21">
    <w:name w:val="Current List21"/>
    <w:uiPriority w:val="99"/>
    <w:rsid w:val="00252B30"/>
    <w:pPr>
      <w:numPr>
        <w:numId w:val="31"/>
      </w:numPr>
    </w:pPr>
  </w:style>
  <w:style w:type="character" w:styleId="Emphasis">
    <w:name w:val="Emphasis"/>
    <w:basedOn w:val="DefaultParagraphFont"/>
    <w:uiPriority w:val="20"/>
    <w:qFormat/>
    <w:rsid w:val="005B7082"/>
    <w:rPr>
      <w:i/>
      <w:iCs/>
    </w:rPr>
  </w:style>
  <w:style w:type="character" w:styleId="LineNumber">
    <w:name w:val="line number"/>
    <w:basedOn w:val="DefaultParagraphFont"/>
    <w:uiPriority w:val="99"/>
    <w:semiHidden/>
    <w:unhideWhenUsed/>
    <w:rsid w:val="00BD285C"/>
  </w:style>
  <w:style w:type="numbering" w:customStyle="1" w:styleId="CurrentList22">
    <w:name w:val="Current List22"/>
    <w:uiPriority w:val="99"/>
    <w:rsid w:val="005860AF"/>
    <w:pPr>
      <w:numPr>
        <w:numId w:val="44"/>
      </w:numPr>
    </w:pPr>
  </w:style>
  <w:style w:type="numbering" w:customStyle="1" w:styleId="CurrentList23">
    <w:name w:val="Current List23"/>
    <w:uiPriority w:val="99"/>
    <w:rsid w:val="005860AF"/>
    <w:pPr>
      <w:numPr>
        <w:numId w:val="46"/>
      </w:numPr>
    </w:pPr>
  </w:style>
  <w:style w:type="numbering" w:customStyle="1" w:styleId="CurrentList24">
    <w:name w:val="Current List24"/>
    <w:uiPriority w:val="99"/>
    <w:rsid w:val="005860AF"/>
    <w:pPr>
      <w:numPr>
        <w:numId w:val="47"/>
      </w:numPr>
    </w:pPr>
  </w:style>
  <w:style w:type="numbering" w:customStyle="1" w:styleId="CurrentList25">
    <w:name w:val="Current List25"/>
    <w:uiPriority w:val="99"/>
    <w:rsid w:val="005860AF"/>
    <w:pPr>
      <w:numPr>
        <w:numId w:val="48"/>
      </w:numPr>
    </w:pPr>
  </w:style>
  <w:style w:type="numbering" w:customStyle="1" w:styleId="CurrentList26">
    <w:name w:val="Current List26"/>
    <w:uiPriority w:val="99"/>
    <w:rsid w:val="005860AF"/>
    <w:pPr>
      <w:numPr>
        <w:numId w:val="50"/>
      </w:numPr>
    </w:pPr>
  </w:style>
  <w:style w:type="numbering" w:customStyle="1" w:styleId="CurrentList27">
    <w:name w:val="Current List27"/>
    <w:uiPriority w:val="99"/>
    <w:rsid w:val="005860AF"/>
    <w:pPr>
      <w:numPr>
        <w:numId w:val="52"/>
      </w:numPr>
    </w:pPr>
  </w:style>
  <w:style w:type="numbering" w:customStyle="1" w:styleId="CurrentList28">
    <w:name w:val="Current List28"/>
    <w:uiPriority w:val="99"/>
    <w:rsid w:val="005860AF"/>
    <w:pPr>
      <w:numPr>
        <w:numId w:val="53"/>
      </w:numPr>
    </w:pPr>
  </w:style>
  <w:style w:type="numbering" w:customStyle="1" w:styleId="CurrentList29">
    <w:name w:val="Current List29"/>
    <w:uiPriority w:val="99"/>
    <w:rsid w:val="005860AF"/>
    <w:pPr>
      <w:numPr>
        <w:numId w:val="54"/>
      </w:numPr>
    </w:pPr>
  </w:style>
  <w:style w:type="numbering" w:customStyle="1" w:styleId="CurrentList30">
    <w:name w:val="Current List30"/>
    <w:uiPriority w:val="99"/>
    <w:rsid w:val="005860AF"/>
    <w:pPr>
      <w:numPr>
        <w:numId w:val="55"/>
      </w:numPr>
    </w:pPr>
  </w:style>
  <w:style w:type="numbering" w:customStyle="1" w:styleId="CurrentList31">
    <w:name w:val="Current List31"/>
    <w:uiPriority w:val="99"/>
    <w:rsid w:val="005860AF"/>
    <w:pPr>
      <w:numPr>
        <w:numId w:val="56"/>
      </w:numPr>
    </w:pPr>
  </w:style>
  <w:style w:type="numbering" w:customStyle="1" w:styleId="CurrentList32">
    <w:name w:val="Current List32"/>
    <w:uiPriority w:val="99"/>
    <w:rsid w:val="0078490E"/>
    <w:pPr>
      <w:numPr>
        <w:numId w:val="57"/>
      </w:numPr>
    </w:pPr>
  </w:style>
  <w:style w:type="numbering" w:customStyle="1" w:styleId="CurrentList33">
    <w:name w:val="Current List33"/>
    <w:uiPriority w:val="99"/>
    <w:rsid w:val="00D55E40"/>
    <w:pPr>
      <w:numPr>
        <w:numId w:val="58"/>
      </w:numPr>
    </w:pPr>
  </w:style>
  <w:style w:type="numbering" w:customStyle="1" w:styleId="CurrentList34">
    <w:name w:val="Current List34"/>
    <w:uiPriority w:val="99"/>
    <w:rsid w:val="00D55E40"/>
    <w:pPr>
      <w:numPr>
        <w:numId w:val="59"/>
      </w:numPr>
    </w:pPr>
  </w:style>
  <w:style w:type="numbering" w:customStyle="1" w:styleId="CurrentList35">
    <w:name w:val="Current List35"/>
    <w:uiPriority w:val="99"/>
    <w:rsid w:val="00D55E40"/>
    <w:pPr>
      <w:numPr>
        <w:numId w:val="60"/>
      </w:numPr>
    </w:pPr>
  </w:style>
  <w:style w:type="numbering" w:customStyle="1" w:styleId="CurrentList36">
    <w:name w:val="Current List36"/>
    <w:uiPriority w:val="99"/>
    <w:rsid w:val="00D55E40"/>
    <w:pPr>
      <w:numPr>
        <w:numId w:val="61"/>
      </w:numPr>
    </w:pPr>
  </w:style>
  <w:style w:type="numbering" w:customStyle="1" w:styleId="CurrentList37">
    <w:name w:val="Current List37"/>
    <w:uiPriority w:val="99"/>
    <w:rsid w:val="00D55E40"/>
    <w:pPr>
      <w:numPr>
        <w:numId w:val="62"/>
      </w:numPr>
    </w:pPr>
  </w:style>
  <w:style w:type="numbering" w:customStyle="1" w:styleId="CurrentList38">
    <w:name w:val="Current List38"/>
    <w:uiPriority w:val="99"/>
    <w:rsid w:val="00D55E40"/>
    <w:pPr>
      <w:numPr>
        <w:numId w:val="63"/>
      </w:numPr>
    </w:pPr>
  </w:style>
  <w:style w:type="numbering" w:customStyle="1" w:styleId="CurrentList39">
    <w:name w:val="Current List39"/>
    <w:uiPriority w:val="99"/>
    <w:rsid w:val="00D55E40"/>
    <w:pPr>
      <w:numPr>
        <w:numId w:val="64"/>
      </w:numPr>
    </w:pPr>
  </w:style>
  <w:style w:type="numbering" w:customStyle="1" w:styleId="CurrentList40">
    <w:name w:val="Current List40"/>
    <w:uiPriority w:val="99"/>
    <w:rsid w:val="005C1AB3"/>
    <w:pPr>
      <w:numPr>
        <w:numId w:val="65"/>
      </w:numPr>
    </w:pPr>
  </w:style>
  <w:style w:type="numbering" w:customStyle="1" w:styleId="CurrentList41">
    <w:name w:val="Current List41"/>
    <w:uiPriority w:val="99"/>
    <w:rsid w:val="005C1AB3"/>
    <w:pPr>
      <w:numPr>
        <w:numId w:val="66"/>
      </w:numPr>
    </w:pPr>
  </w:style>
  <w:style w:type="numbering" w:customStyle="1" w:styleId="CurrentList42">
    <w:name w:val="Current List42"/>
    <w:uiPriority w:val="99"/>
    <w:rsid w:val="005C1AB3"/>
    <w:pPr>
      <w:numPr>
        <w:numId w:val="69"/>
      </w:numPr>
    </w:pPr>
  </w:style>
  <w:style w:type="numbering" w:customStyle="1" w:styleId="CurrentList43">
    <w:name w:val="Current List43"/>
    <w:uiPriority w:val="99"/>
    <w:rsid w:val="005C1AB3"/>
    <w:pPr>
      <w:numPr>
        <w:numId w:val="70"/>
      </w:numPr>
    </w:pPr>
  </w:style>
  <w:style w:type="numbering" w:customStyle="1" w:styleId="CurrentList44">
    <w:name w:val="Current List44"/>
    <w:uiPriority w:val="99"/>
    <w:rsid w:val="005C1AB3"/>
    <w:pPr>
      <w:numPr>
        <w:numId w:val="71"/>
      </w:numPr>
    </w:pPr>
  </w:style>
  <w:style w:type="numbering" w:customStyle="1" w:styleId="CurrentList45">
    <w:name w:val="Current List45"/>
    <w:uiPriority w:val="99"/>
    <w:rsid w:val="005C1AB3"/>
    <w:pPr>
      <w:numPr>
        <w:numId w:val="72"/>
      </w:numPr>
    </w:pPr>
  </w:style>
  <w:style w:type="numbering" w:customStyle="1" w:styleId="CurrentList46">
    <w:name w:val="Current List46"/>
    <w:uiPriority w:val="99"/>
    <w:rsid w:val="005C1AB3"/>
    <w:pPr>
      <w:numPr>
        <w:numId w:val="73"/>
      </w:numPr>
    </w:pPr>
  </w:style>
  <w:style w:type="numbering" w:customStyle="1" w:styleId="CurrentList47">
    <w:name w:val="Current List47"/>
    <w:uiPriority w:val="99"/>
    <w:rsid w:val="008E45EC"/>
    <w:pPr>
      <w:numPr>
        <w:numId w:val="74"/>
      </w:numPr>
    </w:pPr>
  </w:style>
  <w:style w:type="numbering" w:customStyle="1" w:styleId="CurrentList48">
    <w:name w:val="Current List48"/>
    <w:uiPriority w:val="99"/>
    <w:rsid w:val="005C42D3"/>
    <w:pPr>
      <w:numPr>
        <w:numId w:val="75"/>
      </w:numPr>
    </w:pPr>
  </w:style>
  <w:style w:type="numbering" w:customStyle="1" w:styleId="CurrentList49">
    <w:name w:val="Current List49"/>
    <w:uiPriority w:val="99"/>
    <w:rsid w:val="005C42D3"/>
    <w:pPr>
      <w:numPr>
        <w:numId w:val="76"/>
      </w:numPr>
    </w:pPr>
  </w:style>
  <w:style w:type="numbering" w:customStyle="1" w:styleId="CurrentList50">
    <w:name w:val="Current List50"/>
    <w:uiPriority w:val="99"/>
    <w:rsid w:val="005C42D3"/>
    <w:pPr>
      <w:numPr>
        <w:numId w:val="77"/>
      </w:numPr>
    </w:pPr>
  </w:style>
  <w:style w:type="numbering" w:customStyle="1" w:styleId="CurrentList51">
    <w:name w:val="Current List51"/>
    <w:uiPriority w:val="99"/>
    <w:rsid w:val="00FA081F"/>
    <w:pPr>
      <w:numPr>
        <w:numId w:val="78"/>
      </w:numPr>
    </w:pPr>
  </w:style>
  <w:style w:type="numbering" w:customStyle="1" w:styleId="CurrentList52">
    <w:name w:val="Current List52"/>
    <w:uiPriority w:val="99"/>
    <w:rsid w:val="00FA081F"/>
    <w:pPr>
      <w:numPr>
        <w:numId w:val="79"/>
      </w:numPr>
    </w:pPr>
  </w:style>
  <w:style w:type="numbering" w:customStyle="1" w:styleId="CurrentList53">
    <w:name w:val="Current List53"/>
    <w:uiPriority w:val="99"/>
    <w:rsid w:val="00FA081F"/>
    <w:pPr>
      <w:numPr>
        <w:numId w:val="80"/>
      </w:numPr>
    </w:pPr>
  </w:style>
  <w:style w:type="paragraph" w:customStyle="1" w:styleId="pf0">
    <w:name w:val="pf0"/>
    <w:basedOn w:val="Normal"/>
    <w:rsid w:val="003B4904"/>
    <w:pPr>
      <w:spacing w:before="100" w:beforeAutospacing="1" w:after="100" w:afterAutospacing="1"/>
      <w:textAlignment w:val="auto"/>
    </w:pPr>
    <w:rPr>
      <w:rFonts w:ascii="Times New Roman" w:hAnsi="Times New Roman" w:cs="Times New Roman"/>
      <w:sz w:val="24"/>
      <w:szCs w:val="24"/>
      <w:lang w:eastAsia="en-US"/>
    </w:rPr>
  </w:style>
  <w:style w:type="character" w:customStyle="1" w:styleId="cf01">
    <w:name w:val="cf01"/>
    <w:basedOn w:val="DefaultParagraphFont"/>
    <w:rsid w:val="003B490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201">
      <w:bodyDiv w:val="1"/>
      <w:marLeft w:val="0"/>
      <w:marRight w:val="0"/>
      <w:marTop w:val="0"/>
      <w:marBottom w:val="0"/>
      <w:divBdr>
        <w:top w:val="none" w:sz="0" w:space="0" w:color="auto"/>
        <w:left w:val="none" w:sz="0" w:space="0" w:color="auto"/>
        <w:bottom w:val="none" w:sz="0" w:space="0" w:color="auto"/>
        <w:right w:val="none" w:sz="0" w:space="0" w:color="auto"/>
      </w:divBdr>
    </w:div>
    <w:div w:id="87621935">
      <w:bodyDiv w:val="1"/>
      <w:marLeft w:val="0"/>
      <w:marRight w:val="0"/>
      <w:marTop w:val="0"/>
      <w:marBottom w:val="0"/>
      <w:divBdr>
        <w:top w:val="none" w:sz="0" w:space="0" w:color="auto"/>
        <w:left w:val="none" w:sz="0" w:space="0" w:color="auto"/>
        <w:bottom w:val="none" w:sz="0" w:space="0" w:color="auto"/>
        <w:right w:val="none" w:sz="0" w:space="0" w:color="auto"/>
      </w:divBdr>
      <w:divsChild>
        <w:div w:id="1003817766">
          <w:marLeft w:val="0"/>
          <w:marRight w:val="0"/>
          <w:marTop w:val="0"/>
          <w:marBottom w:val="0"/>
          <w:divBdr>
            <w:top w:val="none" w:sz="0" w:space="0" w:color="auto"/>
            <w:left w:val="none" w:sz="0" w:space="0" w:color="auto"/>
            <w:bottom w:val="none" w:sz="0" w:space="0" w:color="auto"/>
            <w:right w:val="none" w:sz="0" w:space="0" w:color="auto"/>
          </w:divBdr>
        </w:div>
        <w:div w:id="1232808202">
          <w:marLeft w:val="0"/>
          <w:marRight w:val="0"/>
          <w:marTop w:val="0"/>
          <w:marBottom w:val="0"/>
          <w:divBdr>
            <w:top w:val="none" w:sz="0" w:space="0" w:color="auto"/>
            <w:left w:val="none" w:sz="0" w:space="0" w:color="auto"/>
            <w:bottom w:val="none" w:sz="0" w:space="0" w:color="auto"/>
            <w:right w:val="none" w:sz="0" w:space="0" w:color="auto"/>
          </w:divBdr>
        </w:div>
        <w:div w:id="2116123770">
          <w:marLeft w:val="0"/>
          <w:marRight w:val="0"/>
          <w:marTop w:val="0"/>
          <w:marBottom w:val="0"/>
          <w:divBdr>
            <w:top w:val="none" w:sz="0" w:space="0" w:color="auto"/>
            <w:left w:val="none" w:sz="0" w:space="0" w:color="auto"/>
            <w:bottom w:val="none" w:sz="0" w:space="0" w:color="auto"/>
            <w:right w:val="none" w:sz="0" w:space="0" w:color="auto"/>
          </w:divBdr>
        </w:div>
      </w:divsChild>
    </w:div>
    <w:div w:id="134416238">
      <w:bodyDiv w:val="1"/>
      <w:marLeft w:val="0"/>
      <w:marRight w:val="0"/>
      <w:marTop w:val="0"/>
      <w:marBottom w:val="0"/>
      <w:divBdr>
        <w:top w:val="none" w:sz="0" w:space="0" w:color="auto"/>
        <w:left w:val="none" w:sz="0" w:space="0" w:color="auto"/>
        <w:bottom w:val="none" w:sz="0" w:space="0" w:color="auto"/>
        <w:right w:val="none" w:sz="0" w:space="0" w:color="auto"/>
      </w:divBdr>
      <w:divsChild>
        <w:div w:id="1387025497">
          <w:marLeft w:val="446"/>
          <w:marRight w:val="0"/>
          <w:marTop w:val="0"/>
          <w:marBottom w:val="0"/>
          <w:divBdr>
            <w:top w:val="none" w:sz="0" w:space="0" w:color="auto"/>
            <w:left w:val="none" w:sz="0" w:space="0" w:color="auto"/>
            <w:bottom w:val="none" w:sz="0" w:space="0" w:color="auto"/>
            <w:right w:val="none" w:sz="0" w:space="0" w:color="auto"/>
          </w:divBdr>
        </w:div>
      </w:divsChild>
    </w:div>
    <w:div w:id="181479193">
      <w:bodyDiv w:val="1"/>
      <w:marLeft w:val="0"/>
      <w:marRight w:val="0"/>
      <w:marTop w:val="0"/>
      <w:marBottom w:val="0"/>
      <w:divBdr>
        <w:top w:val="none" w:sz="0" w:space="0" w:color="auto"/>
        <w:left w:val="none" w:sz="0" w:space="0" w:color="auto"/>
        <w:bottom w:val="none" w:sz="0" w:space="0" w:color="auto"/>
        <w:right w:val="none" w:sz="0" w:space="0" w:color="auto"/>
      </w:divBdr>
      <w:divsChild>
        <w:div w:id="975647607">
          <w:marLeft w:val="0"/>
          <w:marRight w:val="0"/>
          <w:marTop w:val="0"/>
          <w:marBottom w:val="0"/>
          <w:divBdr>
            <w:top w:val="none" w:sz="0" w:space="0" w:color="auto"/>
            <w:left w:val="none" w:sz="0" w:space="0" w:color="auto"/>
            <w:bottom w:val="none" w:sz="0" w:space="0" w:color="auto"/>
            <w:right w:val="none" w:sz="0" w:space="0" w:color="auto"/>
          </w:divBdr>
        </w:div>
        <w:div w:id="2126774819">
          <w:marLeft w:val="0"/>
          <w:marRight w:val="0"/>
          <w:marTop w:val="0"/>
          <w:marBottom w:val="0"/>
          <w:divBdr>
            <w:top w:val="none" w:sz="0" w:space="0" w:color="auto"/>
            <w:left w:val="none" w:sz="0" w:space="0" w:color="auto"/>
            <w:bottom w:val="none" w:sz="0" w:space="0" w:color="auto"/>
            <w:right w:val="none" w:sz="0" w:space="0" w:color="auto"/>
          </w:divBdr>
        </w:div>
      </w:divsChild>
    </w:div>
    <w:div w:id="213663668">
      <w:bodyDiv w:val="1"/>
      <w:marLeft w:val="0"/>
      <w:marRight w:val="0"/>
      <w:marTop w:val="0"/>
      <w:marBottom w:val="0"/>
      <w:divBdr>
        <w:top w:val="none" w:sz="0" w:space="0" w:color="auto"/>
        <w:left w:val="none" w:sz="0" w:space="0" w:color="auto"/>
        <w:bottom w:val="none" w:sz="0" w:space="0" w:color="auto"/>
        <w:right w:val="none" w:sz="0" w:space="0" w:color="auto"/>
      </w:divBdr>
      <w:divsChild>
        <w:div w:id="3746183">
          <w:marLeft w:val="0"/>
          <w:marRight w:val="0"/>
          <w:marTop w:val="0"/>
          <w:marBottom w:val="0"/>
          <w:divBdr>
            <w:top w:val="none" w:sz="0" w:space="0" w:color="auto"/>
            <w:left w:val="none" w:sz="0" w:space="0" w:color="auto"/>
            <w:bottom w:val="none" w:sz="0" w:space="0" w:color="auto"/>
            <w:right w:val="none" w:sz="0" w:space="0" w:color="auto"/>
          </w:divBdr>
          <w:divsChild>
            <w:div w:id="876963924">
              <w:marLeft w:val="0"/>
              <w:marRight w:val="0"/>
              <w:marTop w:val="0"/>
              <w:marBottom w:val="0"/>
              <w:divBdr>
                <w:top w:val="none" w:sz="0" w:space="0" w:color="auto"/>
                <w:left w:val="none" w:sz="0" w:space="0" w:color="auto"/>
                <w:bottom w:val="none" w:sz="0" w:space="0" w:color="auto"/>
                <w:right w:val="none" w:sz="0" w:space="0" w:color="auto"/>
              </w:divBdr>
            </w:div>
          </w:divsChild>
        </w:div>
        <w:div w:id="525867193">
          <w:marLeft w:val="0"/>
          <w:marRight w:val="0"/>
          <w:marTop w:val="0"/>
          <w:marBottom w:val="0"/>
          <w:divBdr>
            <w:top w:val="none" w:sz="0" w:space="0" w:color="auto"/>
            <w:left w:val="none" w:sz="0" w:space="0" w:color="auto"/>
            <w:bottom w:val="none" w:sz="0" w:space="0" w:color="auto"/>
            <w:right w:val="none" w:sz="0" w:space="0" w:color="auto"/>
          </w:divBdr>
        </w:div>
        <w:div w:id="638416629">
          <w:marLeft w:val="0"/>
          <w:marRight w:val="0"/>
          <w:marTop w:val="0"/>
          <w:marBottom w:val="0"/>
          <w:divBdr>
            <w:top w:val="none" w:sz="0" w:space="0" w:color="auto"/>
            <w:left w:val="none" w:sz="0" w:space="0" w:color="auto"/>
            <w:bottom w:val="none" w:sz="0" w:space="0" w:color="auto"/>
            <w:right w:val="none" w:sz="0" w:space="0" w:color="auto"/>
          </w:divBdr>
        </w:div>
        <w:div w:id="643119015">
          <w:marLeft w:val="0"/>
          <w:marRight w:val="0"/>
          <w:marTop w:val="0"/>
          <w:marBottom w:val="0"/>
          <w:divBdr>
            <w:top w:val="none" w:sz="0" w:space="0" w:color="auto"/>
            <w:left w:val="none" w:sz="0" w:space="0" w:color="auto"/>
            <w:bottom w:val="none" w:sz="0" w:space="0" w:color="auto"/>
            <w:right w:val="none" w:sz="0" w:space="0" w:color="auto"/>
          </w:divBdr>
        </w:div>
        <w:div w:id="893151694">
          <w:marLeft w:val="0"/>
          <w:marRight w:val="0"/>
          <w:marTop w:val="0"/>
          <w:marBottom w:val="0"/>
          <w:divBdr>
            <w:top w:val="none" w:sz="0" w:space="0" w:color="auto"/>
            <w:left w:val="none" w:sz="0" w:space="0" w:color="auto"/>
            <w:bottom w:val="none" w:sz="0" w:space="0" w:color="auto"/>
            <w:right w:val="none" w:sz="0" w:space="0" w:color="auto"/>
          </w:divBdr>
        </w:div>
        <w:div w:id="1377313874">
          <w:marLeft w:val="0"/>
          <w:marRight w:val="0"/>
          <w:marTop w:val="0"/>
          <w:marBottom w:val="0"/>
          <w:divBdr>
            <w:top w:val="none" w:sz="0" w:space="0" w:color="auto"/>
            <w:left w:val="none" w:sz="0" w:space="0" w:color="auto"/>
            <w:bottom w:val="none" w:sz="0" w:space="0" w:color="auto"/>
            <w:right w:val="none" w:sz="0" w:space="0" w:color="auto"/>
          </w:divBdr>
        </w:div>
        <w:div w:id="1902137836">
          <w:marLeft w:val="0"/>
          <w:marRight w:val="0"/>
          <w:marTop w:val="0"/>
          <w:marBottom w:val="0"/>
          <w:divBdr>
            <w:top w:val="none" w:sz="0" w:space="0" w:color="auto"/>
            <w:left w:val="none" w:sz="0" w:space="0" w:color="auto"/>
            <w:bottom w:val="none" w:sz="0" w:space="0" w:color="auto"/>
            <w:right w:val="none" w:sz="0" w:space="0" w:color="auto"/>
          </w:divBdr>
        </w:div>
        <w:div w:id="1993674517">
          <w:marLeft w:val="0"/>
          <w:marRight w:val="0"/>
          <w:marTop w:val="0"/>
          <w:marBottom w:val="0"/>
          <w:divBdr>
            <w:top w:val="none" w:sz="0" w:space="0" w:color="auto"/>
            <w:left w:val="none" w:sz="0" w:space="0" w:color="auto"/>
            <w:bottom w:val="none" w:sz="0" w:space="0" w:color="auto"/>
            <w:right w:val="none" w:sz="0" w:space="0" w:color="auto"/>
          </w:divBdr>
        </w:div>
      </w:divsChild>
    </w:div>
    <w:div w:id="240335309">
      <w:bodyDiv w:val="1"/>
      <w:marLeft w:val="0"/>
      <w:marRight w:val="0"/>
      <w:marTop w:val="0"/>
      <w:marBottom w:val="0"/>
      <w:divBdr>
        <w:top w:val="none" w:sz="0" w:space="0" w:color="auto"/>
        <w:left w:val="none" w:sz="0" w:space="0" w:color="auto"/>
        <w:bottom w:val="none" w:sz="0" w:space="0" w:color="auto"/>
        <w:right w:val="none" w:sz="0" w:space="0" w:color="auto"/>
      </w:divBdr>
    </w:div>
    <w:div w:id="317804127">
      <w:bodyDiv w:val="1"/>
      <w:marLeft w:val="0"/>
      <w:marRight w:val="0"/>
      <w:marTop w:val="0"/>
      <w:marBottom w:val="0"/>
      <w:divBdr>
        <w:top w:val="none" w:sz="0" w:space="0" w:color="auto"/>
        <w:left w:val="none" w:sz="0" w:space="0" w:color="auto"/>
        <w:bottom w:val="none" w:sz="0" w:space="0" w:color="auto"/>
        <w:right w:val="none" w:sz="0" w:space="0" w:color="auto"/>
      </w:divBdr>
      <w:divsChild>
        <w:div w:id="1121264746">
          <w:marLeft w:val="0"/>
          <w:marRight w:val="0"/>
          <w:marTop w:val="0"/>
          <w:marBottom w:val="0"/>
          <w:divBdr>
            <w:top w:val="none" w:sz="0" w:space="0" w:color="auto"/>
            <w:left w:val="none" w:sz="0" w:space="0" w:color="auto"/>
            <w:bottom w:val="none" w:sz="0" w:space="0" w:color="auto"/>
            <w:right w:val="none" w:sz="0" w:space="0" w:color="auto"/>
          </w:divBdr>
        </w:div>
      </w:divsChild>
    </w:div>
    <w:div w:id="362437765">
      <w:bodyDiv w:val="1"/>
      <w:marLeft w:val="0"/>
      <w:marRight w:val="0"/>
      <w:marTop w:val="0"/>
      <w:marBottom w:val="0"/>
      <w:divBdr>
        <w:top w:val="none" w:sz="0" w:space="0" w:color="auto"/>
        <w:left w:val="none" w:sz="0" w:space="0" w:color="auto"/>
        <w:bottom w:val="none" w:sz="0" w:space="0" w:color="auto"/>
        <w:right w:val="none" w:sz="0" w:space="0" w:color="auto"/>
      </w:divBdr>
    </w:div>
    <w:div w:id="377972934">
      <w:bodyDiv w:val="1"/>
      <w:marLeft w:val="0"/>
      <w:marRight w:val="0"/>
      <w:marTop w:val="0"/>
      <w:marBottom w:val="0"/>
      <w:divBdr>
        <w:top w:val="none" w:sz="0" w:space="0" w:color="auto"/>
        <w:left w:val="none" w:sz="0" w:space="0" w:color="auto"/>
        <w:bottom w:val="none" w:sz="0" w:space="0" w:color="auto"/>
        <w:right w:val="none" w:sz="0" w:space="0" w:color="auto"/>
      </w:divBdr>
    </w:div>
    <w:div w:id="384304345">
      <w:bodyDiv w:val="1"/>
      <w:marLeft w:val="0"/>
      <w:marRight w:val="0"/>
      <w:marTop w:val="0"/>
      <w:marBottom w:val="0"/>
      <w:divBdr>
        <w:top w:val="none" w:sz="0" w:space="0" w:color="auto"/>
        <w:left w:val="none" w:sz="0" w:space="0" w:color="auto"/>
        <w:bottom w:val="none" w:sz="0" w:space="0" w:color="auto"/>
        <w:right w:val="none" w:sz="0" w:space="0" w:color="auto"/>
      </w:divBdr>
    </w:div>
    <w:div w:id="468787083">
      <w:bodyDiv w:val="1"/>
      <w:marLeft w:val="0"/>
      <w:marRight w:val="0"/>
      <w:marTop w:val="0"/>
      <w:marBottom w:val="0"/>
      <w:divBdr>
        <w:top w:val="none" w:sz="0" w:space="0" w:color="auto"/>
        <w:left w:val="none" w:sz="0" w:space="0" w:color="auto"/>
        <w:bottom w:val="none" w:sz="0" w:space="0" w:color="auto"/>
        <w:right w:val="none" w:sz="0" w:space="0" w:color="auto"/>
      </w:divBdr>
    </w:div>
    <w:div w:id="531722901">
      <w:bodyDiv w:val="1"/>
      <w:marLeft w:val="0"/>
      <w:marRight w:val="0"/>
      <w:marTop w:val="0"/>
      <w:marBottom w:val="0"/>
      <w:divBdr>
        <w:top w:val="none" w:sz="0" w:space="0" w:color="auto"/>
        <w:left w:val="none" w:sz="0" w:space="0" w:color="auto"/>
        <w:bottom w:val="none" w:sz="0" w:space="0" w:color="auto"/>
        <w:right w:val="none" w:sz="0" w:space="0" w:color="auto"/>
      </w:divBdr>
    </w:div>
    <w:div w:id="552740442">
      <w:bodyDiv w:val="1"/>
      <w:marLeft w:val="0"/>
      <w:marRight w:val="0"/>
      <w:marTop w:val="0"/>
      <w:marBottom w:val="0"/>
      <w:divBdr>
        <w:top w:val="none" w:sz="0" w:space="0" w:color="auto"/>
        <w:left w:val="none" w:sz="0" w:space="0" w:color="auto"/>
        <w:bottom w:val="none" w:sz="0" w:space="0" w:color="auto"/>
        <w:right w:val="none" w:sz="0" w:space="0" w:color="auto"/>
      </w:divBdr>
    </w:div>
    <w:div w:id="587613384">
      <w:bodyDiv w:val="1"/>
      <w:marLeft w:val="0"/>
      <w:marRight w:val="0"/>
      <w:marTop w:val="0"/>
      <w:marBottom w:val="0"/>
      <w:divBdr>
        <w:top w:val="none" w:sz="0" w:space="0" w:color="auto"/>
        <w:left w:val="none" w:sz="0" w:space="0" w:color="auto"/>
        <w:bottom w:val="none" w:sz="0" w:space="0" w:color="auto"/>
        <w:right w:val="none" w:sz="0" w:space="0" w:color="auto"/>
      </w:divBdr>
      <w:divsChild>
        <w:div w:id="76100035">
          <w:marLeft w:val="0"/>
          <w:marRight w:val="0"/>
          <w:marTop w:val="0"/>
          <w:marBottom w:val="0"/>
          <w:divBdr>
            <w:top w:val="none" w:sz="0" w:space="0" w:color="auto"/>
            <w:left w:val="none" w:sz="0" w:space="0" w:color="auto"/>
            <w:bottom w:val="none" w:sz="0" w:space="0" w:color="auto"/>
            <w:right w:val="none" w:sz="0" w:space="0" w:color="auto"/>
          </w:divBdr>
          <w:divsChild>
            <w:div w:id="2039117178">
              <w:marLeft w:val="0"/>
              <w:marRight w:val="0"/>
              <w:marTop w:val="0"/>
              <w:marBottom w:val="0"/>
              <w:divBdr>
                <w:top w:val="none" w:sz="0" w:space="0" w:color="auto"/>
                <w:left w:val="none" w:sz="0" w:space="0" w:color="auto"/>
                <w:bottom w:val="none" w:sz="0" w:space="0" w:color="auto"/>
                <w:right w:val="none" w:sz="0" w:space="0" w:color="auto"/>
              </w:divBdr>
              <w:divsChild>
                <w:div w:id="92734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518520">
      <w:bodyDiv w:val="1"/>
      <w:marLeft w:val="0"/>
      <w:marRight w:val="0"/>
      <w:marTop w:val="0"/>
      <w:marBottom w:val="0"/>
      <w:divBdr>
        <w:top w:val="none" w:sz="0" w:space="0" w:color="auto"/>
        <w:left w:val="none" w:sz="0" w:space="0" w:color="auto"/>
        <w:bottom w:val="none" w:sz="0" w:space="0" w:color="auto"/>
        <w:right w:val="none" w:sz="0" w:space="0" w:color="auto"/>
      </w:divBdr>
      <w:divsChild>
        <w:div w:id="193420950">
          <w:marLeft w:val="0"/>
          <w:marRight w:val="0"/>
          <w:marTop w:val="0"/>
          <w:marBottom w:val="0"/>
          <w:divBdr>
            <w:top w:val="none" w:sz="0" w:space="0" w:color="auto"/>
            <w:left w:val="none" w:sz="0" w:space="0" w:color="auto"/>
            <w:bottom w:val="none" w:sz="0" w:space="0" w:color="auto"/>
            <w:right w:val="none" w:sz="0" w:space="0" w:color="auto"/>
          </w:divBdr>
        </w:div>
        <w:div w:id="1234896864">
          <w:marLeft w:val="0"/>
          <w:marRight w:val="0"/>
          <w:marTop w:val="0"/>
          <w:marBottom w:val="0"/>
          <w:divBdr>
            <w:top w:val="none" w:sz="0" w:space="0" w:color="auto"/>
            <w:left w:val="none" w:sz="0" w:space="0" w:color="auto"/>
            <w:bottom w:val="none" w:sz="0" w:space="0" w:color="auto"/>
            <w:right w:val="none" w:sz="0" w:space="0" w:color="auto"/>
          </w:divBdr>
        </w:div>
      </w:divsChild>
    </w:div>
    <w:div w:id="605313278">
      <w:bodyDiv w:val="1"/>
      <w:marLeft w:val="0"/>
      <w:marRight w:val="0"/>
      <w:marTop w:val="0"/>
      <w:marBottom w:val="0"/>
      <w:divBdr>
        <w:top w:val="none" w:sz="0" w:space="0" w:color="auto"/>
        <w:left w:val="none" w:sz="0" w:space="0" w:color="auto"/>
        <w:bottom w:val="none" w:sz="0" w:space="0" w:color="auto"/>
        <w:right w:val="none" w:sz="0" w:space="0" w:color="auto"/>
      </w:divBdr>
      <w:divsChild>
        <w:div w:id="745539665">
          <w:marLeft w:val="0"/>
          <w:marRight w:val="0"/>
          <w:marTop w:val="210"/>
          <w:marBottom w:val="0"/>
          <w:divBdr>
            <w:top w:val="none" w:sz="0" w:space="0" w:color="auto"/>
            <w:left w:val="none" w:sz="0" w:space="0" w:color="auto"/>
            <w:bottom w:val="none" w:sz="0" w:space="0" w:color="auto"/>
            <w:right w:val="none" w:sz="0" w:space="0" w:color="auto"/>
          </w:divBdr>
        </w:div>
      </w:divsChild>
    </w:div>
    <w:div w:id="643241876">
      <w:bodyDiv w:val="1"/>
      <w:marLeft w:val="0"/>
      <w:marRight w:val="0"/>
      <w:marTop w:val="0"/>
      <w:marBottom w:val="0"/>
      <w:divBdr>
        <w:top w:val="none" w:sz="0" w:space="0" w:color="auto"/>
        <w:left w:val="none" w:sz="0" w:space="0" w:color="auto"/>
        <w:bottom w:val="none" w:sz="0" w:space="0" w:color="auto"/>
        <w:right w:val="none" w:sz="0" w:space="0" w:color="auto"/>
      </w:divBdr>
    </w:div>
    <w:div w:id="687752566">
      <w:bodyDiv w:val="1"/>
      <w:marLeft w:val="0"/>
      <w:marRight w:val="0"/>
      <w:marTop w:val="0"/>
      <w:marBottom w:val="0"/>
      <w:divBdr>
        <w:top w:val="none" w:sz="0" w:space="0" w:color="auto"/>
        <w:left w:val="none" w:sz="0" w:space="0" w:color="auto"/>
        <w:bottom w:val="none" w:sz="0" w:space="0" w:color="auto"/>
        <w:right w:val="none" w:sz="0" w:space="0" w:color="auto"/>
      </w:divBdr>
    </w:div>
    <w:div w:id="694619814">
      <w:bodyDiv w:val="1"/>
      <w:marLeft w:val="0"/>
      <w:marRight w:val="0"/>
      <w:marTop w:val="0"/>
      <w:marBottom w:val="0"/>
      <w:divBdr>
        <w:top w:val="none" w:sz="0" w:space="0" w:color="auto"/>
        <w:left w:val="none" w:sz="0" w:space="0" w:color="auto"/>
        <w:bottom w:val="none" w:sz="0" w:space="0" w:color="auto"/>
        <w:right w:val="none" w:sz="0" w:space="0" w:color="auto"/>
      </w:divBdr>
    </w:div>
    <w:div w:id="739794555">
      <w:bodyDiv w:val="1"/>
      <w:marLeft w:val="0"/>
      <w:marRight w:val="0"/>
      <w:marTop w:val="0"/>
      <w:marBottom w:val="0"/>
      <w:divBdr>
        <w:top w:val="none" w:sz="0" w:space="0" w:color="auto"/>
        <w:left w:val="none" w:sz="0" w:space="0" w:color="auto"/>
        <w:bottom w:val="none" w:sz="0" w:space="0" w:color="auto"/>
        <w:right w:val="none" w:sz="0" w:space="0" w:color="auto"/>
      </w:divBdr>
    </w:div>
    <w:div w:id="767655339">
      <w:bodyDiv w:val="1"/>
      <w:marLeft w:val="0"/>
      <w:marRight w:val="0"/>
      <w:marTop w:val="0"/>
      <w:marBottom w:val="0"/>
      <w:divBdr>
        <w:top w:val="none" w:sz="0" w:space="0" w:color="auto"/>
        <w:left w:val="none" w:sz="0" w:space="0" w:color="auto"/>
        <w:bottom w:val="none" w:sz="0" w:space="0" w:color="auto"/>
        <w:right w:val="none" w:sz="0" w:space="0" w:color="auto"/>
      </w:divBdr>
    </w:div>
    <w:div w:id="769352636">
      <w:bodyDiv w:val="1"/>
      <w:marLeft w:val="0"/>
      <w:marRight w:val="0"/>
      <w:marTop w:val="0"/>
      <w:marBottom w:val="0"/>
      <w:divBdr>
        <w:top w:val="none" w:sz="0" w:space="0" w:color="auto"/>
        <w:left w:val="none" w:sz="0" w:space="0" w:color="auto"/>
        <w:bottom w:val="none" w:sz="0" w:space="0" w:color="auto"/>
        <w:right w:val="none" w:sz="0" w:space="0" w:color="auto"/>
      </w:divBdr>
    </w:div>
    <w:div w:id="809593822">
      <w:bodyDiv w:val="1"/>
      <w:marLeft w:val="0"/>
      <w:marRight w:val="0"/>
      <w:marTop w:val="0"/>
      <w:marBottom w:val="0"/>
      <w:divBdr>
        <w:top w:val="none" w:sz="0" w:space="0" w:color="auto"/>
        <w:left w:val="none" w:sz="0" w:space="0" w:color="auto"/>
        <w:bottom w:val="none" w:sz="0" w:space="0" w:color="auto"/>
        <w:right w:val="none" w:sz="0" w:space="0" w:color="auto"/>
      </w:divBdr>
      <w:divsChild>
        <w:div w:id="357590418">
          <w:marLeft w:val="0"/>
          <w:marRight w:val="0"/>
          <w:marTop w:val="0"/>
          <w:marBottom w:val="0"/>
          <w:divBdr>
            <w:top w:val="none" w:sz="0" w:space="0" w:color="auto"/>
            <w:left w:val="none" w:sz="0" w:space="0" w:color="auto"/>
            <w:bottom w:val="none" w:sz="0" w:space="0" w:color="auto"/>
            <w:right w:val="none" w:sz="0" w:space="0" w:color="auto"/>
          </w:divBdr>
          <w:divsChild>
            <w:div w:id="687219341">
              <w:marLeft w:val="0"/>
              <w:marRight w:val="0"/>
              <w:marTop w:val="0"/>
              <w:marBottom w:val="0"/>
              <w:divBdr>
                <w:top w:val="none" w:sz="0" w:space="0" w:color="auto"/>
                <w:left w:val="none" w:sz="0" w:space="0" w:color="auto"/>
                <w:bottom w:val="none" w:sz="0" w:space="0" w:color="auto"/>
                <w:right w:val="none" w:sz="0" w:space="0" w:color="auto"/>
              </w:divBdr>
              <w:divsChild>
                <w:div w:id="1419986840">
                  <w:marLeft w:val="0"/>
                  <w:marRight w:val="0"/>
                  <w:marTop w:val="0"/>
                  <w:marBottom w:val="0"/>
                  <w:divBdr>
                    <w:top w:val="none" w:sz="0" w:space="0" w:color="auto"/>
                    <w:left w:val="none" w:sz="0" w:space="0" w:color="auto"/>
                    <w:bottom w:val="none" w:sz="0" w:space="0" w:color="auto"/>
                    <w:right w:val="none" w:sz="0" w:space="0" w:color="auto"/>
                  </w:divBdr>
                  <w:divsChild>
                    <w:div w:id="1055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616351">
      <w:bodyDiv w:val="1"/>
      <w:marLeft w:val="0"/>
      <w:marRight w:val="0"/>
      <w:marTop w:val="0"/>
      <w:marBottom w:val="0"/>
      <w:divBdr>
        <w:top w:val="none" w:sz="0" w:space="0" w:color="auto"/>
        <w:left w:val="none" w:sz="0" w:space="0" w:color="auto"/>
        <w:bottom w:val="none" w:sz="0" w:space="0" w:color="auto"/>
        <w:right w:val="none" w:sz="0" w:space="0" w:color="auto"/>
      </w:divBdr>
    </w:div>
    <w:div w:id="930436263">
      <w:bodyDiv w:val="1"/>
      <w:marLeft w:val="0"/>
      <w:marRight w:val="0"/>
      <w:marTop w:val="0"/>
      <w:marBottom w:val="0"/>
      <w:divBdr>
        <w:top w:val="none" w:sz="0" w:space="0" w:color="auto"/>
        <w:left w:val="none" w:sz="0" w:space="0" w:color="auto"/>
        <w:bottom w:val="none" w:sz="0" w:space="0" w:color="auto"/>
        <w:right w:val="none" w:sz="0" w:space="0" w:color="auto"/>
      </w:divBdr>
    </w:div>
    <w:div w:id="1064525859">
      <w:bodyDiv w:val="1"/>
      <w:marLeft w:val="0"/>
      <w:marRight w:val="0"/>
      <w:marTop w:val="0"/>
      <w:marBottom w:val="0"/>
      <w:divBdr>
        <w:top w:val="none" w:sz="0" w:space="0" w:color="auto"/>
        <w:left w:val="none" w:sz="0" w:space="0" w:color="auto"/>
        <w:bottom w:val="none" w:sz="0" w:space="0" w:color="auto"/>
        <w:right w:val="none" w:sz="0" w:space="0" w:color="auto"/>
      </w:divBdr>
    </w:div>
    <w:div w:id="1095246876">
      <w:bodyDiv w:val="1"/>
      <w:marLeft w:val="0"/>
      <w:marRight w:val="0"/>
      <w:marTop w:val="0"/>
      <w:marBottom w:val="0"/>
      <w:divBdr>
        <w:top w:val="none" w:sz="0" w:space="0" w:color="auto"/>
        <w:left w:val="none" w:sz="0" w:space="0" w:color="auto"/>
        <w:bottom w:val="none" w:sz="0" w:space="0" w:color="auto"/>
        <w:right w:val="none" w:sz="0" w:space="0" w:color="auto"/>
      </w:divBdr>
    </w:div>
    <w:div w:id="1132552650">
      <w:bodyDiv w:val="1"/>
      <w:marLeft w:val="0"/>
      <w:marRight w:val="0"/>
      <w:marTop w:val="0"/>
      <w:marBottom w:val="0"/>
      <w:divBdr>
        <w:top w:val="none" w:sz="0" w:space="0" w:color="auto"/>
        <w:left w:val="none" w:sz="0" w:space="0" w:color="auto"/>
        <w:bottom w:val="none" w:sz="0" w:space="0" w:color="auto"/>
        <w:right w:val="none" w:sz="0" w:space="0" w:color="auto"/>
      </w:divBdr>
      <w:divsChild>
        <w:div w:id="1805192481">
          <w:marLeft w:val="0"/>
          <w:marRight w:val="0"/>
          <w:marTop w:val="0"/>
          <w:marBottom w:val="0"/>
          <w:divBdr>
            <w:top w:val="none" w:sz="0" w:space="0" w:color="auto"/>
            <w:left w:val="none" w:sz="0" w:space="0" w:color="auto"/>
            <w:bottom w:val="none" w:sz="0" w:space="0" w:color="auto"/>
            <w:right w:val="none" w:sz="0" w:space="0" w:color="auto"/>
          </w:divBdr>
          <w:divsChild>
            <w:div w:id="1873836794">
              <w:marLeft w:val="0"/>
              <w:marRight w:val="0"/>
              <w:marTop w:val="0"/>
              <w:marBottom w:val="0"/>
              <w:divBdr>
                <w:top w:val="none" w:sz="0" w:space="0" w:color="auto"/>
                <w:left w:val="none" w:sz="0" w:space="0" w:color="auto"/>
                <w:bottom w:val="none" w:sz="0" w:space="0" w:color="auto"/>
                <w:right w:val="none" w:sz="0" w:space="0" w:color="auto"/>
              </w:divBdr>
              <w:divsChild>
                <w:div w:id="355080467">
                  <w:marLeft w:val="0"/>
                  <w:marRight w:val="0"/>
                  <w:marTop w:val="0"/>
                  <w:marBottom w:val="0"/>
                  <w:divBdr>
                    <w:top w:val="none" w:sz="0" w:space="0" w:color="auto"/>
                    <w:left w:val="none" w:sz="0" w:space="0" w:color="auto"/>
                    <w:bottom w:val="none" w:sz="0" w:space="0" w:color="auto"/>
                    <w:right w:val="none" w:sz="0" w:space="0" w:color="auto"/>
                  </w:divBdr>
                  <w:divsChild>
                    <w:div w:id="1293747204">
                      <w:marLeft w:val="0"/>
                      <w:marRight w:val="0"/>
                      <w:marTop w:val="0"/>
                      <w:marBottom w:val="0"/>
                      <w:divBdr>
                        <w:top w:val="none" w:sz="0" w:space="0" w:color="auto"/>
                        <w:left w:val="none" w:sz="0" w:space="0" w:color="auto"/>
                        <w:bottom w:val="none" w:sz="0" w:space="0" w:color="auto"/>
                        <w:right w:val="none" w:sz="0" w:space="0" w:color="auto"/>
                      </w:divBdr>
                      <w:divsChild>
                        <w:div w:id="87388697">
                          <w:marLeft w:val="0"/>
                          <w:marRight w:val="0"/>
                          <w:marTop w:val="0"/>
                          <w:marBottom w:val="0"/>
                          <w:divBdr>
                            <w:top w:val="none" w:sz="0" w:space="0" w:color="auto"/>
                            <w:left w:val="none" w:sz="0" w:space="0" w:color="auto"/>
                            <w:bottom w:val="none" w:sz="0" w:space="0" w:color="auto"/>
                            <w:right w:val="none" w:sz="0" w:space="0" w:color="auto"/>
                          </w:divBdr>
                          <w:divsChild>
                            <w:div w:id="250743001">
                              <w:marLeft w:val="-240"/>
                              <w:marRight w:val="-120"/>
                              <w:marTop w:val="0"/>
                              <w:marBottom w:val="0"/>
                              <w:divBdr>
                                <w:top w:val="none" w:sz="0" w:space="0" w:color="auto"/>
                                <w:left w:val="none" w:sz="0" w:space="0" w:color="auto"/>
                                <w:bottom w:val="none" w:sz="0" w:space="0" w:color="auto"/>
                                <w:right w:val="none" w:sz="0" w:space="0" w:color="auto"/>
                              </w:divBdr>
                              <w:divsChild>
                                <w:div w:id="1557859783">
                                  <w:marLeft w:val="0"/>
                                  <w:marRight w:val="0"/>
                                  <w:marTop w:val="0"/>
                                  <w:marBottom w:val="60"/>
                                  <w:divBdr>
                                    <w:top w:val="none" w:sz="0" w:space="0" w:color="auto"/>
                                    <w:left w:val="none" w:sz="0" w:space="0" w:color="auto"/>
                                    <w:bottom w:val="none" w:sz="0" w:space="0" w:color="auto"/>
                                    <w:right w:val="none" w:sz="0" w:space="0" w:color="auto"/>
                                  </w:divBdr>
                                  <w:divsChild>
                                    <w:div w:id="1828933803">
                                      <w:marLeft w:val="0"/>
                                      <w:marRight w:val="0"/>
                                      <w:marTop w:val="0"/>
                                      <w:marBottom w:val="0"/>
                                      <w:divBdr>
                                        <w:top w:val="none" w:sz="0" w:space="0" w:color="auto"/>
                                        <w:left w:val="none" w:sz="0" w:space="0" w:color="auto"/>
                                        <w:bottom w:val="none" w:sz="0" w:space="0" w:color="auto"/>
                                        <w:right w:val="none" w:sz="0" w:space="0" w:color="auto"/>
                                      </w:divBdr>
                                      <w:divsChild>
                                        <w:div w:id="550000599">
                                          <w:marLeft w:val="0"/>
                                          <w:marRight w:val="0"/>
                                          <w:marTop w:val="0"/>
                                          <w:marBottom w:val="0"/>
                                          <w:divBdr>
                                            <w:top w:val="none" w:sz="0" w:space="0" w:color="auto"/>
                                            <w:left w:val="none" w:sz="0" w:space="0" w:color="auto"/>
                                            <w:bottom w:val="none" w:sz="0" w:space="0" w:color="auto"/>
                                            <w:right w:val="none" w:sz="0" w:space="0" w:color="auto"/>
                                          </w:divBdr>
                                          <w:divsChild>
                                            <w:div w:id="391316521">
                                              <w:marLeft w:val="0"/>
                                              <w:marRight w:val="0"/>
                                              <w:marTop w:val="0"/>
                                              <w:marBottom w:val="0"/>
                                              <w:divBdr>
                                                <w:top w:val="none" w:sz="0" w:space="0" w:color="auto"/>
                                                <w:left w:val="none" w:sz="0" w:space="0" w:color="auto"/>
                                                <w:bottom w:val="none" w:sz="0" w:space="0" w:color="auto"/>
                                                <w:right w:val="none" w:sz="0" w:space="0" w:color="auto"/>
                                              </w:divBdr>
                                              <w:divsChild>
                                                <w:div w:id="4097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7852">
          <w:marLeft w:val="0"/>
          <w:marRight w:val="0"/>
          <w:marTop w:val="0"/>
          <w:marBottom w:val="0"/>
          <w:divBdr>
            <w:top w:val="none" w:sz="0" w:space="0" w:color="auto"/>
            <w:left w:val="none" w:sz="0" w:space="0" w:color="auto"/>
            <w:bottom w:val="none" w:sz="0" w:space="0" w:color="auto"/>
            <w:right w:val="none" w:sz="0" w:space="0" w:color="auto"/>
          </w:divBdr>
          <w:divsChild>
            <w:div w:id="1132671783">
              <w:marLeft w:val="0"/>
              <w:marRight w:val="0"/>
              <w:marTop w:val="0"/>
              <w:marBottom w:val="0"/>
              <w:divBdr>
                <w:top w:val="none" w:sz="0" w:space="0" w:color="auto"/>
                <w:left w:val="none" w:sz="0" w:space="0" w:color="auto"/>
                <w:bottom w:val="none" w:sz="0" w:space="0" w:color="auto"/>
                <w:right w:val="none" w:sz="0" w:space="0" w:color="auto"/>
              </w:divBdr>
              <w:divsChild>
                <w:div w:id="1341352989">
                  <w:marLeft w:val="0"/>
                  <w:marRight w:val="0"/>
                  <w:marTop w:val="0"/>
                  <w:marBottom w:val="0"/>
                  <w:divBdr>
                    <w:top w:val="none" w:sz="0" w:space="0" w:color="auto"/>
                    <w:left w:val="none" w:sz="0" w:space="0" w:color="auto"/>
                    <w:bottom w:val="none" w:sz="0" w:space="0" w:color="auto"/>
                    <w:right w:val="none" w:sz="0" w:space="0" w:color="auto"/>
                  </w:divBdr>
                  <w:divsChild>
                    <w:div w:id="1575356699">
                      <w:marLeft w:val="0"/>
                      <w:marRight w:val="0"/>
                      <w:marTop w:val="0"/>
                      <w:marBottom w:val="0"/>
                      <w:divBdr>
                        <w:top w:val="none" w:sz="0" w:space="0" w:color="auto"/>
                        <w:left w:val="none" w:sz="0" w:space="0" w:color="auto"/>
                        <w:bottom w:val="none" w:sz="0" w:space="0" w:color="auto"/>
                        <w:right w:val="none" w:sz="0" w:space="0" w:color="auto"/>
                      </w:divBdr>
                      <w:divsChild>
                        <w:div w:id="2063207200">
                          <w:marLeft w:val="0"/>
                          <w:marRight w:val="0"/>
                          <w:marTop w:val="0"/>
                          <w:marBottom w:val="0"/>
                          <w:divBdr>
                            <w:top w:val="none" w:sz="0" w:space="0" w:color="auto"/>
                            <w:left w:val="none" w:sz="0" w:space="0" w:color="auto"/>
                            <w:bottom w:val="none" w:sz="0" w:space="0" w:color="auto"/>
                            <w:right w:val="none" w:sz="0" w:space="0" w:color="auto"/>
                          </w:divBdr>
                          <w:divsChild>
                            <w:div w:id="163327781">
                              <w:marLeft w:val="0"/>
                              <w:marRight w:val="120"/>
                              <w:marTop w:val="0"/>
                              <w:marBottom w:val="0"/>
                              <w:divBdr>
                                <w:top w:val="none" w:sz="0" w:space="0" w:color="auto"/>
                                <w:left w:val="none" w:sz="0" w:space="0" w:color="auto"/>
                                <w:bottom w:val="none" w:sz="0" w:space="0" w:color="auto"/>
                                <w:right w:val="none" w:sz="0" w:space="0" w:color="auto"/>
                              </w:divBdr>
                              <w:divsChild>
                                <w:div w:id="793715635">
                                  <w:marLeft w:val="-300"/>
                                  <w:marRight w:val="0"/>
                                  <w:marTop w:val="0"/>
                                  <w:marBottom w:val="0"/>
                                  <w:divBdr>
                                    <w:top w:val="none" w:sz="0" w:space="0" w:color="auto"/>
                                    <w:left w:val="none" w:sz="0" w:space="0" w:color="auto"/>
                                    <w:bottom w:val="none" w:sz="0" w:space="0" w:color="auto"/>
                                    <w:right w:val="none" w:sz="0" w:space="0" w:color="auto"/>
                                  </w:divBdr>
                                </w:div>
                              </w:divsChild>
                            </w:div>
                            <w:div w:id="289239785">
                              <w:marLeft w:val="-240"/>
                              <w:marRight w:val="-120"/>
                              <w:marTop w:val="0"/>
                              <w:marBottom w:val="0"/>
                              <w:divBdr>
                                <w:top w:val="none" w:sz="0" w:space="0" w:color="auto"/>
                                <w:left w:val="none" w:sz="0" w:space="0" w:color="auto"/>
                                <w:bottom w:val="none" w:sz="0" w:space="0" w:color="auto"/>
                                <w:right w:val="none" w:sz="0" w:space="0" w:color="auto"/>
                              </w:divBdr>
                              <w:divsChild>
                                <w:div w:id="395591471">
                                  <w:marLeft w:val="0"/>
                                  <w:marRight w:val="0"/>
                                  <w:marTop w:val="0"/>
                                  <w:marBottom w:val="60"/>
                                  <w:divBdr>
                                    <w:top w:val="none" w:sz="0" w:space="0" w:color="auto"/>
                                    <w:left w:val="none" w:sz="0" w:space="0" w:color="auto"/>
                                    <w:bottom w:val="none" w:sz="0" w:space="0" w:color="auto"/>
                                    <w:right w:val="none" w:sz="0" w:space="0" w:color="auto"/>
                                  </w:divBdr>
                                  <w:divsChild>
                                    <w:div w:id="771172155">
                                      <w:marLeft w:val="0"/>
                                      <w:marRight w:val="0"/>
                                      <w:marTop w:val="0"/>
                                      <w:marBottom w:val="0"/>
                                      <w:divBdr>
                                        <w:top w:val="none" w:sz="0" w:space="0" w:color="auto"/>
                                        <w:left w:val="none" w:sz="0" w:space="0" w:color="auto"/>
                                        <w:bottom w:val="none" w:sz="0" w:space="0" w:color="auto"/>
                                        <w:right w:val="none" w:sz="0" w:space="0" w:color="auto"/>
                                      </w:divBdr>
                                      <w:divsChild>
                                        <w:div w:id="1514371779">
                                          <w:marLeft w:val="0"/>
                                          <w:marRight w:val="0"/>
                                          <w:marTop w:val="0"/>
                                          <w:marBottom w:val="0"/>
                                          <w:divBdr>
                                            <w:top w:val="none" w:sz="0" w:space="0" w:color="auto"/>
                                            <w:left w:val="none" w:sz="0" w:space="0" w:color="auto"/>
                                            <w:bottom w:val="none" w:sz="0" w:space="0" w:color="auto"/>
                                            <w:right w:val="none" w:sz="0" w:space="0" w:color="auto"/>
                                          </w:divBdr>
                                          <w:divsChild>
                                            <w:div w:id="1913586954">
                                              <w:marLeft w:val="0"/>
                                              <w:marRight w:val="0"/>
                                              <w:marTop w:val="0"/>
                                              <w:marBottom w:val="0"/>
                                              <w:divBdr>
                                                <w:top w:val="none" w:sz="0" w:space="0" w:color="auto"/>
                                                <w:left w:val="none" w:sz="0" w:space="0" w:color="auto"/>
                                                <w:bottom w:val="none" w:sz="0" w:space="0" w:color="auto"/>
                                                <w:right w:val="none" w:sz="0" w:space="0" w:color="auto"/>
                                              </w:divBdr>
                                              <w:divsChild>
                                                <w:div w:id="113475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347851">
      <w:bodyDiv w:val="1"/>
      <w:marLeft w:val="0"/>
      <w:marRight w:val="0"/>
      <w:marTop w:val="0"/>
      <w:marBottom w:val="0"/>
      <w:divBdr>
        <w:top w:val="none" w:sz="0" w:space="0" w:color="auto"/>
        <w:left w:val="none" w:sz="0" w:space="0" w:color="auto"/>
        <w:bottom w:val="none" w:sz="0" w:space="0" w:color="auto"/>
        <w:right w:val="none" w:sz="0" w:space="0" w:color="auto"/>
      </w:divBdr>
      <w:divsChild>
        <w:div w:id="506018265">
          <w:marLeft w:val="446"/>
          <w:marRight w:val="0"/>
          <w:marTop w:val="0"/>
          <w:marBottom w:val="0"/>
          <w:divBdr>
            <w:top w:val="none" w:sz="0" w:space="0" w:color="auto"/>
            <w:left w:val="none" w:sz="0" w:space="0" w:color="auto"/>
            <w:bottom w:val="none" w:sz="0" w:space="0" w:color="auto"/>
            <w:right w:val="none" w:sz="0" w:space="0" w:color="auto"/>
          </w:divBdr>
        </w:div>
      </w:divsChild>
    </w:div>
    <w:div w:id="1183475266">
      <w:bodyDiv w:val="1"/>
      <w:marLeft w:val="0"/>
      <w:marRight w:val="0"/>
      <w:marTop w:val="0"/>
      <w:marBottom w:val="0"/>
      <w:divBdr>
        <w:top w:val="none" w:sz="0" w:space="0" w:color="auto"/>
        <w:left w:val="none" w:sz="0" w:space="0" w:color="auto"/>
        <w:bottom w:val="none" w:sz="0" w:space="0" w:color="auto"/>
        <w:right w:val="none" w:sz="0" w:space="0" w:color="auto"/>
      </w:divBdr>
      <w:divsChild>
        <w:div w:id="2041737362">
          <w:marLeft w:val="0"/>
          <w:marRight w:val="0"/>
          <w:marTop w:val="210"/>
          <w:marBottom w:val="0"/>
          <w:divBdr>
            <w:top w:val="none" w:sz="0" w:space="0" w:color="auto"/>
            <w:left w:val="none" w:sz="0" w:space="0" w:color="auto"/>
            <w:bottom w:val="none" w:sz="0" w:space="0" w:color="auto"/>
            <w:right w:val="none" w:sz="0" w:space="0" w:color="auto"/>
          </w:divBdr>
        </w:div>
      </w:divsChild>
    </w:div>
    <w:div w:id="1344555169">
      <w:bodyDiv w:val="1"/>
      <w:marLeft w:val="0"/>
      <w:marRight w:val="0"/>
      <w:marTop w:val="0"/>
      <w:marBottom w:val="0"/>
      <w:divBdr>
        <w:top w:val="none" w:sz="0" w:space="0" w:color="auto"/>
        <w:left w:val="none" w:sz="0" w:space="0" w:color="auto"/>
        <w:bottom w:val="none" w:sz="0" w:space="0" w:color="auto"/>
        <w:right w:val="none" w:sz="0" w:space="0" w:color="auto"/>
      </w:divBdr>
      <w:divsChild>
        <w:div w:id="394159413">
          <w:marLeft w:val="1267"/>
          <w:marRight w:val="0"/>
          <w:marTop w:val="0"/>
          <w:marBottom w:val="0"/>
          <w:divBdr>
            <w:top w:val="none" w:sz="0" w:space="0" w:color="auto"/>
            <w:left w:val="none" w:sz="0" w:space="0" w:color="auto"/>
            <w:bottom w:val="none" w:sz="0" w:space="0" w:color="auto"/>
            <w:right w:val="none" w:sz="0" w:space="0" w:color="auto"/>
          </w:divBdr>
        </w:div>
        <w:div w:id="494879053">
          <w:marLeft w:val="1267"/>
          <w:marRight w:val="0"/>
          <w:marTop w:val="0"/>
          <w:marBottom w:val="0"/>
          <w:divBdr>
            <w:top w:val="none" w:sz="0" w:space="0" w:color="auto"/>
            <w:left w:val="none" w:sz="0" w:space="0" w:color="auto"/>
            <w:bottom w:val="none" w:sz="0" w:space="0" w:color="auto"/>
            <w:right w:val="none" w:sz="0" w:space="0" w:color="auto"/>
          </w:divBdr>
        </w:div>
        <w:div w:id="1764564493">
          <w:marLeft w:val="1267"/>
          <w:marRight w:val="0"/>
          <w:marTop w:val="0"/>
          <w:marBottom w:val="0"/>
          <w:divBdr>
            <w:top w:val="none" w:sz="0" w:space="0" w:color="auto"/>
            <w:left w:val="none" w:sz="0" w:space="0" w:color="auto"/>
            <w:bottom w:val="none" w:sz="0" w:space="0" w:color="auto"/>
            <w:right w:val="none" w:sz="0" w:space="0" w:color="auto"/>
          </w:divBdr>
        </w:div>
      </w:divsChild>
    </w:div>
    <w:div w:id="1352996372">
      <w:bodyDiv w:val="1"/>
      <w:marLeft w:val="0"/>
      <w:marRight w:val="0"/>
      <w:marTop w:val="0"/>
      <w:marBottom w:val="0"/>
      <w:divBdr>
        <w:top w:val="none" w:sz="0" w:space="0" w:color="auto"/>
        <w:left w:val="none" w:sz="0" w:space="0" w:color="auto"/>
        <w:bottom w:val="none" w:sz="0" w:space="0" w:color="auto"/>
        <w:right w:val="none" w:sz="0" w:space="0" w:color="auto"/>
      </w:divBdr>
      <w:divsChild>
        <w:div w:id="789282383">
          <w:marLeft w:val="0"/>
          <w:marRight w:val="0"/>
          <w:marTop w:val="0"/>
          <w:marBottom w:val="0"/>
          <w:divBdr>
            <w:top w:val="none" w:sz="0" w:space="0" w:color="auto"/>
            <w:left w:val="none" w:sz="0" w:space="0" w:color="auto"/>
            <w:bottom w:val="none" w:sz="0" w:space="0" w:color="auto"/>
            <w:right w:val="none" w:sz="0" w:space="0" w:color="auto"/>
          </w:divBdr>
          <w:divsChild>
            <w:div w:id="1352411984">
              <w:marLeft w:val="0"/>
              <w:marRight w:val="0"/>
              <w:marTop w:val="0"/>
              <w:marBottom w:val="0"/>
              <w:divBdr>
                <w:top w:val="none" w:sz="0" w:space="0" w:color="auto"/>
                <w:left w:val="none" w:sz="0" w:space="0" w:color="auto"/>
                <w:bottom w:val="none" w:sz="0" w:space="0" w:color="auto"/>
                <w:right w:val="none" w:sz="0" w:space="0" w:color="auto"/>
              </w:divBdr>
              <w:divsChild>
                <w:div w:id="878467617">
                  <w:marLeft w:val="0"/>
                  <w:marRight w:val="0"/>
                  <w:marTop w:val="0"/>
                  <w:marBottom w:val="0"/>
                  <w:divBdr>
                    <w:top w:val="none" w:sz="0" w:space="0" w:color="auto"/>
                    <w:left w:val="none" w:sz="0" w:space="0" w:color="auto"/>
                    <w:bottom w:val="none" w:sz="0" w:space="0" w:color="auto"/>
                    <w:right w:val="none" w:sz="0" w:space="0" w:color="auto"/>
                  </w:divBdr>
                  <w:divsChild>
                    <w:div w:id="248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272773">
          <w:marLeft w:val="0"/>
          <w:marRight w:val="0"/>
          <w:marTop w:val="0"/>
          <w:marBottom w:val="0"/>
          <w:divBdr>
            <w:top w:val="none" w:sz="0" w:space="0" w:color="auto"/>
            <w:left w:val="none" w:sz="0" w:space="0" w:color="auto"/>
            <w:bottom w:val="none" w:sz="0" w:space="0" w:color="auto"/>
            <w:right w:val="none" w:sz="0" w:space="0" w:color="auto"/>
          </w:divBdr>
          <w:divsChild>
            <w:div w:id="969483667">
              <w:marLeft w:val="0"/>
              <w:marRight w:val="0"/>
              <w:marTop w:val="0"/>
              <w:marBottom w:val="0"/>
              <w:divBdr>
                <w:top w:val="none" w:sz="0" w:space="0" w:color="auto"/>
                <w:left w:val="none" w:sz="0" w:space="0" w:color="auto"/>
                <w:bottom w:val="none" w:sz="0" w:space="0" w:color="auto"/>
                <w:right w:val="none" w:sz="0" w:space="0" w:color="auto"/>
              </w:divBdr>
              <w:divsChild>
                <w:div w:id="1252396064">
                  <w:marLeft w:val="0"/>
                  <w:marRight w:val="0"/>
                  <w:marTop w:val="0"/>
                  <w:marBottom w:val="0"/>
                  <w:divBdr>
                    <w:top w:val="none" w:sz="0" w:space="0" w:color="auto"/>
                    <w:left w:val="none" w:sz="0" w:space="0" w:color="auto"/>
                    <w:bottom w:val="none" w:sz="0" w:space="0" w:color="auto"/>
                    <w:right w:val="none" w:sz="0" w:space="0" w:color="auto"/>
                  </w:divBdr>
                </w:div>
              </w:divsChild>
            </w:div>
            <w:div w:id="329529528">
              <w:marLeft w:val="0"/>
              <w:marRight w:val="0"/>
              <w:marTop w:val="0"/>
              <w:marBottom w:val="0"/>
              <w:divBdr>
                <w:top w:val="none" w:sz="0" w:space="0" w:color="auto"/>
                <w:left w:val="none" w:sz="0" w:space="0" w:color="auto"/>
                <w:bottom w:val="none" w:sz="0" w:space="0" w:color="auto"/>
                <w:right w:val="none" w:sz="0" w:space="0" w:color="auto"/>
              </w:divBdr>
              <w:divsChild>
                <w:div w:id="5590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03013">
      <w:bodyDiv w:val="1"/>
      <w:marLeft w:val="0"/>
      <w:marRight w:val="0"/>
      <w:marTop w:val="0"/>
      <w:marBottom w:val="0"/>
      <w:divBdr>
        <w:top w:val="none" w:sz="0" w:space="0" w:color="auto"/>
        <w:left w:val="none" w:sz="0" w:space="0" w:color="auto"/>
        <w:bottom w:val="none" w:sz="0" w:space="0" w:color="auto"/>
        <w:right w:val="none" w:sz="0" w:space="0" w:color="auto"/>
      </w:divBdr>
      <w:divsChild>
        <w:div w:id="154686866">
          <w:marLeft w:val="0"/>
          <w:marRight w:val="0"/>
          <w:marTop w:val="0"/>
          <w:marBottom w:val="0"/>
          <w:divBdr>
            <w:top w:val="none" w:sz="0" w:space="0" w:color="auto"/>
            <w:left w:val="none" w:sz="0" w:space="0" w:color="auto"/>
            <w:bottom w:val="none" w:sz="0" w:space="0" w:color="auto"/>
            <w:right w:val="none" w:sz="0" w:space="0" w:color="auto"/>
          </w:divBdr>
        </w:div>
        <w:div w:id="1752701215">
          <w:marLeft w:val="0"/>
          <w:marRight w:val="0"/>
          <w:marTop w:val="0"/>
          <w:marBottom w:val="0"/>
          <w:divBdr>
            <w:top w:val="none" w:sz="0" w:space="0" w:color="auto"/>
            <w:left w:val="none" w:sz="0" w:space="0" w:color="auto"/>
            <w:bottom w:val="none" w:sz="0" w:space="0" w:color="auto"/>
            <w:right w:val="none" w:sz="0" w:space="0" w:color="auto"/>
          </w:divBdr>
        </w:div>
      </w:divsChild>
    </w:div>
    <w:div w:id="1377587251">
      <w:bodyDiv w:val="1"/>
      <w:marLeft w:val="0"/>
      <w:marRight w:val="0"/>
      <w:marTop w:val="0"/>
      <w:marBottom w:val="0"/>
      <w:divBdr>
        <w:top w:val="none" w:sz="0" w:space="0" w:color="auto"/>
        <w:left w:val="none" w:sz="0" w:space="0" w:color="auto"/>
        <w:bottom w:val="none" w:sz="0" w:space="0" w:color="auto"/>
        <w:right w:val="none" w:sz="0" w:space="0" w:color="auto"/>
      </w:divBdr>
    </w:div>
    <w:div w:id="1394154041">
      <w:bodyDiv w:val="1"/>
      <w:marLeft w:val="0"/>
      <w:marRight w:val="0"/>
      <w:marTop w:val="0"/>
      <w:marBottom w:val="0"/>
      <w:divBdr>
        <w:top w:val="none" w:sz="0" w:space="0" w:color="auto"/>
        <w:left w:val="none" w:sz="0" w:space="0" w:color="auto"/>
        <w:bottom w:val="none" w:sz="0" w:space="0" w:color="auto"/>
        <w:right w:val="none" w:sz="0" w:space="0" w:color="auto"/>
      </w:divBdr>
    </w:div>
    <w:div w:id="1472214974">
      <w:bodyDiv w:val="1"/>
      <w:marLeft w:val="0"/>
      <w:marRight w:val="0"/>
      <w:marTop w:val="0"/>
      <w:marBottom w:val="0"/>
      <w:divBdr>
        <w:top w:val="none" w:sz="0" w:space="0" w:color="auto"/>
        <w:left w:val="none" w:sz="0" w:space="0" w:color="auto"/>
        <w:bottom w:val="none" w:sz="0" w:space="0" w:color="auto"/>
        <w:right w:val="none" w:sz="0" w:space="0" w:color="auto"/>
      </w:divBdr>
    </w:div>
    <w:div w:id="1481577000">
      <w:bodyDiv w:val="1"/>
      <w:marLeft w:val="0"/>
      <w:marRight w:val="0"/>
      <w:marTop w:val="0"/>
      <w:marBottom w:val="0"/>
      <w:divBdr>
        <w:top w:val="none" w:sz="0" w:space="0" w:color="auto"/>
        <w:left w:val="none" w:sz="0" w:space="0" w:color="auto"/>
        <w:bottom w:val="none" w:sz="0" w:space="0" w:color="auto"/>
        <w:right w:val="none" w:sz="0" w:space="0" w:color="auto"/>
      </w:divBdr>
      <w:divsChild>
        <w:div w:id="341512906">
          <w:marLeft w:val="446"/>
          <w:marRight w:val="0"/>
          <w:marTop w:val="0"/>
          <w:marBottom w:val="0"/>
          <w:divBdr>
            <w:top w:val="none" w:sz="0" w:space="0" w:color="auto"/>
            <w:left w:val="none" w:sz="0" w:space="0" w:color="auto"/>
            <w:bottom w:val="none" w:sz="0" w:space="0" w:color="auto"/>
            <w:right w:val="none" w:sz="0" w:space="0" w:color="auto"/>
          </w:divBdr>
        </w:div>
        <w:div w:id="725376919">
          <w:marLeft w:val="446"/>
          <w:marRight w:val="0"/>
          <w:marTop w:val="0"/>
          <w:marBottom w:val="0"/>
          <w:divBdr>
            <w:top w:val="none" w:sz="0" w:space="0" w:color="auto"/>
            <w:left w:val="none" w:sz="0" w:space="0" w:color="auto"/>
            <w:bottom w:val="none" w:sz="0" w:space="0" w:color="auto"/>
            <w:right w:val="none" w:sz="0" w:space="0" w:color="auto"/>
          </w:divBdr>
        </w:div>
        <w:div w:id="1191071047">
          <w:marLeft w:val="446"/>
          <w:marRight w:val="0"/>
          <w:marTop w:val="0"/>
          <w:marBottom w:val="0"/>
          <w:divBdr>
            <w:top w:val="none" w:sz="0" w:space="0" w:color="auto"/>
            <w:left w:val="none" w:sz="0" w:space="0" w:color="auto"/>
            <w:bottom w:val="none" w:sz="0" w:space="0" w:color="auto"/>
            <w:right w:val="none" w:sz="0" w:space="0" w:color="auto"/>
          </w:divBdr>
        </w:div>
      </w:divsChild>
    </w:div>
    <w:div w:id="1484739526">
      <w:bodyDiv w:val="1"/>
      <w:marLeft w:val="0"/>
      <w:marRight w:val="0"/>
      <w:marTop w:val="0"/>
      <w:marBottom w:val="0"/>
      <w:divBdr>
        <w:top w:val="none" w:sz="0" w:space="0" w:color="auto"/>
        <w:left w:val="none" w:sz="0" w:space="0" w:color="auto"/>
        <w:bottom w:val="none" w:sz="0" w:space="0" w:color="auto"/>
        <w:right w:val="none" w:sz="0" w:space="0" w:color="auto"/>
      </w:divBdr>
      <w:divsChild>
        <w:div w:id="70322272">
          <w:marLeft w:val="446"/>
          <w:marRight w:val="0"/>
          <w:marTop w:val="0"/>
          <w:marBottom w:val="0"/>
          <w:divBdr>
            <w:top w:val="none" w:sz="0" w:space="0" w:color="auto"/>
            <w:left w:val="none" w:sz="0" w:space="0" w:color="auto"/>
            <w:bottom w:val="none" w:sz="0" w:space="0" w:color="auto"/>
            <w:right w:val="none" w:sz="0" w:space="0" w:color="auto"/>
          </w:divBdr>
        </w:div>
      </w:divsChild>
    </w:div>
    <w:div w:id="1537429314">
      <w:bodyDiv w:val="1"/>
      <w:marLeft w:val="0"/>
      <w:marRight w:val="0"/>
      <w:marTop w:val="0"/>
      <w:marBottom w:val="0"/>
      <w:divBdr>
        <w:top w:val="none" w:sz="0" w:space="0" w:color="auto"/>
        <w:left w:val="none" w:sz="0" w:space="0" w:color="auto"/>
        <w:bottom w:val="none" w:sz="0" w:space="0" w:color="auto"/>
        <w:right w:val="none" w:sz="0" w:space="0" w:color="auto"/>
      </w:divBdr>
    </w:div>
    <w:div w:id="1558054473">
      <w:bodyDiv w:val="1"/>
      <w:marLeft w:val="0"/>
      <w:marRight w:val="0"/>
      <w:marTop w:val="0"/>
      <w:marBottom w:val="0"/>
      <w:divBdr>
        <w:top w:val="none" w:sz="0" w:space="0" w:color="auto"/>
        <w:left w:val="none" w:sz="0" w:space="0" w:color="auto"/>
        <w:bottom w:val="none" w:sz="0" w:space="0" w:color="auto"/>
        <w:right w:val="none" w:sz="0" w:space="0" w:color="auto"/>
      </w:divBdr>
    </w:div>
    <w:div w:id="1653099239">
      <w:bodyDiv w:val="1"/>
      <w:marLeft w:val="0"/>
      <w:marRight w:val="0"/>
      <w:marTop w:val="0"/>
      <w:marBottom w:val="0"/>
      <w:divBdr>
        <w:top w:val="none" w:sz="0" w:space="0" w:color="auto"/>
        <w:left w:val="none" w:sz="0" w:space="0" w:color="auto"/>
        <w:bottom w:val="none" w:sz="0" w:space="0" w:color="auto"/>
        <w:right w:val="none" w:sz="0" w:space="0" w:color="auto"/>
      </w:divBdr>
    </w:div>
    <w:div w:id="1705400466">
      <w:bodyDiv w:val="1"/>
      <w:marLeft w:val="0"/>
      <w:marRight w:val="0"/>
      <w:marTop w:val="0"/>
      <w:marBottom w:val="0"/>
      <w:divBdr>
        <w:top w:val="none" w:sz="0" w:space="0" w:color="auto"/>
        <w:left w:val="none" w:sz="0" w:space="0" w:color="auto"/>
        <w:bottom w:val="none" w:sz="0" w:space="0" w:color="auto"/>
        <w:right w:val="none" w:sz="0" w:space="0" w:color="auto"/>
      </w:divBdr>
    </w:div>
    <w:div w:id="1764180586">
      <w:bodyDiv w:val="1"/>
      <w:marLeft w:val="0"/>
      <w:marRight w:val="0"/>
      <w:marTop w:val="0"/>
      <w:marBottom w:val="0"/>
      <w:divBdr>
        <w:top w:val="none" w:sz="0" w:space="0" w:color="auto"/>
        <w:left w:val="none" w:sz="0" w:space="0" w:color="auto"/>
        <w:bottom w:val="none" w:sz="0" w:space="0" w:color="auto"/>
        <w:right w:val="none" w:sz="0" w:space="0" w:color="auto"/>
      </w:divBdr>
    </w:div>
    <w:div w:id="1786577481">
      <w:bodyDiv w:val="1"/>
      <w:marLeft w:val="0"/>
      <w:marRight w:val="0"/>
      <w:marTop w:val="0"/>
      <w:marBottom w:val="0"/>
      <w:divBdr>
        <w:top w:val="none" w:sz="0" w:space="0" w:color="auto"/>
        <w:left w:val="none" w:sz="0" w:space="0" w:color="auto"/>
        <w:bottom w:val="none" w:sz="0" w:space="0" w:color="auto"/>
        <w:right w:val="none" w:sz="0" w:space="0" w:color="auto"/>
      </w:divBdr>
      <w:divsChild>
        <w:div w:id="632443122">
          <w:marLeft w:val="0"/>
          <w:marRight w:val="0"/>
          <w:marTop w:val="0"/>
          <w:marBottom w:val="0"/>
          <w:divBdr>
            <w:top w:val="none" w:sz="0" w:space="0" w:color="auto"/>
            <w:left w:val="none" w:sz="0" w:space="0" w:color="auto"/>
            <w:bottom w:val="none" w:sz="0" w:space="0" w:color="auto"/>
            <w:right w:val="none" w:sz="0" w:space="0" w:color="auto"/>
          </w:divBdr>
        </w:div>
        <w:div w:id="1868713887">
          <w:marLeft w:val="0"/>
          <w:marRight w:val="0"/>
          <w:marTop w:val="0"/>
          <w:marBottom w:val="0"/>
          <w:divBdr>
            <w:top w:val="none" w:sz="0" w:space="0" w:color="auto"/>
            <w:left w:val="none" w:sz="0" w:space="0" w:color="auto"/>
            <w:bottom w:val="none" w:sz="0" w:space="0" w:color="auto"/>
            <w:right w:val="none" w:sz="0" w:space="0" w:color="auto"/>
          </w:divBdr>
        </w:div>
      </w:divsChild>
    </w:div>
    <w:div w:id="1832720764">
      <w:bodyDiv w:val="1"/>
      <w:marLeft w:val="0"/>
      <w:marRight w:val="0"/>
      <w:marTop w:val="0"/>
      <w:marBottom w:val="0"/>
      <w:divBdr>
        <w:top w:val="none" w:sz="0" w:space="0" w:color="auto"/>
        <w:left w:val="none" w:sz="0" w:space="0" w:color="auto"/>
        <w:bottom w:val="none" w:sz="0" w:space="0" w:color="auto"/>
        <w:right w:val="none" w:sz="0" w:space="0" w:color="auto"/>
      </w:divBdr>
    </w:div>
    <w:div w:id="1875650322">
      <w:bodyDiv w:val="1"/>
      <w:marLeft w:val="0"/>
      <w:marRight w:val="0"/>
      <w:marTop w:val="0"/>
      <w:marBottom w:val="0"/>
      <w:divBdr>
        <w:top w:val="none" w:sz="0" w:space="0" w:color="auto"/>
        <w:left w:val="none" w:sz="0" w:space="0" w:color="auto"/>
        <w:bottom w:val="none" w:sz="0" w:space="0" w:color="auto"/>
        <w:right w:val="none" w:sz="0" w:space="0" w:color="auto"/>
      </w:divBdr>
    </w:div>
    <w:div w:id="1922182461">
      <w:bodyDiv w:val="1"/>
      <w:marLeft w:val="0"/>
      <w:marRight w:val="0"/>
      <w:marTop w:val="0"/>
      <w:marBottom w:val="0"/>
      <w:divBdr>
        <w:top w:val="none" w:sz="0" w:space="0" w:color="auto"/>
        <w:left w:val="none" w:sz="0" w:space="0" w:color="auto"/>
        <w:bottom w:val="none" w:sz="0" w:space="0" w:color="auto"/>
        <w:right w:val="none" w:sz="0" w:space="0" w:color="auto"/>
      </w:divBdr>
    </w:div>
    <w:div w:id="1935941973">
      <w:bodyDiv w:val="1"/>
      <w:marLeft w:val="0"/>
      <w:marRight w:val="0"/>
      <w:marTop w:val="0"/>
      <w:marBottom w:val="0"/>
      <w:divBdr>
        <w:top w:val="none" w:sz="0" w:space="0" w:color="auto"/>
        <w:left w:val="none" w:sz="0" w:space="0" w:color="auto"/>
        <w:bottom w:val="none" w:sz="0" w:space="0" w:color="auto"/>
        <w:right w:val="none" w:sz="0" w:space="0" w:color="auto"/>
      </w:divBdr>
    </w:div>
    <w:div w:id="1981497627">
      <w:bodyDiv w:val="1"/>
      <w:marLeft w:val="0"/>
      <w:marRight w:val="0"/>
      <w:marTop w:val="0"/>
      <w:marBottom w:val="0"/>
      <w:divBdr>
        <w:top w:val="none" w:sz="0" w:space="0" w:color="auto"/>
        <w:left w:val="none" w:sz="0" w:space="0" w:color="auto"/>
        <w:bottom w:val="none" w:sz="0" w:space="0" w:color="auto"/>
        <w:right w:val="none" w:sz="0" w:space="0" w:color="auto"/>
      </w:divBdr>
    </w:div>
    <w:div w:id="2004963774">
      <w:bodyDiv w:val="1"/>
      <w:marLeft w:val="0"/>
      <w:marRight w:val="0"/>
      <w:marTop w:val="0"/>
      <w:marBottom w:val="0"/>
      <w:divBdr>
        <w:top w:val="none" w:sz="0" w:space="0" w:color="auto"/>
        <w:left w:val="none" w:sz="0" w:space="0" w:color="auto"/>
        <w:bottom w:val="none" w:sz="0" w:space="0" w:color="auto"/>
        <w:right w:val="none" w:sz="0" w:space="0" w:color="auto"/>
      </w:divBdr>
      <w:divsChild>
        <w:div w:id="1383289795">
          <w:marLeft w:val="0"/>
          <w:marRight w:val="0"/>
          <w:marTop w:val="0"/>
          <w:marBottom w:val="0"/>
          <w:divBdr>
            <w:top w:val="none" w:sz="0" w:space="0" w:color="auto"/>
            <w:left w:val="none" w:sz="0" w:space="0" w:color="auto"/>
            <w:bottom w:val="none" w:sz="0" w:space="0" w:color="auto"/>
            <w:right w:val="none" w:sz="0" w:space="0" w:color="auto"/>
          </w:divBdr>
        </w:div>
      </w:divsChild>
    </w:div>
    <w:div w:id="2005158690">
      <w:bodyDiv w:val="1"/>
      <w:marLeft w:val="0"/>
      <w:marRight w:val="0"/>
      <w:marTop w:val="0"/>
      <w:marBottom w:val="0"/>
      <w:divBdr>
        <w:top w:val="none" w:sz="0" w:space="0" w:color="auto"/>
        <w:left w:val="none" w:sz="0" w:space="0" w:color="auto"/>
        <w:bottom w:val="none" w:sz="0" w:space="0" w:color="auto"/>
        <w:right w:val="none" w:sz="0" w:space="0" w:color="auto"/>
      </w:divBdr>
    </w:div>
    <w:div w:id="2024042860">
      <w:bodyDiv w:val="1"/>
      <w:marLeft w:val="0"/>
      <w:marRight w:val="0"/>
      <w:marTop w:val="0"/>
      <w:marBottom w:val="0"/>
      <w:divBdr>
        <w:top w:val="none" w:sz="0" w:space="0" w:color="auto"/>
        <w:left w:val="none" w:sz="0" w:space="0" w:color="auto"/>
        <w:bottom w:val="none" w:sz="0" w:space="0" w:color="auto"/>
        <w:right w:val="none" w:sz="0" w:space="0" w:color="auto"/>
      </w:divBdr>
      <w:divsChild>
        <w:div w:id="1353263527">
          <w:marLeft w:val="0"/>
          <w:marRight w:val="0"/>
          <w:marTop w:val="21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frs.org/issued-standards/list-of-standards/materiality-practice-statement.html/content/dam/ifrs/publications/html-standards/english/2023/issued/ps2/" TargetMode="External"/><Relationship Id="rId21" Type="http://schemas.openxmlformats.org/officeDocument/2006/relationships/footer" Target="footer1.xml"/><Relationship Id="rId42" Type="http://schemas.openxmlformats.org/officeDocument/2006/relationships/hyperlink" Target="http://mneguidelines.oecd.org/OECD-Due-Diligence-Guidance-for-Responsible-Business-Conduct.pdf" TargetMode="External"/><Relationship Id="rId47" Type="http://schemas.openxmlformats.org/officeDocument/2006/relationships/hyperlink" Target="https://www.socialvalueint.org/standards-and-guidance" TargetMode="External"/><Relationship Id="rId63" Type="http://schemas.openxmlformats.org/officeDocument/2006/relationships/hyperlink" Target="https://www.ifac.org/_flysystem/azure-private/publications/files/ISAE%203000%20Revised%20-%20for%20IAASB.pdf" TargetMode="External"/><Relationship Id="rId68" Type="http://schemas.openxmlformats.org/officeDocument/2006/relationships/hyperlink" Target="https://bluemarktideline.com/wp-content/uploads/2022/12/RTB2-FINAL-Dec-2022.pdf" TargetMode="External"/><Relationship Id="rId2" Type="http://schemas.openxmlformats.org/officeDocument/2006/relationships/customXml" Target="../customXml/item2.xml"/><Relationship Id="rId16" Type="http://schemas.openxmlformats.org/officeDocument/2006/relationships/hyperlink" Target="https://impactmanagementplatform.org/" TargetMode="External"/><Relationship Id="rId29" Type="http://schemas.openxmlformats.org/officeDocument/2006/relationships/hyperlink" Target="https://ilpa.org/due-diligence-questionnaire/" TargetMode="External"/><Relationship Id="rId11" Type="http://schemas.openxmlformats.org/officeDocument/2006/relationships/image" Target="media/image1.png"/><Relationship Id="rId24" Type="http://schemas.openxmlformats.org/officeDocument/2006/relationships/image" Target="media/image3.emf"/><Relationship Id="rId32" Type="http://schemas.openxmlformats.org/officeDocument/2006/relationships/hyperlink" Target="https://www.cdp.net/en/guidance/guidance-for-companies" TargetMode="External"/><Relationship Id="rId37" Type="http://schemas.openxmlformats.org/officeDocument/2006/relationships/hyperlink" Target="https://sustainable-infrastructure-tools.org/tools/performance-standards-on-environmental-and-social-sustainability/" TargetMode="External"/><Relationship Id="rId40" Type="http://schemas.openxmlformats.org/officeDocument/2006/relationships/hyperlink" Target="https://static1.squarespace.com/static/60dc51e3c58aef413ae5c975/t/6182616fde447d580b15232b/1635934577686/IR-Background-Paper-Materiality.pdf" TargetMode="External"/><Relationship Id="rId45" Type="http://schemas.openxmlformats.org/officeDocument/2006/relationships/hyperlink" Target="https://static1.squarespace.com/static/60dc51e3c58aef413ae5c975/t/60f058babaa9e46167496599/1626364102534/Standard-for-applying-Principle-1.pdf" TargetMode="External"/><Relationship Id="rId53" Type="http://schemas.openxmlformats.org/officeDocument/2006/relationships/hyperlink" Target="https://www.icaew.com/technical/audit-and-assurance/assurance/process/scoping/what-is-feasible/three-party-relationship" TargetMode="External"/><Relationship Id="rId58" Type="http://schemas.openxmlformats.org/officeDocument/2006/relationships/hyperlink" Target="http://www.ohchr.org/sites/default/files/documents/publications/guidingprinciplesbusinesshr_en.pdf" TargetMode="External"/><Relationship Id="rId66" Type="http://schemas.openxmlformats.org/officeDocument/2006/relationships/hyperlink" Target="https://www.iaasb.org/publications/international-standard-related-services-isrs-4400-revised"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footer" Target="footer3.xml"/><Relationship Id="rId19" Type="http://schemas.openxmlformats.org/officeDocument/2006/relationships/hyperlink" Target="https://www.iaasb.org/publications/non-authoritative-guidance-applying-isae-3000-revised-sustainability-and-other-extended-external" TargetMode="External"/><Relationship Id="rId14" Type="http://schemas.openxmlformats.org/officeDocument/2006/relationships/hyperlink" Target="https://www.impactprinciples.org/" TargetMode="External"/><Relationship Id="rId22" Type="http://schemas.openxmlformats.org/officeDocument/2006/relationships/footer" Target="footer2.xml"/><Relationship Id="rId27" Type="http://schemas.openxmlformats.org/officeDocument/2006/relationships/hyperlink" Target="https://impactmanagementplatform.org/impact/" TargetMode="External"/><Relationship Id="rId30" Type="http://schemas.openxmlformats.org/officeDocument/2006/relationships/hyperlink" Target="https://www.unpri.org/asset-owner-ddqs/diversity-equity-and-inclusion-ddq-for-institutional-investors/10027.article" TargetMode="External"/><Relationship Id="rId35" Type="http://schemas.openxmlformats.org/officeDocument/2006/relationships/hyperlink" Target="https://s3.amazonaws.com/giin-web-assets/iris/assets/files/guidance/2019-02-25_IRIS-%20HT-Stakeholders%20Voice-R10.pdf" TargetMode="External"/><Relationship Id="rId43" Type="http://schemas.openxmlformats.org/officeDocument/2006/relationships/hyperlink" Target="https://www.oecd.org/wise/measuring-well-being-and-progress.htm" TargetMode="External"/><Relationship Id="rId48" Type="http://schemas.openxmlformats.org/officeDocument/2006/relationships/hyperlink" Target="https://socialvalueuk.org/wp-content/uploads/2022/12/ThePurposeofthePrinciplesofSocialValueandtheSVIStandards-1.pdf" TargetMode="External"/><Relationship Id="rId56" Type="http://schemas.openxmlformats.org/officeDocument/2006/relationships/hyperlink" Target="https://sdgimpact.undp.org/assets/SDG-Impact-Standards-for-Private-Equity-Funds-Version_1_0.pdf" TargetMode="External"/><Relationship Id="rId64" Type="http://schemas.openxmlformats.org/officeDocument/2006/relationships/hyperlink" Target="https://www.iaasb.org/publications/non-authoritative-guidance-applying-isae-3000-revised-sustainability-and-other-extended-external" TargetMode="External"/><Relationship Id="rId69" Type="http://schemas.openxmlformats.org/officeDocument/2006/relationships/hyperlink" Target="https://impactmanagementplatform.org/system-map/" TargetMode="External"/><Relationship Id="rId8" Type="http://schemas.openxmlformats.org/officeDocument/2006/relationships/webSettings" Target="webSettings.xml"/><Relationship Id="rId51" Type="http://schemas.openxmlformats.org/officeDocument/2006/relationships/hyperlink" Target="https://www.fsb-tcfd.org/recommendations/" TargetMode="External"/><Relationship Id="rId72" Type="http://schemas.openxmlformats.org/officeDocument/2006/relationships/image" Target="media/image6.png"/><Relationship Id="rId3" Type="http://schemas.openxmlformats.org/officeDocument/2006/relationships/customXml" Target="../customXml/item3.xml"/><Relationship Id="rId12" Type="http://schemas.openxmlformats.org/officeDocument/2006/relationships/hyperlink" Target="https://impactfrontiers.org/?discussion-question=shared-norms-for-impact-performance-reporting" TargetMode="External"/><Relationship Id="rId17" Type="http://schemas.openxmlformats.org/officeDocument/2006/relationships/hyperlink" Target="http://impactfrontiers.org/wp-content/uploads/2023/10/Exposure-Draft_Supplement-on-Independent-Review-of-Impact-Performance-Reports_Public-Consultation.pdf" TargetMode="External"/><Relationship Id="rId25" Type="http://schemas.openxmlformats.org/officeDocument/2006/relationships/hyperlink" Target="https://impactmanagementplatform.org/impact/" TargetMode="External"/><Relationship Id="rId33" Type="http://schemas.openxmlformats.org/officeDocument/2006/relationships/hyperlink" Target="https://www.cdsb.net/sites/default/files/cdsb_framework_2.1.pdf" TargetMode="External"/><Relationship Id="rId38" Type="http://schemas.openxmlformats.org/officeDocument/2006/relationships/hyperlink" Target="https://www.impactprinciples.org/sites/default/files/2021-06/Impact%20Principles%20Brochure%20Revised.pdf" TargetMode="External"/><Relationship Id="rId46" Type="http://schemas.openxmlformats.org/officeDocument/2006/relationships/hyperlink" Target="https://socialvalueuk.org/wp-content/uploads/2022/12/Standard-for-applying-Principle-4.pdf" TargetMode="External"/><Relationship Id="rId59" Type="http://schemas.openxmlformats.org/officeDocument/2006/relationships/hyperlink" Target="https://doi.org/10.1353/hrq.2011.0040" TargetMode="External"/><Relationship Id="rId67" Type="http://schemas.openxmlformats.org/officeDocument/2006/relationships/hyperlink" Target="https://bluemarktideline.com/wp-content/uploads/2022/04/BlueMark_Raising-the-Bar_Full-Report.pdf" TargetMode="External"/><Relationship Id="rId20" Type="http://schemas.openxmlformats.org/officeDocument/2006/relationships/hyperlink" Target="https://www.accountability.org/standards/aa1000-assurance-standard/" TargetMode="External"/><Relationship Id="rId41" Type="http://schemas.openxmlformats.org/officeDocument/2006/relationships/hyperlink" Target="https://www.oecd.org/dac/evaluation/2754804.pdf" TargetMode="External"/><Relationship Id="rId54" Type="http://schemas.openxmlformats.org/officeDocument/2006/relationships/hyperlink" Target="https://sdgimpact.undp.org/assets/SDG-Impact-Standards-for-Enterprises-Version1-EN.pdf" TargetMode="External"/><Relationship Id="rId62" Type="http://schemas.openxmlformats.org/officeDocument/2006/relationships/footer" Target="footer4.xml"/><Relationship Id="rId7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mpactmanagementplatform.org/wp-content/uploads/2023/06/16x9-ratio-Impact-Map-IFI-icons-v4-full-hyperlinks-LINKS.pdf" TargetMode="External"/><Relationship Id="rId23" Type="http://schemas.openxmlformats.org/officeDocument/2006/relationships/hyperlink" Target="https://impactmanagementplatform.org/impact/" TargetMode="External"/><Relationship Id="rId28" Type="http://schemas.openxmlformats.org/officeDocument/2006/relationships/hyperlink" Target="https://iris.thegiin.org/share/id/26086x63a0c68ae2919/" TargetMode="External"/><Relationship Id="rId36" Type="http://schemas.openxmlformats.org/officeDocument/2006/relationships/hyperlink" Target="https://ilpa.org/due-diligence-questionnaire/" TargetMode="External"/><Relationship Id="rId49" Type="http://schemas.openxmlformats.org/officeDocument/2006/relationships/hyperlink" Target="http://www.sasb.org/wp-content/uploads/2019/05/SASB-Conceptual-Framework.pdf?source=post_page" TargetMode="External"/><Relationship Id="rId57" Type="http://schemas.openxmlformats.org/officeDocument/2006/relationships/hyperlink" Target="https://sdgimpact.undp.org/assets/SDG-Impact-Standards-Glossary.pdf" TargetMode="External"/><Relationship Id="rId10" Type="http://schemas.openxmlformats.org/officeDocument/2006/relationships/endnotes" Target="endnotes.xml"/><Relationship Id="rId31" Type="http://schemas.openxmlformats.org/officeDocument/2006/relationships/hyperlink" Target="https://capitalscoalition.org/wp-content/uploads/2021/01/Social_and_Human_Capital_Protocol.pdf" TargetMode="External"/><Relationship Id="rId44" Type="http://schemas.openxmlformats.org/officeDocument/2006/relationships/hyperlink" Target="https://rightscolab.org/wp-content/uploads/2022/08/DEI-Mapping-Report_RightsCoLab.pdf" TargetMode="External"/><Relationship Id="rId52" Type="http://schemas.openxmlformats.org/officeDocument/2006/relationships/hyperlink" Target="https://capitalscoalition.org/wp-content/uploads/2021/12/Social-Human-Capital-Protocol-A-Primer-for-Business.pdf" TargetMode="External"/><Relationship Id="rId60" Type="http://schemas.openxmlformats.org/officeDocument/2006/relationships/hyperlink" Target="https://sptf.info/images/SIWG-WEF-AG3-Engaging-all-affected-stakeholders-December-2017.pdf" TargetMode="External"/><Relationship Id="rId65" Type="http://schemas.openxmlformats.org/officeDocument/2006/relationships/hyperlink" Target="https://www.accountability.org/standards/aa1000-assurance-standard/"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www.ifac.org/_flysystem/azure-private/publications/files/ISAE%203000%20Revised%20-%20for%20IAASB.pdf" TargetMode="External"/><Relationship Id="rId39" Type="http://schemas.openxmlformats.org/officeDocument/2006/relationships/hyperlink" Target="https://www.ifrs.org/issued-standards/ifrs-sustainability-standards-navigator/ifrs-s1-general-requirements/" TargetMode="External"/><Relationship Id="rId34" Type="http://schemas.openxmlformats.org/officeDocument/2006/relationships/hyperlink" Target="https://iris.thegiin.org/contributing-data/" TargetMode="External"/><Relationship Id="rId50" Type="http://schemas.openxmlformats.org/officeDocument/2006/relationships/hyperlink" Target="https://assets.bbhub.io/company/sites/60/2021/07/2021-TCFD-Implementing_Guidance.pdf" TargetMode="External"/><Relationship Id="rId55" Type="http://schemas.openxmlformats.org/officeDocument/2006/relationships/hyperlink" Target="https://sdgimpact.undp.org/assets/EN-SDG-Impact-Standards-for-Private-Equity-Funds-Version_1_0.pdf" TargetMode="External"/><Relationship Id="rId7" Type="http://schemas.openxmlformats.org/officeDocument/2006/relationships/settings" Target="settings.xml"/><Relationship Id="rId71" Type="http://schemas.openxmlformats.org/officeDocument/2006/relationships/image" Target="media/image5.png"/></Relationships>
</file>

<file path=word/_rels/footnotes.xml.rels><?xml version="1.0" encoding="UTF-8" standalone="yes"?>
<Relationships xmlns="http://schemas.openxmlformats.org/package/2006/relationships"><Relationship Id="rId13" Type="http://schemas.openxmlformats.org/officeDocument/2006/relationships/hyperlink" Target="https://impactmanagementplatform.org/terms-and-concepts/" TargetMode="External"/><Relationship Id="rId18" Type="http://schemas.openxmlformats.org/officeDocument/2006/relationships/hyperlink" Target="https://socialvalueuk.org/wp-content/uploads/2023/01/WEF-Engaging-all-affected-stakeholders-AG3-December-2017-4.pdf" TargetMode="External"/><Relationship Id="rId26" Type="http://schemas.openxmlformats.org/officeDocument/2006/relationships/hyperlink" Target="https://www.researchgate.net/publication/351432238_In_support_of_making_up_users" TargetMode="External"/><Relationship Id="rId39" Type="http://schemas.openxmlformats.org/officeDocument/2006/relationships/hyperlink" Target="https://www.ifrs.org/issued-standards/ifrs-sustainability-standards-navigator/ifrs-s1-general-requirements/" TargetMode="External"/><Relationship Id="rId21" Type="http://schemas.openxmlformats.org/officeDocument/2006/relationships/hyperlink" Target="https://impactmanagementplatform.org/terms-and-concepts/" TargetMode="External"/><Relationship Id="rId34" Type="http://schemas.openxmlformats.org/officeDocument/2006/relationships/hyperlink" Target="https://impactfrontiers.org/wp-content/uploads/2023/08/Impact-Frontier-Systems-Mapping-Case-Study-v2.pdf" TargetMode="External"/><Relationship Id="rId42" Type="http://schemas.openxmlformats.org/officeDocument/2006/relationships/hyperlink" Target="https://cdn.cdp.net/cdp-production/comfy/cms/files/files/000/003/445/original/CDP_response_to_public_consultation_on_revision_of_the_Non-Financial_Reporting_Directive.pdf" TargetMode="External"/><Relationship Id="rId47" Type="http://schemas.openxmlformats.org/officeDocument/2006/relationships/hyperlink" Target="http://www.sasb.org/wp-content/uploads/2019/05/SASB-Conceptual-Framework.pdf?source=post_page" TargetMode="External"/><Relationship Id="rId50" Type="http://schemas.openxmlformats.org/officeDocument/2006/relationships/hyperlink" Target="https://assets.bbhub.io/company/sites/60/2021/07/2021-TCFD-Implementing_Guidance.pdf" TargetMode="External"/><Relationship Id="rId55" Type="http://schemas.openxmlformats.org/officeDocument/2006/relationships/hyperlink" Target="https://www.ifac.org/system/files/publications/files/ISAE%203000%20Revised%20-%20for%20IAASB.pdf" TargetMode="External"/><Relationship Id="rId7" Type="http://schemas.openxmlformats.org/officeDocument/2006/relationships/hyperlink" Target="https://impactmanagementplatform.org/impact/" TargetMode="External"/><Relationship Id="rId2" Type="http://schemas.openxmlformats.org/officeDocument/2006/relationships/hyperlink" Target="https://www.ifac.org/_flysystem/azure-private/publications/files/ISAE%203000%20Revised%20-%20for%20IAASB.pdf" TargetMode="External"/><Relationship Id="rId16" Type="http://schemas.openxmlformats.org/officeDocument/2006/relationships/hyperlink" Target="https://impactmanagementplatform.org/terms-and-concepts/" TargetMode="External"/><Relationship Id="rId29" Type="http://schemas.openxmlformats.org/officeDocument/2006/relationships/hyperlink" Target="https://www.impactprinciples.org/sites/default/files/202106/Impact%20Principles%20Brochure%20Revised.pdf" TargetMode="External"/><Relationship Id="rId11" Type="http://schemas.openxmlformats.org/officeDocument/2006/relationships/hyperlink" Target="https://www.icaew.com/technical/audit-and-assurance/assurance/what-is-assurance/assurance-glossary" TargetMode="External"/><Relationship Id="rId24" Type="http://schemas.openxmlformats.org/officeDocument/2006/relationships/hyperlink" Target="https://d-lab.mit.edu/research/lean-research/lean-research-tools-resources" TargetMode="External"/><Relationship Id="rId32" Type="http://schemas.openxmlformats.org/officeDocument/2006/relationships/hyperlink" Target="https://sdgimpact.undp.org/assets/SDG-Impact-Standards-for-Private-Equity-Funds-Version_1_0.pdf" TargetMode="External"/><Relationship Id="rId37" Type="http://schemas.openxmlformats.org/officeDocument/2006/relationships/hyperlink" Target="https://impactfrontiers.org/norms/five-dimensions-of-impact/" TargetMode="External"/><Relationship Id="rId40" Type="http://schemas.openxmlformats.org/officeDocument/2006/relationships/hyperlink" Target="https://rightscolab.org/wp-content/uploads/2022/08/DEI-Mapping-Report_RightsCoLab.pdf" TargetMode="External"/><Relationship Id="rId45" Type="http://schemas.openxmlformats.org/officeDocument/2006/relationships/hyperlink" Target="https://www.ifrs.org/content/dam/ifrs/meetings/2022/october/issb/ap3b-general-sustainability-related-disclosure-fundamental-concepts.pdf" TargetMode="External"/><Relationship Id="rId53" Type="http://schemas.openxmlformats.org/officeDocument/2006/relationships/hyperlink" Target="https://www.wbcsd.org/Programs/Redefining-Value/Making-stakeholder-capitalism-actionable/Assurance-Internal-Controls/Resources/A-buyer-s-guide-to-assurance-on-non-financial-information" TargetMode="External"/><Relationship Id="rId58" Type="http://schemas.openxmlformats.org/officeDocument/2006/relationships/hyperlink" Target="https://www.ifac.org/system/files/publications/files/IAASB-Guidance-Extended-External-Reporting.pdf" TargetMode="External"/><Relationship Id="rId5" Type="http://schemas.openxmlformats.org/officeDocument/2006/relationships/hyperlink" Target="https://www.sec.gov/education/glossary/jargon-z" TargetMode="External"/><Relationship Id="rId61" Type="http://schemas.openxmlformats.org/officeDocument/2006/relationships/hyperlink" Target="https://www.icaew.com/technical/audit-and-assurance/assurance/process/scoping/what-is-feasible/three-party-relationship" TargetMode="External"/><Relationship Id="rId19" Type="http://schemas.openxmlformats.org/officeDocument/2006/relationships/hyperlink" Target="https://impactmanagementplatform.org/terms-and-concepts/" TargetMode="External"/><Relationship Id="rId14" Type="http://schemas.openxmlformats.org/officeDocument/2006/relationships/hyperlink" Target="https://impactmanagementplatform.org/terms-and-concepts/" TargetMode="External"/><Relationship Id="rId22" Type="http://schemas.openxmlformats.org/officeDocument/2006/relationships/hyperlink" Target="https://impactfrontiers.org/norms/five-dimensions-of-impact/" TargetMode="External"/><Relationship Id="rId27" Type="http://schemas.openxmlformats.org/officeDocument/2006/relationships/hyperlink" Target="http://www.jstor.org/stable/3655302" TargetMode="External"/><Relationship Id="rId30" Type="http://schemas.openxmlformats.org/officeDocument/2006/relationships/hyperlink" Target="https://www.accountabilitycounsel.org/institution/impact-investing/" TargetMode="External"/><Relationship Id="rId35" Type="http://schemas.openxmlformats.org/officeDocument/2006/relationships/hyperlink" Target="https://globalgoals.goldstandard.org/standards/101_V1.0_PAR_Principles-Requirements.pdf" TargetMode="External"/><Relationship Id="rId43" Type="http://schemas.openxmlformats.org/officeDocument/2006/relationships/hyperlink" Target="https://www.cdsb.net/sites/default/files/cdsb_framework_2.1.pdf" TargetMode="External"/><Relationship Id="rId48" Type="http://schemas.openxmlformats.org/officeDocument/2006/relationships/hyperlink" Target="https://sdgimpact.undp.org/assets/SDG-Impact-Standards-Glossary.pdf" TargetMode="External"/><Relationship Id="rId56" Type="http://schemas.openxmlformats.org/officeDocument/2006/relationships/hyperlink" Target="https://www.ifac.org/system/files/publications/files/IAASB-Guidance-Extended-External-Reporting.pdf" TargetMode="External"/><Relationship Id="rId8" Type="http://schemas.openxmlformats.org/officeDocument/2006/relationships/hyperlink" Target="https://impactmanagementplatform.org/terms-and-concepts/" TargetMode="External"/><Relationship Id="rId51" Type="http://schemas.openxmlformats.org/officeDocument/2006/relationships/hyperlink" Target="https://static1.squarespace.com/static/60dc51e3c58aef413ae5c975/t/60f058babaa9e46167496599/1626364102534/Standard-for-applying-Principle-1.pdf" TargetMode="External"/><Relationship Id="rId3" Type="http://schemas.openxmlformats.org/officeDocument/2006/relationships/hyperlink" Target="https://www.eval.org/Portals/0/What%20is%20evaluation%20Document.pdf" TargetMode="External"/><Relationship Id="rId12" Type="http://schemas.openxmlformats.org/officeDocument/2006/relationships/hyperlink" Target="https://www.oecd.org/dac/evaluation/2754804.pdf" TargetMode="External"/><Relationship Id="rId17" Type="http://schemas.openxmlformats.org/officeDocument/2006/relationships/hyperlink" Target="https://impactmanagementplatform.org/terms-and-concepts/" TargetMode="External"/><Relationship Id="rId25" Type="http://schemas.openxmlformats.org/officeDocument/2006/relationships/hyperlink" Target="https://movementstrategy.org/wp-content/uploads/2021/08/The-Spectrum-of-Community-Engagement-to-Ownership.pdf" TargetMode="External"/><Relationship Id="rId33" Type="http://schemas.openxmlformats.org/officeDocument/2006/relationships/hyperlink" Target="https://impactfrontiers.org/work/systems-mapping" TargetMode="External"/><Relationship Id="rId38" Type="http://schemas.openxmlformats.org/officeDocument/2006/relationships/hyperlink" Target="https://www.ohchr.org/sites/default/files/documents/publications/guidingprinciplesbusinesshr_en.pdf" TargetMode="External"/><Relationship Id="rId46" Type="http://schemas.openxmlformats.org/officeDocument/2006/relationships/hyperlink" Target="https://static1.squarespace.com/static/60dc51e3c58aef413ae5c975/t/6182616fde447d580b15232b/1635934577686/IR-Background-Paper-Materiality.pdf" TargetMode="External"/><Relationship Id="rId59" Type="http://schemas.openxmlformats.org/officeDocument/2006/relationships/hyperlink" Target="https://www.ifac.org/system/files/publications/files/IAASB-Guidance-Extended-External-Reporting.pdf" TargetMode="External"/><Relationship Id="rId20" Type="http://schemas.openxmlformats.org/officeDocument/2006/relationships/hyperlink" Target="https://impactmanagementplatform.org/terms-and-concepts/" TargetMode="External"/><Relationship Id="rId41" Type="http://schemas.openxmlformats.org/officeDocument/2006/relationships/hyperlink" Target="https://www.duediligencecommitment.com/" TargetMode="External"/><Relationship Id="rId54" Type="http://schemas.openxmlformats.org/officeDocument/2006/relationships/hyperlink" Target="https://www.ifac.org/system/files/publications/files/ISAE%203000%20Revised%20-%20for%20IAASB.pdf" TargetMode="External"/><Relationship Id="rId1" Type="http://schemas.openxmlformats.org/officeDocument/2006/relationships/hyperlink" Target="https://impactmanagementplatform.org/" TargetMode="External"/><Relationship Id="rId6" Type="http://schemas.openxmlformats.org/officeDocument/2006/relationships/hyperlink" Target="https://impactmanagementplatform.org/terms-and-concepts/" TargetMode="External"/><Relationship Id="rId15" Type="http://schemas.openxmlformats.org/officeDocument/2006/relationships/hyperlink" Target="https://impactmanagementplatform.org/impact/" TargetMode="External"/><Relationship Id="rId23" Type="http://schemas.openxmlformats.org/officeDocument/2006/relationships/hyperlink" Target="https://chicagobeyond.org/researchequity/" TargetMode="External"/><Relationship Id="rId28" Type="http://schemas.openxmlformats.org/officeDocument/2006/relationships/hyperlink" Target="https://www.commonapproach.org/wp-content/uploads/2020/07/FlexibleStandardsBriefing.pdf" TargetMode="External"/><Relationship Id="rId36" Type="http://schemas.openxmlformats.org/officeDocument/2006/relationships/hyperlink" Target="https://impactmanagementplatform.org/impact/" TargetMode="External"/><Relationship Id="rId49" Type="http://schemas.openxmlformats.org/officeDocument/2006/relationships/hyperlink" Target="https://socialvalueuk.org/wp-content/uploads/2022/12/ThePurposeofthePrinciplesofSocialValueandtheSVIStandards-1.pdf" TargetMode="External"/><Relationship Id="rId57" Type="http://schemas.openxmlformats.org/officeDocument/2006/relationships/hyperlink" Target="https://www.ifac.org/system/files/publications/files/IAASB-Guidance-Extended-External-Reporting.pdf" TargetMode="External"/><Relationship Id="rId10" Type="http://schemas.openxmlformats.org/officeDocument/2006/relationships/hyperlink" Target="https://dictionary.cambridge.org/us/dictionary/english/investor" TargetMode="External"/><Relationship Id="rId31" Type="http://schemas.openxmlformats.org/officeDocument/2006/relationships/hyperlink" Target="https://www.impactprinciples.org/sites/default/files/2021-06/Impact%20Principles%20Brochure%20Revised.pdf" TargetMode="External"/><Relationship Id="rId44" Type="http://schemas.openxmlformats.org/officeDocument/2006/relationships/hyperlink" Target="https://www.google.com/url?sa=t&amp;rct=j&amp;q=&amp;esrc=s&amp;source=web&amp;cd=&amp;ved=2ahUKEwiQttvWqMb_AhXrKEQIHS-sB3QQFnoECCAQAQ&amp;url=https%3A%2F%2Fglobalreporting.org%2Fpdf.ashx%3Fid%3D12453&amp;usg=AOvVaw2ve3GIHzgEW4Rj0YroDcNb" TargetMode="External"/><Relationship Id="rId52" Type="http://schemas.openxmlformats.org/officeDocument/2006/relationships/hyperlink" Target="https://www.icaew.com/technical/audit-and-assurance/assurance/what-is-assurance" TargetMode="External"/><Relationship Id="rId60" Type="http://schemas.openxmlformats.org/officeDocument/2006/relationships/hyperlink" Target="https://www.cpajournal.com/2017/07/26/current-state-assurance-sustainability-reports/" TargetMode="External"/><Relationship Id="rId4" Type="http://schemas.openxmlformats.org/officeDocument/2006/relationships/hyperlink" Target="https://www.3ieimpact.org/sites/default/files/principles-for-ie.pdf" TargetMode="External"/><Relationship Id="rId9" Type="http://schemas.openxmlformats.org/officeDocument/2006/relationships/hyperlink" Target="https://thegiin.org/research/publication/compass-the-methodology-for-comparing-and-assessing-imp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5972a1d0-00a0-495c-972c-62969c5c584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21EA0491790D498FB996089F97A0C2" ma:contentTypeVersion="16" ma:contentTypeDescription="Create a new document." ma:contentTypeScope="" ma:versionID="5d2a9d804f1b71b9c119f06f43035bf8">
  <xsd:schema xmlns:xsd="http://www.w3.org/2001/XMLSchema" xmlns:xs="http://www.w3.org/2001/XMLSchema" xmlns:p="http://schemas.microsoft.com/office/2006/metadata/properties" xmlns:ns1="http://schemas.microsoft.com/sharepoint/v3" xmlns:ns3="5972a1d0-00a0-495c-972c-62969c5c5843" xmlns:ns4="cb276dac-6a7d-4334-9459-864397fe2952" targetNamespace="http://schemas.microsoft.com/office/2006/metadata/properties" ma:root="true" ma:fieldsID="f46ef00c45fe0535d48e160fcf620f27" ns1:_="" ns3:_="" ns4:_="">
    <xsd:import namespace="http://schemas.microsoft.com/sharepoint/v3"/>
    <xsd:import namespace="5972a1d0-00a0-495c-972c-62969c5c5843"/>
    <xsd:import namespace="cb276dac-6a7d-4334-9459-864397fe295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DateTaken" minOccurs="0"/>
                <xsd:element ref="ns3:MediaServiceAutoTags" minOccurs="0"/>
                <xsd:element ref="ns1:_ip_UnifiedCompliancePolicyProperties" minOccurs="0"/>
                <xsd:element ref="ns1:_ip_UnifiedCompliancePolicyUIAction" minOccurs="0"/>
                <xsd:element ref="ns3:_activity"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2a1d0-00a0-495c-972c-62969c5c5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276dac-6a7d-4334-9459-864397fe29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A187B-6EF6-48ED-B289-D7F0CC6FC3E1}">
  <ds:schemaRefs>
    <ds:schemaRef ds:uri="http://schemas.microsoft.com/office/2006/metadata/properties"/>
    <ds:schemaRef ds:uri="http://schemas.microsoft.com/office/infopath/2007/PartnerControls"/>
    <ds:schemaRef ds:uri="http://schemas.microsoft.com/sharepoint/v3"/>
    <ds:schemaRef ds:uri="5972a1d0-00a0-495c-972c-62969c5c5843"/>
  </ds:schemaRefs>
</ds:datastoreItem>
</file>

<file path=customXml/itemProps2.xml><?xml version="1.0" encoding="utf-8"?>
<ds:datastoreItem xmlns:ds="http://schemas.openxmlformats.org/officeDocument/2006/customXml" ds:itemID="{D978C0BF-E911-4DD8-83A5-C4675421C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72a1d0-00a0-495c-972c-62969c5c5843"/>
    <ds:schemaRef ds:uri="cb276dac-6a7d-4334-9459-864397fe29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F01A5-8795-4081-9CB2-5707CA970D07}">
  <ds:schemaRefs>
    <ds:schemaRef ds:uri="http://schemas.microsoft.com/sharepoint/v3/contenttype/forms"/>
  </ds:schemaRefs>
</ds:datastoreItem>
</file>

<file path=customXml/itemProps4.xml><?xml version="1.0" encoding="utf-8"?>
<ds:datastoreItem xmlns:ds="http://schemas.openxmlformats.org/officeDocument/2006/customXml" ds:itemID="{C39E22DA-7EFF-E643-8E69-190F2DB9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65</Pages>
  <Words>20032</Words>
  <Characters>114183</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 Sudo</dc:creator>
  <cp:keywords/>
  <dc:description/>
  <cp:lastModifiedBy>Rathi Ramasamy</cp:lastModifiedBy>
  <cp:revision>3</cp:revision>
  <cp:lastPrinted>2023-06-28T20:09:00Z</cp:lastPrinted>
  <dcterms:created xsi:type="dcterms:W3CDTF">2023-12-12T16:18:00Z</dcterms:created>
  <dcterms:modified xsi:type="dcterms:W3CDTF">2023-12-12T16:19:00Z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2ec57d904fb472a7479acb52840aab0afaa6918a1497b03d2ab158178a967245</vt:lpwstr>
  </property>
  <property fmtid="{D5CDD505-2E9C-101B-9397-08002B2CF9AE}" pid="3" name="ContentTypeId">
    <vt:lpwstr>0x010100C321EA0491790D498FB996089F97A0C2</vt:lpwstr>
  </property>
</Properties>
</file>