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F74F" w14:textId="463C7C5A" w:rsidR="00F5115C" w:rsidRDefault="00F5115C" w:rsidP="0099705C">
      <w:pPr>
        <w:pStyle w:val="Sansinterligne"/>
        <w:jc w:val="center"/>
        <w:rPr>
          <w:b/>
          <w:bCs/>
          <w:lang w:val="en-CA"/>
        </w:rPr>
      </w:pPr>
      <w:r>
        <w:rPr>
          <w:b/>
          <w:bCs/>
          <w:noProof/>
          <w:lang w:val="en-CA"/>
        </w:rPr>
        <w:drawing>
          <wp:anchor distT="0" distB="0" distL="114300" distR="114300" simplePos="0" relativeHeight="251658240" behindDoc="0" locked="0" layoutInCell="1" allowOverlap="1" wp14:anchorId="56E413BA" wp14:editId="2F4D58C5">
            <wp:simplePos x="0" y="0"/>
            <wp:positionH relativeFrom="column">
              <wp:posOffset>-686434</wp:posOffset>
            </wp:positionH>
            <wp:positionV relativeFrom="paragraph">
              <wp:posOffset>-549275</wp:posOffset>
            </wp:positionV>
            <wp:extent cx="2186940" cy="793118"/>
            <wp:effectExtent l="0" t="0" r="3810" b="698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07392" cy="8005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EB8956" w14:textId="77777777" w:rsidR="00F5115C" w:rsidRDefault="00F5115C" w:rsidP="0099705C">
      <w:pPr>
        <w:pStyle w:val="Sansinterligne"/>
        <w:jc w:val="center"/>
        <w:rPr>
          <w:b/>
          <w:bCs/>
          <w:lang w:val="en-CA"/>
        </w:rPr>
      </w:pPr>
    </w:p>
    <w:p w14:paraId="2AD0F25A" w14:textId="77777777" w:rsidR="00F5115C" w:rsidRDefault="00F5115C" w:rsidP="0099705C">
      <w:pPr>
        <w:pStyle w:val="Sansinterligne"/>
        <w:jc w:val="center"/>
        <w:rPr>
          <w:b/>
          <w:bCs/>
          <w:lang w:val="en-CA"/>
        </w:rPr>
      </w:pPr>
    </w:p>
    <w:p w14:paraId="2F893798" w14:textId="5FB77FC8" w:rsidR="000E2883" w:rsidRPr="00C2345D" w:rsidRDefault="00C2345D" w:rsidP="00C2345D">
      <w:pPr>
        <w:jc w:val="center"/>
        <w:rPr>
          <w:b/>
          <w:bCs/>
          <w:lang w:val="en-US"/>
        </w:rPr>
      </w:pPr>
      <w:r w:rsidRPr="00C2345D">
        <w:rPr>
          <w:b/>
          <w:bCs/>
          <w:lang w:val="en-US"/>
        </w:rPr>
        <w:t xml:space="preserve">FBF response to the Consultation on SFDR – </w:t>
      </w:r>
      <w:r>
        <w:rPr>
          <w:b/>
          <w:bCs/>
          <w:lang w:val="en-US"/>
        </w:rPr>
        <w:t>1</w:t>
      </w:r>
      <w:r w:rsidR="00FF0659">
        <w:rPr>
          <w:b/>
          <w:bCs/>
          <w:lang w:val="en-US"/>
        </w:rPr>
        <w:t>5</w:t>
      </w:r>
      <w:r w:rsidRPr="00C2345D">
        <w:rPr>
          <w:b/>
          <w:bCs/>
          <w:lang w:val="en-US"/>
        </w:rPr>
        <w:t>/12/2023</w:t>
      </w:r>
    </w:p>
    <w:p w14:paraId="4FA27E12" w14:textId="5737260A" w:rsidR="006529D4" w:rsidRDefault="00FF0659" w:rsidP="0099705C">
      <w:pPr>
        <w:pStyle w:val="Sansinterligne"/>
        <w:jc w:val="both"/>
        <w:rPr>
          <w:b/>
          <w:bCs/>
          <w:lang w:val="en-US"/>
        </w:rPr>
      </w:pPr>
      <w:r w:rsidRPr="008A582F">
        <w:rPr>
          <w:b/>
          <w:bCs/>
          <w:lang w:val="en-US"/>
        </w:rPr>
        <w:t xml:space="preserve">We point out that the main </w:t>
      </w:r>
      <w:r>
        <w:rPr>
          <w:b/>
          <w:bCs/>
          <w:lang w:val="en-US"/>
        </w:rPr>
        <w:t>issues</w:t>
      </w:r>
      <w:r w:rsidRPr="008A582F">
        <w:rPr>
          <w:b/>
          <w:bCs/>
          <w:lang w:val="en-US"/>
        </w:rPr>
        <w:t xml:space="preserve"> arising from SFDR are </w:t>
      </w:r>
      <w:r>
        <w:rPr>
          <w:b/>
          <w:bCs/>
          <w:lang w:val="en-US"/>
        </w:rPr>
        <w:t xml:space="preserve">mainly </w:t>
      </w:r>
      <w:r w:rsidRPr="008A582F">
        <w:rPr>
          <w:b/>
          <w:bCs/>
          <w:lang w:val="en-US"/>
        </w:rPr>
        <w:t xml:space="preserve">due to a lack of harmonization </w:t>
      </w:r>
      <w:r>
        <w:rPr>
          <w:b/>
          <w:bCs/>
          <w:lang w:val="en-US"/>
        </w:rPr>
        <w:t>across</w:t>
      </w:r>
      <w:r w:rsidRPr="008A582F">
        <w:rPr>
          <w:b/>
          <w:bCs/>
          <w:lang w:val="en-US"/>
        </w:rPr>
        <w:t xml:space="preserve"> </w:t>
      </w:r>
      <w:r>
        <w:rPr>
          <w:b/>
          <w:bCs/>
          <w:lang w:val="en-US"/>
        </w:rPr>
        <w:t>various EU sustainable finance regulations</w:t>
      </w:r>
      <w:r w:rsidRPr="008A582F">
        <w:rPr>
          <w:b/>
          <w:bCs/>
          <w:lang w:val="en-US"/>
        </w:rPr>
        <w:t xml:space="preserve"> and </w:t>
      </w:r>
      <w:r>
        <w:rPr>
          <w:b/>
          <w:bCs/>
          <w:lang w:val="en-US"/>
        </w:rPr>
        <w:t>varying</w:t>
      </w:r>
      <w:r w:rsidRPr="008A582F">
        <w:rPr>
          <w:b/>
          <w:bCs/>
          <w:lang w:val="en-US"/>
        </w:rPr>
        <w:t xml:space="preserve"> implementation date</w:t>
      </w:r>
      <w:r>
        <w:rPr>
          <w:b/>
          <w:bCs/>
          <w:lang w:val="en-US"/>
        </w:rPr>
        <w:t>s</w:t>
      </w:r>
      <w:r w:rsidRPr="008A582F">
        <w:rPr>
          <w:b/>
          <w:bCs/>
          <w:lang w:val="en-US"/>
        </w:rPr>
        <w:t xml:space="preserve">. </w:t>
      </w:r>
      <w:r>
        <w:rPr>
          <w:b/>
          <w:bCs/>
          <w:lang w:val="en-US"/>
        </w:rPr>
        <w:t>Banks</w:t>
      </w:r>
      <w:r w:rsidRPr="008A582F">
        <w:rPr>
          <w:b/>
          <w:bCs/>
          <w:lang w:val="en-US"/>
        </w:rPr>
        <w:t xml:space="preserve"> wish to capitalize on the important work </w:t>
      </w:r>
      <w:r>
        <w:rPr>
          <w:b/>
          <w:bCs/>
          <w:lang w:val="en-US"/>
        </w:rPr>
        <w:t>done to implement SFDR</w:t>
      </w:r>
      <w:r w:rsidRPr="008A582F">
        <w:rPr>
          <w:b/>
          <w:bCs/>
          <w:lang w:val="en-US"/>
        </w:rPr>
        <w:t xml:space="preserve"> and for the </w:t>
      </w:r>
      <w:r>
        <w:rPr>
          <w:b/>
          <w:bCs/>
          <w:lang w:val="en-US"/>
        </w:rPr>
        <w:t>future revision</w:t>
      </w:r>
      <w:r w:rsidRPr="008A582F">
        <w:rPr>
          <w:b/>
          <w:bCs/>
          <w:lang w:val="en-US"/>
        </w:rPr>
        <w:t xml:space="preserve"> of SFDR to be co-constructed with financial market players</w:t>
      </w:r>
      <w:r>
        <w:rPr>
          <w:b/>
          <w:bCs/>
          <w:lang w:val="en-US"/>
        </w:rPr>
        <w:t xml:space="preserve"> through regular consultations</w:t>
      </w:r>
      <w:r w:rsidRPr="00992C38">
        <w:rPr>
          <w:b/>
          <w:bCs/>
          <w:lang w:val="en-US"/>
        </w:rPr>
        <w:t>.</w:t>
      </w:r>
    </w:p>
    <w:p w14:paraId="4A4BE190" w14:textId="77777777" w:rsidR="00FF0659" w:rsidRDefault="00FF0659" w:rsidP="0099705C">
      <w:pPr>
        <w:pStyle w:val="Sansinterligne"/>
        <w:jc w:val="both"/>
        <w:rPr>
          <w:b/>
          <w:bCs/>
          <w:lang w:val="en-CA"/>
        </w:rPr>
      </w:pPr>
    </w:p>
    <w:p w14:paraId="5C00BC35" w14:textId="77777777" w:rsidR="006B2864" w:rsidRDefault="006B2864" w:rsidP="006B2864">
      <w:pPr>
        <w:jc w:val="both"/>
        <w:rPr>
          <w:lang w:val="en-US"/>
        </w:rPr>
      </w:pPr>
      <w:r w:rsidRPr="00FA2019">
        <w:rPr>
          <w:lang w:val="en-US"/>
        </w:rPr>
        <w:t xml:space="preserve">First, we would like to point out that the format of the consultation didn’t allow us to reflect the diversity of </w:t>
      </w:r>
      <w:r>
        <w:rPr>
          <w:lang w:val="en-US"/>
        </w:rPr>
        <w:t>banks’ activities</w:t>
      </w:r>
      <w:r w:rsidRPr="00FA2019">
        <w:rPr>
          <w:lang w:val="en-US"/>
        </w:rPr>
        <w:t xml:space="preserve"> (</w:t>
      </w:r>
      <w:r>
        <w:rPr>
          <w:lang w:val="en-US"/>
        </w:rPr>
        <w:t xml:space="preserve">as both </w:t>
      </w:r>
      <w:r w:rsidRPr="00FA2019">
        <w:rPr>
          <w:lang w:val="en-US"/>
        </w:rPr>
        <w:t xml:space="preserve">distributors and producers of investment products). The </w:t>
      </w:r>
      <w:proofErr w:type="gramStart"/>
      <w:r>
        <w:rPr>
          <w:lang w:val="en-US"/>
        </w:rPr>
        <w:t>multiple choice</w:t>
      </w:r>
      <w:proofErr w:type="gramEnd"/>
      <w:r>
        <w:rPr>
          <w:lang w:val="en-US"/>
        </w:rPr>
        <w:t xml:space="preserve"> </w:t>
      </w:r>
      <w:r w:rsidRPr="00FA2019">
        <w:rPr>
          <w:lang w:val="en-US"/>
        </w:rPr>
        <w:t xml:space="preserve">answers and the </w:t>
      </w:r>
      <w:r>
        <w:rPr>
          <w:lang w:val="en-US"/>
        </w:rPr>
        <w:t xml:space="preserve">fact </w:t>
      </w:r>
      <w:r w:rsidRPr="00FA2019">
        <w:rPr>
          <w:lang w:val="en-US"/>
        </w:rPr>
        <w:t xml:space="preserve">questions could </w:t>
      </w:r>
      <w:r>
        <w:rPr>
          <w:lang w:val="en-US"/>
        </w:rPr>
        <w:t xml:space="preserve">occasionally </w:t>
      </w:r>
      <w:r w:rsidRPr="00FA2019">
        <w:rPr>
          <w:lang w:val="en-US"/>
        </w:rPr>
        <w:t xml:space="preserve">be interpreted in opposite ways did not completely allow us to explain the complexity </w:t>
      </w:r>
      <w:r>
        <w:rPr>
          <w:lang w:val="en-US"/>
        </w:rPr>
        <w:t>for financial institutions to implement</w:t>
      </w:r>
      <w:r w:rsidRPr="00FA2019">
        <w:rPr>
          <w:lang w:val="en-US"/>
        </w:rPr>
        <w:t xml:space="preserve"> SFDR.</w:t>
      </w:r>
    </w:p>
    <w:p w14:paraId="62029901" w14:textId="77777777" w:rsidR="006B2864" w:rsidRPr="00FA2019" w:rsidRDefault="006B2864" w:rsidP="006B2864">
      <w:pPr>
        <w:jc w:val="both"/>
        <w:rPr>
          <w:lang w:val="en-US"/>
        </w:rPr>
      </w:pPr>
    </w:p>
    <w:p w14:paraId="250F1591" w14:textId="77777777" w:rsidR="00C2345D" w:rsidRDefault="00C2345D" w:rsidP="00C2345D">
      <w:pPr>
        <w:pStyle w:val="Paragraphedeliste"/>
        <w:numPr>
          <w:ilvl w:val="0"/>
          <w:numId w:val="14"/>
        </w:numPr>
        <w:ind w:left="709"/>
        <w:jc w:val="both"/>
        <w:rPr>
          <w:b/>
          <w:bCs/>
          <w:lang w:val="en-US"/>
        </w:rPr>
      </w:pPr>
      <w:r w:rsidRPr="00C2345D">
        <w:rPr>
          <w:b/>
          <w:bCs/>
          <w:lang w:val="en-US"/>
        </w:rPr>
        <w:t>Context:</w:t>
      </w:r>
    </w:p>
    <w:p w14:paraId="3C520256" w14:textId="77777777" w:rsidR="00C2345D" w:rsidRPr="00C2345D" w:rsidRDefault="00C2345D" w:rsidP="00C2345D">
      <w:pPr>
        <w:pStyle w:val="Paragraphedeliste"/>
        <w:ind w:left="709"/>
        <w:jc w:val="both"/>
        <w:rPr>
          <w:b/>
          <w:bCs/>
          <w:lang w:val="en-US"/>
        </w:rPr>
      </w:pPr>
    </w:p>
    <w:p w14:paraId="3AA049CF" w14:textId="290052BF" w:rsidR="00A60302" w:rsidRDefault="00A60302" w:rsidP="00A60302">
      <w:pPr>
        <w:jc w:val="both"/>
        <w:rPr>
          <w:lang w:val="en-US"/>
        </w:rPr>
      </w:pPr>
      <w:r w:rsidRPr="00354CFC">
        <w:rPr>
          <w:lang w:val="en-US"/>
        </w:rPr>
        <w:t xml:space="preserve">The French Banking Federation would like to highlight the </w:t>
      </w:r>
      <w:r>
        <w:rPr>
          <w:lang w:val="en-US"/>
        </w:rPr>
        <w:t xml:space="preserve">positive </w:t>
      </w:r>
      <w:r w:rsidRPr="00354CFC">
        <w:rPr>
          <w:lang w:val="en-US"/>
        </w:rPr>
        <w:t xml:space="preserve">contribution </w:t>
      </w:r>
      <w:r>
        <w:rPr>
          <w:lang w:val="en-US"/>
        </w:rPr>
        <w:t>of</w:t>
      </w:r>
      <w:r w:rsidRPr="00354CFC">
        <w:rPr>
          <w:lang w:val="en-US"/>
        </w:rPr>
        <w:t xml:space="preserve"> SFDR in considering double materiality and transparency towards investors. SFDR has enabled progress and financial institutions have taken full advantage of this </w:t>
      </w:r>
      <w:r>
        <w:rPr>
          <w:lang w:val="en-US"/>
        </w:rPr>
        <w:t>regulation.</w:t>
      </w:r>
      <w:r w:rsidRPr="00354CFC" w:rsidDel="00175EAB">
        <w:rPr>
          <w:lang w:val="en-US"/>
        </w:rPr>
        <w:t xml:space="preserve"> </w:t>
      </w:r>
      <w:r>
        <w:rPr>
          <w:lang w:val="en-US"/>
        </w:rPr>
        <w:t>Nevertheless, r</w:t>
      </w:r>
      <w:r w:rsidRPr="00354CFC">
        <w:rPr>
          <w:lang w:val="en-US"/>
        </w:rPr>
        <w:t xml:space="preserve">etail investors </w:t>
      </w:r>
      <w:r>
        <w:rPr>
          <w:lang w:val="en-US"/>
        </w:rPr>
        <w:t>have not fully</w:t>
      </w:r>
      <w:r w:rsidRPr="00354CFC">
        <w:rPr>
          <w:lang w:val="en-US"/>
        </w:rPr>
        <w:t xml:space="preserve"> benefitted from this </w:t>
      </w:r>
      <w:r>
        <w:rPr>
          <w:lang w:val="en-US"/>
        </w:rPr>
        <w:t xml:space="preserve">increased </w:t>
      </w:r>
      <w:r w:rsidRPr="00354CFC">
        <w:rPr>
          <w:lang w:val="en-US"/>
        </w:rPr>
        <w:t xml:space="preserve">transparency due to </w:t>
      </w:r>
      <w:r>
        <w:rPr>
          <w:lang w:val="en-US"/>
        </w:rPr>
        <w:t>a complex</w:t>
      </w:r>
      <w:r w:rsidRPr="00354CFC">
        <w:rPr>
          <w:lang w:val="en-US"/>
        </w:rPr>
        <w:t xml:space="preserve"> implementation and the lack of </w:t>
      </w:r>
      <w:r>
        <w:rPr>
          <w:lang w:val="en-US"/>
        </w:rPr>
        <w:t xml:space="preserve">clear definition of </w:t>
      </w:r>
      <w:r w:rsidRPr="00354CFC">
        <w:rPr>
          <w:lang w:val="en-US"/>
        </w:rPr>
        <w:t xml:space="preserve">“sustainable investment” and “promotion of </w:t>
      </w:r>
      <w:r>
        <w:rPr>
          <w:lang w:val="en-US"/>
        </w:rPr>
        <w:t xml:space="preserve">E or S </w:t>
      </w:r>
      <w:r w:rsidRPr="00354CFC">
        <w:rPr>
          <w:lang w:val="en-US"/>
        </w:rPr>
        <w:t xml:space="preserve">characteristics”. </w:t>
      </w:r>
      <w:r>
        <w:rPr>
          <w:lang w:val="en-US"/>
        </w:rPr>
        <w:t>Financial institutions faced difficult</w:t>
      </w:r>
      <w:r w:rsidRPr="00354CFC">
        <w:rPr>
          <w:lang w:val="en-US"/>
        </w:rPr>
        <w:t xml:space="preserve"> access to data, data quality issues, </w:t>
      </w:r>
      <w:r>
        <w:rPr>
          <w:lang w:val="en-US"/>
        </w:rPr>
        <w:t>lack of</w:t>
      </w:r>
      <w:r w:rsidRPr="00354CFC">
        <w:rPr>
          <w:lang w:val="en-US"/>
        </w:rPr>
        <w:t xml:space="preserve"> customer expectations and understanding, and </w:t>
      </w:r>
      <w:r>
        <w:rPr>
          <w:lang w:val="en-US"/>
        </w:rPr>
        <w:t>complex</w:t>
      </w:r>
      <w:r w:rsidRPr="00354CFC">
        <w:rPr>
          <w:lang w:val="en-US"/>
        </w:rPr>
        <w:t xml:space="preserve"> interactions with other regulations.</w:t>
      </w:r>
      <w:r>
        <w:rPr>
          <w:lang w:val="en-US"/>
        </w:rPr>
        <w:t xml:space="preserve"> </w:t>
      </w:r>
    </w:p>
    <w:p w14:paraId="323C5D85" w14:textId="77777777" w:rsidR="00A60302" w:rsidRDefault="00A60302" w:rsidP="00A60302">
      <w:pPr>
        <w:jc w:val="both"/>
        <w:rPr>
          <w:lang w:val="en-US"/>
        </w:rPr>
      </w:pPr>
      <w:r>
        <w:rPr>
          <w:lang w:val="en-US"/>
        </w:rPr>
        <w:t>We consider that two</w:t>
      </w:r>
      <w:r w:rsidRPr="00C73E73">
        <w:rPr>
          <w:lang w:val="en-US"/>
        </w:rPr>
        <w:t xml:space="preserve"> years after the start of its implementation, SFDR has not met the expectations of </w:t>
      </w:r>
      <w:r>
        <w:rPr>
          <w:lang w:val="en-US"/>
        </w:rPr>
        <w:t xml:space="preserve">both </w:t>
      </w:r>
      <w:r w:rsidRPr="00C73E73">
        <w:rPr>
          <w:lang w:val="en-US"/>
        </w:rPr>
        <w:t xml:space="preserve">retail customers and financial institutions. The necessary implementation efforts appear disproportionate to the impacts. In addition, SFDR has </w:t>
      </w:r>
      <w:r>
        <w:rPr>
          <w:lang w:val="en-US"/>
        </w:rPr>
        <w:t>yet failed</w:t>
      </w:r>
      <w:r w:rsidRPr="00C73E73">
        <w:rPr>
          <w:lang w:val="en-US"/>
        </w:rPr>
        <w:t xml:space="preserve"> to </w:t>
      </w:r>
      <w:r>
        <w:rPr>
          <w:lang w:val="en-US"/>
        </w:rPr>
        <w:t>drive</w:t>
      </w:r>
      <w:r w:rsidRPr="00C73E73">
        <w:rPr>
          <w:lang w:val="en-US"/>
        </w:rPr>
        <w:t xml:space="preserve"> </w:t>
      </w:r>
      <w:r>
        <w:rPr>
          <w:lang w:val="en-US"/>
        </w:rPr>
        <w:t xml:space="preserve">reallocation of </w:t>
      </w:r>
      <w:r w:rsidRPr="00C73E73">
        <w:rPr>
          <w:lang w:val="en-US"/>
        </w:rPr>
        <w:t xml:space="preserve">private financing towards </w:t>
      </w:r>
      <w:r>
        <w:rPr>
          <w:lang w:val="en-US"/>
        </w:rPr>
        <w:t>sustainable activities</w:t>
      </w:r>
      <w:r w:rsidRPr="00C73E73">
        <w:rPr>
          <w:lang w:val="en-US"/>
        </w:rPr>
        <w:t>.</w:t>
      </w:r>
    </w:p>
    <w:p w14:paraId="50DC908E" w14:textId="77777777" w:rsidR="00A60302" w:rsidRDefault="00A60302" w:rsidP="00A60302">
      <w:pPr>
        <w:jc w:val="both"/>
        <w:rPr>
          <w:lang w:val="en-US"/>
        </w:rPr>
      </w:pPr>
      <w:r w:rsidRPr="00C73E73">
        <w:rPr>
          <w:lang w:val="en-US"/>
        </w:rPr>
        <w:t>We thank the Commission for this consultation which allow</w:t>
      </w:r>
      <w:r>
        <w:rPr>
          <w:lang w:val="en-US"/>
        </w:rPr>
        <w:t>s</w:t>
      </w:r>
      <w:r w:rsidRPr="00C73E73">
        <w:rPr>
          <w:lang w:val="en-US"/>
        </w:rPr>
        <w:t xml:space="preserve"> us to share our challenges and questions.</w:t>
      </w:r>
      <w:r>
        <w:rPr>
          <w:lang w:val="en-US"/>
        </w:rPr>
        <w:t xml:space="preserve"> </w:t>
      </w:r>
    </w:p>
    <w:p w14:paraId="43D435C8" w14:textId="4D0FA1FC" w:rsidR="00F0035C" w:rsidRDefault="00F0035C" w:rsidP="00A979F3">
      <w:pPr>
        <w:pStyle w:val="Paragraphedeliste"/>
        <w:numPr>
          <w:ilvl w:val="0"/>
          <w:numId w:val="14"/>
        </w:numPr>
        <w:ind w:left="709"/>
        <w:jc w:val="both"/>
        <w:rPr>
          <w:b/>
          <w:bCs/>
          <w:lang w:val="en-US"/>
        </w:rPr>
      </w:pPr>
      <w:r w:rsidRPr="00A979F3">
        <w:rPr>
          <w:b/>
          <w:bCs/>
          <w:lang w:val="en-US"/>
        </w:rPr>
        <w:t>Possible areas of improvement:</w:t>
      </w:r>
    </w:p>
    <w:p w14:paraId="0CD6CCD4" w14:textId="77777777" w:rsidR="00A979F3" w:rsidRPr="00A979F3" w:rsidRDefault="00A979F3" w:rsidP="00A979F3">
      <w:pPr>
        <w:pStyle w:val="Paragraphedeliste"/>
        <w:ind w:left="709"/>
        <w:jc w:val="both"/>
        <w:rPr>
          <w:b/>
          <w:bCs/>
          <w:lang w:val="en-US"/>
        </w:rPr>
      </w:pPr>
    </w:p>
    <w:p w14:paraId="3F2024CE" w14:textId="77777777" w:rsidR="00F0035C" w:rsidRPr="005D54AF" w:rsidRDefault="00F0035C" w:rsidP="00F0035C">
      <w:pPr>
        <w:pStyle w:val="Paragraphedeliste"/>
        <w:numPr>
          <w:ilvl w:val="0"/>
          <w:numId w:val="12"/>
        </w:numPr>
        <w:spacing w:after="160" w:line="259" w:lineRule="auto"/>
        <w:contextualSpacing/>
        <w:jc w:val="both"/>
        <w:rPr>
          <w:lang w:val="en-US"/>
        </w:rPr>
      </w:pPr>
      <w:r w:rsidRPr="005D54AF">
        <w:rPr>
          <w:lang w:val="en-US"/>
        </w:rPr>
        <w:t xml:space="preserve">Lack of </w:t>
      </w:r>
      <w:r>
        <w:rPr>
          <w:lang w:val="en-US"/>
        </w:rPr>
        <w:t>clear definition</w:t>
      </w:r>
      <w:r w:rsidRPr="005D54AF">
        <w:rPr>
          <w:lang w:val="en-US"/>
        </w:rPr>
        <w:t xml:space="preserve"> of “sustainable investment” and “promotion of E or S characteristics” </w:t>
      </w:r>
    </w:p>
    <w:p w14:paraId="4F30C2EF" w14:textId="77777777" w:rsidR="00F0035C" w:rsidRPr="00941719" w:rsidRDefault="00F0035C" w:rsidP="00F0035C">
      <w:pPr>
        <w:ind w:left="708"/>
        <w:jc w:val="both"/>
        <w:rPr>
          <w:lang w:val="en-US"/>
        </w:rPr>
      </w:pPr>
      <w:r w:rsidRPr="00941719">
        <w:rPr>
          <w:lang w:val="en-US"/>
        </w:rPr>
        <w:t xml:space="preserve">An immediate </w:t>
      </w:r>
      <w:r>
        <w:rPr>
          <w:lang w:val="en-US"/>
        </w:rPr>
        <w:t xml:space="preserve">issue arose </w:t>
      </w:r>
      <w:r w:rsidRPr="00941719">
        <w:rPr>
          <w:lang w:val="en-US"/>
        </w:rPr>
        <w:t xml:space="preserve">during implementation </w:t>
      </w:r>
      <w:r>
        <w:rPr>
          <w:lang w:val="en-US"/>
        </w:rPr>
        <w:t>because of</w:t>
      </w:r>
      <w:r w:rsidRPr="00941719">
        <w:rPr>
          <w:lang w:val="en-US"/>
        </w:rPr>
        <w:t xml:space="preserve"> the lack of </w:t>
      </w:r>
      <w:r>
        <w:rPr>
          <w:lang w:val="en-US"/>
        </w:rPr>
        <w:t xml:space="preserve">clear </w:t>
      </w:r>
      <w:r w:rsidRPr="00941719">
        <w:rPr>
          <w:lang w:val="en-US"/>
        </w:rPr>
        <w:t>definition of “sustainable investment” and “promotion of E or S characteristics”</w:t>
      </w:r>
      <w:r>
        <w:rPr>
          <w:lang w:val="en-US"/>
        </w:rPr>
        <w:t>, leaving those concepts</w:t>
      </w:r>
      <w:r w:rsidRPr="00941719">
        <w:rPr>
          <w:lang w:val="en-US"/>
        </w:rPr>
        <w:t xml:space="preserve"> subject to interpretation. This </w:t>
      </w:r>
      <w:r>
        <w:rPr>
          <w:lang w:val="en-US"/>
        </w:rPr>
        <w:t>lack of definition did not allow</w:t>
      </w:r>
      <w:r w:rsidRPr="00941719">
        <w:rPr>
          <w:lang w:val="en-US"/>
        </w:rPr>
        <w:t xml:space="preserve"> final investors to </w:t>
      </w:r>
      <w:r>
        <w:rPr>
          <w:lang w:val="en-US"/>
        </w:rPr>
        <w:t>clearly understand</w:t>
      </w:r>
      <w:r w:rsidRPr="00941719">
        <w:rPr>
          <w:lang w:val="en-US"/>
        </w:rPr>
        <w:t xml:space="preserve"> the purpose of </w:t>
      </w:r>
      <w:r>
        <w:rPr>
          <w:lang w:val="en-US"/>
        </w:rPr>
        <w:t xml:space="preserve">each financial </w:t>
      </w:r>
      <w:r w:rsidRPr="00941719">
        <w:rPr>
          <w:lang w:val="en-US"/>
        </w:rPr>
        <w:t xml:space="preserve">product. We </w:t>
      </w:r>
      <w:r>
        <w:rPr>
          <w:lang w:val="en-US"/>
        </w:rPr>
        <w:t xml:space="preserve">strongly </w:t>
      </w:r>
      <w:r w:rsidRPr="00941719">
        <w:rPr>
          <w:lang w:val="en-US"/>
        </w:rPr>
        <w:t xml:space="preserve">believe that </w:t>
      </w:r>
      <w:r>
        <w:rPr>
          <w:lang w:val="en-US"/>
        </w:rPr>
        <w:t>those concepts, as well as the different categories of financial products, should be clearly defined</w:t>
      </w:r>
      <w:r w:rsidRPr="00941719">
        <w:rPr>
          <w:lang w:val="en-US"/>
        </w:rPr>
        <w:t xml:space="preserve"> </w:t>
      </w:r>
      <w:r>
        <w:rPr>
          <w:lang w:val="en-US"/>
        </w:rPr>
        <w:t xml:space="preserve">to avoid differences </w:t>
      </w:r>
      <w:r w:rsidRPr="00941719">
        <w:rPr>
          <w:lang w:val="en-US"/>
        </w:rPr>
        <w:t xml:space="preserve">with other </w:t>
      </w:r>
      <w:r>
        <w:rPr>
          <w:lang w:val="en-US"/>
        </w:rPr>
        <w:t xml:space="preserve">sustainable finance </w:t>
      </w:r>
      <w:r w:rsidRPr="00941719">
        <w:rPr>
          <w:lang w:val="en-US"/>
        </w:rPr>
        <w:t xml:space="preserve">regulations </w:t>
      </w:r>
      <w:r>
        <w:rPr>
          <w:lang w:val="en-US"/>
        </w:rPr>
        <w:t xml:space="preserve">and any </w:t>
      </w:r>
      <w:r w:rsidRPr="00941719">
        <w:rPr>
          <w:lang w:val="en-US"/>
        </w:rPr>
        <w:t xml:space="preserve">suspicion of greenwashing </w:t>
      </w:r>
      <w:r>
        <w:rPr>
          <w:lang w:val="en-US"/>
        </w:rPr>
        <w:t xml:space="preserve">from </w:t>
      </w:r>
      <w:r w:rsidRPr="00941719">
        <w:rPr>
          <w:lang w:val="en-US"/>
        </w:rPr>
        <w:t xml:space="preserve">end customers. </w:t>
      </w:r>
      <w:r>
        <w:rPr>
          <w:lang w:val="en-US"/>
        </w:rPr>
        <w:t xml:space="preserve">This should increase </w:t>
      </w:r>
      <w:r w:rsidRPr="00941719">
        <w:rPr>
          <w:lang w:val="en-US"/>
        </w:rPr>
        <w:t xml:space="preserve">transparency and </w:t>
      </w:r>
      <w:r>
        <w:rPr>
          <w:lang w:val="en-US"/>
        </w:rPr>
        <w:t>limit</w:t>
      </w:r>
      <w:r w:rsidRPr="00941719">
        <w:rPr>
          <w:lang w:val="en-US"/>
        </w:rPr>
        <w:t xml:space="preserve"> reputational risks</w:t>
      </w:r>
      <w:r>
        <w:rPr>
          <w:lang w:val="en-US"/>
        </w:rPr>
        <w:t xml:space="preserve"> for financial institutions</w:t>
      </w:r>
      <w:r w:rsidRPr="00941719">
        <w:rPr>
          <w:lang w:val="en-US"/>
        </w:rPr>
        <w:t>.</w:t>
      </w:r>
    </w:p>
    <w:p w14:paraId="4192006F" w14:textId="77777777" w:rsidR="007661D9" w:rsidRPr="005D54AF" w:rsidRDefault="007661D9" w:rsidP="007661D9">
      <w:pPr>
        <w:pStyle w:val="Paragraphedeliste"/>
        <w:numPr>
          <w:ilvl w:val="0"/>
          <w:numId w:val="12"/>
        </w:numPr>
        <w:spacing w:after="160" w:line="259" w:lineRule="auto"/>
        <w:contextualSpacing/>
        <w:jc w:val="both"/>
        <w:rPr>
          <w:lang w:val="en-US"/>
        </w:rPr>
      </w:pPr>
      <w:r w:rsidRPr="005D54AF">
        <w:rPr>
          <w:lang w:val="en-US"/>
        </w:rPr>
        <w:t>Mismatch with customer expectations</w:t>
      </w:r>
    </w:p>
    <w:p w14:paraId="192773A0" w14:textId="77777777" w:rsidR="007661D9" w:rsidRDefault="007661D9" w:rsidP="007661D9">
      <w:pPr>
        <w:ind w:left="708"/>
        <w:jc w:val="both"/>
        <w:rPr>
          <w:lang w:val="en-US"/>
        </w:rPr>
      </w:pPr>
      <w:r w:rsidRPr="005A6179">
        <w:rPr>
          <w:lang w:val="en-US"/>
        </w:rPr>
        <w:t>SFDR does</w:t>
      </w:r>
      <w:r>
        <w:rPr>
          <w:lang w:val="en-US"/>
        </w:rPr>
        <w:t xml:space="preserve"> not </w:t>
      </w:r>
      <w:r w:rsidRPr="005A6179">
        <w:rPr>
          <w:lang w:val="en-US"/>
        </w:rPr>
        <w:t xml:space="preserve">meet </w:t>
      </w:r>
      <w:r>
        <w:rPr>
          <w:lang w:val="en-US"/>
        </w:rPr>
        <w:t xml:space="preserve">the </w:t>
      </w:r>
      <w:r w:rsidRPr="005A6179">
        <w:rPr>
          <w:lang w:val="en-US"/>
        </w:rPr>
        <w:t xml:space="preserve">expectations </w:t>
      </w:r>
      <w:r>
        <w:rPr>
          <w:lang w:val="en-US"/>
        </w:rPr>
        <w:t>of</w:t>
      </w:r>
      <w:r w:rsidRPr="005A6179">
        <w:rPr>
          <w:lang w:val="en-US"/>
        </w:rPr>
        <w:t xml:space="preserve"> end-invest</w:t>
      </w:r>
      <w:r>
        <w:rPr>
          <w:lang w:val="en-US"/>
        </w:rPr>
        <w:t>ors, as c retail investors</w:t>
      </w:r>
      <w:r w:rsidRPr="005A6179">
        <w:rPr>
          <w:lang w:val="en-US"/>
        </w:rPr>
        <w:t xml:space="preserve"> do</w:t>
      </w:r>
      <w:r>
        <w:rPr>
          <w:lang w:val="en-US"/>
        </w:rPr>
        <w:t xml:space="preserve"> not</w:t>
      </w:r>
      <w:r w:rsidRPr="005A6179">
        <w:rPr>
          <w:lang w:val="en-US"/>
        </w:rPr>
        <w:t xml:space="preserve"> understand the level of granularity requested by SFDR. There is a decorrelation between their level of understanding and the level of information provided to them. </w:t>
      </w:r>
      <w:r>
        <w:rPr>
          <w:lang w:val="en-US"/>
        </w:rPr>
        <w:t>In addition</w:t>
      </w:r>
      <w:r w:rsidRPr="005A6179">
        <w:rPr>
          <w:lang w:val="en-US"/>
        </w:rPr>
        <w:t xml:space="preserve">, the time allocated by </w:t>
      </w:r>
      <w:r>
        <w:rPr>
          <w:lang w:val="en-US"/>
        </w:rPr>
        <w:t>retail investors</w:t>
      </w:r>
      <w:r w:rsidRPr="005A6179">
        <w:rPr>
          <w:lang w:val="en-US"/>
        </w:rPr>
        <w:t xml:space="preserve"> to </w:t>
      </w:r>
      <w:r>
        <w:rPr>
          <w:lang w:val="en-US"/>
        </w:rPr>
        <w:t>exchange with their</w:t>
      </w:r>
      <w:r w:rsidRPr="005A6179">
        <w:rPr>
          <w:lang w:val="en-US"/>
        </w:rPr>
        <w:t xml:space="preserve"> financial advisor is </w:t>
      </w:r>
      <w:r>
        <w:rPr>
          <w:lang w:val="en-US"/>
        </w:rPr>
        <w:t>usually</w:t>
      </w:r>
      <w:r w:rsidRPr="005A6179">
        <w:rPr>
          <w:lang w:val="en-US"/>
        </w:rPr>
        <w:t xml:space="preserve"> insufficient to reach the </w:t>
      </w:r>
      <w:r w:rsidRPr="005A6179">
        <w:rPr>
          <w:lang w:val="en-US"/>
        </w:rPr>
        <w:lastRenderedPageBreak/>
        <w:t xml:space="preserve">level of granularity proposed by SFDR. </w:t>
      </w:r>
      <w:r>
        <w:rPr>
          <w:lang w:val="en-US"/>
        </w:rPr>
        <w:t>Onboarding SFDR requirements in</w:t>
      </w:r>
      <w:r w:rsidRPr="005A6179">
        <w:rPr>
          <w:lang w:val="en-US"/>
        </w:rPr>
        <w:t xml:space="preserve"> banks</w:t>
      </w:r>
      <w:r>
        <w:rPr>
          <w:lang w:val="en-US"/>
        </w:rPr>
        <w:t>’ distribution activity</w:t>
      </w:r>
      <w:r w:rsidRPr="005A6179">
        <w:rPr>
          <w:lang w:val="en-US"/>
        </w:rPr>
        <w:t xml:space="preserve"> is therefore </w:t>
      </w:r>
      <w:r>
        <w:rPr>
          <w:lang w:val="en-US"/>
        </w:rPr>
        <w:t xml:space="preserve">difficult. This suggests </w:t>
      </w:r>
      <w:r w:rsidRPr="005A6179">
        <w:rPr>
          <w:lang w:val="en-US"/>
        </w:rPr>
        <w:t xml:space="preserve">an approach based on the </w:t>
      </w:r>
      <w:r>
        <w:rPr>
          <w:lang w:val="en-US"/>
        </w:rPr>
        <w:t xml:space="preserve">actual </w:t>
      </w:r>
      <w:r w:rsidRPr="005A6179">
        <w:rPr>
          <w:lang w:val="en-US"/>
        </w:rPr>
        <w:t xml:space="preserve">expectations and </w:t>
      </w:r>
      <w:r>
        <w:rPr>
          <w:lang w:val="en-US"/>
        </w:rPr>
        <w:t xml:space="preserve">level of knowledge </w:t>
      </w:r>
      <w:r w:rsidRPr="005A6179">
        <w:rPr>
          <w:lang w:val="en-US"/>
        </w:rPr>
        <w:t xml:space="preserve">of </w:t>
      </w:r>
      <w:r>
        <w:rPr>
          <w:lang w:val="en-US"/>
        </w:rPr>
        <w:t>each investor</w:t>
      </w:r>
      <w:r w:rsidRPr="005A6179">
        <w:rPr>
          <w:lang w:val="en-US"/>
        </w:rPr>
        <w:t xml:space="preserve"> would </w:t>
      </w:r>
      <w:r>
        <w:rPr>
          <w:lang w:val="en-US"/>
        </w:rPr>
        <w:t xml:space="preserve">probably </w:t>
      </w:r>
      <w:r w:rsidRPr="005A6179">
        <w:rPr>
          <w:lang w:val="en-US"/>
        </w:rPr>
        <w:t xml:space="preserve">be relevant </w:t>
      </w:r>
      <w:r>
        <w:rPr>
          <w:lang w:val="en-US"/>
        </w:rPr>
        <w:t>to include in</w:t>
      </w:r>
      <w:r w:rsidRPr="005A6179">
        <w:rPr>
          <w:lang w:val="en-US"/>
        </w:rPr>
        <w:t xml:space="preserve"> the revision of SFDR.</w:t>
      </w:r>
      <w:r>
        <w:rPr>
          <w:lang w:val="en-US"/>
        </w:rPr>
        <w:t xml:space="preserve"> </w:t>
      </w:r>
      <w:r w:rsidRPr="005A6179">
        <w:rPr>
          <w:lang w:val="en-US"/>
        </w:rPr>
        <w:t xml:space="preserve">Customers are also in demand for </w:t>
      </w:r>
      <w:r>
        <w:rPr>
          <w:lang w:val="en-US"/>
        </w:rPr>
        <w:t>financial</w:t>
      </w:r>
      <w:r w:rsidRPr="005A6179">
        <w:rPr>
          <w:lang w:val="en-US"/>
        </w:rPr>
        <w:t xml:space="preserve"> products</w:t>
      </w:r>
      <w:r>
        <w:rPr>
          <w:lang w:val="en-US"/>
        </w:rPr>
        <w:t xml:space="preserve"> that positively contribute to sustainable objectives</w:t>
      </w:r>
      <w:r w:rsidRPr="005A6179">
        <w:rPr>
          <w:lang w:val="en-US"/>
        </w:rPr>
        <w:t xml:space="preserve">, </w:t>
      </w:r>
      <w:r>
        <w:rPr>
          <w:lang w:val="en-US"/>
        </w:rPr>
        <w:t>including climate</w:t>
      </w:r>
      <w:r w:rsidRPr="005A6179">
        <w:rPr>
          <w:lang w:val="en-US"/>
        </w:rPr>
        <w:t xml:space="preserve"> transition</w:t>
      </w:r>
      <w:r>
        <w:rPr>
          <w:lang w:val="en-US"/>
        </w:rPr>
        <w:t xml:space="preserve"> and </w:t>
      </w:r>
      <w:r w:rsidRPr="005A6179">
        <w:rPr>
          <w:lang w:val="en-US"/>
        </w:rPr>
        <w:t xml:space="preserve">adaptation, rather than products which </w:t>
      </w:r>
      <w:r>
        <w:rPr>
          <w:lang w:val="en-US"/>
        </w:rPr>
        <w:t>do not have a negative impact</w:t>
      </w:r>
      <w:r w:rsidRPr="005A6179">
        <w:rPr>
          <w:lang w:val="en-US"/>
        </w:rPr>
        <w:t>.</w:t>
      </w:r>
      <w:r>
        <w:rPr>
          <w:lang w:val="en-US"/>
        </w:rPr>
        <w:t xml:space="preserve"> Bringing closer</w:t>
      </w:r>
      <w:r w:rsidRPr="002D7A8D">
        <w:rPr>
          <w:lang w:val="en-US"/>
        </w:rPr>
        <w:t xml:space="preserve"> MiFID IDD ESG preferences with SFDR would facilitate identification of products matching client’s sustainability preferences.</w:t>
      </w:r>
      <w:r w:rsidRPr="005A6179">
        <w:rPr>
          <w:lang w:val="en-US"/>
        </w:rPr>
        <w:t xml:space="preserve"> </w:t>
      </w:r>
      <w:r>
        <w:rPr>
          <w:lang w:val="en-US"/>
        </w:rPr>
        <w:t>Defining</w:t>
      </w:r>
      <w:r w:rsidRPr="005A6179">
        <w:rPr>
          <w:lang w:val="en-US"/>
        </w:rPr>
        <w:t xml:space="preserve"> a sustainability threshold could be a satisfactory step forward. </w:t>
      </w:r>
    </w:p>
    <w:p w14:paraId="04FD919B" w14:textId="77777777" w:rsidR="002D5A34" w:rsidRPr="005D54AF" w:rsidRDefault="002D5A34" w:rsidP="002D5A34">
      <w:pPr>
        <w:pStyle w:val="Paragraphedeliste"/>
        <w:numPr>
          <w:ilvl w:val="0"/>
          <w:numId w:val="12"/>
        </w:numPr>
        <w:spacing w:after="160" w:line="259" w:lineRule="auto"/>
        <w:contextualSpacing/>
        <w:jc w:val="both"/>
        <w:rPr>
          <w:lang w:val="en-US"/>
        </w:rPr>
      </w:pPr>
      <w:r w:rsidRPr="005D54AF">
        <w:rPr>
          <w:lang w:val="en-US"/>
        </w:rPr>
        <w:t>L</w:t>
      </w:r>
      <w:r>
        <w:rPr>
          <w:lang w:val="en-US"/>
        </w:rPr>
        <w:t>itigation</w:t>
      </w:r>
      <w:r w:rsidRPr="005D54AF">
        <w:rPr>
          <w:lang w:val="en-US"/>
        </w:rPr>
        <w:t xml:space="preserve"> risks (in relation to question 2.3): </w:t>
      </w:r>
    </w:p>
    <w:p w14:paraId="0EC7886E" w14:textId="2E16B83E" w:rsidR="002D5A34" w:rsidRDefault="002D5A34" w:rsidP="002D5A34">
      <w:pPr>
        <w:ind w:left="708"/>
        <w:jc w:val="both"/>
        <w:rPr>
          <w:lang w:val="en-US"/>
        </w:rPr>
      </w:pPr>
      <w:r>
        <w:rPr>
          <w:lang w:val="en-US"/>
        </w:rPr>
        <w:t>Several different</w:t>
      </w:r>
      <w:r w:rsidRPr="006970D0">
        <w:rPr>
          <w:lang w:val="en-US"/>
        </w:rPr>
        <w:t xml:space="preserve"> regulations </w:t>
      </w:r>
      <w:r>
        <w:rPr>
          <w:lang w:val="en-US"/>
        </w:rPr>
        <w:t>came into force</w:t>
      </w:r>
      <w:r w:rsidRPr="006970D0">
        <w:rPr>
          <w:lang w:val="en-US"/>
        </w:rPr>
        <w:t xml:space="preserve"> over a short period of time and are increasingly demanding. At the same time, l</w:t>
      </w:r>
      <w:r>
        <w:rPr>
          <w:lang w:val="en-US"/>
        </w:rPr>
        <w:t>itigation</w:t>
      </w:r>
      <w:r w:rsidRPr="006970D0">
        <w:rPr>
          <w:lang w:val="en-US"/>
        </w:rPr>
        <w:t xml:space="preserve"> risks have increased considerably </w:t>
      </w:r>
      <w:r>
        <w:rPr>
          <w:lang w:val="en-US"/>
        </w:rPr>
        <w:t xml:space="preserve">for financial institutions </w:t>
      </w:r>
      <w:r w:rsidRPr="006970D0">
        <w:rPr>
          <w:lang w:val="en-US"/>
        </w:rPr>
        <w:t xml:space="preserve">while </w:t>
      </w:r>
      <w:r>
        <w:rPr>
          <w:lang w:val="en-US"/>
        </w:rPr>
        <w:t>corporate clients</w:t>
      </w:r>
      <w:r w:rsidRPr="006970D0">
        <w:rPr>
          <w:lang w:val="en-US"/>
        </w:rPr>
        <w:t xml:space="preserve"> have not yet implemented CSRD and </w:t>
      </w:r>
      <w:r>
        <w:rPr>
          <w:lang w:val="en-US"/>
        </w:rPr>
        <w:t>cannot yet</w:t>
      </w:r>
      <w:r w:rsidRPr="006970D0">
        <w:rPr>
          <w:lang w:val="en-US"/>
        </w:rPr>
        <w:t xml:space="preserve"> respond to our requests for</w:t>
      </w:r>
      <w:r>
        <w:rPr>
          <w:lang w:val="en-US"/>
        </w:rPr>
        <w:t xml:space="preserve"> ESG-related </w:t>
      </w:r>
      <w:r w:rsidRPr="006970D0">
        <w:rPr>
          <w:lang w:val="en-US"/>
        </w:rPr>
        <w:t xml:space="preserve">information. From </w:t>
      </w:r>
      <w:r>
        <w:rPr>
          <w:lang w:val="en-US"/>
        </w:rPr>
        <w:t xml:space="preserve">a </w:t>
      </w:r>
      <w:r w:rsidRPr="006970D0">
        <w:rPr>
          <w:lang w:val="en-US"/>
        </w:rPr>
        <w:t xml:space="preserve">distributor's </w:t>
      </w:r>
      <w:r>
        <w:rPr>
          <w:lang w:val="en-US"/>
        </w:rPr>
        <w:t>perspective</w:t>
      </w:r>
      <w:r w:rsidRPr="006970D0">
        <w:rPr>
          <w:lang w:val="en-US"/>
        </w:rPr>
        <w:t>, it is</w:t>
      </w:r>
      <w:r>
        <w:rPr>
          <w:lang w:val="en-US"/>
        </w:rPr>
        <w:t xml:space="preserve"> </w:t>
      </w:r>
      <w:r w:rsidRPr="006970D0">
        <w:rPr>
          <w:lang w:val="en-US"/>
        </w:rPr>
        <w:t xml:space="preserve">difficult to discuss with customers on </w:t>
      </w:r>
      <w:r>
        <w:rPr>
          <w:lang w:val="en-US"/>
        </w:rPr>
        <w:t>topics for</w:t>
      </w:r>
      <w:r w:rsidRPr="006970D0">
        <w:rPr>
          <w:lang w:val="en-US"/>
        </w:rPr>
        <w:t xml:space="preserve"> which information </w:t>
      </w:r>
      <w:r>
        <w:rPr>
          <w:lang w:val="en-US"/>
        </w:rPr>
        <w:t xml:space="preserve">is not </w:t>
      </w:r>
      <w:r w:rsidRPr="006970D0">
        <w:rPr>
          <w:lang w:val="en-US"/>
        </w:rPr>
        <w:t>yet available. Data availability</w:t>
      </w:r>
      <w:r>
        <w:rPr>
          <w:lang w:val="en-US"/>
        </w:rPr>
        <w:t xml:space="preserve"> and </w:t>
      </w:r>
      <w:r w:rsidRPr="006970D0">
        <w:rPr>
          <w:lang w:val="en-US"/>
        </w:rPr>
        <w:t>quality is a great challenge</w:t>
      </w:r>
      <w:r>
        <w:rPr>
          <w:lang w:val="en-US"/>
        </w:rPr>
        <w:t>.</w:t>
      </w:r>
      <w:r w:rsidRPr="006970D0">
        <w:rPr>
          <w:lang w:val="en-US"/>
        </w:rPr>
        <w:t xml:space="preserve"> </w:t>
      </w:r>
      <w:r>
        <w:rPr>
          <w:lang w:val="en-US"/>
        </w:rPr>
        <w:t>Harmonization</w:t>
      </w:r>
      <w:r w:rsidRPr="006970D0">
        <w:rPr>
          <w:lang w:val="en-US"/>
        </w:rPr>
        <w:t xml:space="preserve"> between regulations</w:t>
      </w:r>
      <w:r>
        <w:rPr>
          <w:lang w:val="en-US"/>
        </w:rPr>
        <w:t xml:space="preserve"> is absolutely needed</w:t>
      </w:r>
      <w:r w:rsidRPr="006970D0">
        <w:rPr>
          <w:lang w:val="en-US"/>
        </w:rPr>
        <w:t xml:space="preserve">, </w:t>
      </w:r>
      <w:r>
        <w:rPr>
          <w:lang w:val="en-US"/>
        </w:rPr>
        <w:t>including</w:t>
      </w:r>
      <w:r w:rsidRPr="006970D0">
        <w:rPr>
          <w:lang w:val="en-US"/>
        </w:rPr>
        <w:t xml:space="preserve"> CSRD, MIFID/IDD, BMR, PRIIPS, and EU GBS. </w:t>
      </w:r>
      <w:r>
        <w:rPr>
          <w:lang w:val="en-US"/>
        </w:rPr>
        <w:t>For example, m</w:t>
      </w:r>
      <w:r w:rsidRPr="006970D0">
        <w:rPr>
          <w:lang w:val="en-US"/>
        </w:rPr>
        <w:t xml:space="preserve">ateriality assessment should be </w:t>
      </w:r>
      <w:r>
        <w:rPr>
          <w:lang w:val="en-US"/>
        </w:rPr>
        <w:t>harmonized</w:t>
      </w:r>
      <w:r w:rsidRPr="006970D0">
        <w:rPr>
          <w:lang w:val="en-US"/>
        </w:rPr>
        <w:t xml:space="preserve"> between ESRS and SFDR, notably for indicators deemed not material, to allow better comparability.  </w:t>
      </w:r>
    </w:p>
    <w:p w14:paraId="4D3CB98C" w14:textId="77777777" w:rsidR="00B72380" w:rsidRPr="005D54AF" w:rsidRDefault="00B72380" w:rsidP="00B72380">
      <w:pPr>
        <w:pStyle w:val="Paragraphedeliste"/>
        <w:numPr>
          <w:ilvl w:val="0"/>
          <w:numId w:val="12"/>
        </w:numPr>
        <w:spacing w:after="160" w:line="259" w:lineRule="auto"/>
        <w:contextualSpacing/>
        <w:jc w:val="both"/>
        <w:rPr>
          <w:lang w:val="en" w:eastAsia="fr-FR"/>
        </w:rPr>
      </w:pPr>
      <w:r w:rsidRPr="005D54AF">
        <w:rPr>
          <w:lang w:val="en" w:eastAsia="fr-FR"/>
        </w:rPr>
        <w:t xml:space="preserve">Data issues (related to question 1.12.4): </w:t>
      </w:r>
    </w:p>
    <w:p w14:paraId="2DA70DE5" w14:textId="724AF5C3" w:rsidR="00B72380" w:rsidRDefault="00B72380" w:rsidP="00B72380">
      <w:pPr>
        <w:ind w:left="708"/>
        <w:jc w:val="both"/>
        <w:rPr>
          <w:lang w:val="en" w:eastAsia="fr-FR"/>
        </w:rPr>
      </w:pPr>
      <w:r w:rsidRPr="00574F35">
        <w:rPr>
          <w:lang w:val="en" w:eastAsia="fr-FR"/>
        </w:rPr>
        <w:t>This table does</w:t>
      </w:r>
      <w:r>
        <w:rPr>
          <w:lang w:val="en" w:eastAsia="fr-FR"/>
        </w:rPr>
        <w:t xml:space="preserve"> not</w:t>
      </w:r>
      <w:r w:rsidRPr="00574F35">
        <w:rPr>
          <w:lang w:val="en" w:eastAsia="fr-FR"/>
        </w:rPr>
        <w:t xml:space="preserve"> reflect the complexity and diversity of financial services.</w:t>
      </w:r>
      <w:r>
        <w:rPr>
          <w:lang w:val="en" w:eastAsia="fr-FR"/>
        </w:rPr>
        <w:t xml:space="preserve"> </w:t>
      </w:r>
      <w:r w:rsidRPr="004D4F76">
        <w:rPr>
          <w:lang w:val="en" w:eastAsia="fr-FR"/>
        </w:rPr>
        <w:t xml:space="preserve">Within </w:t>
      </w:r>
      <w:r>
        <w:rPr>
          <w:lang w:val="en" w:eastAsia="fr-FR"/>
        </w:rPr>
        <w:t xml:space="preserve">a </w:t>
      </w:r>
      <w:r w:rsidR="00C44EB4">
        <w:rPr>
          <w:lang w:val="en" w:eastAsia="fr-FR"/>
        </w:rPr>
        <w:t>financial institution</w:t>
      </w:r>
      <w:r w:rsidRPr="004D4F76">
        <w:rPr>
          <w:lang w:val="en" w:eastAsia="fr-FR"/>
        </w:rPr>
        <w:t xml:space="preserve">, </w:t>
      </w:r>
      <w:r>
        <w:rPr>
          <w:lang w:val="en" w:eastAsia="fr-FR"/>
        </w:rPr>
        <w:t xml:space="preserve">different parts of the </w:t>
      </w:r>
      <w:r w:rsidRPr="004D4F76">
        <w:rPr>
          <w:lang w:val="en" w:eastAsia="fr-FR"/>
        </w:rPr>
        <w:t>business</w:t>
      </w:r>
      <w:r>
        <w:rPr>
          <w:lang w:val="en" w:eastAsia="fr-FR"/>
        </w:rPr>
        <w:t xml:space="preserve"> can use different sources of data</w:t>
      </w:r>
      <w:r w:rsidRPr="004D4F76">
        <w:rPr>
          <w:lang w:val="en" w:eastAsia="fr-FR"/>
        </w:rPr>
        <w:t>.</w:t>
      </w:r>
      <w:r>
        <w:rPr>
          <w:lang w:val="en" w:eastAsia="fr-FR"/>
        </w:rPr>
        <w:t xml:space="preserve"> </w:t>
      </w:r>
      <w:r w:rsidRPr="0024085E">
        <w:rPr>
          <w:lang w:val="en" w:eastAsia="fr-FR"/>
        </w:rPr>
        <w:t xml:space="preserve">For example, </w:t>
      </w:r>
      <w:r>
        <w:rPr>
          <w:lang w:val="en" w:eastAsia="fr-FR"/>
        </w:rPr>
        <w:t>an</w:t>
      </w:r>
      <w:r w:rsidRPr="0024085E">
        <w:rPr>
          <w:lang w:val="en" w:eastAsia="fr-FR"/>
        </w:rPr>
        <w:t xml:space="preserve"> entity </w:t>
      </w:r>
      <w:r>
        <w:rPr>
          <w:lang w:val="en" w:eastAsia="fr-FR"/>
        </w:rPr>
        <w:t>can use external data</w:t>
      </w:r>
      <w:r w:rsidRPr="0024085E">
        <w:rPr>
          <w:lang w:val="en" w:eastAsia="fr-FR"/>
        </w:rPr>
        <w:t xml:space="preserve"> providers, </w:t>
      </w:r>
      <w:r>
        <w:rPr>
          <w:lang w:val="en" w:eastAsia="fr-FR"/>
        </w:rPr>
        <w:t>while another will use</w:t>
      </w:r>
      <w:r w:rsidRPr="0024085E">
        <w:rPr>
          <w:lang w:val="en" w:eastAsia="fr-FR"/>
        </w:rPr>
        <w:t xml:space="preserve"> internal estimates.</w:t>
      </w:r>
      <w:r>
        <w:rPr>
          <w:lang w:val="en" w:eastAsia="fr-FR"/>
        </w:rPr>
        <w:t xml:space="preserve"> Financial Institutions’ use of data providers is increasing, and so is the related cost. </w:t>
      </w:r>
      <w:r w:rsidRPr="0024085E">
        <w:rPr>
          <w:lang w:val="en" w:eastAsia="fr-FR"/>
        </w:rPr>
        <w:t xml:space="preserve"> </w:t>
      </w:r>
      <w:r>
        <w:rPr>
          <w:lang w:val="en" w:eastAsia="fr-FR"/>
        </w:rPr>
        <w:t>Nevertheless, data quality is not always reliable – thus the urgent need to regulate ESG data providers.</w:t>
      </w:r>
    </w:p>
    <w:p w14:paraId="7CCCE274" w14:textId="77777777" w:rsidR="00B72380" w:rsidRDefault="00B72380" w:rsidP="00B72380">
      <w:pPr>
        <w:ind w:left="708"/>
        <w:jc w:val="both"/>
        <w:rPr>
          <w:lang w:val="en" w:eastAsia="fr-FR"/>
        </w:rPr>
      </w:pPr>
      <w:r w:rsidRPr="0087592D">
        <w:rPr>
          <w:lang w:val="en" w:eastAsia="fr-FR"/>
        </w:rPr>
        <w:t xml:space="preserve">Until CSRD is fully implemented, data availability will remain limited, and the use of estimated data the only </w:t>
      </w:r>
      <w:r>
        <w:rPr>
          <w:lang w:val="en" w:eastAsia="fr-FR"/>
        </w:rPr>
        <w:t>option</w:t>
      </w:r>
      <w:r w:rsidRPr="0087592D">
        <w:rPr>
          <w:lang w:val="en" w:eastAsia="fr-FR"/>
        </w:rPr>
        <w:t xml:space="preserve"> to comply with regulatory expectations.</w:t>
      </w:r>
      <w:r>
        <w:rPr>
          <w:lang w:val="en" w:eastAsia="fr-FR"/>
        </w:rPr>
        <w:t xml:space="preserve"> </w:t>
      </w:r>
      <w:r w:rsidRPr="0002212F">
        <w:rPr>
          <w:lang w:val="en" w:eastAsia="fr-FR"/>
        </w:rPr>
        <w:t xml:space="preserve">Even after CSRD is </w:t>
      </w:r>
      <w:r>
        <w:rPr>
          <w:lang w:val="en" w:eastAsia="fr-FR"/>
        </w:rPr>
        <w:t xml:space="preserve">fully </w:t>
      </w:r>
      <w:r w:rsidRPr="0002212F">
        <w:rPr>
          <w:lang w:val="en" w:eastAsia="fr-FR"/>
        </w:rPr>
        <w:t>implemented</w:t>
      </w:r>
      <w:r>
        <w:rPr>
          <w:lang w:val="en" w:eastAsia="fr-FR"/>
        </w:rPr>
        <w:t xml:space="preserve">, a lot of data will remain unavailable because of the materiality condition for companies’ disclosure. </w:t>
      </w:r>
      <w:r w:rsidRPr="0002212F">
        <w:rPr>
          <w:lang w:val="en" w:eastAsia="fr-FR"/>
        </w:rPr>
        <w:t xml:space="preserve">SFDR disclosure preparers should </w:t>
      </w:r>
      <w:r>
        <w:rPr>
          <w:lang w:val="en" w:eastAsia="fr-FR"/>
        </w:rPr>
        <w:t xml:space="preserve">therefore </w:t>
      </w:r>
      <w:r w:rsidRPr="0002212F">
        <w:rPr>
          <w:lang w:val="en" w:eastAsia="fr-FR"/>
        </w:rPr>
        <w:t xml:space="preserve">be allowed to use ‘zero’ when the investee discloses ‘zero’ after their materiality assessment. </w:t>
      </w:r>
      <w:r w:rsidRPr="00CD0CEF">
        <w:rPr>
          <w:lang w:val="en" w:eastAsia="fr-FR"/>
        </w:rPr>
        <w:t xml:space="preserve">This clarification should be </w:t>
      </w:r>
      <w:r>
        <w:rPr>
          <w:lang w:val="en" w:eastAsia="fr-FR"/>
        </w:rPr>
        <w:t>included</w:t>
      </w:r>
      <w:r w:rsidRPr="00CD0CEF">
        <w:rPr>
          <w:lang w:val="en" w:eastAsia="fr-FR"/>
        </w:rPr>
        <w:t xml:space="preserve"> in the text of SFDR</w:t>
      </w:r>
      <w:r>
        <w:rPr>
          <w:lang w:val="en" w:eastAsia="fr-FR"/>
        </w:rPr>
        <w:t>’s revision</w:t>
      </w:r>
      <w:r w:rsidRPr="00CD0CEF">
        <w:rPr>
          <w:lang w:val="en" w:eastAsia="fr-FR"/>
        </w:rPr>
        <w:t xml:space="preserve"> (level 1). At this stage, we do</w:t>
      </w:r>
      <w:r>
        <w:rPr>
          <w:lang w:val="en" w:eastAsia="fr-FR"/>
        </w:rPr>
        <w:t xml:space="preserve"> not</w:t>
      </w:r>
      <w:r w:rsidRPr="00CD0CEF">
        <w:rPr>
          <w:lang w:val="en" w:eastAsia="fr-FR"/>
        </w:rPr>
        <w:t xml:space="preserve"> want a third-party audit and wish to remain on a self-declaration approach.</w:t>
      </w:r>
    </w:p>
    <w:p w14:paraId="5B187B4B" w14:textId="77777777" w:rsidR="00B72380" w:rsidRDefault="00B72380" w:rsidP="00B72380">
      <w:pPr>
        <w:ind w:left="708"/>
        <w:jc w:val="both"/>
        <w:rPr>
          <w:lang w:val="en-US"/>
        </w:rPr>
      </w:pPr>
      <w:r w:rsidRPr="005F47A1">
        <w:rPr>
          <w:lang w:val="en-US"/>
        </w:rPr>
        <w:t>In addition, the current lack of automated digital extraction of data does</w:t>
      </w:r>
      <w:r>
        <w:rPr>
          <w:lang w:val="en-US"/>
        </w:rPr>
        <w:t xml:space="preserve"> not</w:t>
      </w:r>
      <w:r w:rsidRPr="005F47A1">
        <w:rPr>
          <w:lang w:val="en-US"/>
        </w:rPr>
        <w:t xml:space="preserve"> facilitate their accessibility and use. Hence, we support the creation of a machine-readable format although we do not see this as a priority in the revision of SFDR.</w:t>
      </w:r>
    </w:p>
    <w:p w14:paraId="254B0648" w14:textId="77777777" w:rsidR="003D71F1" w:rsidRDefault="003D71F1" w:rsidP="00B72380">
      <w:pPr>
        <w:ind w:left="708"/>
        <w:jc w:val="both"/>
        <w:rPr>
          <w:lang w:val="en-US"/>
        </w:rPr>
      </w:pPr>
    </w:p>
    <w:p w14:paraId="52B034A1" w14:textId="77777777" w:rsidR="003D71F1" w:rsidRDefault="003D71F1" w:rsidP="003D71F1">
      <w:pPr>
        <w:pStyle w:val="Paragraphedeliste"/>
        <w:numPr>
          <w:ilvl w:val="0"/>
          <w:numId w:val="12"/>
        </w:numPr>
        <w:spacing w:after="160" w:line="259" w:lineRule="auto"/>
        <w:contextualSpacing/>
        <w:rPr>
          <w:lang w:val="en-US"/>
        </w:rPr>
      </w:pPr>
      <w:r w:rsidRPr="005D54AF">
        <w:rPr>
          <w:lang w:val="en-US"/>
        </w:rPr>
        <w:t>Implementation costs:</w:t>
      </w:r>
    </w:p>
    <w:p w14:paraId="4CDFD5A3" w14:textId="77777777" w:rsidR="003D71F1" w:rsidRDefault="003D71F1" w:rsidP="003D71F1">
      <w:pPr>
        <w:ind w:left="709"/>
        <w:rPr>
          <w:lang w:val="en-US"/>
        </w:rPr>
      </w:pPr>
      <w:r>
        <w:rPr>
          <w:lang w:val="en-US"/>
        </w:rPr>
        <w:t>The</w:t>
      </w:r>
      <w:r w:rsidRPr="00512AA9">
        <w:rPr>
          <w:lang w:val="en-US"/>
        </w:rPr>
        <w:t xml:space="preserve"> one-off </w:t>
      </w:r>
      <w:r>
        <w:rPr>
          <w:lang w:val="en-US"/>
        </w:rPr>
        <w:t xml:space="preserve">implementation costs </w:t>
      </w:r>
      <w:r w:rsidRPr="00512AA9">
        <w:rPr>
          <w:lang w:val="en-US"/>
        </w:rPr>
        <w:t xml:space="preserve">and </w:t>
      </w:r>
      <w:r>
        <w:rPr>
          <w:lang w:val="en-US"/>
        </w:rPr>
        <w:t xml:space="preserve">the </w:t>
      </w:r>
      <w:r w:rsidRPr="00512AA9">
        <w:rPr>
          <w:lang w:val="en-US"/>
        </w:rPr>
        <w:t xml:space="preserve">recurring annual costs associated with complying with SFDR have been </w:t>
      </w:r>
      <w:r>
        <w:rPr>
          <w:lang w:val="en-US"/>
        </w:rPr>
        <w:t>very important</w:t>
      </w:r>
      <w:r w:rsidRPr="00512AA9">
        <w:rPr>
          <w:lang w:val="en-US"/>
        </w:rPr>
        <w:t xml:space="preserve">. This has created a competitive </w:t>
      </w:r>
      <w:r>
        <w:rPr>
          <w:lang w:val="en-US"/>
        </w:rPr>
        <w:t>issue</w:t>
      </w:r>
      <w:r w:rsidRPr="00512AA9">
        <w:rPr>
          <w:lang w:val="en-US"/>
        </w:rPr>
        <w:t xml:space="preserve"> between financial market players. </w:t>
      </w:r>
      <w:r>
        <w:rPr>
          <w:lang w:val="en-US"/>
        </w:rPr>
        <w:t>Future d</w:t>
      </w:r>
      <w:r w:rsidRPr="00512AA9">
        <w:rPr>
          <w:lang w:val="en-US"/>
        </w:rPr>
        <w:t xml:space="preserve">evelopments </w:t>
      </w:r>
      <w:r>
        <w:rPr>
          <w:lang w:val="en-US"/>
        </w:rPr>
        <w:t xml:space="preserve">and revision of </w:t>
      </w:r>
      <w:r w:rsidRPr="00512AA9">
        <w:rPr>
          <w:lang w:val="en-US"/>
        </w:rPr>
        <w:t xml:space="preserve">SFDR must take this </w:t>
      </w:r>
      <w:r>
        <w:rPr>
          <w:lang w:val="en-US"/>
        </w:rPr>
        <w:t xml:space="preserve">cost-related </w:t>
      </w:r>
      <w:r w:rsidRPr="00512AA9">
        <w:rPr>
          <w:lang w:val="en-US"/>
        </w:rPr>
        <w:t>aspect into account, notably by leveraging on work already implemented.</w:t>
      </w:r>
    </w:p>
    <w:p w14:paraId="6632E48F" w14:textId="77777777" w:rsidR="00710586" w:rsidRDefault="00710586" w:rsidP="003D71F1">
      <w:pPr>
        <w:ind w:left="709"/>
        <w:rPr>
          <w:lang w:val="en-US"/>
        </w:rPr>
      </w:pPr>
    </w:p>
    <w:p w14:paraId="7D3A9A78" w14:textId="77777777" w:rsidR="00710586" w:rsidRPr="00EF546B" w:rsidRDefault="00710586" w:rsidP="003D71F1">
      <w:pPr>
        <w:ind w:left="709"/>
        <w:rPr>
          <w:lang w:val="en-US"/>
        </w:rPr>
      </w:pPr>
    </w:p>
    <w:p w14:paraId="42139D31" w14:textId="77777777" w:rsidR="003D71F1" w:rsidRDefault="003D71F1" w:rsidP="003D71F1">
      <w:pPr>
        <w:pStyle w:val="Paragraphedeliste"/>
        <w:numPr>
          <w:ilvl w:val="0"/>
          <w:numId w:val="12"/>
        </w:numPr>
        <w:spacing w:after="160" w:line="259" w:lineRule="auto"/>
        <w:contextualSpacing/>
        <w:jc w:val="both"/>
        <w:rPr>
          <w:lang w:val="en-US"/>
        </w:rPr>
      </w:pPr>
      <w:r w:rsidRPr="005D54AF">
        <w:rPr>
          <w:lang w:val="en-US"/>
        </w:rPr>
        <w:lastRenderedPageBreak/>
        <w:t xml:space="preserve">Disclosures: </w:t>
      </w:r>
    </w:p>
    <w:p w14:paraId="05822584" w14:textId="77777777" w:rsidR="003D71F1" w:rsidRDefault="003D71F1" w:rsidP="003D71F1">
      <w:pPr>
        <w:pStyle w:val="Paragraphedeliste"/>
        <w:jc w:val="both"/>
        <w:rPr>
          <w:lang w:val="en-US"/>
        </w:rPr>
      </w:pPr>
    </w:p>
    <w:p w14:paraId="6CE5DBB8" w14:textId="77777777" w:rsidR="003D71F1" w:rsidRDefault="003D71F1" w:rsidP="003D71F1">
      <w:pPr>
        <w:pStyle w:val="Paragraphedeliste"/>
        <w:jc w:val="both"/>
        <w:rPr>
          <w:lang w:val="en-US"/>
        </w:rPr>
      </w:pPr>
      <w:r w:rsidRPr="002D678D">
        <w:rPr>
          <w:lang w:val="en-US"/>
        </w:rPr>
        <w:t xml:space="preserve">The cost and granularity of data is too great compared to what is useful to and requested by customers, and CSRD only requires </w:t>
      </w:r>
      <w:r>
        <w:rPr>
          <w:lang w:val="en-US"/>
        </w:rPr>
        <w:t>companies to report</w:t>
      </w:r>
      <w:r w:rsidRPr="002D678D">
        <w:rPr>
          <w:lang w:val="en-US"/>
        </w:rPr>
        <w:t xml:space="preserve"> on material topics. </w:t>
      </w:r>
      <w:r>
        <w:rPr>
          <w:lang w:val="en-US"/>
        </w:rPr>
        <w:t>Therefore,</w:t>
      </w:r>
      <w:r w:rsidRPr="002D678D">
        <w:rPr>
          <w:lang w:val="en-US"/>
        </w:rPr>
        <w:t xml:space="preserve"> the number of mandatory PAI indicators should be reduced to a limited number of always mandatory (</w:t>
      </w:r>
      <w:proofErr w:type="gramStart"/>
      <w:r w:rsidRPr="002D678D">
        <w:rPr>
          <w:lang w:val="en-US"/>
        </w:rPr>
        <w:t>i.e.</w:t>
      </w:r>
      <w:proofErr w:type="gramEnd"/>
      <w:r w:rsidRPr="002D678D">
        <w:rPr>
          <w:lang w:val="en-US"/>
        </w:rPr>
        <w:t xml:space="preserve"> material) indicators: those related to GHG emissions and to the UN principles. Entity-level disclosures should be consistent between CSRD and SFDR to ease data collection and reinforce data quality (as CSRD data are audited) for entities reporting under CSRD – including the materiality rule under CSRD. </w:t>
      </w:r>
    </w:p>
    <w:p w14:paraId="492B0679" w14:textId="77777777" w:rsidR="003D71F1" w:rsidRDefault="003D71F1" w:rsidP="003D71F1">
      <w:pPr>
        <w:pStyle w:val="Paragraphedeliste"/>
        <w:jc w:val="both"/>
        <w:rPr>
          <w:lang w:val="en-US"/>
        </w:rPr>
      </w:pPr>
      <w:r>
        <w:rPr>
          <w:lang w:val="en-US"/>
        </w:rPr>
        <w:t xml:space="preserve">We </w:t>
      </w:r>
      <w:r w:rsidRPr="00CD01EA">
        <w:rPr>
          <w:lang w:val="en-US"/>
        </w:rPr>
        <w:t>strongly believe that entity-level disclosures under SFDR should be harmonized</w:t>
      </w:r>
      <w:r>
        <w:rPr>
          <w:lang w:val="en-US"/>
        </w:rPr>
        <w:t xml:space="preserve"> with CSRD disclosures. A</w:t>
      </w:r>
      <w:r w:rsidRPr="002D678D">
        <w:rPr>
          <w:lang w:val="en-US"/>
        </w:rPr>
        <w:t xml:space="preserve">n exemption from entity-level disclosures under SFDR could be considered for </w:t>
      </w:r>
      <w:r>
        <w:rPr>
          <w:lang w:val="en-US"/>
        </w:rPr>
        <w:t>financial market participants</w:t>
      </w:r>
      <w:r w:rsidRPr="002D678D">
        <w:rPr>
          <w:lang w:val="en-US"/>
        </w:rPr>
        <w:t xml:space="preserve"> that are </w:t>
      </w:r>
      <w:r>
        <w:rPr>
          <w:lang w:val="en-US"/>
        </w:rPr>
        <w:t>also covered by</w:t>
      </w:r>
      <w:r w:rsidRPr="002D678D">
        <w:rPr>
          <w:lang w:val="en-US"/>
        </w:rPr>
        <w:t xml:space="preserve"> CSRD. It should be </w:t>
      </w:r>
      <w:r>
        <w:rPr>
          <w:lang w:val="en-US"/>
        </w:rPr>
        <w:t>acknowledged</w:t>
      </w:r>
      <w:r w:rsidRPr="002D678D">
        <w:rPr>
          <w:lang w:val="en-US"/>
        </w:rPr>
        <w:t xml:space="preserve"> that data availability </w:t>
      </w:r>
      <w:r>
        <w:rPr>
          <w:lang w:val="en-US"/>
        </w:rPr>
        <w:t>varies between disclosure requirement</w:t>
      </w:r>
      <w:r w:rsidRPr="002D678D">
        <w:rPr>
          <w:lang w:val="en-US"/>
        </w:rPr>
        <w:t>, with some PAI (especially climate) easier to report than others (water, waste).</w:t>
      </w:r>
      <w:r>
        <w:rPr>
          <w:lang w:val="en-US"/>
        </w:rPr>
        <w:t xml:space="preserve"> </w:t>
      </w:r>
    </w:p>
    <w:p w14:paraId="12A427B3" w14:textId="77777777" w:rsidR="003D71F1" w:rsidRPr="00890C6E" w:rsidRDefault="003D71F1" w:rsidP="003D71F1">
      <w:pPr>
        <w:pStyle w:val="Paragraphedeliste"/>
        <w:jc w:val="both"/>
        <w:rPr>
          <w:lang w:val="en-US"/>
        </w:rPr>
      </w:pPr>
      <w:r w:rsidRPr="00890C6E">
        <w:rPr>
          <w:lang w:val="en-US"/>
        </w:rPr>
        <w:t>The cost and granularity of data is too great compared to what is useful and requested by customers, especially as the documentation is rarely used by distributors, hence the number of mandatory PAIs can be reduced</w:t>
      </w:r>
      <w:r>
        <w:rPr>
          <w:lang w:val="en-US"/>
        </w:rPr>
        <w:t>.</w:t>
      </w:r>
    </w:p>
    <w:p w14:paraId="3E93CC67" w14:textId="77777777" w:rsidR="003D71F1" w:rsidRPr="00890C6E" w:rsidRDefault="003D71F1" w:rsidP="003D71F1">
      <w:pPr>
        <w:pStyle w:val="Paragraphedeliste"/>
        <w:jc w:val="both"/>
        <w:rPr>
          <w:lang w:val="en-US"/>
        </w:rPr>
      </w:pPr>
      <w:r>
        <w:rPr>
          <w:lang w:val="en-US"/>
        </w:rPr>
        <w:t>Also, the definition of some PAI</w:t>
      </w:r>
      <w:r w:rsidRPr="00890C6E">
        <w:rPr>
          <w:lang w:val="en-US"/>
        </w:rPr>
        <w:t xml:space="preserve"> indicators </w:t>
      </w:r>
      <w:r>
        <w:rPr>
          <w:lang w:val="en-US"/>
        </w:rPr>
        <w:t>is unclear</w:t>
      </w:r>
      <w:r w:rsidRPr="00890C6E">
        <w:rPr>
          <w:lang w:val="en-US"/>
        </w:rPr>
        <w:t xml:space="preserve">, </w:t>
      </w:r>
      <w:r>
        <w:rPr>
          <w:lang w:val="en-US"/>
        </w:rPr>
        <w:t>leading to diverging</w:t>
      </w:r>
      <w:r w:rsidRPr="00890C6E">
        <w:rPr>
          <w:lang w:val="en-US"/>
        </w:rPr>
        <w:t xml:space="preserve"> interpretation</w:t>
      </w:r>
      <w:r>
        <w:rPr>
          <w:lang w:val="en-US"/>
        </w:rPr>
        <w:t>s</w:t>
      </w:r>
      <w:r w:rsidRPr="00890C6E">
        <w:rPr>
          <w:lang w:val="en-US"/>
        </w:rPr>
        <w:t xml:space="preserve"> by </w:t>
      </w:r>
      <w:r>
        <w:rPr>
          <w:lang w:val="en-US"/>
        </w:rPr>
        <w:t xml:space="preserve">various </w:t>
      </w:r>
      <w:r w:rsidRPr="00890C6E">
        <w:rPr>
          <w:lang w:val="en-US"/>
        </w:rPr>
        <w:t xml:space="preserve">data providers and </w:t>
      </w:r>
      <w:r>
        <w:rPr>
          <w:lang w:val="en-US"/>
        </w:rPr>
        <w:t>financial market participants</w:t>
      </w:r>
      <w:r w:rsidRPr="00890C6E">
        <w:rPr>
          <w:lang w:val="en-US"/>
        </w:rPr>
        <w:t>.</w:t>
      </w:r>
      <w:r>
        <w:rPr>
          <w:lang w:val="en-US"/>
        </w:rPr>
        <w:t xml:space="preserve"> They should be clarified.</w:t>
      </w:r>
    </w:p>
    <w:p w14:paraId="4715651B" w14:textId="77777777" w:rsidR="003D71F1" w:rsidRDefault="003D71F1" w:rsidP="003D71F1">
      <w:pPr>
        <w:pStyle w:val="Paragraphedeliste"/>
        <w:jc w:val="both"/>
        <w:rPr>
          <w:lang w:val="en-US"/>
        </w:rPr>
      </w:pPr>
      <w:r>
        <w:rPr>
          <w:lang w:val="en-US"/>
        </w:rPr>
        <w:t>Some</w:t>
      </w:r>
      <w:r w:rsidRPr="00890C6E">
        <w:rPr>
          <w:lang w:val="en-US"/>
        </w:rPr>
        <w:t xml:space="preserve"> information </w:t>
      </w:r>
      <w:r>
        <w:rPr>
          <w:lang w:val="en-US"/>
        </w:rPr>
        <w:t xml:space="preserve">provided </w:t>
      </w:r>
      <w:r w:rsidRPr="00890C6E">
        <w:rPr>
          <w:lang w:val="en-US"/>
        </w:rPr>
        <w:t xml:space="preserve">in pre-contractual </w:t>
      </w:r>
      <w:r>
        <w:rPr>
          <w:lang w:val="en-US"/>
        </w:rPr>
        <w:t>and</w:t>
      </w:r>
      <w:r w:rsidRPr="00890C6E">
        <w:rPr>
          <w:lang w:val="en-US"/>
        </w:rPr>
        <w:t xml:space="preserve"> periodic documentation</w:t>
      </w:r>
      <w:r>
        <w:rPr>
          <w:lang w:val="en-US"/>
        </w:rPr>
        <w:t>, as well as on websites</w:t>
      </w:r>
      <w:r w:rsidRPr="00890C6E">
        <w:rPr>
          <w:lang w:val="en-US"/>
        </w:rPr>
        <w:t xml:space="preserve"> is repetitive, too granular, and unnecessary for customers, while other information is only available through one media (such as on the website)</w:t>
      </w:r>
      <w:r>
        <w:rPr>
          <w:lang w:val="en-US"/>
        </w:rPr>
        <w:t xml:space="preserve">, </w:t>
      </w:r>
      <w:r w:rsidRPr="00890C6E">
        <w:rPr>
          <w:lang w:val="en-US"/>
        </w:rPr>
        <w:t xml:space="preserve">hindering the complete understanding of customers. There is a need to streamline information </w:t>
      </w:r>
      <w:r>
        <w:rPr>
          <w:lang w:val="en-US"/>
        </w:rPr>
        <w:t>made available to</w:t>
      </w:r>
      <w:r w:rsidRPr="00890C6E">
        <w:rPr>
          <w:lang w:val="en-US"/>
        </w:rPr>
        <w:t xml:space="preserve"> customer</w:t>
      </w:r>
      <w:r>
        <w:rPr>
          <w:lang w:val="en-US"/>
        </w:rPr>
        <w:t>s</w:t>
      </w:r>
      <w:r w:rsidRPr="00890C6E">
        <w:rPr>
          <w:lang w:val="en-US"/>
        </w:rPr>
        <w:t>.</w:t>
      </w:r>
    </w:p>
    <w:p w14:paraId="1AD4A6E9" w14:textId="77777777" w:rsidR="003D71F1" w:rsidRDefault="003D71F1" w:rsidP="003D71F1">
      <w:pPr>
        <w:pStyle w:val="Paragraphedeliste"/>
        <w:jc w:val="both"/>
        <w:rPr>
          <w:lang w:val="en-US"/>
        </w:rPr>
      </w:pPr>
    </w:p>
    <w:p w14:paraId="0A2A2B08" w14:textId="77777777" w:rsidR="00710586" w:rsidRDefault="00710586" w:rsidP="003D71F1">
      <w:pPr>
        <w:pStyle w:val="Paragraphedeliste"/>
        <w:jc w:val="both"/>
        <w:rPr>
          <w:lang w:val="en-US"/>
        </w:rPr>
      </w:pPr>
    </w:p>
    <w:p w14:paraId="6B13F3E9" w14:textId="77777777" w:rsidR="003D71F1" w:rsidRDefault="003D71F1" w:rsidP="003D71F1">
      <w:pPr>
        <w:pStyle w:val="Paragraphedeliste"/>
        <w:numPr>
          <w:ilvl w:val="0"/>
          <w:numId w:val="12"/>
        </w:numPr>
        <w:spacing w:after="160" w:line="259" w:lineRule="auto"/>
        <w:contextualSpacing/>
      </w:pPr>
      <w:r w:rsidRPr="00C31E9A">
        <w:t>Scope of SFDR :</w:t>
      </w:r>
    </w:p>
    <w:p w14:paraId="7781257B" w14:textId="77777777" w:rsidR="003D71F1" w:rsidRDefault="003D71F1" w:rsidP="003D71F1">
      <w:pPr>
        <w:pStyle w:val="Paragraphedeliste"/>
      </w:pPr>
    </w:p>
    <w:p w14:paraId="3087D8FE" w14:textId="77777777" w:rsidR="003D71F1" w:rsidRDefault="003D71F1" w:rsidP="003D71F1">
      <w:pPr>
        <w:pStyle w:val="Paragraphedeliste"/>
        <w:rPr>
          <w:lang w:val="en-US"/>
        </w:rPr>
      </w:pPr>
      <w:r w:rsidRPr="00C62469">
        <w:rPr>
          <w:lang w:val="en-US"/>
        </w:rPr>
        <w:t xml:space="preserve">EU retail investors generally do not participate in the equity market and prefer to invest in investment products with guaranteed capital that only structured products can offer. </w:t>
      </w:r>
      <w:r>
        <w:rPr>
          <w:lang w:val="en-US"/>
        </w:rPr>
        <w:t>Today, s</w:t>
      </w:r>
      <w:r w:rsidRPr="00C62469">
        <w:rPr>
          <w:lang w:val="en-US"/>
        </w:rPr>
        <w:t xml:space="preserve">tructured products fall outside the scope of SFDR, </w:t>
      </w:r>
      <w:r>
        <w:rPr>
          <w:lang w:val="en-US"/>
        </w:rPr>
        <w:t xml:space="preserve">although financial market participants may use the EU Taxonomy or SFDR’s principle adverse impacts (PAI) to evaluate their level of sustainability as requested </w:t>
      </w:r>
      <w:r w:rsidRPr="00CD01EA">
        <w:rPr>
          <w:lang w:val="en-US"/>
        </w:rPr>
        <w:t>by investors. If an</w:t>
      </w:r>
      <w:r w:rsidRPr="00C62469">
        <w:rPr>
          <w:lang w:val="en-US"/>
        </w:rPr>
        <w:t xml:space="preserve"> extension of the scope were to be considered, structured products could be integrated (</w:t>
      </w:r>
      <w:r>
        <w:rPr>
          <w:lang w:val="en-US"/>
        </w:rPr>
        <w:t>with</w:t>
      </w:r>
      <w:r w:rsidRPr="00C62469">
        <w:rPr>
          <w:lang w:val="en-US"/>
        </w:rPr>
        <w:t xml:space="preserve"> reporting requirements specified in the level </w:t>
      </w:r>
      <w:r>
        <w:rPr>
          <w:lang w:val="en-US"/>
        </w:rPr>
        <w:t>2</w:t>
      </w:r>
      <w:r w:rsidRPr="00C62469">
        <w:rPr>
          <w:lang w:val="en-US"/>
        </w:rPr>
        <w:t xml:space="preserve"> texts).</w:t>
      </w:r>
    </w:p>
    <w:p w14:paraId="669C651C" w14:textId="77777777" w:rsidR="003D71F1" w:rsidRDefault="003D71F1" w:rsidP="003D71F1">
      <w:pPr>
        <w:pStyle w:val="Paragraphedeliste"/>
        <w:rPr>
          <w:lang w:val="en-US"/>
        </w:rPr>
      </w:pPr>
    </w:p>
    <w:p w14:paraId="317FEE44" w14:textId="77777777" w:rsidR="00710586" w:rsidRPr="00B25AAC" w:rsidRDefault="00710586" w:rsidP="003D71F1">
      <w:pPr>
        <w:pStyle w:val="Paragraphedeliste"/>
        <w:rPr>
          <w:lang w:val="en-US"/>
        </w:rPr>
      </w:pPr>
    </w:p>
    <w:p w14:paraId="18DFBF09" w14:textId="77777777" w:rsidR="003D71F1" w:rsidRDefault="003D71F1" w:rsidP="003D71F1">
      <w:pPr>
        <w:pStyle w:val="Paragraphedeliste"/>
        <w:numPr>
          <w:ilvl w:val="0"/>
          <w:numId w:val="12"/>
        </w:numPr>
        <w:spacing w:after="160" w:line="259" w:lineRule="auto"/>
        <w:contextualSpacing/>
        <w:jc w:val="both"/>
        <w:rPr>
          <w:lang w:val="en-US"/>
        </w:rPr>
      </w:pPr>
      <w:r w:rsidRPr="00D015E8">
        <w:rPr>
          <w:lang w:val="en-US"/>
        </w:rPr>
        <w:t>Category:</w:t>
      </w:r>
    </w:p>
    <w:p w14:paraId="5AB08A45" w14:textId="77777777" w:rsidR="003D71F1" w:rsidRPr="00D015E8" w:rsidRDefault="003D71F1" w:rsidP="003D71F1">
      <w:pPr>
        <w:pStyle w:val="Paragraphedeliste"/>
        <w:jc w:val="both"/>
        <w:rPr>
          <w:lang w:val="en-US"/>
        </w:rPr>
      </w:pPr>
    </w:p>
    <w:p w14:paraId="41B55647" w14:textId="13E4736F" w:rsidR="003D71F1" w:rsidRPr="0079688F" w:rsidRDefault="003D71F1" w:rsidP="003D71F1">
      <w:pPr>
        <w:pStyle w:val="Paragraphedeliste"/>
        <w:jc w:val="both"/>
        <w:rPr>
          <w:lang w:val="en-GB"/>
        </w:rPr>
      </w:pPr>
      <w:r w:rsidRPr="0079688F">
        <w:rPr>
          <w:lang w:val="en-US"/>
        </w:rPr>
        <w:t xml:space="preserve">We </w:t>
      </w:r>
      <w:r>
        <w:rPr>
          <w:lang w:val="en-US"/>
        </w:rPr>
        <w:t>recommend</w:t>
      </w:r>
      <w:r w:rsidRPr="0079688F">
        <w:rPr>
          <w:lang w:val="en-US"/>
        </w:rPr>
        <w:t xml:space="preserve"> adapting articles </w:t>
      </w:r>
      <w:r>
        <w:rPr>
          <w:lang w:val="en-US"/>
        </w:rPr>
        <w:t xml:space="preserve">6, </w:t>
      </w:r>
      <w:r w:rsidRPr="0079688F">
        <w:rPr>
          <w:lang w:val="en-US"/>
        </w:rPr>
        <w:t xml:space="preserve">8 and 9 (without commenting on maintaining the nominative nature of these </w:t>
      </w:r>
      <w:r>
        <w:rPr>
          <w:lang w:val="en-US"/>
        </w:rPr>
        <w:t xml:space="preserve">different </w:t>
      </w:r>
      <w:r w:rsidRPr="0079688F">
        <w:rPr>
          <w:lang w:val="en-US"/>
        </w:rPr>
        <w:t xml:space="preserve">categories) </w:t>
      </w:r>
      <w:r>
        <w:rPr>
          <w:lang w:val="en-US"/>
        </w:rPr>
        <w:t>to</w:t>
      </w:r>
      <w:r w:rsidRPr="0079688F">
        <w:rPr>
          <w:lang w:val="en-US"/>
        </w:rPr>
        <w:t xml:space="preserve"> capitalize on the work carried out</w:t>
      </w:r>
      <w:r>
        <w:rPr>
          <w:lang w:val="en-US"/>
        </w:rPr>
        <w:t xml:space="preserve"> so far in terms of implementation (including of ESG preferences under MiFID and IDD)</w:t>
      </w:r>
      <w:r w:rsidRPr="0079688F">
        <w:rPr>
          <w:lang w:val="en-US"/>
        </w:rPr>
        <w:t xml:space="preserve">. If new categories were </w:t>
      </w:r>
      <w:r>
        <w:rPr>
          <w:lang w:val="en-US"/>
        </w:rPr>
        <w:t xml:space="preserve">to be </w:t>
      </w:r>
      <w:r w:rsidRPr="0079688F">
        <w:rPr>
          <w:lang w:val="en-US"/>
        </w:rPr>
        <w:t xml:space="preserve">considered, they could </w:t>
      </w:r>
      <w:r>
        <w:rPr>
          <w:lang w:val="en-US"/>
        </w:rPr>
        <w:t xml:space="preserve">thus </w:t>
      </w:r>
      <w:r w:rsidRPr="0079688F">
        <w:rPr>
          <w:lang w:val="en-US"/>
        </w:rPr>
        <w:t xml:space="preserve">be </w:t>
      </w:r>
      <w:r>
        <w:rPr>
          <w:lang w:val="en-US"/>
        </w:rPr>
        <w:t>evolutions from</w:t>
      </w:r>
      <w:r w:rsidRPr="0079688F">
        <w:rPr>
          <w:lang w:val="en-US"/>
        </w:rPr>
        <w:t xml:space="preserve"> the </w:t>
      </w:r>
      <w:r>
        <w:rPr>
          <w:lang w:val="en-US"/>
        </w:rPr>
        <w:t xml:space="preserve">three current </w:t>
      </w:r>
      <w:r w:rsidRPr="0079688F">
        <w:rPr>
          <w:lang w:val="en-US"/>
        </w:rPr>
        <w:t xml:space="preserve">categories, with the introduction of minimum </w:t>
      </w:r>
      <w:r>
        <w:rPr>
          <w:lang w:val="en-US"/>
        </w:rPr>
        <w:t>performance indicators</w:t>
      </w:r>
      <w:r w:rsidRPr="0079688F">
        <w:rPr>
          <w:lang w:val="en-US"/>
        </w:rPr>
        <w:t xml:space="preserve"> to assess the </w:t>
      </w:r>
      <w:r>
        <w:rPr>
          <w:lang w:val="en-US"/>
        </w:rPr>
        <w:t>strength</w:t>
      </w:r>
      <w:r w:rsidRPr="0079688F">
        <w:rPr>
          <w:lang w:val="en-US"/>
        </w:rPr>
        <w:t xml:space="preserve"> of products</w:t>
      </w:r>
      <w:r>
        <w:rPr>
          <w:lang w:val="en-US"/>
        </w:rPr>
        <w:t xml:space="preserve"> in terms of sustainability commitments</w:t>
      </w:r>
      <w:r w:rsidRPr="0079688F">
        <w:rPr>
          <w:lang w:val="en-US"/>
        </w:rPr>
        <w:t xml:space="preserve">. We </w:t>
      </w:r>
      <w:r>
        <w:rPr>
          <w:lang w:val="en-US"/>
        </w:rPr>
        <w:t>recommend adding the</w:t>
      </w:r>
      <w:r w:rsidRPr="0079688F">
        <w:rPr>
          <w:lang w:val="en-US"/>
        </w:rPr>
        <w:t xml:space="preserve"> notion of </w:t>
      </w:r>
      <w:r>
        <w:rPr>
          <w:lang w:val="en-US"/>
        </w:rPr>
        <w:t>“</w:t>
      </w:r>
      <w:r w:rsidRPr="0079688F">
        <w:rPr>
          <w:lang w:val="en-US"/>
        </w:rPr>
        <w:t>transition</w:t>
      </w:r>
      <w:r>
        <w:rPr>
          <w:lang w:val="en-US"/>
        </w:rPr>
        <w:t>” with a clear definition</w:t>
      </w:r>
      <w:r w:rsidRPr="0079688F">
        <w:rPr>
          <w:lang w:val="en-US"/>
        </w:rPr>
        <w:t xml:space="preserve">. However, </w:t>
      </w:r>
      <w:r>
        <w:rPr>
          <w:lang w:val="en-US"/>
        </w:rPr>
        <w:t xml:space="preserve">there is no consensus amongst our members on </w:t>
      </w:r>
      <w:r w:rsidRPr="0079688F">
        <w:rPr>
          <w:lang w:val="en-US"/>
        </w:rPr>
        <w:t xml:space="preserve">the creation of a </w:t>
      </w:r>
      <w:r>
        <w:rPr>
          <w:lang w:val="en-US"/>
        </w:rPr>
        <w:t xml:space="preserve">specific </w:t>
      </w:r>
      <w:r w:rsidRPr="0079688F">
        <w:rPr>
          <w:lang w:val="en-US"/>
        </w:rPr>
        <w:t>“transition” category</w:t>
      </w:r>
      <w:r>
        <w:rPr>
          <w:lang w:val="en-US"/>
        </w:rPr>
        <w:t xml:space="preserve"> per se</w:t>
      </w:r>
      <w:r w:rsidRPr="0079688F">
        <w:rPr>
          <w:lang w:val="en-US"/>
        </w:rPr>
        <w:t xml:space="preserve">. As </w:t>
      </w:r>
      <w:r>
        <w:rPr>
          <w:lang w:val="en-US"/>
        </w:rPr>
        <w:t xml:space="preserve">regulatory </w:t>
      </w:r>
      <w:r w:rsidRPr="0079688F">
        <w:rPr>
          <w:lang w:val="en-US"/>
        </w:rPr>
        <w:t>change represents additional costs</w:t>
      </w:r>
      <w:r>
        <w:rPr>
          <w:lang w:val="en-US"/>
        </w:rPr>
        <w:t xml:space="preserve"> for companies</w:t>
      </w:r>
      <w:r w:rsidRPr="0079688F">
        <w:rPr>
          <w:lang w:val="en-US"/>
        </w:rPr>
        <w:t xml:space="preserve">, </w:t>
      </w:r>
      <w:r>
        <w:rPr>
          <w:lang w:val="en-US"/>
        </w:rPr>
        <w:t xml:space="preserve">new </w:t>
      </w:r>
      <w:r w:rsidRPr="0079688F">
        <w:rPr>
          <w:lang w:val="en-US"/>
        </w:rPr>
        <w:t>development</w:t>
      </w:r>
      <w:r>
        <w:rPr>
          <w:lang w:val="en-US"/>
        </w:rPr>
        <w:t>s pertaining to the products categories</w:t>
      </w:r>
      <w:r w:rsidRPr="0079688F">
        <w:rPr>
          <w:lang w:val="en-US"/>
        </w:rPr>
        <w:t xml:space="preserve"> </w:t>
      </w:r>
      <w:r>
        <w:rPr>
          <w:lang w:val="en-US"/>
        </w:rPr>
        <w:t>should undergo</w:t>
      </w:r>
      <w:r w:rsidRPr="0079688F">
        <w:rPr>
          <w:lang w:val="en-US"/>
        </w:rPr>
        <w:t xml:space="preserve"> a</w:t>
      </w:r>
      <w:r>
        <w:rPr>
          <w:lang w:val="en-US"/>
        </w:rPr>
        <w:t>n</w:t>
      </w:r>
      <w:r w:rsidRPr="0079688F">
        <w:rPr>
          <w:lang w:val="en-US"/>
        </w:rPr>
        <w:t xml:space="preserve"> impact study</w:t>
      </w:r>
      <w:r>
        <w:rPr>
          <w:lang w:val="en-US"/>
        </w:rPr>
        <w:t xml:space="preserve"> on both financial cost and simplification for the retail investor</w:t>
      </w:r>
      <w:r w:rsidRPr="0079688F">
        <w:rPr>
          <w:lang w:val="en-US"/>
        </w:rPr>
        <w:t xml:space="preserve">. </w:t>
      </w:r>
      <w:r>
        <w:rPr>
          <w:lang w:val="en-US"/>
        </w:rPr>
        <w:t xml:space="preserve">This is the reason why we urge the Commission to keep an open and regular dialogue with the </w:t>
      </w:r>
      <w:r>
        <w:rPr>
          <w:lang w:val="en-US"/>
        </w:rPr>
        <w:lastRenderedPageBreak/>
        <w:t xml:space="preserve">financial services industry in the definition of any future improved and/or new product categories, including at Level 2. </w:t>
      </w:r>
      <w:r w:rsidRPr="0079688F">
        <w:rPr>
          <w:lang w:val="en-US"/>
        </w:rPr>
        <w:t xml:space="preserve"> </w:t>
      </w:r>
    </w:p>
    <w:p w14:paraId="3E9CF9A9" w14:textId="3B0A57FC" w:rsidR="00E81951" w:rsidRPr="00C2345D" w:rsidRDefault="00E81951" w:rsidP="00C1070D">
      <w:pPr>
        <w:pStyle w:val="Sansinterligne"/>
        <w:jc w:val="both"/>
        <w:rPr>
          <w:lang w:val="en-GB"/>
        </w:rPr>
      </w:pPr>
    </w:p>
    <w:sectPr w:rsidR="00E81951" w:rsidRPr="00C2345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2C4E3" w14:textId="77777777" w:rsidR="00365005" w:rsidRDefault="00365005" w:rsidP="00532110">
      <w:pPr>
        <w:spacing w:after="0" w:line="240" w:lineRule="auto"/>
      </w:pPr>
      <w:r>
        <w:separator/>
      </w:r>
    </w:p>
  </w:endnote>
  <w:endnote w:type="continuationSeparator" w:id="0">
    <w:p w14:paraId="5D7C08CB" w14:textId="77777777" w:rsidR="00365005" w:rsidRDefault="00365005" w:rsidP="00532110">
      <w:pPr>
        <w:spacing w:after="0" w:line="240" w:lineRule="auto"/>
      </w:pPr>
      <w:r>
        <w:continuationSeparator/>
      </w:r>
    </w:p>
  </w:endnote>
  <w:endnote w:type="continuationNotice" w:id="1">
    <w:p w14:paraId="56D3C01F" w14:textId="77777777" w:rsidR="00365005" w:rsidRDefault="003650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00E18" w14:textId="3F28D4E3" w:rsidR="00B9702C" w:rsidRDefault="00B9702C">
    <w:pPr>
      <w:pStyle w:val="Pieddepage"/>
    </w:pPr>
    <w:r>
      <w:rPr>
        <w:noProof/>
        <w:lang w:eastAsia="fr-FR"/>
      </w:rPr>
      <mc:AlternateContent>
        <mc:Choice Requires="wps">
          <w:drawing>
            <wp:anchor distT="0" distB="0" distL="114300" distR="114300" simplePos="0" relativeHeight="251658240" behindDoc="0" locked="0" layoutInCell="0" allowOverlap="1" wp14:anchorId="1C7BD6EB" wp14:editId="694435D8">
              <wp:simplePos x="0" y="0"/>
              <wp:positionH relativeFrom="page">
                <wp:posOffset>0</wp:posOffset>
              </wp:positionH>
              <wp:positionV relativeFrom="page">
                <wp:posOffset>10228580</wp:posOffset>
              </wp:positionV>
              <wp:extent cx="7560310" cy="273050"/>
              <wp:effectExtent l="0" t="0" r="0" b="12700"/>
              <wp:wrapNone/>
              <wp:docPr id="1" name="MSIPCM1a9c4b1c87ab5706a465f0bd" descr="{&quot;HashCode&quot;:185999476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AC5924B" w14:textId="0ED46040" w:rsidR="00B9702C" w:rsidRPr="00F501DB" w:rsidRDefault="00B9702C" w:rsidP="00F501DB">
                          <w:pPr>
                            <w:spacing w:after="0"/>
                            <w:jc w:val="right"/>
                            <w:rPr>
                              <w:rFonts w:ascii="Calibri" w:hAnsi="Calibri" w:cs="Calibri"/>
                              <w:color w:val="0000FF"/>
                              <w:sz w:val="2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C7BD6EB" id="_x0000_t202" coordsize="21600,21600" o:spt="202" path="m,l,21600r21600,l21600,xe">
              <v:stroke joinstyle="miter"/>
              <v:path gradientshapeok="t" o:connecttype="rect"/>
            </v:shapetype>
            <v:shape id="MSIPCM1a9c4b1c87ab5706a465f0bd" o:spid="_x0000_s1026" type="#_x0000_t202" alt="{&quot;HashCode&quot;:1859994762,&quot;Height&quot;:841.0,&quot;Width&quot;:595.0,&quot;Placement&quot;:&quot;Footer&quot;,&quot;Index&quot;:&quot;Primary&quot;,&quot;Section&quot;:1,&quot;Top&quot;:0.0,&quot;Left&quot;:0.0}" style="position:absolute;margin-left:0;margin-top:805.4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68I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" o:allowincell="f" filled="f" stroked="f" strokeweight=".5pt">
              <v:textbox inset=",0,20pt,0">
                <w:txbxContent>
                  <w:p w14:paraId="0AC5924B" w14:textId="0ED46040" w:rsidR="00B9702C" w:rsidRPr="00F501DB" w:rsidRDefault="00B9702C" w:rsidP="00F501DB">
                    <w:pPr>
                      <w:spacing w:after="0"/>
                      <w:jc w:val="right"/>
                      <w:rPr>
                        <w:rFonts w:ascii="Calibri" w:hAnsi="Calibri" w:cs="Calibri"/>
                        <w:color w:val="0000FF"/>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707B9" w14:textId="77777777" w:rsidR="00365005" w:rsidRDefault="00365005" w:rsidP="00532110">
      <w:pPr>
        <w:spacing w:after="0" w:line="240" w:lineRule="auto"/>
      </w:pPr>
      <w:r>
        <w:separator/>
      </w:r>
    </w:p>
  </w:footnote>
  <w:footnote w:type="continuationSeparator" w:id="0">
    <w:p w14:paraId="0CD25B92" w14:textId="77777777" w:rsidR="00365005" w:rsidRDefault="00365005" w:rsidP="00532110">
      <w:pPr>
        <w:spacing w:after="0" w:line="240" w:lineRule="auto"/>
      </w:pPr>
      <w:r>
        <w:continuationSeparator/>
      </w:r>
    </w:p>
  </w:footnote>
  <w:footnote w:type="continuationNotice" w:id="1">
    <w:p w14:paraId="5F1A2CEE" w14:textId="77777777" w:rsidR="00365005" w:rsidRDefault="0036500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2A8F"/>
    <w:multiLevelType w:val="hybridMultilevel"/>
    <w:tmpl w:val="C5943B7A"/>
    <w:lvl w:ilvl="0" w:tplc="4DEA8CDC">
      <w:start w:val="1"/>
      <w:numFmt w:val="decimal"/>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F0A28E4"/>
    <w:multiLevelType w:val="hybridMultilevel"/>
    <w:tmpl w:val="BC46485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601D80"/>
    <w:multiLevelType w:val="multilevel"/>
    <w:tmpl w:val="BF72321E"/>
    <w:lvl w:ilvl="0">
      <w:start w:val="1"/>
      <w:numFmt w:val="bullet"/>
      <w:lvlText w:val=""/>
      <w:lvlJc w:val="left"/>
      <w:pPr>
        <w:tabs>
          <w:tab w:val="num" w:pos="1068"/>
        </w:tabs>
        <w:ind w:left="1068" w:hanging="360"/>
      </w:pPr>
      <w:rPr>
        <w:rFonts w:ascii="Wingdings" w:hAnsi="Wingdings" w:hint="default"/>
        <w:sz w:val="20"/>
      </w:rPr>
    </w:lvl>
    <w:lvl w:ilvl="1">
      <w:start w:val="1"/>
      <w:numFmt w:val="lowerLetter"/>
      <w:lvlText w:val="%2-"/>
      <w:lvlJc w:val="left"/>
      <w:pPr>
        <w:ind w:left="1788" w:hanging="360"/>
      </w:pPr>
    </w:lvl>
    <w:lvl w:ilvl="2">
      <w:start w:val="1"/>
      <w:numFmt w:val="bullet"/>
      <w:lvlText w:val=""/>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3" w15:restartNumberingAfterBreak="0">
    <w:nsid w:val="21143CC8"/>
    <w:multiLevelType w:val="hybridMultilevel"/>
    <w:tmpl w:val="059EC52E"/>
    <w:lvl w:ilvl="0" w:tplc="5BDEDC60">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9795064"/>
    <w:multiLevelType w:val="hybridMultilevel"/>
    <w:tmpl w:val="4AA6330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D1C3977"/>
    <w:multiLevelType w:val="hybridMultilevel"/>
    <w:tmpl w:val="5B22B936"/>
    <w:lvl w:ilvl="0" w:tplc="040C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3BE460F2"/>
    <w:multiLevelType w:val="hybridMultilevel"/>
    <w:tmpl w:val="763E939E"/>
    <w:lvl w:ilvl="0" w:tplc="040C0001">
      <w:start w:val="1"/>
      <w:numFmt w:val="bullet"/>
      <w:lvlText w:val=""/>
      <w:lvlJc w:val="left"/>
      <w:pPr>
        <w:ind w:left="708" w:hanging="360"/>
      </w:pPr>
      <w:rPr>
        <w:rFonts w:ascii="Symbol" w:hAnsi="Symbol" w:hint="default"/>
      </w:rPr>
    </w:lvl>
    <w:lvl w:ilvl="1" w:tplc="040C0003" w:tentative="1">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7" w15:restartNumberingAfterBreak="0">
    <w:nsid w:val="433E6E37"/>
    <w:multiLevelType w:val="hybridMultilevel"/>
    <w:tmpl w:val="02561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B11208"/>
    <w:multiLevelType w:val="hybridMultilevel"/>
    <w:tmpl w:val="7382B76E"/>
    <w:lvl w:ilvl="0" w:tplc="A6547B1C">
      <w:numFmt w:val="bullet"/>
      <w:lvlText w:val=""/>
      <w:lvlJc w:val="left"/>
      <w:pPr>
        <w:ind w:left="720" w:hanging="360"/>
      </w:pPr>
      <w:rPr>
        <w:rFonts w:ascii="Symbol" w:eastAsia="Calibri" w:hAnsi="Symbol" w:cs="Times New Roman" w:hint="default"/>
      </w:rPr>
    </w:lvl>
    <w:lvl w:ilvl="1" w:tplc="080C000B">
      <w:start w:val="1"/>
      <w:numFmt w:val="bullet"/>
      <w:lvlText w:val=""/>
      <w:lvlJc w:val="left"/>
      <w:pPr>
        <w:ind w:left="1440" w:hanging="360"/>
      </w:pPr>
      <w:rPr>
        <w:rFonts w:ascii="Wingdings" w:hAnsi="Wingdings"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9" w15:restartNumberingAfterBreak="0">
    <w:nsid w:val="52000580"/>
    <w:multiLevelType w:val="hybridMultilevel"/>
    <w:tmpl w:val="C02CDB3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5340777A"/>
    <w:multiLevelType w:val="hybridMultilevel"/>
    <w:tmpl w:val="8C9CE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9534F5"/>
    <w:multiLevelType w:val="hybridMultilevel"/>
    <w:tmpl w:val="991C7022"/>
    <w:lvl w:ilvl="0" w:tplc="9EF0DB8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EEC5259"/>
    <w:multiLevelType w:val="hybridMultilevel"/>
    <w:tmpl w:val="CA9C72A2"/>
    <w:lvl w:ilvl="0" w:tplc="4DEA8CD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6923D63"/>
    <w:multiLevelType w:val="hybridMultilevel"/>
    <w:tmpl w:val="8EE2F10C"/>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4" w15:restartNumberingAfterBreak="0">
    <w:nsid w:val="6AAD3AA2"/>
    <w:multiLevelType w:val="hybridMultilevel"/>
    <w:tmpl w:val="32BCA9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C0544AF"/>
    <w:multiLevelType w:val="hybridMultilevel"/>
    <w:tmpl w:val="470C0FE6"/>
    <w:lvl w:ilvl="0" w:tplc="2FCAE92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754F25A5"/>
    <w:multiLevelType w:val="hybridMultilevel"/>
    <w:tmpl w:val="6EC26F30"/>
    <w:lvl w:ilvl="0" w:tplc="4DEA8CD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7E85D14"/>
    <w:multiLevelType w:val="hybridMultilevel"/>
    <w:tmpl w:val="04A0AE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462118453">
    <w:abstractNumId w:val="15"/>
  </w:num>
  <w:num w:numId="2" w16cid:durableId="198593651">
    <w:abstractNumId w:val="10"/>
  </w:num>
  <w:num w:numId="3" w16cid:durableId="941302360">
    <w:abstractNumId w:val="16"/>
  </w:num>
  <w:num w:numId="4" w16cid:durableId="19305769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12310922">
    <w:abstractNumId w:val="3"/>
  </w:num>
  <w:num w:numId="6" w16cid:durableId="1265073993">
    <w:abstractNumId w:val="2"/>
    <w:lvlOverride w:ilvl="0"/>
    <w:lvlOverride w:ilvl="1">
      <w:startOverride w:val="1"/>
    </w:lvlOverride>
    <w:lvlOverride w:ilvl="2"/>
    <w:lvlOverride w:ilvl="3"/>
    <w:lvlOverride w:ilvl="4"/>
    <w:lvlOverride w:ilvl="5"/>
    <w:lvlOverride w:ilvl="6"/>
    <w:lvlOverride w:ilvl="7"/>
    <w:lvlOverride w:ilvl="8"/>
  </w:num>
  <w:num w:numId="7" w16cid:durableId="382145938">
    <w:abstractNumId w:val="8"/>
  </w:num>
  <w:num w:numId="8" w16cid:durableId="506865137">
    <w:abstractNumId w:val="11"/>
  </w:num>
  <w:num w:numId="9" w16cid:durableId="1495341603">
    <w:abstractNumId w:val="7"/>
  </w:num>
  <w:num w:numId="10" w16cid:durableId="1560093224">
    <w:abstractNumId w:val="17"/>
  </w:num>
  <w:num w:numId="11" w16cid:durableId="582761849">
    <w:abstractNumId w:val="6"/>
  </w:num>
  <w:num w:numId="12" w16cid:durableId="556890599">
    <w:abstractNumId w:val="14"/>
  </w:num>
  <w:num w:numId="13" w16cid:durableId="1986816389">
    <w:abstractNumId w:val="13"/>
  </w:num>
  <w:num w:numId="14" w16cid:durableId="996611543">
    <w:abstractNumId w:val="5"/>
  </w:num>
  <w:num w:numId="15" w16cid:durableId="1852455235">
    <w:abstractNumId w:val="1"/>
  </w:num>
  <w:num w:numId="16" w16cid:durableId="1676029894">
    <w:abstractNumId w:val="0"/>
  </w:num>
  <w:num w:numId="17" w16cid:durableId="1528518810">
    <w:abstractNumId w:val="12"/>
  </w:num>
  <w:num w:numId="18" w16cid:durableId="19292662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ctiveWritingStyle w:appName="MSWord" w:lang="fr-FR" w:vendorID="64" w:dllVersion="6" w:nlCheck="1" w:checkStyle="0"/>
  <w:activeWritingStyle w:appName="MSWord" w:lang="en-CA"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951"/>
    <w:rsid w:val="00001315"/>
    <w:rsid w:val="00002317"/>
    <w:rsid w:val="00005A3A"/>
    <w:rsid w:val="00017BD0"/>
    <w:rsid w:val="000200F2"/>
    <w:rsid w:val="00020680"/>
    <w:rsid w:val="00023A7C"/>
    <w:rsid w:val="00025649"/>
    <w:rsid w:val="0003175C"/>
    <w:rsid w:val="000421AB"/>
    <w:rsid w:val="00045EE9"/>
    <w:rsid w:val="00052E1B"/>
    <w:rsid w:val="0005500A"/>
    <w:rsid w:val="0007484B"/>
    <w:rsid w:val="00075DE2"/>
    <w:rsid w:val="0007637D"/>
    <w:rsid w:val="00081933"/>
    <w:rsid w:val="00086313"/>
    <w:rsid w:val="00097184"/>
    <w:rsid w:val="000A261E"/>
    <w:rsid w:val="000B4687"/>
    <w:rsid w:val="000B7350"/>
    <w:rsid w:val="000C0B38"/>
    <w:rsid w:val="000C3ED0"/>
    <w:rsid w:val="000C3FB5"/>
    <w:rsid w:val="000C4C36"/>
    <w:rsid w:val="000D2DD3"/>
    <w:rsid w:val="000D653A"/>
    <w:rsid w:val="000E046F"/>
    <w:rsid w:val="000E2883"/>
    <w:rsid w:val="000E73BA"/>
    <w:rsid w:val="000F14F2"/>
    <w:rsid w:val="00105351"/>
    <w:rsid w:val="00106608"/>
    <w:rsid w:val="00106890"/>
    <w:rsid w:val="001159E8"/>
    <w:rsid w:val="00125206"/>
    <w:rsid w:val="001269AB"/>
    <w:rsid w:val="001330EF"/>
    <w:rsid w:val="001336A7"/>
    <w:rsid w:val="001406BB"/>
    <w:rsid w:val="001422FF"/>
    <w:rsid w:val="00144533"/>
    <w:rsid w:val="00144D98"/>
    <w:rsid w:val="001610A8"/>
    <w:rsid w:val="00166B70"/>
    <w:rsid w:val="00166CBF"/>
    <w:rsid w:val="00166D6C"/>
    <w:rsid w:val="00170A1A"/>
    <w:rsid w:val="00170ED1"/>
    <w:rsid w:val="00172F17"/>
    <w:rsid w:val="001738AE"/>
    <w:rsid w:val="00177026"/>
    <w:rsid w:val="0018298E"/>
    <w:rsid w:val="00184D6E"/>
    <w:rsid w:val="00186147"/>
    <w:rsid w:val="001868A7"/>
    <w:rsid w:val="00186FB6"/>
    <w:rsid w:val="001870E2"/>
    <w:rsid w:val="001A1A20"/>
    <w:rsid w:val="001A58E8"/>
    <w:rsid w:val="001A63E8"/>
    <w:rsid w:val="001B345A"/>
    <w:rsid w:val="001C328A"/>
    <w:rsid w:val="001C56C2"/>
    <w:rsid w:val="001D04F9"/>
    <w:rsid w:val="001D0853"/>
    <w:rsid w:val="001D3EC5"/>
    <w:rsid w:val="001D5576"/>
    <w:rsid w:val="001D59F5"/>
    <w:rsid w:val="001E07CE"/>
    <w:rsid w:val="001F46A7"/>
    <w:rsid w:val="001F7917"/>
    <w:rsid w:val="0020003E"/>
    <w:rsid w:val="00200802"/>
    <w:rsid w:val="00202DA6"/>
    <w:rsid w:val="00205686"/>
    <w:rsid w:val="00205E5C"/>
    <w:rsid w:val="0020603A"/>
    <w:rsid w:val="00211684"/>
    <w:rsid w:val="0021643F"/>
    <w:rsid w:val="00217FE7"/>
    <w:rsid w:val="00221A8A"/>
    <w:rsid w:val="00247DAD"/>
    <w:rsid w:val="002521A4"/>
    <w:rsid w:val="002614BF"/>
    <w:rsid w:val="002621B7"/>
    <w:rsid w:val="00270197"/>
    <w:rsid w:val="00270D6D"/>
    <w:rsid w:val="00271DB8"/>
    <w:rsid w:val="00272847"/>
    <w:rsid w:val="00274C83"/>
    <w:rsid w:val="00277CE4"/>
    <w:rsid w:val="002806AB"/>
    <w:rsid w:val="00292A03"/>
    <w:rsid w:val="00293095"/>
    <w:rsid w:val="002950EA"/>
    <w:rsid w:val="00295C53"/>
    <w:rsid w:val="002A4A76"/>
    <w:rsid w:val="002A4FBD"/>
    <w:rsid w:val="002A567B"/>
    <w:rsid w:val="002B628D"/>
    <w:rsid w:val="002B6F16"/>
    <w:rsid w:val="002C31AD"/>
    <w:rsid w:val="002C35D5"/>
    <w:rsid w:val="002D323B"/>
    <w:rsid w:val="002D5A34"/>
    <w:rsid w:val="002E18E7"/>
    <w:rsid w:val="002E2C41"/>
    <w:rsid w:val="002E326F"/>
    <w:rsid w:val="002E6A9C"/>
    <w:rsid w:val="002F1BC8"/>
    <w:rsid w:val="002F4846"/>
    <w:rsid w:val="0030286B"/>
    <w:rsid w:val="00306031"/>
    <w:rsid w:val="00307396"/>
    <w:rsid w:val="00307F3B"/>
    <w:rsid w:val="00313E8F"/>
    <w:rsid w:val="003142CD"/>
    <w:rsid w:val="0031476C"/>
    <w:rsid w:val="00320E06"/>
    <w:rsid w:val="00322525"/>
    <w:rsid w:val="003229A3"/>
    <w:rsid w:val="00342B79"/>
    <w:rsid w:val="0034614D"/>
    <w:rsid w:val="00360C9E"/>
    <w:rsid w:val="00362E36"/>
    <w:rsid w:val="00365005"/>
    <w:rsid w:val="0036656E"/>
    <w:rsid w:val="00373FA7"/>
    <w:rsid w:val="00375BBA"/>
    <w:rsid w:val="00380BD5"/>
    <w:rsid w:val="003A2A17"/>
    <w:rsid w:val="003A7EBE"/>
    <w:rsid w:val="003B2A8D"/>
    <w:rsid w:val="003C07F0"/>
    <w:rsid w:val="003C10EB"/>
    <w:rsid w:val="003D71F1"/>
    <w:rsid w:val="003D7517"/>
    <w:rsid w:val="003E458B"/>
    <w:rsid w:val="003E5A8C"/>
    <w:rsid w:val="003E75E0"/>
    <w:rsid w:val="003F19C5"/>
    <w:rsid w:val="003F7662"/>
    <w:rsid w:val="004064D5"/>
    <w:rsid w:val="00413D5D"/>
    <w:rsid w:val="0042127A"/>
    <w:rsid w:val="0042381A"/>
    <w:rsid w:val="004403B9"/>
    <w:rsid w:val="00440D3E"/>
    <w:rsid w:val="00452FD0"/>
    <w:rsid w:val="00460569"/>
    <w:rsid w:val="00465D24"/>
    <w:rsid w:val="00471C18"/>
    <w:rsid w:val="00471CFF"/>
    <w:rsid w:val="004727D0"/>
    <w:rsid w:val="00473C05"/>
    <w:rsid w:val="004743DA"/>
    <w:rsid w:val="0047531A"/>
    <w:rsid w:val="00477558"/>
    <w:rsid w:val="0048742D"/>
    <w:rsid w:val="004875DF"/>
    <w:rsid w:val="00487E5D"/>
    <w:rsid w:val="00491238"/>
    <w:rsid w:val="00495E5E"/>
    <w:rsid w:val="004A58E5"/>
    <w:rsid w:val="004A74C7"/>
    <w:rsid w:val="004B0B27"/>
    <w:rsid w:val="004B7F02"/>
    <w:rsid w:val="004C05E2"/>
    <w:rsid w:val="004E067B"/>
    <w:rsid w:val="004E2B95"/>
    <w:rsid w:val="004E2F83"/>
    <w:rsid w:val="004E51A7"/>
    <w:rsid w:val="004E6450"/>
    <w:rsid w:val="004F1103"/>
    <w:rsid w:val="004F1250"/>
    <w:rsid w:val="004F2635"/>
    <w:rsid w:val="004F525E"/>
    <w:rsid w:val="0050356A"/>
    <w:rsid w:val="00516EC6"/>
    <w:rsid w:val="0052004A"/>
    <w:rsid w:val="005250E6"/>
    <w:rsid w:val="00527FFC"/>
    <w:rsid w:val="00532110"/>
    <w:rsid w:val="005328FF"/>
    <w:rsid w:val="00542E00"/>
    <w:rsid w:val="00547A66"/>
    <w:rsid w:val="005509D5"/>
    <w:rsid w:val="00556002"/>
    <w:rsid w:val="00566093"/>
    <w:rsid w:val="00566673"/>
    <w:rsid w:val="00571D75"/>
    <w:rsid w:val="005846D9"/>
    <w:rsid w:val="00586738"/>
    <w:rsid w:val="005878AF"/>
    <w:rsid w:val="0059075E"/>
    <w:rsid w:val="00591035"/>
    <w:rsid w:val="0059332B"/>
    <w:rsid w:val="0059623A"/>
    <w:rsid w:val="005B222F"/>
    <w:rsid w:val="005B2946"/>
    <w:rsid w:val="005B2E6D"/>
    <w:rsid w:val="005B3AB0"/>
    <w:rsid w:val="005C3673"/>
    <w:rsid w:val="005C3EDD"/>
    <w:rsid w:val="005C4DD4"/>
    <w:rsid w:val="005C6886"/>
    <w:rsid w:val="005D46AA"/>
    <w:rsid w:val="005D65D9"/>
    <w:rsid w:val="005D6649"/>
    <w:rsid w:val="005E0AC1"/>
    <w:rsid w:val="005E2110"/>
    <w:rsid w:val="005F00AC"/>
    <w:rsid w:val="005F14F4"/>
    <w:rsid w:val="005F65E2"/>
    <w:rsid w:val="0060025B"/>
    <w:rsid w:val="006033D2"/>
    <w:rsid w:val="00604D90"/>
    <w:rsid w:val="006065D8"/>
    <w:rsid w:val="00607FBA"/>
    <w:rsid w:val="00621310"/>
    <w:rsid w:val="0062290B"/>
    <w:rsid w:val="00633A3B"/>
    <w:rsid w:val="00640685"/>
    <w:rsid w:val="0064763D"/>
    <w:rsid w:val="00647785"/>
    <w:rsid w:val="0065040A"/>
    <w:rsid w:val="006516AF"/>
    <w:rsid w:val="006529D4"/>
    <w:rsid w:val="0065579D"/>
    <w:rsid w:val="00667A1B"/>
    <w:rsid w:val="00667A8F"/>
    <w:rsid w:val="006723BA"/>
    <w:rsid w:val="00674014"/>
    <w:rsid w:val="0068089E"/>
    <w:rsid w:val="006864D1"/>
    <w:rsid w:val="00690714"/>
    <w:rsid w:val="006935E7"/>
    <w:rsid w:val="00694D3D"/>
    <w:rsid w:val="006969AE"/>
    <w:rsid w:val="006A2123"/>
    <w:rsid w:val="006A3DBB"/>
    <w:rsid w:val="006B2864"/>
    <w:rsid w:val="006B29AA"/>
    <w:rsid w:val="006B625D"/>
    <w:rsid w:val="006C062A"/>
    <w:rsid w:val="006C2B6B"/>
    <w:rsid w:val="006C45B9"/>
    <w:rsid w:val="006C6388"/>
    <w:rsid w:val="006D5827"/>
    <w:rsid w:val="006E1BC9"/>
    <w:rsid w:val="006F2E73"/>
    <w:rsid w:val="006F30A3"/>
    <w:rsid w:val="00704649"/>
    <w:rsid w:val="00710586"/>
    <w:rsid w:val="00712B49"/>
    <w:rsid w:val="00713D63"/>
    <w:rsid w:val="00716212"/>
    <w:rsid w:val="00717075"/>
    <w:rsid w:val="00721AAD"/>
    <w:rsid w:val="00722CB5"/>
    <w:rsid w:val="0072382C"/>
    <w:rsid w:val="00730EE4"/>
    <w:rsid w:val="0073309C"/>
    <w:rsid w:val="007338AD"/>
    <w:rsid w:val="00733CAF"/>
    <w:rsid w:val="00737866"/>
    <w:rsid w:val="00740334"/>
    <w:rsid w:val="00741AC7"/>
    <w:rsid w:val="00744CEB"/>
    <w:rsid w:val="00745BA4"/>
    <w:rsid w:val="00752C35"/>
    <w:rsid w:val="00752E53"/>
    <w:rsid w:val="00756C62"/>
    <w:rsid w:val="007661D9"/>
    <w:rsid w:val="00776333"/>
    <w:rsid w:val="0077744A"/>
    <w:rsid w:val="00783D19"/>
    <w:rsid w:val="007855E7"/>
    <w:rsid w:val="00796680"/>
    <w:rsid w:val="007A6A67"/>
    <w:rsid w:val="007B0BED"/>
    <w:rsid w:val="007B5740"/>
    <w:rsid w:val="007C632B"/>
    <w:rsid w:val="007D07D8"/>
    <w:rsid w:val="007D23B8"/>
    <w:rsid w:val="007D2DFD"/>
    <w:rsid w:val="007D700D"/>
    <w:rsid w:val="007E1C31"/>
    <w:rsid w:val="007F14EB"/>
    <w:rsid w:val="007F1757"/>
    <w:rsid w:val="007F2B24"/>
    <w:rsid w:val="007F3073"/>
    <w:rsid w:val="007F4B06"/>
    <w:rsid w:val="007F4ED1"/>
    <w:rsid w:val="007F61F9"/>
    <w:rsid w:val="00801032"/>
    <w:rsid w:val="008136E8"/>
    <w:rsid w:val="00814640"/>
    <w:rsid w:val="00816503"/>
    <w:rsid w:val="00820C0B"/>
    <w:rsid w:val="0082142B"/>
    <w:rsid w:val="008260D4"/>
    <w:rsid w:val="00827F76"/>
    <w:rsid w:val="00830790"/>
    <w:rsid w:val="008323C6"/>
    <w:rsid w:val="008377FE"/>
    <w:rsid w:val="00842792"/>
    <w:rsid w:val="00845568"/>
    <w:rsid w:val="008527E4"/>
    <w:rsid w:val="00855780"/>
    <w:rsid w:val="00860A06"/>
    <w:rsid w:val="00862F1B"/>
    <w:rsid w:val="00867CF6"/>
    <w:rsid w:val="00867F4C"/>
    <w:rsid w:val="00874054"/>
    <w:rsid w:val="0087455C"/>
    <w:rsid w:val="00874573"/>
    <w:rsid w:val="00874B0F"/>
    <w:rsid w:val="00880BB9"/>
    <w:rsid w:val="00880E37"/>
    <w:rsid w:val="00887B52"/>
    <w:rsid w:val="00894664"/>
    <w:rsid w:val="008A0B5B"/>
    <w:rsid w:val="008A462C"/>
    <w:rsid w:val="008A5B2C"/>
    <w:rsid w:val="008A6125"/>
    <w:rsid w:val="008A70D2"/>
    <w:rsid w:val="008C40C9"/>
    <w:rsid w:val="008C57FF"/>
    <w:rsid w:val="008D4D76"/>
    <w:rsid w:val="008D6B08"/>
    <w:rsid w:val="008E7FDC"/>
    <w:rsid w:val="00914BB6"/>
    <w:rsid w:val="00914C0C"/>
    <w:rsid w:val="00915424"/>
    <w:rsid w:val="009162D5"/>
    <w:rsid w:val="00920239"/>
    <w:rsid w:val="0092440A"/>
    <w:rsid w:val="00927574"/>
    <w:rsid w:val="009350D4"/>
    <w:rsid w:val="00935A18"/>
    <w:rsid w:val="00936EC4"/>
    <w:rsid w:val="00942809"/>
    <w:rsid w:val="00943FBD"/>
    <w:rsid w:val="00946EC9"/>
    <w:rsid w:val="00951768"/>
    <w:rsid w:val="00955311"/>
    <w:rsid w:val="00960EA0"/>
    <w:rsid w:val="00971F5D"/>
    <w:rsid w:val="00972193"/>
    <w:rsid w:val="00973712"/>
    <w:rsid w:val="00974632"/>
    <w:rsid w:val="00987693"/>
    <w:rsid w:val="00990613"/>
    <w:rsid w:val="00995910"/>
    <w:rsid w:val="0099705C"/>
    <w:rsid w:val="009971F7"/>
    <w:rsid w:val="009A3B13"/>
    <w:rsid w:val="009A5978"/>
    <w:rsid w:val="009A6768"/>
    <w:rsid w:val="009B4C5A"/>
    <w:rsid w:val="009C1875"/>
    <w:rsid w:val="009C56E8"/>
    <w:rsid w:val="009C7C9A"/>
    <w:rsid w:val="009D4769"/>
    <w:rsid w:val="009D6AD5"/>
    <w:rsid w:val="009D7EA3"/>
    <w:rsid w:val="009E1B1A"/>
    <w:rsid w:val="009E2CE8"/>
    <w:rsid w:val="009E69B2"/>
    <w:rsid w:val="009F4A55"/>
    <w:rsid w:val="009F6D3B"/>
    <w:rsid w:val="009F732D"/>
    <w:rsid w:val="009F7701"/>
    <w:rsid w:val="00A00484"/>
    <w:rsid w:val="00A00E39"/>
    <w:rsid w:val="00A0360C"/>
    <w:rsid w:val="00A061F3"/>
    <w:rsid w:val="00A101A0"/>
    <w:rsid w:val="00A1517F"/>
    <w:rsid w:val="00A174FD"/>
    <w:rsid w:val="00A24DC7"/>
    <w:rsid w:val="00A269CE"/>
    <w:rsid w:val="00A36ECC"/>
    <w:rsid w:val="00A40B06"/>
    <w:rsid w:val="00A45CC1"/>
    <w:rsid w:val="00A46768"/>
    <w:rsid w:val="00A56B28"/>
    <w:rsid w:val="00A60302"/>
    <w:rsid w:val="00A7182C"/>
    <w:rsid w:val="00A72BE0"/>
    <w:rsid w:val="00A754CC"/>
    <w:rsid w:val="00A76A6C"/>
    <w:rsid w:val="00A82A55"/>
    <w:rsid w:val="00A84E17"/>
    <w:rsid w:val="00A93C0F"/>
    <w:rsid w:val="00A93E49"/>
    <w:rsid w:val="00A979F3"/>
    <w:rsid w:val="00AA2A04"/>
    <w:rsid w:val="00AA39CB"/>
    <w:rsid w:val="00AA43D6"/>
    <w:rsid w:val="00AA4702"/>
    <w:rsid w:val="00AA644B"/>
    <w:rsid w:val="00AA6B24"/>
    <w:rsid w:val="00AB1559"/>
    <w:rsid w:val="00AB389F"/>
    <w:rsid w:val="00AB5862"/>
    <w:rsid w:val="00AB60FC"/>
    <w:rsid w:val="00AC463D"/>
    <w:rsid w:val="00AC734A"/>
    <w:rsid w:val="00AD329E"/>
    <w:rsid w:val="00AD370C"/>
    <w:rsid w:val="00AD6A0A"/>
    <w:rsid w:val="00AD79A2"/>
    <w:rsid w:val="00AD7EC0"/>
    <w:rsid w:val="00AE26BD"/>
    <w:rsid w:val="00AE43A2"/>
    <w:rsid w:val="00AE58C3"/>
    <w:rsid w:val="00AE5BD9"/>
    <w:rsid w:val="00AE765E"/>
    <w:rsid w:val="00AF59A9"/>
    <w:rsid w:val="00AF5B94"/>
    <w:rsid w:val="00B00FE3"/>
    <w:rsid w:val="00B06BE5"/>
    <w:rsid w:val="00B10139"/>
    <w:rsid w:val="00B10837"/>
    <w:rsid w:val="00B11266"/>
    <w:rsid w:val="00B11F73"/>
    <w:rsid w:val="00B163F2"/>
    <w:rsid w:val="00B26908"/>
    <w:rsid w:val="00B31793"/>
    <w:rsid w:val="00B32349"/>
    <w:rsid w:val="00B334D9"/>
    <w:rsid w:val="00B335F8"/>
    <w:rsid w:val="00B3691F"/>
    <w:rsid w:val="00B44748"/>
    <w:rsid w:val="00B457DC"/>
    <w:rsid w:val="00B4604E"/>
    <w:rsid w:val="00B51272"/>
    <w:rsid w:val="00B540A7"/>
    <w:rsid w:val="00B54205"/>
    <w:rsid w:val="00B64FFB"/>
    <w:rsid w:val="00B6707C"/>
    <w:rsid w:val="00B67C1C"/>
    <w:rsid w:val="00B72380"/>
    <w:rsid w:val="00B75EA0"/>
    <w:rsid w:val="00B805E4"/>
    <w:rsid w:val="00B82DF8"/>
    <w:rsid w:val="00B832F0"/>
    <w:rsid w:val="00B836B8"/>
    <w:rsid w:val="00B83B50"/>
    <w:rsid w:val="00B90842"/>
    <w:rsid w:val="00B9702C"/>
    <w:rsid w:val="00B97E3B"/>
    <w:rsid w:val="00BA20C5"/>
    <w:rsid w:val="00BA222D"/>
    <w:rsid w:val="00BA253C"/>
    <w:rsid w:val="00BB645D"/>
    <w:rsid w:val="00BB7CC7"/>
    <w:rsid w:val="00BC40CC"/>
    <w:rsid w:val="00BC5D38"/>
    <w:rsid w:val="00BD4614"/>
    <w:rsid w:val="00BE7B71"/>
    <w:rsid w:val="00BF26F4"/>
    <w:rsid w:val="00BF3E66"/>
    <w:rsid w:val="00BF6822"/>
    <w:rsid w:val="00C045C7"/>
    <w:rsid w:val="00C04CE3"/>
    <w:rsid w:val="00C06BD0"/>
    <w:rsid w:val="00C1070D"/>
    <w:rsid w:val="00C136FE"/>
    <w:rsid w:val="00C21DC6"/>
    <w:rsid w:val="00C2345D"/>
    <w:rsid w:val="00C3256D"/>
    <w:rsid w:val="00C34305"/>
    <w:rsid w:val="00C43345"/>
    <w:rsid w:val="00C4399B"/>
    <w:rsid w:val="00C445DB"/>
    <w:rsid w:val="00C44EB4"/>
    <w:rsid w:val="00C50DE2"/>
    <w:rsid w:val="00C52630"/>
    <w:rsid w:val="00C53BC0"/>
    <w:rsid w:val="00C619FA"/>
    <w:rsid w:val="00C639AE"/>
    <w:rsid w:val="00C643EB"/>
    <w:rsid w:val="00C65EC4"/>
    <w:rsid w:val="00C66DF8"/>
    <w:rsid w:val="00C73CCE"/>
    <w:rsid w:val="00C75C7D"/>
    <w:rsid w:val="00C802AC"/>
    <w:rsid w:val="00C91E8C"/>
    <w:rsid w:val="00C93ACD"/>
    <w:rsid w:val="00C94544"/>
    <w:rsid w:val="00C95175"/>
    <w:rsid w:val="00CA5CF5"/>
    <w:rsid w:val="00CB054E"/>
    <w:rsid w:val="00CB0FEB"/>
    <w:rsid w:val="00CB26D5"/>
    <w:rsid w:val="00CB4863"/>
    <w:rsid w:val="00CC6050"/>
    <w:rsid w:val="00CC6DEB"/>
    <w:rsid w:val="00CE3025"/>
    <w:rsid w:val="00CE64C6"/>
    <w:rsid w:val="00CE6A23"/>
    <w:rsid w:val="00CE702E"/>
    <w:rsid w:val="00CE7472"/>
    <w:rsid w:val="00CE7E39"/>
    <w:rsid w:val="00CF088D"/>
    <w:rsid w:val="00D0015D"/>
    <w:rsid w:val="00D03714"/>
    <w:rsid w:val="00D061F7"/>
    <w:rsid w:val="00D12A03"/>
    <w:rsid w:val="00D13792"/>
    <w:rsid w:val="00D15EE9"/>
    <w:rsid w:val="00D17344"/>
    <w:rsid w:val="00D203D6"/>
    <w:rsid w:val="00D20846"/>
    <w:rsid w:val="00D22646"/>
    <w:rsid w:val="00D25FC8"/>
    <w:rsid w:val="00D274C3"/>
    <w:rsid w:val="00D3024B"/>
    <w:rsid w:val="00D309C8"/>
    <w:rsid w:val="00D3269B"/>
    <w:rsid w:val="00D33113"/>
    <w:rsid w:val="00D34AD7"/>
    <w:rsid w:val="00D35776"/>
    <w:rsid w:val="00D40903"/>
    <w:rsid w:val="00D530AD"/>
    <w:rsid w:val="00D56837"/>
    <w:rsid w:val="00D56C95"/>
    <w:rsid w:val="00D577FE"/>
    <w:rsid w:val="00D60156"/>
    <w:rsid w:val="00D71264"/>
    <w:rsid w:val="00D735A9"/>
    <w:rsid w:val="00D77EAA"/>
    <w:rsid w:val="00DA11F2"/>
    <w:rsid w:val="00DA1A6F"/>
    <w:rsid w:val="00DB2731"/>
    <w:rsid w:val="00DB3A02"/>
    <w:rsid w:val="00DB6239"/>
    <w:rsid w:val="00DB6290"/>
    <w:rsid w:val="00DC2CC4"/>
    <w:rsid w:val="00DC4DA1"/>
    <w:rsid w:val="00DD1EEC"/>
    <w:rsid w:val="00DD28BA"/>
    <w:rsid w:val="00DD3431"/>
    <w:rsid w:val="00DE4C30"/>
    <w:rsid w:val="00DE4DAB"/>
    <w:rsid w:val="00DE5348"/>
    <w:rsid w:val="00DF01E0"/>
    <w:rsid w:val="00DF3BAD"/>
    <w:rsid w:val="00DF44B9"/>
    <w:rsid w:val="00DF505E"/>
    <w:rsid w:val="00DF518D"/>
    <w:rsid w:val="00DF66F5"/>
    <w:rsid w:val="00E01440"/>
    <w:rsid w:val="00E039EE"/>
    <w:rsid w:val="00E12A17"/>
    <w:rsid w:val="00E1572E"/>
    <w:rsid w:val="00E15AC9"/>
    <w:rsid w:val="00E2063F"/>
    <w:rsid w:val="00E2178D"/>
    <w:rsid w:val="00E30428"/>
    <w:rsid w:val="00E36B62"/>
    <w:rsid w:val="00E510BF"/>
    <w:rsid w:val="00E55ADE"/>
    <w:rsid w:val="00E55F88"/>
    <w:rsid w:val="00E70263"/>
    <w:rsid w:val="00E7030B"/>
    <w:rsid w:val="00E708A9"/>
    <w:rsid w:val="00E71290"/>
    <w:rsid w:val="00E72F65"/>
    <w:rsid w:val="00E800F4"/>
    <w:rsid w:val="00E81951"/>
    <w:rsid w:val="00E858B7"/>
    <w:rsid w:val="00E918F3"/>
    <w:rsid w:val="00E95F8F"/>
    <w:rsid w:val="00EA0B75"/>
    <w:rsid w:val="00EA2BEE"/>
    <w:rsid w:val="00EA46FA"/>
    <w:rsid w:val="00EA49EF"/>
    <w:rsid w:val="00EA60AF"/>
    <w:rsid w:val="00EB5E76"/>
    <w:rsid w:val="00EB66EC"/>
    <w:rsid w:val="00EC09D7"/>
    <w:rsid w:val="00EC1E53"/>
    <w:rsid w:val="00EC3437"/>
    <w:rsid w:val="00EC5C3D"/>
    <w:rsid w:val="00ED3C6A"/>
    <w:rsid w:val="00ED7376"/>
    <w:rsid w:val="00EE0956"/>
    <w:rsid w:val="00EE5077"/>
    <w:rsid w:val="00EE714C"/>
    <w:rsid w:val="00EF1AF9"/>
    <w:rsid w:val="00F0035C"/>
    <w:rsid w:val="00F10C3C"/>
    <w:rsid w:val="00F12188"/>
    <w:rsid w:val="00F21CF5"/>
    <w:rsid w:val="00F31DB6"/>
    <w:rsid w:val="00F35DBC"/>
    <w:rsid w:val="00F40DD6"/>
    <w:rsid w:val="00F42721"/>
    <w:rsid w:val="00F438EE"/>
    <w:rsid w:val="00F4598C"/>
    <w:rsid w:val="00F47AB6"/>
    <w:rsid w:val="00F501DB"/>
    <w:rsid w:val="00F5115C"/>
    <w:rsid w:val="00F514F5"/>
    <w:rsid w:val="00F55506"/>
    <w:rsid w:val="00F5604F"/>
    <w:rsid w:val="00F6270D"/>
    <w:rsid w:val="00F63110"/>
    <w:rsid w:val="00F635BB"/>
    <w:rsid w:val="00F64297"/>
    <w:rsid w:val="00F66762"/>
    <w:rsid w:val="00F66E71"/>
    <w:rsid w:val="00F67E9F"/>
    <w:rsid w:val="00F753EA"/>
    <w:rsid w:val="00F75763"/>
    <w:rsid w:val="00F83D96"/>
    <w:rsid w:val="00F84FBF"/>
    <w:rsid w:val="00F90CE8"/>
    <w:rsid w:val="00F912F4"/>
    <w:rsid w:val="00F96C1B"/>
    <w:rsid w:val="00FD14F3"/>
    <w:rsid w:val="00FF0659"/>
    <w:rsid w:val="00FF12CF"/>
    <w:rsid w:val="00FF32A1"/>
    <w:rsid w:val="00FF7E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45EB"/>
  <w15:chartTrackingRefBased/>
  <w15:docId w15:val="{6FE7C6BA-7DEF-45CC-9427-B4803C10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BE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D65D9"/>
    <w:pPr>
      <w:spacing w:after="0" w:line="240" w:lineRule="auto"/>
    </w:pPr>
  </w:style>
  <w:style w:type="paragraph" w:customStyle="1" w:styleId="Default">
    <w:name w:val="Default"/>
    <w:rsid w:val="000E2883"/>
    <w:pPr>
      <w:autoSpaceDE w:val="0"/>
      <w:autoSpaceDN w:val="0"/>
      <w:adjustRightInd w:val="0"/>
      <w:spacing w:after="0" w:line="240" w:lineRule="auto"/>
    </w:pPr>
    <w:rPr>
      <w:rFonts w:ascii="Calibri" w:hAnsi="Calibri" w:cs="Calibri"/>
      <w:color w:val="000000"/>
      <w:sz w:val="24"/>
      <w:szCs w:val="24"/>
    </w:rPr>
  </w:style>
  <w:style w:type="character" w:styleId="Marquedecommentaire">
    <w:name w:val="annotation reference"/>
    <w:basedOn w:val="Policepardfaut"/>
    <w:uiPriority w:val="99"/>
    <w:semiHidden/>
    <w:unhideWhenUsed/>
    <w:rsid w:val="00516EC6"/>
    <w:rPr>
      <w:sz w:val="16"/>
      <w:szCs w:val="16"/>
    </w:rPr>
  </w:style>
  <w:style w:type="paragraph" w:styleId="Commentaire">
    <w:name w:val="annotation text"/>
    <w:basedOn w:val="Normal"/>
    <w:link w:val="CommentaireCar"/>
    <w:uiPriority w:val="99"/>
    <w:semiHidden/>
    <w:unhideWhenUsed/>
    <w:rsid w:val="00516EC6"/>
    <w:pPr>
      <w:spacing w:line="240" w:lineRule="auto"/>
    </w:pPr>
    <w:rPr>
      <w:sz w:val="20"/>
      <w:szCs w:val="20"/>
    </w:rPr>
  </w:style>
  <w:style w:type="character" w:customStyle="1" w:styleId="CommentaireCar">
    <w:name w:val="Commentaire Car"/>
    <w:basedOn w:val="Policepardfaut"/>
    <w:link w:val="Commentaire"/>
    <w:uiPriority w:val="99"/>
    <w:semiHidden/>
    <w:rsid w:val="00516EC6"/>
    <w:rPr>
      <w:sz w:val="20"/>
      <w:szCs w:val="20"/>
    </w:rPr>
  </w:style>
  <w:style w:type="paragraph" w:styleId="Objetducommentaire">
    <w:name w:val="annotation subject"/>
    <w:basedOn w:val="Commentaire"/>
    <w:next w:val="Commentaire"/>
    <w:link w:val="ObjetducommentaireCar"/>
    <w:uiPriority w:val="99"/>
    <w:semiHidden/>
    <w:unhideWhenUsed/>
    <w:rsid w:val="00516EC6"/>
    <w:rPr>
      <w:b/>
      <w:bCs/>
    </w:rPr>
  </w:style>
  <w:style w:type="character" w:customStyle="1" w:styleId="ObjetducommentaireCar">
    <w:name w:val="Objet du commentaire Car"/>
    <w:basedOn w:val="CommentaireCar"/>
    <w:link w:val="Objetducommentaire"/>
    <w:uiPriority w:val="99"/>
    <w:semiHidden/>
    <w:rsid w:val="00516EC6"/>
    <w:rPr>
      <w:b/>
      <w:bCs/>
      <w:sz w:val="20"/>
      <w:szCs w:val="20"/>
    </w:rPr>
  </w:style>
  <w:style w:type="paragraph" w:styleId="Notedebasdepage">
    <w:name w:val="footnote text"/>
    <w:basedOn w:val="Normal"/>
    <w:link w:val="NotedebasdepageCar"/>
    <w:uiPriority w:val="99"/>
    <w:semiHidden/>
    <w:unhideWhenUsed/>
    <w:rsid w:val="0053211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32110"/>
    <w:rPr>
      <w:sz w:val="20"/>
      <w:szCs w:val="20"/>
    </w:rPr>
  </w:style>
  <w:style w:type="character" w:styleId="Appelnotedebasdep">
    <w:name w:val="footnote reference"/>
    <w:basedOn w:val="Policepardfaut"/>
    <w:uiPriority w:val="99"/>
    <w:semiHidden/>
    <w:unhideWhenUsed/>
    <w:rsid w:val="00532110"/>
    <w:rPr>
      <w:vertAlign w:val="superscript"/>
    </w:rPr>
  </w:style>
  <w:style w:type="paragraph" w:styleId="Textedebulles">
    <w:name w:val="Balloon Text"/>
    <w:basedOn w:val="Normal"/>
    <w:link w:val="TextedebullesCar"/>
    <w:uiPriority w:val="99"/>
    <w:semiHidden/>
    <w:unhideWhenUsed/>
    <w:rsid w:val="00B9702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702C"/>
    <w:rPr>
      <w:rFonts w:ascii="Segoe UI" w:hAnsi="Segoe UI" w:cs="Segoe UI"/>
      <w:sz w:val="18"/>
      <w:szCs w:val="18"/>
    </w:rPr>
  </w:style>
  <w:style w:type="paragraph" w:styleId="En-tte">
    <w:name w:val="header"/>
    <w:basedOn w:val="Normal"/>
    <w:link w:val="En-tteCar"/>
    <w:uiPriority w:val="99"/>
    <w:unhideWhenUsed/>
    <w:rsid w:val="00B9702C"/>
    <w:pPr>
      <w:tabs>
        <w:tab w:val="center" w:pos="4536"/>
        <w:tab w:val="right" w:pos="9072"/>
      </w:tabs>
      <w:spacing w:after="0" w:line="240" w:lineRule="auto"/>
    </w:pPr>
  </w:style>
  <w:style w:type="character" w:customStyle="1" w:styleId="En-tteCar">
    <w:name w:val="En-tête Car"/>
    <w:basedOn w:val="Policepardfaut"/>
    <w:link w:val="En-tte"/>
    <w:uiPriority w:val="99"/>
    <w:rsid w:val="00B9702C"/>
  </w:style>
  <w:style w:type="paragraph" w:styleId="Pieddepage">
    <w:name w:val="footer"/>
    <w:basedOn w:val="Normal"/>
    <w:link w:val="PieddepageCar"/>
    <w:uiPriority w:val="99"/>
    <w:unhideWhenUsed/>
    <w:rsid w:val="00B970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702C"/>
  </w:style>
  <w:style w:type="paragraph" w:styleId="Paragraphedeliste">
    <w:name w:val="List Paragraph"/>
    <w:basedOn w:val="Normal"/>
    <w:uiPriority w:val="34"/>
    <w:qFormat/>
    <w:rsid w:val="00F90CE8"/>
    <w:pPr>
      <w:spacing w:after="0" w:line="240" w:lineRule="auto"/>
      <w:ind w:left="720"/>
    </w:pPr>
    <w:rPr>
      <w:rFonts w:ascii="Calibri" w:hAnsi="Calibri" w:cs="Calibri"/>
    </w:rPr>
  </w:style>
  <w:style w:type="paragraph" w:styleId="Rvision">
    <w:name w:val="Revision"/>
    <w:hidden/>
    <w:uiPriority w:val="99"/>
    <w:semiHidden/>
    <w:rsid w:val="0092440A"/>
    <w:pPr>
      <w:spacing w:after="0" w:line="240" w:lineRule="auto"/>
    </w:pPr>
  </w:style>
  <w:style w:type="table" w:styleId="Grilledutableau">
    <w:name w:val="Table Grid"/>
    <w:basedOn w:val="TableauNormal"/>
    <w:uiPriority w:val="59"/>
    <w:rsid w:val="00D40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7182C"/>
    <w:rPr>
      <w:color w:val="0563C1" w:themeColor="hyperlink"/>
      <w:u w:val="single"/>
    </w:rPr>
  </w:style>
  <w:style w:type="character" w:styleId="Mentionnonrsolue">
    <w:name w:val="Unresolved Mention"/>
    <w:basedOn w:val="Policepardfaut"/>
    <w:uiPriority w:val="99"/>
    <w:semiHidden/>
    <w:unhideWhenUsed/>
    <w:rsid w:val="00A718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03099">
      <w:bodyDiv w:val="1"/>
      <w:marLeft w:val="0"/>
      <w:marRight w:val="0"/>
      <w:marTop w:val="0"/>
      <w:marBottom w:val="0"/>
      <w:divBdr>
        <w:top w:val="none" w:sz="0" w:space="0" w:color="auto"/>
        <w:left w:val="none" w:sz="0" w:space="0" w:color="auto"/>
        <w:bottom w:val="none" w:sz="0" w:space="0" w:color="auto"/>
        <w:right w:val="none" w:sz="0" w:space="0" w:color="auto"/>
      </w:divBdr>
    </w:div>
    <w:div w:id="272172257">
      <w:bodyDiv w:val="1"/>
      <w:marLeft w:val="0"/>
      <w:marRight w:val="0"/>
      <w:marTop w:val="0"/>
      <w:marBottom w:val="0"/>
      <w:divBdr>
        <w:top w:val="none" w:sz="0" w:space="0" w:color="auto"/>
        <w:left w:val="none" w:sz="0" w:space="0" w:color="auto"/>
        <w:bottom w:val="none" w:sz="0" w:space="0" w:color="auto"/>
        <w:right w:val="none" w:sz="0" w:space="0" w:color="auto"/>
      </w:divBdr>
    </w:div>
    <w:div w:id="533808190">
      <w:bodyDiv w:val="1"/>
      <w:marLeft w:val="0"/>
      <w:marRight w:val="0"/>
      <w:marTop w:val="0"/>
      <w:marBottom w:val="0"/>
      <w:divBdr>
        <w:top w:val="none" w:sz="0" w:space="0" w:color="auto"/>
        <w:left w:val="none" w:sz="0" w:space="0" w:color="auto"/>
        <w:bottom w:val="none" w:sz="0" w:space="0" w:color="auto"/>
        <w:right w:val="none" w:sz="0" w:space="0" w:color="auto"/>
      </w:divBdr>
    </w:div>
    <w:div w:id="565728060">
      <w:bodyDiv w:val="1"/>
      <w:marLeft w:val="0"/>
      <w:marRight w:val="0"/>
      <w:marTop w:val="0"/>
      <w:marBottom w:val="0"/>
      <w:divBdr>
        <w:top w:val="none" w:sz="0" w:space="0" w:color="auto"/>
        <w:left w:val="none" w:sz="0" w:space="0" w:color="auto"/>
        <w:bottom w:val="none" w:sz="0" w:space="0" w:color="auto"/>
        <w:right w:val="none" w:sz="0" w:space="0" w:color="auto"/>
      </w:divBdr>
    </w:div>
    <w:div w:id="851332958">
      <w:bodyDiv w:val="1"/>
      <w:marLeft w:val="0"/>
      <w:marRight w:val="0"/>
      <w:marTop w:val="0"/>
      <w:marBottom w:val="0"/>
      <w:divBdr>
        <w:top w:val="none" w:sz="0" w:space="0" w:color="auto"/>
        <w:left w:val="none" w:sz="0" w:space="0" w:color="auto"/>
        <w:bottom w:val="none" w:sz="0" w:space="0" w:color="auto"/>
        <w:right w:val="none" w:sz="0" w:space="0" w:color="auto"/>
      </w:divBdr>
    </w:div>
    <w:div w:id="1183978565">
      <w:bodyDiv w:val="1"/>
      <w:marLeft w:val="0"/>
      <w:marRight w:val="0"/>
      <w:marTop w:val="0"/>
      <w:marBottom w:val="0"/>
      <w:divBdr>
        <w:top w:val="none" w:sz="0" w:space="0" w:color="auto"/>
        <w:left w:val="none" w:sz="0" w:space="0" w:color="auto"/>
        <w:bottom w:val="none" w:sz="0" w:space="0" w:color="auto"/>
        <w:right w:val="none" w:sz="0" w:space="0" w:color="auto"/>
      </w:divBdr>
    </w:div>
    <w:div w:id="1826890546">
      <w:bodyDiv w:val="1"/>
      <w:marLeft w:val="0"/>
      <w:marRight w:val="0"/>
      <w:marTop w:val="0"/>
      <w:marBottom w:val="0"/>
      <w:divBdr>
        <w:top w:val="none" w:sz="0" w:space="0" w:color="auto"/>
        <w:left w:val="none" w:sz="0" w:space="0" w:color="auto"/>
        <w:bottom w:val="none" w:sz="0" w:space="0" w:color="auto"/>
        <w:right w:val="none" w:sz="0" w:space="0" w:color="auto"/>
      </w:divBdr>
    </w:div>
    <w:div w:id="201799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FlagChrono xmlns="af98ce83-9f33-4efa-bdb8-b0d8972ffe92" xsi:nil="true"/>
    <Source_docFBFTaxHTField0 xmlns="af98ce83-9f33-4efa-bdb8-b0d8972ffe92">
      <Terms xmlns="http://schemas.microsoft.com/office/infopath/2007/PartnerControls"/>
    </Source_docFBFTaxHTField0>
    <Auteur xmlns="af98ce83-9f33-4efa-bdb8-b0d8972ffe92" xsi:nil="true"/>
    <Date_du_document xmlns="af98ce83-9f33-4efa-bdb8-b0d8972ffe92">2022-02-24T12:01:28+00:00</Date_du_document>
    <Type_docFBFTaxHTField0 xmlns="af98ce83-9f33-4efa-bdb8-b0d8972ffe92">
      <Terms xmlns="http://schemas.microsoft.com/office/infopath/2007/PartnerControls"/>
    </Type_docFBFTaxHTField0>
    <Position xmlns="af98ce83-9f33-4efa-bdb8-b0d8972ffe92" xsi:nil="true"/>
    <TaxCatchAll xmlns="1e46f7fe-3764-40b5-abd1-1746c716214b"/>
    <Destination_docFBFTaxHTField0 xmlns="af98ce83-9f33-4efa-bdb8-b0d8972ffe92">
      <Terms xmlns="http://schemas.microsoft.com/office/infopath/2007/PartnerControls"/>
    </Destination_docFBFTaxHTField0>
    <Theme_docFBFTaxHTField0 xmlns="af98ce83-9f33-4efa-bdb8-b0d8972ffe92">
      <Terms xmlns="http://schemas.microsoft.com/office/infopath/2007/PartnerControls"/>
    </Theme_docFBFTaxHTField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380fdde9-80c6-49ce-b025-9a22ec97f8d5" ContentTypeId="0x0101003C79CFFF4B5C42CFBF3E958612ADA9A300FF278770609E4E3DBAD07D763F702F6E"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Word" ma:contentTypeID="0x0101003C79CFFF4B5C42CFBF3E958612ADA9A300FF278770609E4E3DBAD07D763F702F6E00025A8AE17EF7AB4B9327626D3A4AA206" ma:contentTypeVersion="10" ma:contentTypeDescription="Document au format .Docx" ma:contentTypeScope="" ma:versionID="249ade7abd7bc238e90503bd6e4b2c59">
  <xsd:schema xmlns:xsd="http://www.w3.org/2001/XMLSchema" xmlns:xs="http://www.w3.org/2001/XMLSchema" xmlns:p="http://schemas.microsoft.com/office/2006/metadata/properties" xmlns:ns2="2f2c228b-9c1e-46ca-bae4-d89b7cbb1aac" xmlns:ns3="af98ce83-9f33-4efa-bdb8-b0d8972ffe92" xmlns:ns4="1e46f7fe-3764-40b5-abd1-1746c716214b" targetNamespace="http://schemas.microsoft.com/office/2006/metadata/properties" ma:root="true" ma:fieldsID="8c2818dc500e2f41487431aa5ab11c2d" ns2:_="" ns3:_="" ns4:_="">
    <xsd:import namespace="2f2c228b-9c1e-46ca-bae4-d89b7cbb1aac"/>
    <xsd:import namespace="af98ce83-9f33-4efa-bdb8-b0d8972ffe92"/>
    <xsd:import namespace="1e46f7fe-3764-40b5-abd1-1746c716214b"/>
    <xsd:element name="properties">
      <xsd:complexType>
        <xsd:sequence>
          <xsd:element name="documentManagement">
            <xsd:complexType>
              <xsd:all>
                <xsd:element ref="ns2:_dlc_DocId" minOccurs="0"/>
                <xsd:element ref="ns2:_dlc_DocIdUrl" minOccurs="0"/>
                <xsd:element ref="ns2:_dlc_DocIdPersistId" minOccurs="0"/>
                <xsd:element ref="ns3:FlagChrono" minOccurs="0"/>
                <xsd:element ref="ns3:Type_docFBFTaxHTField0" minOccurs="0"/>
                <xsd:element ref="ns3:Destination_docFBFTaxHTField0" minOccurs="0"/>
                <xsd:element ref="ns3:Source_docFBFTaxHTField0" minOccurs="0"/>
                <xsd:element ref="ns3:Theme_docFBFTaxHTField0" minOccurs="0"/>
                <xsd:element ref="ns3:Position" minOccurs="0"/>
                <xsd:element ref="ns3:Date_du_document"/>
                <xsd:element ref="ns3:Auteur" minOccurs="0"/>
                <xsd:element ref="ns4:TaxCatchAll" minOccurs="0"/>
                <xsd:element ref="ns4: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2c228b-9c1e-46ca-bae4-d89b7cbb1aa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f98ce83-9f33-4efa-bdb8-b0d8972ffe92" elementFormDefault="qualified">
    <xsd:import namespace="http://schemas.microsoft.com/office/2006/documentManagement/types"/>
    <xsd:import namespace="http://schemas.microsoft.com/office/infopath/2007/PartnerControls"/>
    <xsd:element name="FlagChrono" ma:index="11" nillable="true" ma:displayName="Nom du document" ma:internalName="FlagChrono">
      <xsd:simpleType>
        <xsd:restriction base="dms:Text">
          <xsd:maxLength value="255"/>
        </xsd:restriction>
      </xsd:simpleType>
    </xsd:element>
    <xsd:element name="Type_docFBFTaxHTField0" ma:index="12" nillable="true" ma:taxonomy="true" ma:internalName="Type_docFBFTaxHTField0" ma:taxonomyFieldName="Type_docFBF" ma:displayName="Type" ma:fieldId="{7731117e-801e-4d7c-a9e5-621edca36438}" ma:sspId="380fdde9-80c6-49ce-b025-9a22ec97f8d5" ma:termSetId="e1595945-9332-4534-bb97-7ac4ca55f5fd" ma:anchorId="00000000-0000-0000-0000-000000000000" ma:open="false" ma:isKeyword="false">
      <xsd:complexType>
        <xsd:sequence>
          <xsd:element ref="pc:Terms" minOccurs="0" maxOccurs="1"/>
        </xsd:sequence>
      </xsd:complexType>
    </xsd:element>
    <xsd:element name="Destination_docFBFTaxHTField0" ma:index="14" nillable="true" ma:taxonomy="true" ma:internalName="Destination_docFBFTaxHTField0" ma:taxonomyFieldName="Destination_docFBF" ma:displayName="Destination" ma:fieldId="{c07b9c17-0389-4faf-a859-563b2b1c1754}" ma:sspId="380fdde9-80c6-49ce-b025-9a22ec97f8d5" ma:termSetId="6dfb751e-6b65-40c0-ba0e-52df074bfaec" ma:anchorId="00000000-0000-0000-0000-000000000000" ma:open="false" ma:isKeyword="false">
      <xsd:complexType>
        <xsd:sequence>
          <xsd:element ref="pc:Terms" minOccurs="0" maxOccurs="1"/>
        </xsd:sequence>
      </xsd:complexType>
    </xsd:element>
    <xsd:element name="Source_docFBFTaxHTField0" ma:index="16" nillable="true" ma:taxonomy="true" ma:internalName="Source_docFBFTaxHTField0" ma:taxonomyFieldName="Source_docFBF" ma:displayName="Source" ma:fieldId="{fbcdecc4-fc2d-4ca5-ba48-da0e686bdfcb}" ma:sspId="380fdde9-80c6-49ce-b025-9a22ec97f8d5" ma:termSetId="b2899185-813f-4f02-bc83-9d1b9348ec36" ma:anchorId="00000000-0000-0000-0000-000000000000" ma:open="false" ma:isKeyword="false">
      <xsd:complexType>
        <xsd:sequence>
          <xsd:element ref="pc:Terms" minOccurs="0" maxOccurs="1"/>
        </xsd:sequence>
      </xsd:complexType>
    </xsd:element>
    <xsd:element name="Theme_docFBFTaxHTField0" ma:index="18" nillable="true" ma:taxonomy="true" ma:internalName="Theme_docFBFTaxHTField0" ma:taxonomyFieldName="Theme_docFBF" ma:displayName="Thème" ma:fieldId="{bba149cf-f7cb-484e-a57c-16c312b5412f}" ma:sspId="380fdde9-80c6-49ce-b025-9a22ec97f8d5" ma:termSetId="1908658b-373e-4251-8a22-7d7d4cbae502" ma:anchorId="00000000-0000-0000-0000-000000000000" ma:open="false" ma:isKeyword="false">
      <xsd:complexType>
        <xsd:sequence>
          <xsd:element ref="pc:Terms" minOccurs="0" maxOccurs="1"/>
        </xsd:sequence>
      </xsd:complexType>
    </xsd:element>
    <xsd:element name="Position" ma:index="20" nillable="true" ma:displayName="Position" ma:internalName="Position">
      <xsd:simpleType>
        <xsd:restriction base="dms:Text">
          <xsd:maxLength value="255"/>
        </xsd:restriction>
      </xsd:simpleType>
    </xsd:element>
    <xsd:element name="Date_du_document" ma:index="21" ma:displayName="Date du document" ma:default="[today]" ma:format="DateOnly" ma:internalName="Date_du_document">
      <xsd:simpleType>
        <xsd:restriction base="dms:DateTime"/>
      </xsd:simpleType>
    </xsd:element>
    <xsd:element name="Auteur" ma:index="22" nillable="true" ma:displayName="Auteur" ma:internalName="Auteu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46f7fe-3764-40b5-abd1-1746c716214b" elementFormDefault="qualified">
    <xsd:import namespace="http://schemas.microsoft.com/office/2006/documentManagement/types"/>
    <xsd:import namespace="http://schemas.microsoft.com/office/infopath/2007/PartnerControls"/>
    <xsd:element name="TaxCatchAll" ma:index="24" nillable="true" ma:displayName="Taxonomy Catch All Column" ma:description="" ma:hidden="true" ma:list="{BAD68EFA-C977-46EE-BC49-E8D72C2F750F}" ma:internalName="TaxCatchAll" ma:showField="CatchAllData">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BAD68EFA-C977-46EE-BC49-E8D72C2F750F}"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Libell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C3914E-3FF8-4D03-845C-8C2B03C4B9EC}">
  <ds:schemaRefs>
    <ds:schemaRef ds:uri="http://schemas.microsoft.com/office/2006/metadata/properties"/>
    <ds:schemaRef ds:uri="http://schemas.microsoft.com/office/infopath/2007/PartnerControls"/>
    <ds:schemaRef ds:uri="af98ce83-9f33-4efa-bdb8-b0d8972ffe92"/>
    <ds:schemaRef ds:uri="1e46f7fe-3764-40b5-abd1-1746c716214b"/>
  </ds:schemaRefs>
</ds:datastoreItem>
</file>

<file path=customXml/itemProps2.xml><?xml version="1.0" encoding="utf-8"?>
<ds:datastoreItem xmlns:ds="http://schemas.openxmlformats.org/officeDocument/2006/customXml" ds:itemID="{9CDDDD86-DD4D-49F5-9265-168311503AA5}">
  <ds:schemaRefs>
    <ds:schemaRef ds:uri="http://schemas.microsoft.com/sharepoint/v3/contenttype/forms"/>
  </ds:schemaRefs>
</ds:datastoreItem>
</file>

<file path=customXml/itemProps3.xml><?xml version="1.0" encoding="utf-8"?>
<ds:datastoreItem xmlns:ds="http://schemas.openxmlformats.org/officeDocument/2006/customXml" ds:itemID="{73018B51-5FA3-4519-A466-B78639757EB7}">
  <ds:schemaRefs>
    <ds:schemaRef ds:uri="http://schemas.microsoft.com/sharepoint/events"/>
  </ds:schemaRefs>
</ds:datastoreItem>
</file>

<file path=customXml/itemProps4.xml><?xml version="1.0" encoding="utf-8"?>
<ds:datastoreItem xmlns:ds="http://schemas.openxmlformats.org/officeDocument/2006/customXml" ds:itemID="{8046F968-43CE-417F-B6AF-B7FE5E73C791}">
  <ds:schemaRefs>
    <ds:schemaRef ds:uri="Microsoft.SharePoint.Taxonomy.ContentTypeSync"/>
  </ds:schemaRefs>
</ds:datastoreItem>
</file>

<file path=customXml/itemProps5.xml><?xml version="1.0" encoding="utf-8"?>
<ds:datastoreItem xmlns:ds="http://schemas.openxmlformats.org/officeDocument/2006/customXml" ds:itemID="{091AD05C-48BA-4C70-A89B-2F08ADE99108}">
  <ds:schemaRefs>
    <ds:schemaRef ds:uri="http://schemas.openxmlformats.org/officeDocument/2006/bibliography"/>
  </ds:schemaRefs>
</ds:datastoreItem>
</file>

<file path=customXml/itemProps6.xml><?xml version="1.0" encoding="utf-8"?>
<ds:datastoreItem xmlns:ds="http://schemas.openxmlformats.org/officeDocument/2006/customXml" ds:itemID="{B5982CE3-B760-4783-87F5-844C1872F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2c228b-9c1e-46ca-bae4-d89b7cbb1aac"/>
    <ds:schemaRef ds:uri="af98ce83-9f33-4efa-bdb8-b0d8972ffe92"/>
    <ds:schemaRef ds:uri="1e46f7fe-3764-40b5-abd1-1746c71621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1519</Words>
  <Characters>8358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Devarieux, Thomas</dc:creator>
  <cp:keywords/>
  <dc:description/>
  <cp:lastModifiedBy>Miens, Véronique</cp:lastModifiedBy>
  <cp:revision>2</cp:revision>
  <dcterms:created xsi:type="dcterms:W3CDTF">2023-12-15T16:13:00Z</dcterms:created>
  <dcterms:modified xsi:type="dcterms:W3CDTF">2023-12-15T16:13:00Z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cad6431-53ea-4466-8111-3fefa470bcb9_Enabled">
    <vt:lpwstr>true</vt:lpwstr>
  </property>
  <property fmtid="{D5CDD505-2E9C-101B-9397-08002B2CF9AE}" pid="3" name="MSIP_Label_4cad6431-53ea-4466-8111-3fefa470bcb9_SetDate">
    <vt:lpwstr>2022-01-26T19:59:51Z</vt:lpwstr>
  </property>
  <property fmtid="{D5CDD505-2E9C-101B-9397-08002B2CF9AE}" pid="4" name="MSIP_Label_4cad6431-53ea-4466-8111-3fefa470bcb9_Method">
    <vt:lpwstr>Privileged</vt:lpwstr>
  </property>
  <property fmtid="{D5CDD505-2E9C-101B-9397-08002B2CF9AE}" pid="5" name="MSIP_Label_4cad6431-53ea-4466-8111-3fefa470bcb9_Name">
    <vt:lpwstr>Usage Interne</vt:lpwstr>
  </property>
  <property fmtid="{D5CDD505-2E9C-101B-9397-08002B2CF9AE}" pid="6" name="MSIP_Label_4cad6431-53ea-4466-8111-3fefa470bcb9_SiteId">
    <vt:lpwstr>fb3baf17-c313-474c-8d5d-577a3ec97a32</vt:lpwstr>
  </property>
  <property fmtid="{D5CDD505-2E9C-101B-9397-08002B2CF9AE}" pid="7" name="MSIP_Label_4cad6431-53ea-4466-8111-3fefa470bcb9_ActionId">
    <vt:lpwstr>85e2caec-4c0b-456e-acf7-2b3aac90b9d0</vt:lpwstr>
  </property>
  <property fmtid="{D5CDD505-2E9C-101B-9397-08002B2CF9AE}" pid="8" name="MSIP_Label_4cad6431-53ea-4466-8111-3fefa470bcb9_ContentBits">
    <vt:lpwstr>2</vt:lpwstr>
  </property>
  <property fmtid="{D5CDD505-2E9C-101B-9397-08002B2CF9AE}" pid="9" name="MSIP_Label_812e1ed0-4700-41e0-aec3-61ed249f3333_Enabled">
    <vt:lpwstr>true</vt:lpwstr>
  </property>
  <property fmtid="{D5CDD505-2E9C-101B-9397-08002B2CF9AE}" pid="10" name="MSIP_Label_812e1ed0-4700-41e0-aec3-61ed249f3333_SetDate">
    <vt:lpwstr>2022-01-27T15:19:03Z</vt:lpwstr>
  </property>
  <property fmtid="{D5CDD505-2E9C-101B-9397-08002B2CF9AE}" pid="11" name="MSIP_Label_812e1ed0-4700-41e0-aec3-61ed249f3333_Method">
    <vt:lpwstr>Standard</vt:lpwstr>
  </property>
  <property fmtid="{D5CDD505-2E9C-101B-9397-08002B2CF9AE}" pid="12" name="MSIP_Label_812e1ed0-4700-41e0-aec3-61ed249f3333_Name">
    <vt:lpwstr>Internal - Standard</vt:lpwstr>
  </property>
  <property fmtid="{D5CDD505-2E9C-101B-9397-08002B2CF9AE}" pid="13" name="MSIP_Label_812e1ed0-4700-41e0-aec3-61ed249f3333_SiteId">
    <vt:lpwstr>614f9c25-bffa-42c7-86d8-964101f55fa2</vt:lpwstr>
  </property>
  <property fmtid="{D5CDD505-2E9C-101B-9397-08002B2CF9AE}" pid="14" name="MSIP_Label_812e1ed0-4700-41e0-aec3-61ed249f3333_ActionId">
    <vt:lpwstr>65f9df23-8550-4447-9894-5263e5155634</vt:lpwstr>
  </property>
  <property fmtid="{D5CDD505-2E9C-101B-9397-08002B2CF9AE}" pid="15" name="MSIP_Label_812e1ed0-4700-41e0-aec3-61ed249f3333_ContentBits">
    <vt:lpwstr>2</vt:lpwstr>
  </property>
  <property fmtid="{D5CDD505-2E9C-101B-9397-08002B2CF9AE}" pid="16" name="ContentTypeId">
    <vt:lpwstr>0x0101003C79CFFF4B5C42CFBF3E958612ADA9A300FF278770609E4E3DBAD07D763F702F6E00025A8AE17EF7AB4B9327626D3A4AA206</vt:lpwstr>
  </property>
  <property fmtid="{D5CDD505-2E9C-101B-9397-08002B2CF9AE}" pid="17" name="Destination_docFBF">
    <vt:lpwstr/>
  </property>
  <property fmtid="{D5CDD505-2E9C-101B-9397-08002B2CF9AE}" pid="18" name="Theme_docFBF">
    <vt:lpwstr/>
  </property>
  <property fmtid="{D5CDD505-2E9C-101B-9397-08002B2CF9AE}" pid="19" name="Type_docFBF">
    <vt:lpwstr/>
  </property>
  <property fmtid="{D5CDD505-2E9C-101B-9397-08002B2CF9AE}" pid="20" name="Source_docFBF">
    <vt:lpwstr/>
  </property>
</Properties>
</file>