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97" w:rsidRPr="007F3797" w:rsidRDefault="000C2997" w:rsidP="000C2997">
      <w:pPr>
        <w:jc w:val="both"/>
        <w:rPr>
          <w:rFonts w:ascii="Arial" w:hAnsi="Arial" w:cs="Arial"/>
          <w:b/>
          <w:color w:val="1F4E79" w:themeColor="accent1" w:themeShade="80"/>
          <w:sz w:val="24"/>
          <w:u w:val="single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u w:val="single"/>
          <w:lang w:val="en-GB" w:eastAsia="zh-CN"/>
        </w:rPr>
        <w:t xml:space="preserve">AMUNDI key messages : </w:t>
      </w:r>
    </w:p>
    <w:p w:rsidR="000C2997" w:rsidRPr="007F3797" w:rsidRDefault="000C2997" w:rsidP="000C2997">
      <w:pPr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The SFDR should evolve from a transparency regime only to an approach including minimum requirements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“Sustainable Investment” concept - Article 2(17) of SFDR applied line-by-line should be deleted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 xml:space="preserve">Need to include a binding and measurable sustainable objectives for all ESG products 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D143FA" w:rsidRPr="007F3797" w:rsidRDefault="000C2997" w:rsidP="00D143FA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 xml:space="preserve">Product categories offered : "Contribution", "Transition", "Generic focus on Environmental and/or Social objective". </w:t>
      </w:r>
    </w:p>
    <w:p w:rsidR="000C2997" w:rsidRPr="007F3797" w:rsidRDefault="000C2997" w:rsidP="00FA30D8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Including 2 levels of ambition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Leverage on the existing well-known national ESG and green labels as well as EUR Climate Benchmarks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Realigning SFDR &amp; MIF and IDD Sustainability Preferences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>Require disclosures for all financial products as well as a simplification of the disclosure</w:t>
      </w:r>
    </w:p>
    <w:p w:rsidR="000C2997" w:rsidRPr="007F3797" w:rsidRDefault="000C2997" w:rsidP="000C2997">
      <w:pPr>
        <w:widowControl/>
        <w:autoSpaceDE/>
        <w:ind w:left="720"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</w:p>
    <w:p w:rsidR="000C2997" w:rsidRPr="007F3797" w:rsidRDefault="000C2997" w:rsidP="000C2997">
      <w:pPr>
        <w:widowControl/>
        <w:numPr>
          <w:ilvl w:val="0"/>
          <w:numId w:val="1"/>
        </w:numPr>
        <w:autoSpaceDE/>
        <w:jc w:val="both"/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</w:pPr>
      <w:r w:rsidRPr="007F3797">
        <w:rPr>
          <w:rFonts w:ascii="Arial" w:hAnsi="Arial" w:cs="Arial"/>
          <w:b/>
          <w:color w:val="1F4E79" w:themeColor="accent1" w:themeShade="80"/>
          <w:sz w:val="24"/>
          <w:lang w:val="en-GB" w:eastAsia="zh-CN"/>
        </w:rPr>
        <w:t xml:space="preserve">Require disclosures at the entity level </w:t>
      </w:r>
    </w:p>
    <w:p w:rsidR="005827C7" w:rsidRPr="007F3797" w:rsidRDefault="005827C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p w:rsidR="007F3797" w:rsidRPr="007F3797" w:rsidRDefault="007F379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p w:rsidR="007F3797" w:rsidRPr="007F3797" w:rsidRDefault="007F379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p w:rsidR="007F3797" w:rsidRPr="007F3797" w:rsidRDefault="007F379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p w:rsidR="007F3797" w:rsidRPr="007F3797" w:rsidRDefault="007F379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p w:rsidR="007F3797" w:rsidRPr="007F3797" w:rsidRDefault="007F3797" w:rsidP="007F3797">
      <w:pPr>
        <w:pStyle w:val="AFGTextecourant"/>
        <w:jc w:val="both"/>
        <w:rPr>
          <w:rFonts w:ascii="Times New Roman" w:hAnsi="Times New Roman" w:cs="Times New Roman"/>
          <w:color w:val="1F4E79" w:themeColor="accent1" w:themeShade="80"/>
          <w:sz w:val="23"/>
          <w:szCs w:val="23"/>
          <w:lang w:val="es-ES"/>
        </w:rPr>
      </w:pPr>
    </w:p>
    <w:p w:rsidR="007F3797" w:rsidRPr="007F3797" w:rsidRDefault="007F3797" w:rsidP="007F3797">
      <w:pPr>
        <w:rPr>
          <w:color w:val="1F4E79" w:themeColor="accent1" w:themeShade="80"/>
          <w:sz w:val="25"/>
          <w:szCs w:val="25"/>
        </w:rPr>
      </w:pPr>
      <w:r w:rsidRPr="007F3797">
        <w:rPr>
          <w:rFonts w:ascii="Calibri" w:hAnsi="Calibri" w:cs="Calibri"/>
          <w:noProof/>
          <w:color w:val="1F4E79" w:themeColor="accent1" w:themeShade="80"/>
          <w:lang w:val="fr-FR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1065530</wp:posOffset>
            </wp:positionH>
            <wp:positionV relativeFrom="paragraph">
              <wp:posOffset>1486535</wp:posOffset>
            </wp:positionV>
            <wp:extent cx="1171575" cy="95250"/>
            <wp:effectExtent l="0" t="0" r="9525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33438119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3797">
        <w:rPr>
          <w:i/>
          <w:iCs/>
          <w:noProof/>
          <w:color w:val="1F4E79" w:themeColor="accent1" w:themeShade="80"/>
          <w:lang w:val="fr-FR" w:eastAsia="zh-CN"/>
        </w:rPr>
        <w:drawing>
          <wp:inline distT="0" distB="0" distL="0" distR="0">
            <wp:extent cx="6553200" cy="2752725"/>
            <wp:effectExtent l="0" t="0" r="0" b="9525"/>
            <wp:docPr id="2" name="Picture 2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e image contenant texte, capture d’écran, Police, nomb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97" w:rsidRPr="007F3797" w:rsidRDefault="007F3797" w:rsidP="007F3797">
      <w:pPr>
        <w:pStyle w:val="AFGTextecourant"/>
        <w:ind w:left="0"/>
        <w:jc w:val="both"/>
        <w:rPr>
          <w:rFonts w:ascii="Times New Roman" w:hAnsi="Times New Roman" w:cs="Times New Roman"/>
          <w:color w:val="1F4E79" w:themeColor="accent1" w:themeShade="80"/>
          <w:sz w:val="25"/>
          <w:szCs w:val="25"/>
          <w:lang w:val="en-US"/>
        </w:rPr>
      </w:pPr>
    </w:p>
    <w:p w:rsidR="007F3797" w:rsidRPr="007F3797" w:rsidRDefault="007F3797" w:rsidP="007F3797">
      <w:pPr>
        <w:pStyle w:val="AFGTextecourant"/>
        <w:ind w:left="0"/>
        <w:jc w:val="both"/>
        <w:rPr>
          <w:rFonts w:ascii="Times New Roman" w:hAnsi="Times New Roman" w:cs="Times New Roman"/>
          <w:color w:val="1F4E79" w:themeColor="accent1" w:themeShade="80"/>
          <w:sz w:val="25"/>
          <w:szCs w:val="25"/>
          <w:lang w:val="en-US"/>
        </w:rPr>
      </w:pPr>
      <w:r w:rsidRPr="007F3797">
        <w:rPr>
          <w:rFonts w:ascii="Times New Roman" w:hAnsi="Times New Roman" w:cs="Times New Roman"/>
          <w:color w:val="1F4E79" w:themeColor="accent1" w:themeShade="80"/>
          <w:sz w:val="25"/>
          <w:szCs w:val="25"/>
          <w:lang w:val="en-US"/>
        </w:rPr>
        <w:t xml:space="preserve">            </w:t>
      </w:r>
    </w:p>
    <w:p w:rsidR="007F3797" w:rsidRPr="007F3797" w:rsidRDefault="007F3797">
      <w:pPr>
        <w:widowControl/>
        <w:autoSpaceDE/>
        <w:autoSpaceDN/>
        <w:spacing w:after="160" w:line="259" w:lineRule="auto"/>
        <w:rPr>
          <w:rFonts w:eastAsiaTheme="minorEastAsia"/>
          <w:color w:val="1F4E79" w:themeColor="accent1" w:themeShade="80"/>
          <w:sz w:val="25"/>
          <w:szCs w:val="25"/>
        </w:rPr>
      </w:pPr>
      <w:r w:rsidRPr="007F3797">
        <w:rPr>
          <w:color w:val="1F4E79" w:themeColor="accent1" w:themeShade="80"/>
          <w:sz w:val="25"/>
          <w:szCs w:val="25"/>
        </w:rPr>
        <w:br w:type="page"/>
      </w:r>
    </w:p>
    <w:p w:rsidR="007F3797" w:rsidRPr="001409E5" w:rsidRDefault="007F3797" w:rsidP="007F3797">
      <w:pPr>
        <w:pStyle w:val="AFGTextecourant"/>
        <w:ind w:left="0"/>
        <w:jc w:val="both"/>
        <w:rPr>
          <w:rFonts w:ascii="Times New Roman" w:hAnsi="Times New Roman" w:cs="Times New Roman"/>
          <w:color w:val="1F4E79" w:themeColor="accent1" w:themeShade="80"/>
          <w:sz w:val="24"/>
          <w:szCs w:val="24"/>
          <w:lang w:val="en-US"/>
        </w:rPr>
      </w:pPr>
      <w:bookmarkStart w:id="0" w:name="_GoBack"/>
      <w:r w:rsidRPr="001409E5">
        <w:rPr>
          <w:b/>
          <w:bCs/>
          <w:color w:val="1F4E79" w:themeColor="accent1" w:themeShade="80"/>
          <w:sz w:val="24"/>
          <w:szCs w:val="24"/>
          <w:lang w:val="en-GB"/>
        </w:rPr>
        <w:lastRenderedPageBreak/>
        <w:t>Equivalence with the current SFDR framework</w:t>
      </w:r>
      <w:r w:rsidRPr="001409E5">
        <w:rPr>
          <w:b/>
          <w:bCs/>
          <w:color w:val="1F4E79" w:themeColor="accent1" w:themeShade="80"/>
          <w:sz w:val="24"/>
          <w:szCs w:val="24"/>
          <w:lang w:val="en-GB"/>
        </w:rPr>
        <w:t>, if needed</w:t>
      </w:r>
      <w:r w:rsidRPr="001409E5">
        <w:rPr>
          <w:b/>
          <w:bCs/>
          <w:color w:val="1F4E79" w:themeColor="accent1" w:themeShade="80"/>
          <w:sz w:val="24"/>
          <w:szCs w:val="24"/>
          <w:lang w:val="en-GB"/>
        </w:rPr>
        <w:t xml:space="preserve"> : </w:t>
      </w:r>
    </w:p>
    <w:bookmarkEnd w:id="0"/>
    <w:p w:rsidR="007F3797" w:rsidRPr="007F3797" w:rsidRDefault="007F3797" w:rsidP="007F3797">
      <w:pPr>
        <w:pStyle w:val="AFGTextecourant"/>
        <w:ind w:left="708"/>
        <w:jc w:val="both"/>
        <w:rPr>
          <w:rFonts w:ascii="Times New Roman" w:hAnsi="Times New Roman" w:cs="Times New Roman"/>
          <w:color w:val="1F4E79" w:themeColor="accent1" w:themeShade="80"/>
          <w:sz w:val="25"/>
          <w:szCs w:val="25"/>
          <w:lang w:val="en-US"/>
        </w:rPr>
      </w:pPr>
      <w:r w:rsidRPr="007F3797">
        <w:rPr>
          <w:noProof/>
          <w:color w:val="1F4E79" w:themeColor="accent1" w:themeShade="80"/>
          <w:lang w:eastAsia="zh-CN"/>
        </w:rPr>
        <w:drawing>
          <wp:inline distT="0" distB="0" distL="0" distR="0">
            <wp:extent cx="5210175" cy="2714625"/>
            <wp:effectExtent l="0" t="0" r="9525" b="9525"/>
            <wp:docPr id="1" name="Picture 1" descr="cid:image007.jpg@01DA26AC.C789FA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7.jpg@01DA26AC.C789FA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97" w:rsidRPr="007F3797" w:rsidRDefault="007F3797" w:rsidP="000C2997">
      <w:pPr>
        <w:jc w:val="both"/>
        <w:rPr>
          <w:rFonts w:ascii="Arial" w:hAnsi="Arial" w:cs="Arial"/>
          <w:color w:val="1F4E79" w:themeColor="accent1" w:themeShade="80"/>
          <w:sz w:val="24"/>
        </w:rPr>
      </w:pPr>
    </w:p>
    <w:sectPr w:rsidR="007F3797" w:rsidRPr="007F3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997" w:rsidRDefault="000C2997" w:rsidP="000C2997">
      <w:r>
        <w:separator/>
      </w:r>
    </w:p>
  </w:endnote>
  <w:endnote w:type="continuationSeparator" w:id="0">
    <w:p w:rsidR="000C2997" w:rsidRDefault="000C2997" w:rsidP="000C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997" w:rsidRDefault="000C2997" w:rsidP="000C2997">
      <w:r>
        <w:separator/>
      </w:r>
    </w:p>
  </w:footnote>
  <w:footnote w:type="continuationSeparator" w:id="0">
    <w:p w:rsidR="000C2997" w:rsidRDefault="000C2997" w:rsidP="000C2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830C3"/>
    <w:multiLevelType w:val="hybridMultilevel"/>
    <w:tmpl w:val="F0D84A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37"/>
    <w:rsid w:val="000C2997"/>
    <w:rsid w:val="001409E5"/>
    <w:rsid w:val="004A0937"/>
    <w:rsid w:val="005827C7"/>
    <w:rsid w:val="007F3797"/>
    <w:rsid w:val="00D143FA"/>
    <w:rsid w:val="00FA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DCD462D"/>
  <w15:chartTrackingRefBased/>
  <w15:docId w15:val="{EB9BD1A3-AB6A-4367-B7F5-B8FD2EA2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C29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3FA"/>
    <w:pPr>
      <w:ind w:left="720"/>
      <w:contextualSpacing/>
    </w:pPr>
  </w:style>
  <w:style w:type="paragraph" w:customStyle="1" w:styleId="AFGTextecourant">
    <w:name w:val="AFG_Texte courant"/>
    <w:basedOn w:val="Normal"/>
    <w:uiPriority w:val="5"/>
    <w:rsid w:val="007F3797"/>
    <w:pPr>
      <w:widowControl/>
      <w:autoSpaceDE/>
      <w:autoSpaceDN/>
      <w:spacing w:before="120"/>
      <w:ind w:left="340"/>
    </w:pPr>
    <w:rPr>
      <w:rFonts w:ascii="Calibri" w:eastAsiaTheme="minorEastAsia" w:hAnsi="Calibri" w:cs="Calibri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7.jpg@01DA26AC.C789FAF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cid:image005.png@01DA26AC.C789FA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711</Characters>
  <Application>Microsoft Office Word</Application>
  <DocSecurity>0</DocSecurity>
  <Lines>5</Lines>
  <Paragraphs>1</Paragraphs>
  <ScaleCrop>false</ScaleCrop>
  <Company>Amundi Asset Management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Deixonne</dc:creator>
  <cp:keywords/>
  <dc:description/>
  <cp:lastModifiedBy>Florent Deixonne</cp:lastModifiedBy>
  <cp:revision>7</cp:revision>
  <dcterms:created xsi:type="dcterms:W3CDTF">2023-12-08T08:46:00Z</dcterms:created>
  <dcterms:modified xsi:type="dcterms:W3CDTF">2023-12-08T08:54:00Z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c45191-74e4-40a9-a4c5-ab5c9391e33a_Enabled">
    <vt:lpwstr>true</vt:lpwstr>
  </property>
  <property fmtid="{D5CDD505-2E9C-101B-9397-08002B2CF9AE}" pid="3" name="MSIP_Label_6ac45191-74e4-40a9-a4c5-ab5c9391e33a_SetDate">
    <vt:lpwstr>2023-12-08T08:47:00Z</vt:lpwstr>
  </property>
  <property fmtid="{D5CDD505-2E9C-101B-9397-08002B2CF9AE}" pid="4" name="MSIP_Label_6ac45191-74e4-40a9-a4c5-ab5c9391e33a_Method">
    <vt:lpwstr>Standard</vt:lpwstr>
  </property>
  <property fmtid="{D5CDD505-2E9C-101B-9397-08002B2CF9AE}" pid="5" name="MSIP_Label_6ac45191-74e4-40a9-a4c5-ab5c9391e33a_Name">
    <vt:lpwstr>Internal Data</vt:lpwstr>
  </property>
  <property fmtid="{D5CDD505-2E9C-101B-9397-08002B2CF9AE}" pid="6" name="MSIP_Label_6ac45191-74e4-40a9-a4c5-ab5c9391e33a_SiteId">
    <vt:lpwstr>a5c34232-eadc-4609-bff3-dd6fcdae3fe2</vt:lpwstr>
  </property>
  <property fmtid="{D5CDD505-2E9C-101B-9397-08002B2CF9AE}" pid="7" name="MSIP_Label_6ac45191-74e4-40a9-a4c5-ab5c9391e33a_ActionId">
    <vt:lpwstr>da34a941-2574-4006-9524-02ce7838f02a</vt:lpwstr>
  </property>
  <property fmtid="{D5CDD505-2E9C-101B-9397-08002B2CF9AE}" pid="8" name="MSIP_Label_6ac45191-74e4-40a9-a4c5-ab5c9391e33a_ContentBits">
    <vt:lpwstr>0</vt:lpwstr>
  </property>
</Properties>
</file>