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D0533" w14:textId="4BCD915D" w:rsidR="00037B8C" w:rsidRDefault="00037B8C" w:rsidP="00037B8C">
      <w:pPr>
        <w:widowControl/>
        <w:autoSpaceDE/>
        <w:jc w:val="both"/>
        <w:rPr>
          <w:rFonts w:ascii="Calibri" w:eastAsia="Times New Roman" w:hAnsi="Calibri" w:cs="Calibri"/>
          <w14:ligatures w14:val="standardContextual"/>
        </w:rPr>
      </w:pPr>
      <w:r>
        <w:rPr>
          <w:rFonts w:ascii="Calibri" w:eastAsia="Times New Roman" w:hAnsi="Calibri" w:cs="Calibri"/>
          <w14:ligatures w14:val="standardContextual"/>
        </w:rPr>
        <w:t>In addition</w:t>
      </w:r>
      <w:r w:rsidR="00972265">
        <w:rPr>
          <w:rFonts w:ascii="Calibri" w:eastAsia="Times New Roman" w:hAnsi="Calibri" w:cs="Calibri"/>
          <w14:ligatures w14:val="standardContextual"/>
        </w:rPr>
        <w:t xml:space="preserve"> </w:t>
      </w:r>
      <w:r>
        <w:rPr>
          <w:rFonts w:ascii="Calibri" w:eastAsia="Times New Roman" w:hAnsi="Calibri" w:cs="Calibri"/>
          <w14:ligatures w14:val="standardContextual"/>
        </w:rPr>
        <w:t>to the question-specific explanations provided in the body of the consultation paper, BEAMA would like to highlight the following key take aways.</w:t>
      </w:r>
      <w:r w:rsidR="00972265">
        <w:rPr>
          <w:rFonts w:ascii="Calibri" w:eastAsia="Times New Roman" w:hAnsi="Calibri" w:cs="Calibri"/>
          <w14:ligatures w14:val="standardContextual"/>
        </w:rPr>
        <w:t xml:space="preserve"> These take-aways elaborate on the </w:t>
      </w:r>
      <w:r>
        <w:rPr>
          <w:rFonts w:ascii="Calibri" w:eastAsia="Times New Roman" w:hAnsi="Calibri" w:cs="Calibri"/>
          <w14:ligatures w14:val="standardContextual"/>
        </w:rPr>
        <w:t>two main subjects of the consultatio</w:t>
      </w:r>
      <w:r w:rsidR="00972265">
        <w:rPr>
          <w:rFonts w:ascii="Calibri" w:eastAsia="Times New Roman" w:hAnsi="Calibri" w:cs="Calibri"/>
          <w14:ligatures w14:val="standardContextual"/>
        </w:rPr>
        <w:t xml:space="preserve">n, namely </w:t>
      </w:r>
      <w:r>
        <w:rPr>
          <w:rFonts w:ascii="Calibri" w:eastAsia="Times New Roman" w:hAnsi="Calibri" w:cs="Calibri"/>
          <w14:ligatures w14:val="standardContextual"/>
        </w:rPr>
        <w:t>(</w:t>
      </w:r>
      <w:proofErr w:type="spellStart"/>
      <w:r>
        <w:rPr>
          <w:rFonts w:ascii="Calibri" w:eastAsia="Times New Roman" w:hAnsi="Calibri" w:cs="Calibri"/>
          <w14:ligatures w14:val="standardContextual"/>
        </w:rPr>
        <w:t>i</w:t>
      </w:r>
      <w:proofErr w:type="spellEnd"/>
      <w:r>
        <w:rPr>
          <w:rFonts w:ascii="Calibri" w:eastAsia="Times New Roman" w:hAnsi="Calibri" w:cs="Calibri"/>
          <w14:ligatures w14:val="standardContextual"/>
        </w:rPr>
        <w:t xml:space="preserve">) the evaluation of the current requirements of the SFDR and other sustainable finance related regulations, and (ii) the proposed establishment </w:t>
      </w:r>
      <w:r w:rsidR="00972265">
        <w:rPr>
          <w:rFonts w:ascii="Calibri" w:eastAsia="Times New Roman" w:hAnsi="Calibri" w:cs="Calibri"/>
          <w14:ligatures w14:val="standardContextual"/>
        </w:rPr>
        <w:t xml:space="preserve">of a new way of labeling/categorizing financial products. </w:t>
      </w:r>
    </w:p>
    <w:p w14:paraId="2A87EB64" w14:textId="77777777" w:rsidR="00037B8C" w:rsidRDefault="00037B8C" w:rsidP="00037B8C">
      <w:pPr>
        <w:widowControl/>
        <w:autoSpaceDE/>
        <w:jc w:val="both"/>
        <w:rPr>
          <w:rFonts w:ascii="Calibri" w:eastAsia="Times New Roman" w:hAnsi="Calibri" w:cs="Calibri"/>
          <w14:ligatures w14:val="standardContextual"/>
        </w:rPr>
      </w:pPr>
    </w:p>
    <w:p w14:paraId="24B81780" w14:textId="604EEC55" w:rsidR="00037B8C" w:rsidRPr="00972265" w:rsidRDefault="00972265" w:rsidP="00972265">
      <w:pPr>
        <w:pStyle w:val="ListParagraph"/>
        <w:widowControl/>
        <w:numPr>
          <w:ilvl w:val="0"/>
          <w:numId w:val="5"/>
        </w:numPr>
        <w:pBdr>
          <w:top w:val="single" w:sz="4" w:space="1" w:color="auto"/>
          <w:left w:val="single" w:sz="4" w:space="4" w:color="auto"/>
          <w:bottom w:val="single" w:sz="4" w:space="1" w:color="auto"/>
          <w:right w:val="single" w:sz="4" w:space="4" w:color="auto"/>
        </w:pBdr>
        <w:autoSpaceDE/>
        <w:jc w:val="both"/>
        <w:rPr>
          <w:rFonts w:ascii="Calibri" w:eastAsia="Times New Roman" w:hAnsi="Calibri" w:cs="Calibri"/>
          <w14:ligatures w14:val="standardContextual"/>
        </w:rPr>
      </w:pPr>
      <w:r>
        <w:rPr>
          <w:rFonts w:ascii="Calibri" w:eastAsia="Times New Roman" w:hAnsi="Calibri" w:cs="Calibri"/>
          <w:b/>
          <w:bCs/>
          <w14:ligatures w14:val="standardContextual"/>
        </w:rPr>
        <w:t>E</w:t>
      </w:r>
      <w:r w:rsidRPr="00972265">
        <w:rPr>
          <w:rFonts w:ascii="Calibri" w:eastAsia="Times New Roman" w:hAnsi="Calibri" w:cs="Calibri"/>
          <w:b/>
          <w:bCs/>
          <w14:ligatures w14:val="standardContextual"/>
        </w:rPr>
        <w:t>valuation of the current requirements of the SFDR and other sustainable finance related regulations</w:t>
      </w:r>
    </w:p>
    <w:p w14:paraId="4B8B15DF" w14:textId="77777777" w:rsidR="00972265" w:rsidRDefault="00972265" w:rsidP="00972265">
      <w:pPr>
        <w:widowControl/>
        <w:autoSpaceDE/>
        <w:jc w:val="both"/>
        <w:rPr>
          <w:rFonts w:ascii="Calibri" w:eastAsia="Times New Roman" w:hAnsi="Calibri" w:cs="Calibri"/>
          <w14:ligatures w14:val="standardContextual"/>
        </w:rPr>
      </w:pPr>
    </w:p>
    <w:p w14:paraId="73D2F784" w14:textId="15012EDE" w:rsidR="00CB2142" w:rsidRDefault="003B648C" w:rsidP="00972265">
      <w:pPr>
        <w:widowControl/>
        <w:autoSpaceDE/>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The aim of the SFDR is to provide more clarity and </w:t>
      </w:r>
      <w:r w:rsidR="00CB2142">
        <w:rPr>
          <w:rFonts w:ascii="Calibri" w:eastAsia="Times New Roman" w:hAnsi="Calibri" w:cs="Calibri"/>
          <w14:ligatures w14:val="standardContextual"/>
        </w:rPr>
        <w:t>transparency</w:t>
      </w:r>
      <w:r>
        <w:rPr>
          <w:rFonts w:ascii="Calibri" w:eastAsia="Times New Roman" w:hAnsi="Calibri" w:cs="Calibri"/>
          <w14:ligatures w14:val="standardContextual"/>
        </w:rPr>
        <w:t xml:space="preserve"> </w:t>
      </w:r>
      <w:r w:rsidR="00CB2142">
        <w:rPr>
          <w:rFonts w:ascii="Calibri" w:eastAsia="Times New Roman" w:hAnsi="Calibri" w:cs="Calibri"/>
          <w14:ligatures w14:val="standardContextual"/>
        </w:rPr>
        <w:t>on sustainability in the financial market for the end investor on the one hand, and for the other stakeholders in the financial market on the other. In order to achieve this aim, the SFDR foresees disclosure requirements both on entity and on product level. Taking into account all the disclosure requirements (both on entity, as on product level) and their volume, the end investor is inundated with a multitude of information at different levels</w:t>
      </w:r>
      <w:r w:rsidR="00F70218">
        <w:rPr>
          <w:rFonts w:ascii="Calibri" w:eastAsia="Times New Roman" w:hAnsi="Calibri" w:cs="Calibri"/>
          <w14:ligatures w14:val="standardContextual"/>
        </w:rPr>
        <w:t xml:space="preserve"> which could have the unintended effect that end customers don</w:t>
      </w:r>
      <w:r w:rsidR="00A1239B">
        <w:rPr>
          <w:rFonts w:ascii="Calibri" w:eastAsia="Times New Roman" w:hAnsi="Calibri" w:cs="Calibri"/>
          <w14:ligatures w14:val="standardContextual"/>
        </w:rPr>
        <w:t>’t understand the most important ESG characteristics</w:t>
      </w:r>
      <w:r w:rsidR="00D13735">
        <w:rPr>
          <w:rFonts w:ascii="Calibri" w:eastAsia="Times New Roman" w:hAnsi="Calibri" w:cs="Calibri"/>
          <w14:ligatures w14:val="standardContextual"/>
        </w:rPr>
        <w:t xml:space="preserve"> of the investment products</w:t>
      </w:r>
      <w:r w:rsidR="00CB2142">
        <w:rPr>
          <w:rFonts w:ascii="Calibri" w:eastAsia="Times New Roman" w:hAnsi="Calibri" w:cs="Calibri"/>
          <w14:ligatures w14:val="standardContextual"/>
        </w:rPr>
        <w:t xml:space="preserve">. </w:t>
      </w:r>
    </w:p>
    <w:p w14:paraId="4BA7DE5A" w14:textId="77777777" w:rsidR="00CB2142" w:rsidRDefault="00CB2142" w:rsidP="00972265">
      <w:pPr>
        <w:widowControl/>
        <w:autoSpaceDE/>
        <w:jc w:val="both"/>
        <w:rPr>
          <w:rFonts w:ascii="Calibri" w:eastAsia="Times New Roman" w:hAnsi="Calibri" w:cs="Calibri"/>
          <w14:ligatures w14:val="standardContextual"/>
        </w:rPr>
      </w:pPr>
    </w:p>
    <w:p w14:paraId="1BA36808" w14:textId="554DEF43" w:rsidR="00CB2142" w:rsidRDefault="003F6DF2" w:rsidP="00972265">
      <w:pPr>
        <w:widowControl/>
        <w:autoSpaceDE/>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Therefore </w:t>
      </w:r>
      <w:r w:rsidR="00A15DFF">
        <w:rPr>
          <w:rFonts w:ascii="Calibri" w:eastAsia="Times New Roman" w:hAnsi="Calibri" w:cs="Calibri"/>
          <w14:ligatures w14:val="standardContextual"/>
        </w:rPr>
        <w:t>BEAMA strongly suggests to subject the SFDR to a review</w:t>
      </w:r>
      <w:r w:rsidR="00681834">
        <w:rPr>
          <w:rFonts w:ascii="Calibri" w:eastAsia="Times New Roman" w:hAnsi="Calibri" w:cs="Calibri"/>
          <w14:ligatures w14:val="standardContextual"/>
        </w:rPr>
        <w:t xml:space="preserve">. This review should take </w:t>
      </w:r>
      <w:r w:rsidR="00A15DFF">
        <w:rPr>
          <w:rFonts w:ascii="Calibri" w:eastAsia="Times New Roman" w:hAnsi="Calibri" w:cs="Calibri"/>
          <w14:ligatures w14:val="standardContextual"/>
        </w:rPr>
        <w:t>into account the question-specific concerns above</w:t>
      </w:r>
      <w:r w:rsidR="00681834">
        <w:rPr>
          <w:rFonts w:ascii="Calibri" w:eastAsia="Times New Roman" w:hAnsi="Calibri" w:cs="Calibri"/>
          <w14:ligatures w14:val="standardContextual"/>
        </w:rPr>
        <w:t xml:space="preserve"> (as indicated in the answers)</w:t>
      </w:r>
      <w:r w:rsidR="00A15DFF">
        <w:rPr>
          <w:rFonts w:ascii="Calibri" w:eastAsia="Times New Roman" w:hAnsi="Calibri" w:cs="Calibri"/>
          <w14:ligatures w14:val="standardContextual"/>
        </w:rPr>
        <w:t xml:space="preserve">, </w:t>
      </w:r>
      <w:r w:rsidR="00681834">
        <w:rPr>
          <w:rFonts w:ascii="Calibri" w:eastAsia="Times New Roman" w:hAnsi="Calibri" w:cs="Calibri"/>
          <w14:ligatures w14:val="standardContextual"/>
        </w:rPr>
        <w:t>and</w:t>
      </w:r>
      <w:r w:rsidR="00A15DFF">
        <w:rPr>
          <w:rFonts w:ascii="Calibri" w:eastAsia="Times New Roman" w:hAnsi="Calibri" w:cs="Calibri"/>
          <w14:ligatures w14:val="standardContextual"/>
        </w:rPr>
        <w:t xml:space="preserve"> </w:t>
      </w:r>
      <w:r w:rsidR="00681834">
        <w:rPr>
          <w:rFonts w:ascii="Calibri" w:eastAsia="Times New Roman" w:hAnsi="Calibri" w:cs="Calibri"/>
          <w14:ligatures w14:val="standardContextual"/>
        </w:rPr>
        <w:t>generally consider the following</w:t>
      </w:r>
      <w:r w:rsidR="00A15DFF">
        <w:rPr>
          <w:rFonts w:ascii="Calibri" w:eastAsia="Times New Roman" w:hAnsi="Calibri" w:cs="Calibri"/>
          <w14:ligatures w14:val="standardContextual"/>
        </w:rPr>
        <w:t xml:space="preserve"> main principles</w:t>
      </w:r>
      <w:r w:rsidR="00681834">
        <w:rPr>
          <w:rFonts w:ascii="Calibri" w:eastAsia="Times New Roman" w:hAnsi="Calibri" w:cs="Calibri"/>
          <w14:ligatures w14:val="standardContextual"/>
        </w:rPr>
        <w:t xml:space="preserve"> at all times</w:t>
      </w:r>
      <w:r w:rsidR="00A15DFF">
        <w:rPr>
          <w:rFonts w:ascii="Calibri" w:eastAsia="Times New Roman" w:hAnsi="Calibri" w:cs="Calibri"/>
          <w14:ligatures w14:val="standardContextual"/>
        </w:rPr>
        <w:t xml:space="preserve">: </w:t>
      </w:r>
    </w:p>
    <w:p w14:paraId="6BF8CE71" w14:textId="6CBE7C07" w:rsidR="00A15DFF" w:rsidRDefault="00A15DFF" w:rsidP="00A15DFF">
      <w:pPr>
        <w:pStyle w:val="ListParagraph"/>
        <w:widowControl/>
        <w:numPr>
          <w:ilvl w:val="0"/>
          <w:numId w:val="6"/>
        </w:numPr>
        <w:autoSpaceDE/>
        <w:jc w:val="both"/>
        <w:rPr>
          <w:rFonts w:ascii="Calibri" w:eastAsia="Times New Roman" w:hAnsi="Calibri" w:cs="Calibri"/>
          <w14:ligatures w14:val="standardContextual"/>
        </w:rPr>
      </w:pPr>
      <w:r w:rsidRPr="00183100">
        <w:rPr>
          <w:rFonts w:ascii="Calibri" w:eastAsia="Times New Roman" w:hAnsi="Calibri" w:cs="Calibri"/>
          <w:b/>
          <w:bCs/>
          <w14:ligatures w14:val="standardContextual"/>
        </w:rPr>
        <w:t>More simple and clear disclosures</w:t>
      </w:r>
      <w:r>
        <w:rPr>
          <w:rFonts w:ascii="Calibri" w:eastAsia="Times New Roman" w:hAnsi="Calibri" w:cs="Calibri"/>
          <w14:ligatures w14:val="standardContextual"/>
        </w:rPr>
        <w:t xml:space="preserve"> to the end-investors. This </w:t>
      </w:r>
      <w:r w:rsidR="00183100">
        <w:rPr>
          <w:rFonts w:ascii="Calibri" w:eastAsia="Times New Roman" w:hAnsi="Calibri" w:cs="Calibri"/>
          <w14:ligatures w14:val="standardContextual"/>
        </w:rPr>
        <w:t xml:space="preserve">might lead to less and more simple documentation, focusing on the understandability for the end-investor; </w:t>
      </w:r>
    </w:p>
    <w:p w14:paraId="62A91BF7" w14:textId="15188524" w:rsidR="00183100" w:rsidRDefault="00183100" w:rsidP="00A15DFF">
      <w:pPr>
        <w:pStyle w:val="ListParagraph"/>
        <w:widowControl/>
        <w:numPr>
          <w:ilvl w:val="0"/>
          <w:numId w:val="6"/>
        </w:numPr>
        <w:autoSpaceDE/>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The aim to </w:t>
      </w:r>
      <w:r w:rsidRPr="00183100">
        <w:rPr>
          <w:rFonts w:ascii="Calibri" w:eastAsia="Times New Roman" w:hAnsi="Calibri" w:cs="Calibri"/>
          <w:b/>
          <w:bCs/>
          <w14:ligatures w14:val="standardContextual"/>
        </w:rPr>
        <w:t>avoid overlap</w:t>
      </w:r>
      <w:r>
        <w:rPr>
          <w:rFonts w:ascii="Calibri" w:eastAsia="Times New Roman" w:hAnsi="Calibri" w:cs="Calibri"/>
          <w14:ligatures w14:val="standardContextual"/>
        </w:rPr>
        <w:t xml:space="preserve"> as much as possible, on two levels: </w:t>
      </w:r>
    </w:p>
    <w:p w14:paraId="68B86D7C" w14:textId="7926A11A" w:rsidR="00183100" w:rsidRDefault="00183100" w:rsidP="00183100">
      <w:pPr>
        <w:pStyle w:val="ListParagraph"/>
        <w:widowControl/>
        <w:numPr>
          <w:ilvl w:val="1"/>
          <w:numId w:val="6"/>
        </w:numPr>
        <w:autoSpaceDE/>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On the one hand: to avoid overlap within the SFDR disclosures. For example, the website disclosures (conform art. 10 SFDR): </w:t>
      </w:r>
      <w:r w:rsidRPr="00183100">
        <w:rPr>
          <w:rFonts w:ascii="Calibri" w:eastAsia="Times New Roman" w:hAnsi="Calibri" w:cs="Calibri"/>
          <w14:ligatures w14:val="standardContextual"/>
        </w:rPr>
        <w:t>most of the information in the website disclosures is also in the pre-contractual information</w:t>
      </w:r>
      <w:r>
        <w:rPr>
          <w:rFonts w:ascii="Calibri" w:eastAsia="Times New Roman" w:hAnsi="Calibri" w:cs="Calibri"/>
          <w14:ligatures w14:val="standardContextual"/>
        </w:rPr>
        <w:t xml:space="preserve">. </w:t>
      </w:r>
      <w:r w:rsidRPr="00183100">
        <w:rPr>
          <w:rFonts w:ascii="Calibri" w:eastAsia="Times New Roman" w:hAnsi="Calibri" w:cs="Calibri"/>
          <w14:ligatures w14:val="standardContextual"/>
        </w:rPr>
        <w:t>Removing this disclosure requirement reduces the information overload to the end investor</w:t>
      </w:r>
      <w:r>
        <w:rPr>
          <w:rFonts w:ascii="Calibri" w:eastAsia="Times New Roman" w:hAnsi="Calibri" w:cs="Calibri"/>
          <w14:ligatures w14:val="standardContextual"/>
        </w:rPr>
        <w:t xml:space="preserve">, resulting </w:t>
      </w:r>
      <w:r w:rsidRPr="00183100">
        <w:rPr>
          <w:rFonts w:ascii="Calibri" w:eastAsia="Times New Roman" w:hAnsi="Calibri" w:cs="Calibri"/>
          <w14:ligatures w14:val="standardContextual"/>
        </w:rPr>
        <w:t>in a more clear, straight forward and consistent provision of information to the end investor</w:t>
      </w:r>
      <w:r w:rsidR="00B768A0">
        <w:rPr>
          <w:rFonts w:ascii="Calibri" w:eastAsia="Times New Roman" w:hAnsi="Calibri" w:cs="Calibri"/>
          <w14:ligatures w14:val="standardContextual"/>
        </w:rPr>
        <w:t xml:space="preserve">; </w:t>
      </w:r>
    </w:p>
    <w:p w14:paraId="477AF056" w14:textId="2950CB7A" w:rsidR="00B768A0" w:rsidRDefault="00B768A0" w:rsidP="005A266D">
      <w:pPr>
        <w:pStyle w:val="ListParagraph"/>
        <w:widowControl/>
        <w:numPr>
          <w:ilvl w:val="1"/>
          <w:numId w:val="6"/>
        </w:numPr>
        <w:autoSpaceDE/>
        <w:jc w:val="both"/>
        <w:rPr>
          <w:rFonts w:ascii="Calibri" w:eastAsia="Times New Roman" w:hAnsi="Calibri" w:cs="Calibri"/>
          <w14:ligatures w14:val="standardContextual"/>
        </w:rPr>
      </w:pPr>
      <w:r w:rsidRPr="00681834">
        <w:rPr>
          <w:rFonts w:ascii="Calibri" w:eastAsia="Times New Roman" w:hAnsi="Calibri" w:cs="Calibri"/>
          <w14:ligatures w14:val="standardContextual"/>
        </w:rPr>
        <w:t>On the other hand: to avoid overlap with the other sustainable finance regulations. For example, the PAI statement on entity level and the CSRD reporting requirements. Removing the PAI statement on entity level also reduces the information overload to the end investor, resulting in a more clear, straight forward and consistent provision of information to the end investor. Concerning the PAI statement on entity level, the confusion towards the end investor with the PAI statements on product level should also be taken into account. The focus of the information to be provided to the end-investor should be on product level, not on entity level.</w:t>
      </w:r>
    </w:p>
    <w:p w14:paraId="1B9ACB5C" w14:textId="77777777" w:rsidR="00681834" w:rsidRPr="00681834" w:rsidRDefault="00681834" w:rsidP="00681834">
      <w:pPr>
        <w:widowControl/>
        <w:autoSpaceDE/>
        <w:jc w:val="both"/>
        <w:rPr>
          <w:rFonts w:ascii="Calibri" w:eastAsia="Times New Roman" w:hAnsi="Calibri" w:cs="Calibri"/>
          <w14:ligatures w14:val="standardContextual"/>
        </w:rPr>
      </w:pPr>
    </w:p>
    <w:p w14:paraId="19B49D58" w14:textId="6ED2BD8A" w:rsidR="00037B8C" w:rsidRPr="00972265" w:rsidRDefault="00531AB0" w:rsidP="00972265">
      <w:pPr>
        <w:widowControl/>
        <w:autoSpaceDE/>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As mentioned above, the disclosure-templates should be simplified, However, concerning the content and the information to be provided via the templates, BEAMA advocates for a more harmonized approach towards these disclosure requirements across </w:t>
      </w:r>
      <w:r w:rsidR="00487537">
        <w:rPr>
          <w:rFonts w:ascii="Calibri" w:eastAsia="Times New Roman" w:hAnsi="Calibri" w:cs="Calibri"/>
          <w14:ligatures w14:val="standardContextual"/>
        </w:rPr>
        <w:t>the European Union</w:t>
      </w:r>
      <w:r>
        <w:rPr>
          <w:rFonts w:ascii="Calibri" w:eastAsia="Times New Roman" w:hAnsi="Calibri" w:cs="Calibri"/>
          <w14:ligatures w14:val="standardContextual"/>
        </w:rPr>
        <w:t>. There should be consistent, clear and harmonized guidance on how to interpretate and fill in the questions and concepts as introduced by the SFDR today.</w:t>
      </w:r>
      <w:r w:rsidR="00487537">
        <w:rPr>
          <w:rFonts w:ascii="Calibri" w:eastAsia="Times New Roman" w:hAnsi="Calibri" w:cs="Calibri"/>
          <w14:ligatures w14:val="standardContextual"/>
        </w:rPr>
        <w:t xml:space="preserve"> </w:t>
      </w:r>
      <w:r w:rsidRPr="00D72D84">
        <w:rPr>
          <w:rFonts w:ascii="Calibri" w:eastAsia="Times New Roman" w:hAnsi="Calibri" w:cs="Calibri"/>
          <w:b/>
          <w:bCs/>
          <w14:ligatures w14:val="standardContextual"/>
        </w:rPr>
        <w:t>Harmonized, consistent and clear guidance</w:t>
      </w:r>
      <w:r>
        <w:rPr>
          <w:rFonts w:ascii="Calibri" w:eastAsia="Times New Roman" w:hAnsi="Calibri" w:cs="Calibri"/>
          <w14:ligatures w14:val="standardContextual"/>
        </w:rPr>
        <w:t xml:space="preserve"> inform the end-investor in the most efficient and transparent way</w:t>
      </w:r>
      <w:r w:rsidR="00487537">
        <w:rPr>
          <w:rFonts w:ascii="Calibri" w:eastAsia="Times New Roman" w:hAnsi="Calibri" w:cs="Calibri"/>
          <w14:ligatures w14:val="standardContextual"/>
        </w:rPr>
        <w:t xml:space="preserve">, as it will </w:t>
      </w:r>
      <w:r w:rsidR="00D72D84">
        <w:rPr>
          <w:rFonts w:ascii="Calibri" w:eastAsia="Times New Roman" w:hAnsi="Calibri" w:cs="Calibri"/>
          <w14:ligatures w14:val="standardContextual"/>
        </w:rPr>
        <w:t xml:space="preserve">also </w:t>
      </w:r>
      <w:r w:rsidR="00487537">
        <w:rPr>
          <w:rFonts w:ascii="Calibri" w:eastAsia="Times New Roman" w:hAnsi="Calibri" w:cs="Calibri"/>
          <w14:ligatures w14:val="standardContextual"/>
        </w:rPr>
        <w:t xml:space="preserve">avoid </w:t>
      </w:r>
      <w:r w:rsidR="00037B8C" w:rsidRPr="00972265">
        <w:rPr>
          <w:rFonts w:ascii="Calibri" w:eastAsia="Times New Roman" w:hAnsi="Calibri" w:cs="Calibri"/>
          <w14:ligatures w14:val="standardContextual"/>
        </w:rPr>
        <w:t xml:space="preserve">green washing and achieve a level playing field. </w:t>
      </w:r>
    </w:p>
    <w:p w14:paraId="41050998" w14:textId="77777777" w:rsidR="00037B8C" w:rsidRDefault="00037B8C" w:rsidP="00037B8C">
      <w:pPr>
        <w:widowControl/>
        <w:autoSpaceDE/>
        <w:jc w:val="both"/>
        <w:rPr>
          <w:rFonts w:ascii="Calibri" w:eastAsia="Times New Roman" w:hAnsi="Calibri" w:cs="Calibri"/>
          <w14:ligatures w14:val="standardContextual"/>
        </w:rPr>
      </w:pPr>
    </w:p>
    <w:p w14:paraId="394F43DA" w14:textId="70789B17" w:rsidR="00037B8C" w:rsidRDefault="00972265" w:rsidP="00972265">
      <w:pPr>
        <w:pStyle w:val="ListParagraph"/>
        <w:widowControl/>
        <w:numPr>
          <w:ilvl w:val="0"/>
          <w:numId w:val="5"/>
        </w:numPr>
        <w:pBdr>
          <w:top w:val="single" w:sz="4" w:space="1" w:color="auto"/>
          <w:left w:val="single" w:sz="4" w:space="4" w:color="auto"/>
          <w:bottom w:val="single" w:sz="4" w:space="1" w:color="auto"/>
          <w:right w:val="single" w:sz="4" w:space="4" w:color="auto"/>
        </w:pBdr>
        <w:autoSpaceDE/>
        <w:jc w:val="both"/>
        <w:rPr>
          <w:rFonts w:ascii="Calibri" w:eastAsia="Times New Roman" w:hAnsi="Calibri" w:cs="Calibri"/>
          <w14:ligatures w14:val="standardContextual"/>
        </w:rPr>
      </w:pPr>
      <w:r>
        <w:rPr>
          <w:rFonts w:ascii="Calibri" w:eastAsia="Times New Roman" w:hAnsi="Calibri" w:cs="Calibri"/>
          <w:b/>
          <w:bCs/>
          <w14:ligatures w14:val="standardContextual"/>
        </w:rPr>
        <w:t>T</w:t>
      </w:r>
      <w:r w:rsidRPr="00972265">
        <w:rPr>
          <w:rFonts w:ascii="Calibri" w:eastAsia="Times New Roman" w:hAnsi="Calibri" w:cs="Calibri"/>
          <w:b/>
          <w:bCs/>
          <w14:ligatures w14:val="standardContextual"/>
        </w:rPr>
        <w:t>he proposed establishment of a new way of labeling/categorizing financial products</w:t>
      </w:r>
    </w:p>
    <w:p w14:paraId="75A94EC9" w14:textId="77777777" w:rsidR="00972265" w:rsidRDefault="00972265" w:rsidP="00972265">
      <w:pPr>
        <w:widowControl/>
        <w:autoSpaceDE/>
        <w:ind w:left="360"/>
        <w:jc w:val="both"/>
        <w:rPr>
          <w:rFonts w:ascii="Calibri" w:eastAsia="Times New Roman" w:hAnsi="Calibri" w:cs="Calibri"/>
          <w14:ligatures w14:val="standardContextual"/>
        </w:rPr>
      </w:pPr>
    </w:p>
    <w:p w14:paraId="30EAC8DB" w14:textId="0F4C0D9B" w:rsidR="00037B8C" w:rsidRDefault="00037B8C" w:rsidP="00972265">
      <w:pPr>
        <w:widowControl/>
        <w:autoSpaceDE/>
        <w:jc w:val="both"/>
        <w:rPr>
          <w:rFonts w:ascii="Calibri" w:eastAsia="Times New Roman" w:hAnsi="Calibri" w:cs="Calibri"/>
          <w14:ligatures w14:val="standardContextual"/>
        </w:rPr>
      </w:pPr>
      <w:r w:rsidRPr="00972265">
        <w:rPr>
          <w:rFonts w:ascii="Calibri" w:eastAsia="Times New Roman" w:hAnsi="Calibri" w:cs="Calibri"/>
          <w14:ligatures w14:val="standardContextual"/>
        </w:rPr>
        <w:t xml:space="preserve">The risk of an overload of information to the end-investor should be avoided at all times. Disclosing too much information in an insufficiently clear manner and/or based upon insufficiently clear distinctions </w:t>
      </w:r>
      <w:r w:rsidR="00656535">
        <w:rPr>
          <w:rFonts w:ascii="Calibri" w:eastAsia="Times New Roman" w:hAnsi="Calibri" w:cs="Calibri"/>
          <w14:ligatures w14:val="standardContextual"/>
        </w:rPr>
        <w:t xml:space="preserve">between various financial products </w:t>
      </w:r>
      <w:r w:rsidRPr="00972265">
        <w:rPr>
          <w:rFonts w:ascii="Calibri" w:eastAsia="Times New Roman" w:hAnsi="Calibri" w:cs="Calibri"/>
          <w14:ligatures w14:val="standardContextual"/>
        </w:rPr>
        <w:t xml:space="preserve">could result in insufficient and unclear information about </w:t>
      </w:r>
      <w:r w:rsidR="00656535">
        <w:rPr>
          <w:rFonts w:ascii="Calibri" w:eastAsia="Times New Roman" w:hAnsi="Calibri" w:cs="Calibri"/>
          <w14:ligatures w14:val="standardContextual"/>
        </w:rPr>
        <w:t xml:space="preserve">these </w:t>
      </w:r>
      <w:r w:rsidRPr="00972265">
        <w:rPr>
          <w:rFonts w:ascii="Calibri" w:eastAsia="Times New Roman" w:hAnsi="Calibri" w:cs="Calibri"/>
          <w14:ligatures w14:val="standardContextual"/>
        </w:rPr>
        <w:t xml:space="preserve">products on the market. If the end investor no longer has a clear overview, wrong </w:t>
      </w:r>
      <w:r w:rsidRPr="00972265">
        <w:rPr>
          <w:rFonts w:ascii="Calibri" w:eastAsia="Times New Roman" w:hAnsi="Calibri" w:cs="Calibri"/>
          <w14:ligatures w14:val="standardContextual"/>
        </w:rPr>
        <w:lastRenderedPageBreak/>
        <w:t xml:space="preserve">interpretations and conclusions will be made. This also involves a reputational risk for the FMPs. </w:t>
      </w:r>
      <w:r w:rsidR="00656535">
        <w:rPr>
          <w:rFonts w:ascii="Calibri" w:eastAsia="Times New Roman" w:hAnsi="Calibri" w:cs="Calibri"/>
          <w14:ligatures w14:val="standardContextual"/>
        </w:rPr>
        <w:t>Therefore, a</w:t>
      </w:r>
      <w:r w:rsidRPr="00972265">
        <w:rPr>
          <w:rFonts w:ascii="Calibri" w:eastAsia="Times New Roman" w:hAnsi="Calibri" w:cs="Calibri"/>
          <w14:ligatures w14:val="standardContextual"/>
        </w:rPr>
        <w:t xml:space="preserve"> classification system that is not sufficiently clear and </w:t>
      </w:r>
      <w:r w:rsidR="00656535">
        <w:rPr>
          <w:rFonts w:ascii="Calibri" w:eastAsia="Times New Roman" w:hAnsi="Calibri" w:cs="Calibri"/>
          <w14:ligatures w14:val="standardContextual"/>
        </w:rPr>
        <w:t xml:space="preserve">not properly </w:t>
      </w:r>
      <w:r w:rsidRPr="00972265">
        <w:rPr>
          <w:rFonts w:ascii="Calibri" w:eastAsia="Times New Roman" w:hAnsi="Calibri" w:cs="Calibri"/>
          <w14:ligatures w14:val="standardContextual"/>
        </w:rPr>
        <w:t>defined</w:t>
      </w:r>
      <w:r w:rsidR="00656535">
        <w:rPr>
          <w:rFonts w:ascii="Calibri" w:eastAsia="Times New Roman" w:hAnsi="Calibri" w:cs="Calibri"/>
          <w14:ligatures w14:val="standardContextual"/>
        </w:rPr>
        <w:t xml:space="preserve"> </w:t>
      </w:r>
      <w:r w:rsidRPr="00972265">
        <w:rPr>
          <w:rFonts w:ascii="Calibri" w:eastAsia="Times New Roman" w:hAnsi="Calibri" w:cs="Calibri"/>
          <w14:ligatures w14:val="standardContextual"/>
        </w:rPr>
        <w:t xml:space="preserve"> </w:t>
      </w:r>
      <w:r w:rsidR="00656535">
        <w:rPr>
          <w:rFonts w:ascii="Calibri" w:eastAsia="Times New Roman" w:hAnsi="Calibri" w:cs="Calibri"/>
          <w14:ligatures w14:val="standardContextual"/>
        </w:rPr>
        <w:t>might</w:t>
      </w:r>
      <w:r w:rsidRPr="00972265">
        <w:rPr>
          <w:rFonts w:ascii="Calibri" w:eastAsia="Times New Roman" w:hAnsi="Calibri" w:cs="Calibri"/>
          <w14:ligatures w14:val="standardContextual"/>
        </w:rPr>
        <w:t xml:space="preserve"> result into incorrect expectations</w:t>
      </w:r>
      <w:r w:rsidR="00656535">
        <w:rPr>
          <w:rFonts w:ascii="Calibri" w:eastAsia="Times New Roman" w:hAnsi="Calibri" w:cs="Calibri"/>
          <w14:ligatures w14:val="standardContextual"/>
        </w:rPr>
        <w:t xml:space="preserve"> of the end-investor. </w:t>
      </w:r>
      <w:r w:rsidRPr="00972265">
        <w:rPr>
          <w:rFonts w:ascii="Calibri" w:eastAsia="Times New Roman" w:hAnsi="Calibri" w:cs="Calibri"/>
          <w14:ligatures w14:val="standardContextual"/>
        </w:rPr>
        <w:t xml:space="preserve">  </w:t>
      </w:r>
    </w:p>
    <w:p w14:paraId="73B2AA27" w14:textId="283698E0" w:rsidR="007375DC" w:rsidRDefault="007375DC" w:rsidP="00972265">
      <w:pPr>
        <w:widowControl/>
        <w:autoSpaceDE/>
        <w:jc w:val="both"/>
        <w:rPr>
          <w:rFonts w:ascii="Calibri" w:eastAsia="Times New Roman" w:hAnsi="Calibri" w:cs="Calibri"/>
          <w14:ligatures w14:val="standardContextual"/>
        </w:rPr>
      </w:pPr>
    </w:p>
    <w:p w14:paraId="519382D8" w14:textId="2CFF5807" w:rsidR="007375DC" w:rsidRDefault="007375DC" w:rsidP="00FF1872">
      <w:pPr>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Taking the above into account, BEAMA is </w:t>
      </w:r>
      <w:r w:rsidRPr="00172B6F">
        <w:rPr>
          <w:rFonts w:ascii="Calibri" w:eastAsia="Times New Roman" w:hAnsi="Calibri" w:cs="Calibri"/>
          <w:b/>
          <w:bCs/>
          <w14:ligatures w14:val="standardContextual"/>
        </w:rPr>
        <w:t xml:space="preserve">not in favor of </w:t>
      </w:r>
      <w:r w:rsidR="00172B6F" w:rsidRPr="00172B6F">
        <w:rPr>
          <w:rFonts w:ascii="Calibri" w:eastAsia="Times New Roman" w:hAnsi="Calibri" w:cs="Calibri"/>
          <w:b/>
          <w:bCs/>
          <w14:ligatures w14:val="standardContextual"/>
        </w:rPr>
        <w:t>exp</w:t>
      </w:r>
      <w:r w:rsidR="00172B6F">
        <w:rPr>
          <w:rFonts w:ascii="Calibri" w:eastAsia="Times New Roman" w:hAnsi="Calibri" w:cs="Calibri"/>
          <w:b/>
          <w:bCs/>
          <w14:ligatures w14:val="standardContextual"/>
        </w:rPr>
        <w:t>a</w:t>
      </w:r>
      <w:r w:rsidR="00172B6F" w:rsidRPr="00172B6F">
        <w:rPr>
          <w:rFonts w:ascii="Calibri" w:eastAsia="Times New Roman" w:hAnsi="Calibri" w:cs="Calibri"/>
          <w:b/>
          <w:bCs/>
          <w14:ligatures w14:val="standardContextual"/>
        </w:rPr>
        <w:t>nding</w:t>
      </w:r>
      <w:r w:rsidRPr="00172B6F">
        <w:rPr>
          <w:rFonts w:ascii="Calibri" w:eastAsia="Times New Roman" w:hAnsi="Calibri" w:cs="Calibri"/>
          <w:b/>
          <w:bCs/>
          <w14:ligatures w14:val="standardContextual"/>
        </w:rPr>
        <w:t xml:space="preserve"> the</w:t>
      </w:r>
      <w:r w:rsidR="00172B6F" w:rsidRPr="00172B6F">
        <w:rPr>
          <w:rFonts w:ascii="Calibri" w:eastAsia="Times New Roman" w:hAnsi="Calibri" w:cs="Calibri"/>
          <w:b/>
          <w:bCs/>
          <w14:ligatures w14:val="standardContextual"/>
        </w:rPr>
        <w:t xml:space="preserve"> scope of the</w:t>
      </w:r>
      <w:r w:rsidRPr="00172B6F">
        <w:rPr>
          <w:rFonts w:ascii="Calibri" w:eastAsia="Times New Roman" w:hAnsi="Calibri" w:cs="Calibri"/>
          <w:b/>
          <w:bCs/>
          <w14:ligatures w14:val="standardContextual"/>
        </w:rPr>
        <w:t xml:space="preserve"> SFDR </w:t>
      </w:r>
      <w:r w:rsidR="00117CBD">
        <w:rPr>
          <w:rFonts w:ascii="Calibri" w:eastAsia="Times New Roman" w:hAnsi="Calibri" w:cs="Calibri"/>
          <w:b/>
          <w:bCs/>
          <w14:ligatures w14:val="standardContextual"/>
        </w:rPr>
        <w:t>disclosure</w:t>
      </w:r>
      <w:r w:rsidRPr="00172B6F">
        <w:rPr>
          <w:rFonts w:ascii="Calibri" w:eastAsia="Times New Roman" w:hAnsi="Calibri" w:cs="Calibri"/>
          <w:b/>
          <w:bCs/>
          <w14:ligatures w14:val="standardContextual"/>
        </w:rPr>
        <w:t xml:space="preserve"> requirements </w:t>
      </w:r>
      <w:r>
        <w:rPr>
          <w:rFonts w:ascii="Calibri" w:eastAsia="Times New Roman" w:hAnsi="Calibri" w:cs="Calibri"/>
          <w14:ligatures w14:val="standardContextual"/>
        </w:rPr>
        <w:t>to all financial products (i.e. including non-sustainable financial products). This extension of the scope will not add any value to the disclosure requirements in place today. Even more so, t</w:t>
      </w:r>
      <w:r w:rsidRPr="007375DC">
        <w:rPr>
          <w:rFonts w:ascii="Calibri" w:eastAsia="Times New Roman" w:hAnsi="Calibri" w:cs="Calibri"/>
          <w14:ligatures w14:val="standardContextual"/>
        </w:rPr>
        <w:t xml:space="preserve">his could </w:t>
      </w:r>
      <w:r>
        <w:rPr>
          <w:rFonts w:ascii="Calibri" w:eastAsia="Times New Roman" w:hAnsi="Calibri" w:cs="Calibri"/>
          <w14:ligatures w14:val="standardContextual"/>
        </w:rPr>
        <w:t xml:space="preserve">result in </w:t>
      </w:r>
      <w:r w:rsidRPr="007375DC">
        <w:rPr>
          <w:rFonts w:ascii="Calibri" w:eastAsia="Times New Roman" w:hAnsi="Calibri" w:cs="Calibri"/>
          <w14:ligatures w14:val="standardContextual"/>
        </w:rPr>
        <w:t>a</w:t>
      </w:r>
      <w:r>
        <w:rPr>
          <w:rFonts w:ascii="Calibri" w:eastAsia="Times New Roman" w:hAnsi="Calibri" w:cs="Calibri"/>
          <w14:ligatures w14:val="standardContextual"/>
        </w:rPr>
        <w:t xml:space="preserve">n unclear </w:t>
      </w:r>
      <w:r w:rsidRPr="007375DC">
        <w:rPr>
          <w:rFonts w:ascii="Calibri" w:eastAsia="Times New Roman" w:hAnsi="Calibri" w:cs="Calibri"/>
          <w14:ligatures w14:val="standardContextual"/>
        </w:rPr>
        <w:t>distinction between sustainable and unsustainable</w:t>
      </w:r>
      <w:r>
        <w:rPr>
          <w:rFonts w:ascii="Calibri" w:eastAsia="Times New Roman" w:hAnsi="Calibri" w:cs="Calibri"/>
          <w14:ligatures w14:val="standardContextual"/>
        </w:rPr>
        <w:t xml:space="preserve"> financial</w:t>
      </w:r>
      <w:r w:rsidRPr="007375DC">
        <w:rPr>
          <w:rFonts w:ascii="Calibri" w:eastAsia="Times New Roman" w:hAnsi="Calibri" w:cs="Calibri"/>
          <w14:ligatures w14:val="standardContextual"/>
        </w:rPr>
        <w:t xml:space="preserve"> products </w:t>
      </w:r>
      <w:r>
        <w:rPr>
          <w:rFonts w:ascii="Calibri" w:eastAsia="Times New Roman" w:hAnsi="Calibri" w:cs="Calibri"/>
          <w14:ligatures w14:val="standardContextual"/>
        </w:rPr>
        <w:t xml:space="preserve">for the end-investor. </w:t>
      </w:r>
      <w:r w:rsidRPr="007375DC">
        <w:rPr>
          <w:rFonts w:ascii="Calibri" w:eastAsia="Times New Roman" w:hAnsi="Calibri" w:cs="Calibri"/>
          <w14:ligatures w14:val="standardContextual"/>
        </w:rPr>
        <w:t>If too much</w:t>
      </w:r>
      <w:r>
        <w:rPr>
          <w:rFonts w:ascii="Calibri" w:eastAsia="Times New Roman" w:hAnsi="Calibri" w:cs="Calibri"/>
          <w14:ligatures w14:val="standardContextual"/>
        </w:rPr>
        <w:t xml:space="preserve"> sustainability related</w:t>
      </w:r>
      <w:r w:rsidRPr="007375DC">
        <w:rPr>
          <w:rFonts w:ascii="Calibri" w:eastAsia="Times New Roman" w:hAnsi="Calibri" w:cs="Calibri"/>
          <w14:ligatures w14:val="standardContextual"/>
        </w:rPr>
        <w:t xml:space="preserve"> information is provided</w:t>
      </w:r>
      <w:r>
        <w:rPr>
          <w:rFonts w:ascii="Calibri" w:eastAsia="Times New Roman" w:hAnsi="Calibri" w:cs="Calibri"/>
          <w14:ligatures w14:val="standardContextual"/>
        </w:rPr>
        <w:t xml:space="preserve"> to the end-investor (</w:t>
      </w:r>
      <w:r w:rsidRPr="007375DC">
        <w:rPr>
          <w:rFonts w:ascii="Calibri" w:eastAsia="Times New Roman" w:hAnsi="Calibri" w:cs="Calibri"/>
          <w14:ligatures w14:val="standardContextual"/>
        </w:rPr>
        <w:t>whether the product is sustainable or not</w:t>
      </w:r>
      <w:r>
        <w:rPr>
          <w:rFonts w:ascii="Calibri" w:eastAsia="Times New Roman" w:hAnsi="Calibri" w:cs="Calibri"/>
          <w14:ligatures w14:val="standardContextual"/>
        </w:rPr>
        <w:t>)</w:t>
      </w:r>
      <w:r w:rsidRPr="007375DC">
        <w:rPr>
          <w:rFonts w:ascii="Calibri" w:eastAsia="Times New Roman" w:hAnsi="Calibri" w:cs="Calibri"/>
          <w14:ligatures w14:val="standardContextual"/>
        </w:rPr>
        <w:t>, the impression may arise that non-sustainable products are sustainable</w:t>
      </w:r>
      <w:r w:rsidR="00172B6F">
        <w:rPr>
          <w:rFonts w:ascii="Calibri" w:eastAsia="Times New Roman" w:hAnsi="Calibri" w:cs="Calibri"/>
          <w14:ligatures w14:val="standardContextual"/>
        </w:rPr>
        <w:t xml:space="preserve"> (increasing risk of greenwashing). </w:t>
      </w:r>
      <w:r w:rsidR="001D1C97">
        <w:rPr>
          <w:rFonts w:ascii="Calibri" w:eastAsia="Times New Roman" w:hAnsi="Calibri" w:cs="Calibri"/>
          <w14:ligatures w14:val="standardContextual"/>
        </w:rPr>
        <w:t xml:space="preserve">In addition, end investors without any interest in sustainability will not be triggered to invest in sustainable products by the additional disclosure requirements for all financial products. The expanding of the scope would lead into </w:t>
      </w:r>
      <w:r w:rsidR="00FF1872">
        <w:rPr>
          <w:rFonts w:ascii="Calibri" w:eastAsia="Times New Roman" w:hAnsi="Calibri" w:cs="Calibri"/>
          <w14:ligatures w14:val="standardContextual"/>
        </w:rPr>
        <w:t xml:space="preserve">an overload of information. </w:t>
      </w:r>
    </w:p>
    <w:p w14:paraId="71B9174D" w14:textId="64BFD19E" w:rsidR="00117CBD" w:rsidRDefault="00117CBD" w:rsidP="00972265">
      <w:pPr>
        <w:widowControl/>
        <w:autoSpaceDE/>
        <w:jc w:val="both"/>
        <w:rPr>
          <w:rFonts w:ascii="Calibri" w:eastAsia="Times New Roman" w:hAnsi="Calibri" w:cs="Calibri"/>
          <w14:ligatures w14:val="standardContextual"/>
        </w:rPr>
      </w:pPr>
    </w:p>
    <w:p w14:paraId="4F75B55F" w14:textId="135CBDF7" w:rsidR="00B81FE7" w:rsidRDefault="00117CBD" w:rsidP="00117CBD">
      <w:pPr>
        <w:widowControl/>
        <w:autoSpaceDE/>
        <w:jc w:val="both"/>
        <w:rPr>
          <w:rFonts w:ascii="Calibri" w:eastAsia="Times New Roman" w:hAnsi="Calibri" w:cs="Calibri"/>
          <w14:ligatures w14:val="standardContextual"/>
        </w:rPr>
      </w:pPr>
      <w:r>
        <w:rPr>
          <w:rFonts w:ascii="Calibri" w:eastAsia="Times New Roman" w:hAnsi="Calibri" w:cs="Calibri"/>
          <w14:ligatures w14:val="standardContextual"/>
        </w:rPr>
        <w:t>In this context, BEAMA would like to highlight there is a</w:t>
      </w:r>
      <w:r w:rsidRPr="00117CBD">
        <w:rPr>
          <w:rFonts w:ascii="Calibri" w:eastAsia="Times New Roman" w:hAnsi="Calibri" w:cs="Calibri"/>
          <w14:ligatures w14:val="standardContextual"/>
        </w:rPr>
        <w:t xml:space="preserve"> clear distinction in terms of sustainable and non-sustainable products </w:t>
      </w:r>
      <w:r w:rsidR="00B81FE7">
        <w:rPr>
          <w:rFonts w:ascii="Calibri" w:eastAsia="Times New Roman" w:hAnsi="Calibri" w:cs="Calibri"/>
          <w14:ligatures w14:val="standardContextual"/>
        </w:rPr>
        <w:t xml:space="preserve">today </w:t>
      </w:r>
      <w:r w:rsidR="00B81FE7" w:rsidRPr="00B81FE7">
        <w:rPr>
          <w:rFonts w:ascii="Calibri" w:eastAsia="Times New Roman" w:hAnsi="Calibri" w:cs="Calibri"/>
          <w14:ligatures w14:val="standardContextual"/>
        </w:rPr>
        <w:t xml:space="preserve">and that a minimum </w:t>
      </w:r>
      <w:r w:rsidR="000A1B00">
        <w:rPr>
          <w:rFonts w:ascii="Calibri" w:eastAsia="Times New Roman" w:hAnsi="Calibri" w:cs="Calibri"/>
          <w14:ligatures w14:val="standardContextual"/>
        </w:rPr>
        <w:t>level</w:t>
      </w:r>
      <w:r w:rsidR="00B81FE7" w:rsidRPr="00B81FE7">
        <w:rPr>
          <w:rFonts w:ascii="Calibri" w:eastAsia="Times New Roman" w:hAnsi="Calibri" w:cs="Calibri"/>
          <w14:ligatures w14:val="standardContextual"/>
        </w:rPr>
        <w:t xml:space="preserve"> of sustainability-related information </w:t>
      </w:r>
      <w:r w:rsidR="000A1B00">
        <w:rPr>
          <w:rFonts w:ascii="Calibri" w:eastAsia="Times New Roman" w:hAnsi="Calibri" w:cs="Calibri"/>
          <w14:ligatures w14:val="standardContextual"/>
        </w:rPr>
        <w:t>already must</w:t>
      </w:r>
      <w:r w:rsidR="00B81FE7" w:rsidRPr="00B81FE7">
        <w:rPr>
          <w:rFonts w:ascii="Calibri" w:eastAsia="Times New Roman" w:hAnsi="Calibri" w:cs="Calibri"/>
          <w14:ligatures w14:val="standardContextual"/>
        </w:rPr>
        <w:t xml:space="preserve"> be included in the documentation for the non-sustainable products</w:t>
      </w:r>
      <w:r w:rsidR="000A1B00">
        <w:rPr>
          <w:rFonts w:ascii="Calibri" w:eastAsia="Times New Roman" w:hAnsi="Calibri" w:cs="Calibri"/>
          <w14:ligatures w14:val="standardContextual"/>
        </w:rPr>
        <w:t xml:space="preserve"> today</w:t>
      </w:r>
      <w:r w:rsidR="00B81FE7">
        <w:rPr>
          <w:rFonts w:ascii="Calibri" w:eastAsia="Times New Roman" w:hAnsi="Calibri" w:cs="Calibri"/>
          <w14:ligatures w14:val="standardContextual"/>
        </w:rPr>
        <w:t xml:space="preserve">, namely; </w:t>
      </w:r>
    </w:p>
    <w:p w14:paraId="278085CC" w14:textId="76B4A0FE" w:rsidR="00117CBD" w:rsidRPr="00B81FE7" w:rsidRDefault="00117CBD" w:rsidP="00B81FE7">
      <w:pPr>
        <w:pStyle w:val="ListParagraph"/>
        <w:widowControl/>
        <w:numPr>
          <w:ilvl w:val="0"/>
          <w:numId w:val="9"/>
        </w:numPr>
        <w:autoSpaceDE/>
        <w:jc w:val="both"/>
        <w:rPr>
          <w:rFonts w:ascii="Calibri" w:eastAsia="Times New Roman" w:hAnsi="Calibri" w:cs="Calibri"/>
          <w14:ligatures w14:val="standardContextual"/>
        </w:rPr>
      </w:pPr>
      <w:r w:rsidRPr="00B81FE7">
        <w:rPr>
          <w:rFonts w:ascii="Calibri" w:eastAsia="Times New Roman" w:hAnsi="Calibri" w:cs="Calibri"/>
          <w14:ligatures w14:val="standardContextual"/>
        </w:rPr>
        <w:t xml:space="preserve">PAI – disclosures on product level </w:t>
      </w:r>
      <w:r w:rsidR="00B81FE7" w:rsidRPr="00B81FE7">
        <w:rPr>
          <w:rFonts w:ascii="Calibri" w:eastAsia="Times New Roman" w:hAnsi="Calibri" w:cs="Calibri"/>
          <w14:ligatures w14:val="standardContextual"/>
        </w:rPr>
        <w:t>(in both the precontractual and periodic information)</w:t>
      </w:r>
    </w:p>
    <w:p w14:paraId="0899A4D3" w14:textId="5FD44644" w:rsidR="00117CBD" w:rsidRPr="00B81FE7" w:rsidRDefault="00117CBD" w:rsidP="00B81FE7">
      <w:pPr>
        <w:pStyle w:val="ListParagraph"/>
        <w:widowControl/>
        <w:numPr>
          <w:ilvl w:val="0"/>
          <w:numId w:val="9"/>
        </w:numPr>
        <w:autoSpaceDE/>
        <w:jc w:val="both"/>
        <w:rPr>
          <w:rFonts w:ascii="Calibri" w:eastAsia="Times New Roman" w:hAnsi="Calibri" w:cs="Calibri"/>
          <w14:ligatures w14:val="standardContextual"/>
        </w:rPr>
      </w:pPr>
      <w:r w:rsidRPr="00B81FE7">
        <w:rPr>
          <w:rFonts w:ascii="Calibri" w:eastAsia="Times New Roman" w:hAnsi="Calibri" w:cs="Calibri"/>
          <w14:ligatures w14:val="standardContextual"/>
        </w:rPr>
        <w:t xml:space="preserve">Transparency about the integration of sustainability risks in the management of the financial product;  </w:t>
      </w:r>
    </w:p>
    <w:p w14:paraId="0954F199" w14:textId="65DA857A" w:rsidR="00117CBD" w:rsidRPr="00B81FE7" w:rsidRDefault="00117CBD" w:rsidP="00B81FE7">
      <w:pPr>
        <w:pStyle w:val="ListParagraph"/>
        <w:widowControl/>
        <w:numPr>
          <w:ilvl w:val="0"/>
          <w:numId w:val="9"/>
        </w:numPr>
        <w:autoSpaceDE/>
        <w:jc w:val="both"/>
        <w:rPr>
          <w:rFonts w:ascii="Calibri" w:eastAsia="Times New Roman" w:hAnsi="Calibri" w:cs="Calibri"/>
          <w14:ligatures w14:val="standardContextual"/>
        </w:rPr>
      </w:pPr>
      <w:r w:rsidRPr="00B81FE7">
        <w:rPr>
          <w:rFonts w:ascii="Calibri" w:eastAsia="Times New Roman" w:hAnsi="Calibri" w:cs="Calibri"/>
          <w14:ligatures w14:val="standardContextual"/>
        </w:rPr>
        <w:t xml:space="preserve">Sustainability risks as part of the risk profile of the financial product; and </w:t>
      </w:r>
    </w:p>
    <w:p w14:paraId="2DD982ED" w14:textId="4006FEE0" w:rsidR="00117CBD" w:rsidRPr="00B81FE7" w:rsidRDefault="00117CBD" w:rsidP="00B81FE7">
      <w:pPr>
        <w:pStyle w:val="ListParagraph"/>
        <w:widowControl/>
        <w:numPr>
          <w:ilvl w:val="0"/>
          <w:numId w:val="9"/>
        </w:numPr>
        <w:autoSpaceDE/>
        <w:jc w:val="both"/>
        <w:rPr>
          <w:rFonts w:ascii="Calibri" w:eastAsia="Times New Roman" w:hAnsi="Calibri" w:cs="Calibri"/>
          <w:b/>
          <w:bCs/>
          <w14:ligatures w14:val="standardContextual"/>
        </w:rPr>
      </w:pPr>
      <w:r w:rsidRPr="00B81FE7">
        <w:rPr>
          <w:rFonts w:ascii="Calibri" w:eastAsia="Times New Roman" w:hAnsi="Calibri" w:cs="Calibri"/>
          <w14:ligatures w14:val="standardContextual"/>
        </w:rPr>
        <w:t>Taxonomy disclosure</w:t>
      </w:r>
      <w:r w:rsidR="00B81FE7" w:rsidRPr="00B81FE7">
        <w:rPr>
          <w:rFonts w:ascii="Calibri" w:eastAsia="Times New Roman" w:hAnsi="Calibri" w:cs="Calibri"/>
          <w14:ligatures w14:val="standardContextual"/>
        </w:rPr>
        <w:t xml:space="preserve"> (in both the precontractual and periodic information)</w:t>
      </w:r>
    </w:p>
    <w:p w14:paraId="3EB52552" w14:textId="466597DA" w:rsidR="00117CBD" w:rsidRDefault="00117CBD" w:rsidP="00972265">
      <w:pPr>
        <w:widowControl/>
        <w:autoSpaceDE/>
        <w:jc w:val="both"/>
        <w:rPr>
          <w:rFonts w:ascii="Calibri" w:eastAsia="Times New Roman" w:hAnsi="Calibri" w:cs="Calibri"/>
          <w14:ligatures w14:val="standardContextual"/>
        </w:rPr>
      </w:pPr>
    </w:p>
    <w:p w14:paraId="427F679A" w14:textId="77777777" w:rsidR="00117CBD" w:rsidRPr="00972265" w:rsidRDefault="00117CBD" w:rsidP="00972265">
      <w:pPr>
        <w:widowControl/>
        <w:autoSpaceDE/>
        <w:jc w:val="both"/>
        <w:rPr>
          <w:rFonts w:ascii="Calibri" w:eastAsia="Times New Roman" w:hAnsi="Calibri" w:cs="Calibri"/>
          <w14:ligatures w14:val="standardContextual"/>
        </w:rPr>
      </w:pPr>
    </w:p>
    <w:p w14:paraId="15392276" w14:textId="29E0B349" w:rsidR="00D17C3A" w:rsidRDefault="00D17C3A" w:rsidP="00D17C3A">
      <w:pPr>
        <w:jc w:val="both"/>
        <w:rPr>
          <w:rFonts w:ascii="Calibri" w:eastAsia="Times New Roman" w:hAnsi="Calibri" w:cs="Calibri"/>
          <w14:ligatures w14:val="standardContextual"/>
        </w:rPr>
      </w:pPr>
      <w:r>
        <w:rPr>
          <w:rFonts w:ascii="Calibri" w:eastAsia="Times New Roman" w:hAnsi="Calibri" w:cs="Calibri"/>
          <w14:ligatures w14:val="standardContextual"/>
        </w:rPr>
        <w:t xml:space="preserve">Concerning the </w:t>
      </w:r>
      <w:r w:rsidRPr="00AA01DE">
        <w:rPr>
          <w:rFonts w:ascii="Calibri" w:eastAsia="Times New Roman" w:hAnsi="Calibri" w:cs="Calibri"/>
          <w:b/>
          <w:bCs/>
          <w14:ligatures w14:val="standardContextual"/>
        </w:rPr>
        <w:t>introduction of a categorization system</w:t>
      </w:r>
      <w:r>
        <w:rPr>
          <w:rFonts w:ascii="Calibri" w:eastAsia="Times New Roman" w:hAnsi="Calibri" w:cs="Calibri"/>
          <w14:ligatures w14:val="standardContextual"/>
        </w:rPr>
        <w:t>: BEAMA would like to stress that a new categorization system will have an impact on the current SFDR regulati</w:t>
      </w:r>
      <w:r w:rsidR="00931B89">
        <w:rPr>
          <w:rFonts w:ascii="Calibri" w:eastAsia="Times New Roman" w:hAnsi="Calibri" w:cs="Calibri"/>
          <w14:ligatures w14:val="standardContextual"/>
        </w:rPr>
        <w:t>on</w:t>
      </w:r>
      <w:r>
        <w:rPr>
          <w:rFonts w:ascii="Calibri" w:eastAsia="Times New Roman" w:hAnsi="Calibri" w:cs="Calibri"/>
          <w14:ligatures w14:val="standardContextual"/>
        </w:rPr>
        <w:t xml:space="preserve">. The financial sector is still implementing the SFDR disclosure requirements. The SFDR regulation has not yet been able to prove its full usefulness given the ongoing implementation and recent disclosures and reports. Therefore, BEAMA is strongly against the introduction of a new categorization system. </w:t>
      </w:r>
    </w:p>
    <w:p w14:paraId="4BEBCB67" w14:textId="77777777" w:rsidR="00D17C3A" w:rsidRDefault="00D17C3A" w:rsidP="00D17C3A">
      <w:pPr>
        <w:jc w:val="both"/>
        <w:rPr>
          <w:rFonts w:ascii="Calibri" w:eastAsia="Times New Roman" w:hAnsi="Calibri" w:cs="Calibri"/>
          <w14:ligatures w14:val="standardContextual"/>
        </w:rPr>
      </w:pPr>
    </w:p>
    <w:p w14:paraId="2FE713A6" w14:textId="4F200614" w:rsidR="00D17C3A" w:rsidRDefault="00D17C3A" w:rsidP="00D17C3A">
      <w:pPr>
        <w:jc w:val="both"/>
        <w:rPr>
          <w:rFonts w:ascii="Calibri" w:eastAsia="Times New Roman" w:hAnsi="Calibri" w:cs="Calibri"/>
          <w:lang w:val="en-GB"/>
          <w14:ligatures w14:val="standardContextual"/>
        </w:rPr>
      </w:pPr>
      <w:r>
        <w:rPr>
          <w:rFonts w:ascii="Calibri" w:eastAsia="Times New Roman" w:hAnsi="Calibri" w:cs="Calibri"/>
          <w14:ligatures w14:val="standardContextual"/>
        </w:rPr>
        <w:t xml:space="preserve">In order to be able to </w:t>
      </w:r>
      <w:r w:rsidR="00C6024B">
        <w:rPr>
          <w:rFonts w:ascii="Calibri" w:eastAsia="Times New Roman" w:hAnsi="Calibri" w:cs="Calibri"/>
          <w14:ligatures w14:val="standardContextual"/>
        </w:rPr>
        <w:t>create and introduce</w:t>
      </w:r>
      <w:r>
        <w:rPr>
          <w:rFonts w:ascii="Calibri" w:eastAsia="Times New Roman" w:hAnsi="Calibri" w:cs="Calibri"/>
          <w14:ligatures w14:val="standardContextual"/>
        </w:rPr>
        <w:t xml:space="preserve"> as many sustainable products</w:t>
      </w:r>
      <w:r w:rsidR="00C6024B">
        <w:rPr>
          <w:rFonts w:ascii="Calibri" w:eastAsia="Times New Roman" w:hAnsi="Calibri" w:cs="Calibri"/>
          <w14:ligatures w14:val="standardContextual"/>
        </w:rPr>
        <w:t xml:space="preserve"> on the financial market</w:t>
      </w:r>
      <w:r>
        <w:rPr>
          <w:rFonts w:ascii="Calibri" w:eastAsia="Times New Roman" w:hAnsi="Calibri" w:cs="Calibri"/>
          <w14:ligatures w14:val="standardContextual"/>
        </w:rPr>
        <w:t xml:space="preserve"> as possible, a high level of flexibility </w:t>
      </w:r>
      <w:r w:rsidR="00C6024B">
        <w:rPr>
          <w:rFonts w:ascii="Calibri" w:eastAsia="Times New Roman" w:hAnsi="Calibri" w:cs="Calibri"/>
          <w14:ligatures w14:val="standardContextual"/>
        </w:rPr>
        <w:t xml:space="preserve">in ESG methodologies </w:t>
      </w:r>
      <w:r>
        <w:rPr>
          <w:rFonts w:ascii="Calibri" w:eastAsia="Times New Roman" w:hAnsi="Calibri" w:cs="Calibri"/>
          <w14:ligatures w14:val="standardContextual"/>
        </w:rPr>
        <w:t xml:space="preserve">is required. </w:t>
      </w:r>
      <w:r w:rsidR="00AA01DE" w:rsidRPr="00972265">
        <w:rPr>
          <w:rFonts w:ascii="Calibri" w:eastAsia="Times New Roman" w:hAnsi="Calibri" w:cs="Calibri"/>
          <w14:ligatures w14:val="standardContextual"/>
        </w:rPr>
        <w:t xml:space="preserve">Implementing a new categorization system might decrease this </w:t>
      </w:r>
      <w:r w:rsidR="00AA01DE">
        <w:rPr>
          <w:rFonts w:ascii="Calibri" w:eastAsia="Times New Roman" w:hAnsi="Calibri" w:cs="Calibri"/>
          <w14:ligatures w14:val="standardContextual"/>
        </w:rPr>
        <w:t xml:space="preserve">much needed </w:t>
      </w:r>
      <w:r w:rsidR="00AA01DE" w:rsidRPr="00972265">
        <w:rPr>
          <w:rFonts w:ascii="Calibri" w:eastAsia="Times New Roman" w:hAnsi="Calibri" w:cs="Calibri"/>
          <w14:ligatures w14:val="standardContextual"/>
        </w:rPr>
        <w:t xml:space="preserve">level of flexibility. </w:t>
      </w:r>
      <w:r>
        <w:rPr>
          <w:rFonts w:ascii="Calibri" w:eastAsia="Times New Roman" w:hAnsi="Calibri" w:cs="Calibri"/>
          <w14:ligatures w14:val="standardContextual"/>
        </w:rPr>
        <w:t xml:space="preserve"> </w:t>
      </w:r>
      <w:r w:rsidR="00977045">
        <w:rPr>
          <w:rFonts w:ascii="Calibri" w:eastAsia="Times New Roman" w:hAnsi="Calibri" w:cs="Calibri"/>
          <w14:ligatures w14:val="standardContextual"/>
        </w:rPr>
        <w:t xml:space="preserve">It should also be noted that </w:t>
      </w:r>
      <w:r>
        <w:rPr>
          <w:rFonts w:ascii="Calibri" w:eastAsia="Times New Roman" w:hAnsi="Calibri" w:cs="Calibri"/>
          <w14:ligatures w14:val="standardContextual"/>
        </w:rPr>
        <w:t>other similar initiatives are already in place: the ESMA consultation on the fund names and the EU Taxonomy. An additional product categorization system could lead to more complexity and unclarity</w:t>
      </w:r>
      <w:r w:rsidR="00977045">
        <w:rPr>
          <w:rFonts w:ascii="Calibri" w:eastAsia="Times New Roman" w:hAnsi="Calibri" w:cs="Calibri"/>
          <w14:ligatures w14:val="standardContextual"/>
        </w:rPr>
        <w:t xml:space="preserve">. </w:t>
      </w:r>
    </w:p>
    <w:p w14:paraId="6E4A7354" w14:textId="77777777" w:rsidR="00D17C3A" w:rsidRDefault="00D17C3A" w:rsidP="00972265">
      <w:pPr>
        <w:widowControl/>
        <w:autoSpaceDE/>
        <w:jc w:val="both"/>
        <w:rPr>
          <w:rFonts w:ascii="Calibri" w:eastAsia="Times New Roman" w:hAnsi="Calibri" w:cs="Calibri"/>
          <w14:ligatures w14:val="standardContextual"/>
        </w:rPr>
      </w:pPr>
    </w:p>
    <w:p w14:paraId="3A28380D" w14:textId="3B0480D4" w:rsidR="00037B8C" w:rsidRDefault="00CC41E1" w:rsidP="00972265">
      <w:pPr>
        <w:widowControl/>
        <w:autoSpaceDE/>
        <w:jc w:val="both"/>
        <w:rPr>
          <w:rFonts w:ascii="Calibri" w:eastAsia="Times New Roman" w:hAnsi="Calibri" w:cs="Calibri"/>
          <w14:ligatures w14:val="standardContextual"/>
        </w:rPr>
      </w:pPr>
      <w:r>
        <w:rPr>
          <w:rFonts w:ascii="Calibri" w:eastAsia="Times New Roman" w:hAnsi="Calibri" w:cs="Calibri"/>
          <w14:ligatures w14:val="standardContextual"/>
        </w:rPr>
        <w:t>If a new categorization system was to be implemented</w:t>
      </w:r>
      <w:r w:rsidR="00656535">
        <w:rPr>
          <w:rFonts w:ascii="Calibri" w:eastAsia="Times New Roman" w:hAnsi="Calibri" w:cs="Calibri"/>
          <w14:ligatures w14:val="standardContextual"/>
        </w:rPr>
        <w:t>, BEAMA would like to highlight that the FMP’s</w:t>
      </w:r>
      <w:r w:rsidR="00037B8C" w:rsidRPr="00972265">
        <w:rPr>
          <w:rFonts w:ascii="Calibri" w:eastAsia="Times New Roman" w:hAnsi="Calibri" w:cs="Calibri"/>
          <w14:ligatures w14:val="standardContextual"/>
        </w:rPr>
        <w:t xml:space="preserve"> should </w:t>
      </w:r>
      <w:r w:rsidR="00656535">
        <w:rPr>
          <w:rFonts w:ascii="Calibri" w:eastAsia="Times New Roman" w:hAnsi="Calibri" w:cs="Calibri"/>
          <w14:ligatures w14:val="standardContextual"/>
        </w:rPr>
        <w:t>retain</w:t>
      </w:r>
      <w:r w:rsidR="00037B8C" w:rsidRPr="00972265">
        <w:rPr>
          <w:rFonts w:ascii="Calibri" w:eastAsia="Times New Roman" w:hAnsi="Calibri" w:cs="Calibri"/>
          <w14:ligatures w14:val="standardContextual"/>
        </w:rPr>
        <w:t xml:space="preserve"> sufficient flexibility in applying their </w:t>
      </w:r>
      <w:r w:rsidR="00656535">
        <w:rPr>
          <w:rFonts w:ascii="Calibri" w:eastAsia="Times New Roman" w:hAnsi="Calibri" w:cs="Calibri"/>
          <w14:ligatures w14:val="standardContextual"/>
        </w:rPr>
        <w:t xml:space="preserve">own </w:t>
      </w:r>
      <w:r w:rsidR="00037B8C" w:rsidRPr="00972265">
        <w:rPr>
          <w:rFonts w:ascii="Calibri" w:eastAsia="Times New Roman" w:hAnsi="Calibri" w:cs="Calibri"/>
          <w14:ligatures w14:val="standardContextual"/>
        </w:rPr>
        <w:t>ESG methodologies</w:t>
      </w:r>
      <w:r w:rsidR="00656535">
        <w:rPr>
          <w:rFonts w:ascii="Calibri" w:eastAsia="Times New Roman" w:hAnsi="Calibri" w:cs="Calibri"/>
          <w14:ligatures w14:val="standardContextual"/>
        </w:rPr>
        <w:t xml:space="preserve">. If not, a </w:t>
      </w:r>
      <w:r w:rsidR="00037B8C" w:rsidRPr="00972265">
        <w:rPr>
          <w:rFonts w:ascii="Calibri" w:eastAsia="Times New Roman" w:hAnsi="Calibri" w:cs="Calibri"/>
          <w14:ligatures w14:val="standardContextual"/>
        </w:rPr>
        <w:t>risk concentration in investments</w:t>
      </w:r>
      <w:r w:rsidR="00656535">
        <w:rPr>
          <w:rFonts w:ascii="Calibri" w:eastAsia="Times New Roman" w:hAnsi="Calibri" w:cs="Calibri"/>
          <w14:ligatures w14:val="standardContextual"/>
        </w:rPr>
        <w:t xml:space="preserve"> could occur</w:t>
      </w:r>
      <w:r w:rsidR="001969CF">
        <w:rPr>
          <w:rFonts w:ascii="Calibri" w:eastAsia="Times New Roman" w:hAnsi="Calibri" w:cs="Calibri"/>
          <w14:ligatures w14:val="standardContextual"/>
        </w:rPr>
        <w:t xml:space="preserve"> impacting the</w:t>
      </w:r>
      <w:r w:rsidR="006534E5">
        <w:rPr>
          <w:rFonts w:ascii="Calibri" w:eastAsia="Times New Roman" w:hAnsi="Calibri" w:cs="Calibri"/>
          <w14:ligatures w14:val="standardContextual"/>
        </w:rPr>
        <w:t xml:space="preserve"> risk and return characteristics of the investment product of the clients</w:t>
      </w:r>
      <w:r w:rsidR="00037B8C" w:rsidRPr="00972265">
        <w:rPr>
          <w:rFonts w:ascii="Calibri" w:eastAsia="Times New Roman" w:hAnsi="Calibri" w:cs="Calibri"/>
          <w14:ligatures w14:val="standardContextual"/>
        </w:rPr>
        <w:t xml:space="preserve">. </w:t>
      </w:r>
    </w:p>
    <w:p w14:paraId="497BFECE" w14:textId="77777777" w:rsidR="00037B8C" w:rsidRDefault="00037B8C" w:rsidP="00037B8C">
      <w:pPr>
        <w:jc w:val="both"/>
        <w:rPr>
          <w:rFonts w:ascii="Calibri" w:eastAsia="Times New Roman" w:hAnsi="Calibri" w:cs="Calibri"/>
          <w:b/>
          <w:bCs/>
          <w:i/>
          <w:iCs/>
          <w14:ligatures w14:val="standardContextual"/>
        </w:rPr>
      </w:pPr>
    </w:p>
    <w:p w14:paraId="4428F3B1" w14:textId="36CF11BE" w:rsidR="00457370" w:rsidRPr="004F0270" w:rsidRDefault="00457370" w:rsidP="004F0270">
      <w:pPr>
        <w:jc w:val="both"/>
        <w:rPr>
          <w:rFonts w:ascii="Calibri" w:eastAsia="Times New Roman" w:hAnsi="Calibri" w:cs="Calibri"/>
          <w14:ligatures w14:val="standardContextual"/>
        </w:rPr>
      </w:pPr>
    </w:p>
    <w:sectPr w:rsidR="00457370" w:rsidRPr="004F0270">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A2B7" w14:textId="77777777" w:rsidR="00652C74" w:rsidRDefault="00652C74" w:rsidP="001A5FE0">
      <w:r>
        <w:separator/>
      </w:r>
    </w:p>
  </w:endnote>
  <w:endnote w:type="continuationSeparator" w:id="0">
    <w:p w14:paraId="0B28F9A7" w14:textId="77777777" w:rsidR="00652C74" w:rsidRDefault="00652C74" w:rsidP="001A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322D3" w14:textId="77777777" w:rsidR="00652C74" w:rsidRDefault="00652C74" w:rsidP="001A5FE0">
      <w:r>
        <w:separator/>
      </w:r>
    </w:p>
  </w:footnote>
  <w:footnote w:type="continuationSeparator" w:id="0">
    <w:p w14:paraId="35FFE9AD" w14:textId="77777777" w:rsidR="00652C74" w:rsidRDefault="00652C74" w:rsidP="001A5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B5357" w14:textId="7D329E9F" w:rsidR="001A5FE0" w:rsidRDefault="001A5FE0">
    <w:pPr>
      <w:pStyle w:val="Header"/>
    </w:pPr>
    <w:r>
      <w:rPr>
        <w:noProof/>
      </w:rPr>
      <mc:AlternateContent>
        <mc:Choice Requires="wps">
          <w:drawing>
            <wp:anchor distT="0" distB="0" distL="0" distR="0" simplePos="0" relativeHeight="251659264" behindDoc="0" locked="0" layoutInCell="1" allowOverlap="1" wp14:anchorId="19FC25E3" wp14:editId="1BFE7ED3">
              <wp:simplePos x="635" y="635"/>
              <wp:positionH relativeFrom="page">
                <wp:align>center</wp:align>
              </wp:positionH>
              <wp:positionV relativeFrom="page">
                <wp:align>top</wp:align>
              </wp:positionV>
              <wp:extent cx="443865" cy="443865"/>
              <wp:effectExtent l="0" t="0" r="635" b="16510"/>
              <wp:wrapNone/>
              <wp:docPr id="2"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5AC920" w14:textId="47E29B67" w:rsidR="001A5FE0" w:rsidRPr="001A5FE0" w:rsidRDefault="001A5FE0" w:rsidP="001A5FE0">
                          <w:pPr>
                            <w:rPr>
                              <w:rFonts w:ascii="Calibri" w:eastAsia="Calibri" w:hAnsi="Calibri" w:cs="Calibri"/>
                              <w:noProof/>
                              <w:color w:val="000000"/>
                              <w:sz w:val="20"/>
                              <w:szCs w:val="20"/>
                            </w:rPr>
                          </w:pPr>
                          <w:r w:rsidRPr="001A5FE0">
                            <w:rPr>
                              <w:rFonts w:ascii="Calibri" w:eastAsia="Calibri" w:hAnsi="Calibri" w:cs="Calibri"/>
                              <w:noProof/>
                              <w:color w:val="000000"/>
                              <w:sz w:val="20"/>
                              <w:szCs w:val="20"/>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9FC25E3" id="_x0000_t202" coordsize="21600,21600" o:spt="202" path="m,l,21600r21600,l21600,xe">
              <v:stroke joinstyle="miter"/>
              <v:path gradientshapeok="t" o:connecttype="rect"/>
            </v:shapetype>
            <v:shape id="Text Box 2" o:spid="_x0000_s1026"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A5AC920" w14:textId="47E29B67" w:rsidR="001A5FE0" w:rsidRPr="001A5FE0" w:rsidRDefault="001A5FE0" w:rsidP="001A5FE0">
                    <w:pPr>
                      <w:rPr>
                        <w:rFonts w:ascii="Calibri" w:eastAsia="Calibri" w:hAnsi="Calibri" w:cs="Calibri"/>
                        <w:noProof/>
                        <w:color w:val="000000"/>
                        <w:sz w:val="20"/>
                        <w:szCs w:val="20"/>
                      </w:rPr>
                    </w:pPr>
                    <w:r w:rsidRPr="001A5FE0">
                      <w:rPr>
                        <w:rFonts w:ascii="Calibri" w:eastAsia="Calibri" w:hAnsi="Calibri" w:cs="Calibri"/>
                        <w:noProof/>
                        <w:color w:val="000000"/>
                        <w:sz w:val="20"/>
                        <w:szCs w:val="20"/>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812EB" w14:textId="7094300C" w:rsidR="001A5FE0" w:rsidRDefault="001A5FE0">
    <w:pPr>
      <w:pStyle w:val="Header"/>
    </w:pPr>
    <w:r>
      <w:rPr>
        <w:noProof/>
      </w:rPr>
      <mc:AlternateContent>
        <mc:Choice Requires="wps">
          <w:drawing>
            <wp:anchor distT="0" distB="0" distL="0" distR="0" simplePos="0" relativeHeight="251660288" behindDoc="0" locked="0" layoutInCell="1" allowOverlap="1" wp14:anchorId="00042B72" wp14:editId="0025897D">
              <wp:simplePos x="914400" y="449580"/>
              <wp:positionH relativeFrom="page">
                <wp:align>center</wp:align>
              </wp:positionH>
              <wp:positionV relativeFrom="page">
                <wp:align>top</wp:align>
              </wp:positionV>
              <wp:extent cx="443865" cy="443865"/>
              <wp:effectExtent l="0" t="0" r="635" b="16510"/>
              <wp:wrapNone/>
              <wp:docPr id="3"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0F00C7" w14:textId="0E9DB4D4" w:rsidR="001A5FE0" w:rsidRPr="001A5FE0" w:rsidRDefault="001A5FE0" w:rsidP="001A5FE0">
                          <w:pPr>
                            <w:rPr>
                              <w:rFonts w:ascii="Calibri" w:eastAsia="Calibri" w:hAnsi="Calibri" w:cs="Calibri"/>
                              <w:noProof/>
                              <w:color w:val="000000"/>
                              <w:sz w:val="20"/>
                              <w:szCs w:val="20"/>
                            </w:rPr>
                          </w:pPr>
                          <w:r w:rsidRPr="001A5FE0">
                            <w:rPr>
                              <w:rFonts w:ascii="Calibri" w:eastAsia="Calibri" w:hAnsi="Calibri" w:cs="Calibri"/>
                              <w:noProof/>
                              <w:color w:val="000000"/>
                              <w:sz w:val="20"/>
                              <w:szCs w:val="20"/>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0042B72" id="_x0000_t202" coordsize="21600,21600" o:spt="202" path="m,l,21600r21600,l21600,xe">
              <v:stroke joinstyle="miter"/>
              <v:path gradientshapeok="t" o:connecttype="rect"/>
            </v:shapetype>
            <v:shape id="Text Box 3" o:spid="_x0000_s1027" type="#_x0000_t202" alt="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440F00C7" w14:textId="0E9DB4D4" w:rsidR="001A5FE0" w:rsidRPr="001A5FE0" w:rsidRDefault="001A5FE0" w:rsidP="001A5FE0">
                    <w:pPr>
                      <w:rPr>
                        <w:rFonts w:ascii="Calibri" w:eastAsia="Calibri" w:hAnsi="Calibri" w:cs="Calibri"/>
                        <w:noProof/>
                        <w:color w:val="000000"/>
                        <w:sz w:val="20"/>
                        <w:szCs w:val="20"/>
                      </w:rPr>
                    </w:pPr>
                    <w:r w:rsidRPr="001A5FE0">
                      <w:rPr>
                        <w:rFonts w:ascii="Calibri" w:eastAsia="Calibri" w:hAnsi="Calibri" w:cs="Calibri"/>
                        <w:noProof/>
                        <w:color w:val="000000"/>
                        <w:sz w:val="20"/>
                        <w:szCs w:val="20"/>
                      </w:rPr>
                      <w:t>Confidential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0ECF" w14:textId="5B79C3B9" w:rsidR="001A5FE0" w:rsidRDefault="001A5FE0">
    <w:pPr>
      <w:pStyle w:val="Header"/>
    </w:pPr>
    <w:r>
      <w:rPr>
        <w:noProof/>
      </w:rPr>
      <mc:AlternateContent>
        <mc:Choice Requires="wps">
          <w:drawing>
            <wp:anchor distT="0" distB="0" distL="0" distR="0" simplePos="0" relativeHeight="251658240" behindDoc="0" locked="0" layoutInCell="1" allowOverlap="1" wp14:anchorId="69567BA7" wp14:editId="1D61F290">
              <wp:simplePos x="635" y="635"/>
              <wp:positionH relativeFrom="page">
                <wp:align>center</wp:align>
              </wp:positionH>
              <wp:positionV relativeFrom="page">
                <wp:align>top</wp:align>
              </wp:positionV>
              <wp:extent cx="443865" cy="443865"/>
              <wp:effectExtent l="0" t="0" r="635" b="16510"/>
              <wp:wrapNone/>
              <wp:docPr id="1"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A84D7C" w14:textId="61B16A48" w:rsidR="001A5FE0" w:rsidRPr="001A5FE0" w:rsidRDefault="001A5FE0" w:rsidP="001A5FE0">
                          <w:pPr>
                            <w:rPr>
                              <w:rFonts w:ascii="Calibri" w:eastAsia="Calibri" w:hAnsi="Calibri" w:cs="Calibri"/>
                              <w:noProof/>
                              <w:color w:val="000000"/>
                              <w:sz w:val="20"/>
                              <w:szCs w:val="20"/>
                            </w:rPr>
                          </w:pPr>
                          <w:r w:rsidRPr="001A5FE0">
                            <w:rPr>
                              <w:rFonts w:ascii="Calibri" w:eastAsia="Calibri" w:hAnsi="Calibri" w:cs="Calibri"/>
                              <w:noProof/>
                              <w:color w:val="000000"/>
                              <w:sz w:val="20"/>
                              <w:szCs w:val="20"/>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567BA7" id="_x0000_t202" coordsize="21600,21600" o:spt="202" path="m,l,21600r21600,l21600,xe">
              <v:stroke joinstyle="miter"/>
              <v:path gradientshapeok="t" o:connecttype="rect"/>
            </v:shapetype>
            <v:shape id="Text Box 1" o:spid="_x0000_s1028"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66A84D7C" w14:textId="61B16A48" w:rsidR="001A5FE0" w:rsidRPr="001A5FE0" w:rsidRDefault="001A5FE0" w:rsidP="001A5FE0">
                    <w:pPr>
                      <w:rPr>
                        <w:rFonts w:ascii="Calibri" w:eastAsia="Calibri" w:hAnsi="Calibri" w:cs="Calibri"/>
                        <w:noProof/>
                        <w:color w:val="000000"/>
                        <w:sz w:val="20"/>
                        <w:szCs w:val="20"/>
                      </w:rPr>
                    </w:pPr>
                    <w:r w:rsidRPr="001A5FE0">
                      <w:rPr>
                        <w:rFonts w:ascii="Calibri" w:eastAsia="Calibri" w:hAnsi="Calibri" w:cs="Calibri"/>
                        <w:noProof/>
                        <w:color w:val="000000"/>
                        <w:sz w:val="20"/>
                        <w:szCs w:val="20"/>
                      </w:rPr>
                      <w:t>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01D5"/>
    <w:multiLevelType w:val="hybridMultilevel"/>
    <w:tmpl w:val="6382DB00"/>
    <w:lvl w:ilvl="0" w:tplc="4908092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D83EA6"/>
    <w:multiLevelType w:val="hybridMultilevel"/>
    <w:tmpl w:val="D9181DFE"/>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CE81572"/>
    <w:multiLevelType w:val="hybridMultilevel"/>
    <w:tmpl w:val="11E6F38C"/>
    <w:lvl w:ilvl="0" w:tplc="5E32F91A">
      <w:start w:val="5000"/>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E777722"/>
    <w:multiLevelType w:val="hybridMultilevel"/>
    <w:tmpl w:val="B368291A"/>
    <w:lvl w:ilvl="0" w:tplc="A4E2F10A">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0B74010"/>
    <w:multiLevelType w:val="hybridMultilevel"/>
    <w:tmpl w:val="BB6C9C64"/>
    <w:lvl w:ilvl="0" w:tplc="BBBEF40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2D3D18"/>
    <w:multiLevelType w:val="hybridMultilevel"/>
    <w:tmpl w:val="85406752"/>
    <w:lvl w:ilvl="0" w:tplc="BBBEF408">
      <w:start w:val="2"/>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4BCC380C">
      <w:numFmt w:val="bullet"/>
      <w:lvlText w:val="•"/>
      <w:lvlJc w:val="left"/>
      <w:pPr>
        <w:ind w:left="2520" w:hanging="72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52779E"/>
    <w:multiLevelType w:val="hybridMultilevel"/>
    <w:tmpl w:val="D916C0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7E281C8E"/>
    <w:multiLevelType w:val="hybridMultilevel"/>
    <w:tmpl w:val="6B0E6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0775584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1121898">
    <w:abstractNumId w:val="2"/>
  </w:num>
  <w:num w:numId="3" w16cid:durableId="1253978048">
    <w:abstractNumId w:val="3"/>
  </w:num>
  <w:num w:numId="4" w16cid:durableId="2019850152">
    <w:abstractNumId w:val="7"/>
  </w:num>
  <w:num w:numId="5" w16cid:durableId="2090077545">
    <w:abstractNumId w:val="0"/>
  </w:num>
  <w:num w:numId="6" w16cid:durableId="1227953822">
    <w:abstractNumId w:val="5"/>
  </w:num>
  <w:num w:numId="7" w16cid:durableId="1908034688">
    <w:abstractNumId w:val="2"/>
  </w:num>
  <w:num w:numId="8" w16cid:durableId="1783765354">
    <w:abstractNumId w:val="4"/>
  </w:num>
  <w:num w:numId="9" w16cid:durableId="946623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B8C"/>
    <w:rsid w:val="00037B8C"/>
    <w:rsid w:val="000A1B00"/>
    <w:rsid w:val="00117CBD"/>
    <w:rsid w:val="001669F3"/>
    <w:rsid w:val="00172B6F"/>
    <w:rsid w:val="00183100"/>
    <w:rsid w:val="001969CF"/>
    <w:rsid w:val="001A5FE0"/>
    <w:rsid w:val="001B7C6C"/>
    <w:rsid w:val="001D1C97"/>
    <w:rsid w:val="001D3577"/>
    <w:rsid w:val="001D461F"/>
    <w:rsid w:val="00285F6E"/>
    <w:rsid w:val="002902D6"/>
    <w:rsid w:val="0029674E"/>
    <w:rsid w:val="003B648C"/>
    <w:rsid w:val="003F6DF2"/>
    <w:rsid w:val="00457370"/>
    <w:rsid w:val="00457395"/>
    <w:rsid w:val="0047786B"/>
    <w:rsid w:val="00487537"/>
    <w:rsid w:val="004F0270"/>
    <w:rsid w:val="00531AB0"/>
    <w:rsid w:val="00585585"/>
    <w:rsid w:val="005C758B"/>
    <w:rsid w:val="00652C74"/>
    <w:rsid w:val="006534E5"/>
    <w:rsid w:val="00656535"/>
    <w:rsid w:val="00681834"/>
    <w:rsid w:val="007375DC"/>
    <w:rsid w:val="007D68CE"/>
    <w:rsid w:val="008C3CB8"/>
    <w:rsid w:val="00931B89"/>
    <w:rsid w:val="00972265"/>
    <w:rsid w:val="00977045"/>
    <w:rsid w:val="00A1239B"/>
    <w:rsid w:val="00A15DFF"/>
    <w:rsid w:val="00A44638"/>
    <w:rsid w:val="00A57E71"/>
    <w:rsid w:val="00AA01DE"/>
    <w:rsid w:val="00AF36F5"/>
    <w:rsid w:val="00B768A0"/>
    <w:rsid w:val="00B81FE7"/>
    <w:rsid w:val="00BA6B81"/>
    <w:rsid w:val="00BE713B"/>
    <w:rsid w:val="00C56C1A"/>
    <w:rsid w:val="00C6024B"/>
    <w:rsid w:val="00CB2142"/>
    <w:rsid w:val="00CC41E1"/>
    <w:rsid w:val="00D13735"/>
    <w:rsid w:val="00D17C3A"/>
    <w:rsid w:val="00D214D3"/>
    <w:rsid w:val="00D632D8"/>
    <w:rsid w:val="00D72D84"/>
    <w:rsid w:val="00F7021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AC190"/>
  <w15:chartTrackingRefBased/>
  <w15:docId w15:val="{28B96E2F-3EC6-4068-9C9C-C502E741D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B8C"/>
    <w:pPr>
      <w:widowControl w:val="0"/>
      <w:autoSpaceDE w:val="0"/>
      <w:autoSpaceDN w:val="0"/>
      <w:spacing w:after="0" w:line="240" w:lineRule="auto"/>
    </w:pPr>
    <w:rPr>
      <w:rFonts w:ascii="Microsoft Sans Serif" w:eastAsia="Microsoft Sans Serif" w:hAnsi="Microsoft Sans Serif" w:cs="Microsoft Sans Seri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B8C"/>
    <w:pPr>
      <w:ind w:left="985" w:hanging="226"/>
    </w:pPr>
  </w:style>
  <w:style w:type="paragraph" w:styleId="Header">
    <w:name w:val="header"/>
    <w:basedOn w:val="Normal"/>
    <w:link w:val="HeaderChar"/>
    <w:uiPriority w:val="99"/>
    <w:unhideWhenUsed/>
    <w:rsid w:val="001A5FE0"/>
    <w:pPr>
      <w:tabs>
        <w:tab w:val="center" w:pos="4513"/>
        <w:tab w:val="right" w:pos="9026"/>
      </w:tabs>
    </w:pPr>
  </w:style>
  <w:style w:type="character" w:customStyle="1" w:styleId="HeaderChar">
    <w:name w:val="Header Char"/>
    <w:basedOn w:val="DefaultParagraphFont"/>
    <w:link w:val="Header"/>
    <w:uiPriority w:val="99"/>
    <w:rsid w:val="001A5FE0"/>
    <w:rPr>
      <w:rFonts w:ascii="Microsoft Sans Serif" w:eastAsia="Microsoft Sans Serif" w:hAnsi="Microsoft Sans Serif" w:cs="Microsoft Sans Serif"/>
      <w:lang w:val="en-US"/>
    </w:rPr>
  </w:style>
  <w:style w:type="paragraph" w:styleId="Revision">
    <w:name w:val="Revision"/>
    <w:hidden/>
    <w:uiPriority w:val="99"/>
    <w:semiHidden/>
    <w:rsid w:val="00F70218"/>
    <w:pPr>
      <w:spacing w:after="0" w:line="240" w:lineRule="auto"/>
    </w:pPr>
    <w:rPr>
      <w:rFonts w:ascii="Microsoft Sans Serif" w:eastAsia="Microsoft Sans Serif" w:hAnsi="Microsoft Sans Serif" w:cs="Microsoft Sans Seri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5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Marie-Julie De Merlier</dc:creator>
  <cp:keywords/>
  <dc:description/>
  <cp:lastModifiedBy>Elias Colemont</cp:lastModifiedBy>
  <cp:revision>2</cp:revision>
  <dcterms:created xsi:type="dcterms:W3CDTF">2023-12-08T09:15:00Z</dcterms:created>
  <dcterms:modified xsi:type="dcterms:W3CDTF">2023-12-08T09:15:00Z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Confidential</vt:lpwstr>
  </property>
  <property fmtid="{D5CDD505-2E9C-101B-9397-08002B2CF9AE}" pid="5" name="MSIP_Label_31598e80-c4b0-45ea-92db-0f710f24d13e_Enabled">
    <vt:lpwstr>true</vt:lpwstr>
  </property>
  <property fmtid="{D5CDD505-2E9C-101B-9397-08002B2CF9AE}" pid="6" name="MSIP_Label_31598e80-c4b0-45ea-92db-0f710f24d13e_SetDate">
    <vt:lpwstr>2023-11-23T09:17:25Z</vt:lpwstr>
  </property>
  <property fmtid="{D5CDD505-2E9C-101B-9397-08002B2CF9AE}" pid="7" name="MSIP_Label_31598e80-c4b0-45ea-92db-0f710f24d13e_Method">
    <vt:lpwstr>Privileged</vt:lpwstr>
  </property>
  <property fmtid="{D5CDD505-2E9C-101B-9397-08002B2CF9AE}" pid="8" name="MSIP_Label_31598e80-c4b0-45ea-92db-0f710f24d13e_Name">
    <vt:lpwstr>31598e80-c4b0-45ea-92db-0f710f24d13e</vt:lpwstr>
  </property>
  <property fmtid="{D5CDD505-2E9C-101B-9397-08002B2CF9AE}" pid="9" name="MSIP_Label_31598e80-c4b0-45ea-92db-0f710f24d13e_SiteId">
    <vt:lpwstr>64af2aee-7d6c-49ac-a409-192d3fee73b8</vt:lpwstr>
  </property>
  <property fmtid="{D5CDD505-2E9C-101B-9397-08002B2CF9AE}" pid="10" name="MSIP_Label_31598e80-c4b0-45ea-92db-0f710f24d13e_ActionId">
    <vt:lpwstr>92195488-1805-4213-94ea-f7e77cf3b356</vt:lpwstr>
  </property>
  <property fmtid="{D5CDD505-2E9C-101B-9397-08002B2CF9AE}" pid="11" name="MSIP_Label_31598e80-c4b0-45ea-92db-0f710f24d13e_ContentBits">
    <vt:lpwstr>1</vt:lpwstr>
  </property>
</Properties>
</file>