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6E7F2" w14:textId="11A31E89" w:rsidR="00F4060A" w:rsidRDefault="00F4060A" w:rsidP="00F4060A">
      <w:r>
        <w:t>Addition Comments on specific questions from MainStreet Capital Partners</w:t>
      </w:r>
    </w:p>
    <w:p w14:paraId="3B8D0C8E" w14:textId="2D631770" w:rsidR="00F4060A" w:rsidRDefault="00F4060A" w:rsidP="00F4060A">
      <w:r>
        <w:t>1.4</w:t>
      </w:r>
    </w:p>
    <w:p w14:paraId="2D278A64" w14:textId="77777777" w:rsidR="00F4060A" w:rsidRDefault="00F4060A" w:rsidP="00F4060A">
      <w:r>
        <w:t>Costs of Compliance</w:t>
      </w:r>
    </w:p>
    <w:p w14:paraId="60F4D9E5" w14:textId="77777777" w:rsidR="00F4060A" w:rsidRDefault="00F4060A" w:rsidP="00F4060A">
      <w:r>
        <w:t>1.</w:t>
      </w:r>
      <w:r>
        <w:tab/>
        <w:t>Financial Costs: These include expenses related to data collection, system upgrades, and reporting. High costs were a concern, especially for smaller firms.</w:t>
      </w:r>
    </w:p>
    <w:p w14:paraId="2C580F8B" w14:textId="77777777" w:rsidR="00F4060A" w:rsidRDefault="00F4060A" w:rsidP="00F4060A">
      <w:r>
        <w:t>2.</w:t>
      </w:r>
      <w:r>
        <w:tab/>
        <w:t>Operational Challenges: Implementing new reporting standards requires significant adjustments in operational processes. The effectiveness was lower due to some aspects of the implementation process being overly complex or burdensome.</w:t>
      </w:r>
    </w:p>
    <w:p w14:paraId="495909CF" w14:textId="77777777" w:rsidR="00F4060A" w:rsidRDefault="00F4060A" w:rsidP="00F4060A">
      <w:r>
        <w:t>Impact on Financial Markets</w:t>
      </w:r>
    </w:p>
    <w:p w14:paraId="77DA1A85" w14:textId="77777777" w:rsidR="00F4060A" w:rsidRDefault="00F4060A" w:rsidP="00F4060A">
      <w:r>
        <w:t>1.</w:t>
      </w:r>
      <w:r>
        <w:tab/>
        <w:t>Market Behaviour: An increase in sustainable investment products and a shift in capital towards more sustainable options indicated some success (flow movement was evident)</w:t>
      </w:r>
    </w:p>
    <w:p w14:paraId="053855BC" w14:textId="77777777" w:rsidR="00F4060A" w:rsidRDefault="00F4060A" w:rsidP="00F4060A">
      <w:r>
        <w:t>2.</w:t>
      </w:r>
      <w:r>
        <w:tab/>
        <w:t>Investor Response: The level of engagement and satisfaction from investors regarding the provided information is crucial. Overall, when speaking to other advisors I very rarely heard positive responses about the use of these types of information, that was more for voluntary marketing documents.</w:t>
      </w:r>
    </w:p>
    <w:p w14:paraId="5D3DB2AF" w14:textId="77777777" w:rsidR="00F4060A" w:rsidRDefault="00F4060A" w:rsidP="00F4060A">
      <w:r>
        <w:t>Alternative Uses of Funds</w:t>
      </w:r>
    </w:p>
    <w:p w14:paraId="22FCD5EB" w14:textId="77777777" w:rsidR="00F4060A" w:rsidRDefault="00F4060A" w:rsidP="00F4060A">
      <w:r>
        <w:t>1.</w:t>
      </w:r>
      <w:r>
        <w:tab/>
        <w:t>Direct Investment in Sustainability: Some argue that direct investment in sustainable projects or more targeted sustainability initiatives could be more effective than regulatory compliance.</w:t>
      </w:r>
    </w:p>
    <w:p w14:paraId="16695036" w14:textId="58A752E4" w:rsidR="00B837C7" w:rsidRDefault="00F4060A" w:rsidP="00F4060A">
      <w:r>
        <w:t>2.</w:t>
      </w:r>
      <w:r>
        <w:tab/>
        <w:t>Technological Innovation: Investing in technologies that directly contribute to sustainability (like renewable energy or efficient resource management systems) might offer more tangible benefits.</w:t>
      </w:r>
    </w:p>
    <w:p w14:paraId="7D52DBFA" w14:textId="77777777" w:rsidR="00F4060A" w:rsidRDefault="00F4060A" w:rsidP="00F4060A"/>
    <w:p w14:paraId="6D9F4A65" w14:textId="77777777" w:rsidR="00F4060A" w:rsidRDefault="00F4060A" w:rsidP="00F4060A"/>
    <w:p w14:paraId="731BFF80" w14:textId="77777777" w:rsidR="00F4060A" w:rsidRPr="002F3986" w:rsidRDefault="00F4060A" w:rsidP="00F4060A">
      <w:pPr>
        <w:rPr>
          <w:color w:val="00B0F0"/>
        </w:rPr>
      </w:pPr>
      <w:r w:rsidRPr="002F3986">
        <w:rPr>
          <w:color w:val="00B0F0"/>
        </w:rPr>
        <w:t>3.2.9.1</w:t>
      </w:r>
    </w:p>
    <w:p w14:paraId="1425CE69" w14:textId="77777777" w:rsidR="00F4060A" w:rsidRDefault="00F4060A" w:rsidP="00F4060A">
      <w:r>
        <w:t xml:space="preserve">Decile and peer comparison is troublesome and generally not useful unless the product sits in a highly populated field. It could be possible to require it but allow asset managers to decide on their own peer </w:t>
      </w:r>
      <w:proofErr w:type="gramStart"/>
      <w:r>
        <w:t>group</w:t>
      </w:r>
      <w:proofErr w:type="gramEnd"/>
      <w:r>
        <w:t xml:space="preserve"> but this creates additional problems.</w:t>
      </w:r>
    </w:p>
    <w:p w14:paraId="096C4B78" w14:textId="77777777" w:rsidR="00F4060A" w:rsidRDefault="00F4060A" w:rsidP="00F4060A">
      <w:r>
        <w:t xml:space="preserve">This also seems to refer to which information to benchmark as well, we haven’t touched upon that here, I’d mention </w:t>
      </w:r>
      <w:proofErr w:type="gramStart"/>
      <w:r>
        <w:t>impact  reported</w:t>
      </w:r>
      <w:proofErr w:type="gramEnd"/>
      <w:r>
        <w:t xml:space="preserve"> but that is the GSS in me, I’m not sure what is more relevant for funds here.</w:t>
      </w:r>
    </w:p>
    <w:p w14:paraId="0012FA61" w14:textId="77777777" w:rsidR="00F4060A" w:rsidRDefault="00F4060A" w:rsidP="00F4060A"/>
    <w:p w14:paraId="59F38FFB" w14:textId="77777777" w:rsidR="00F4060A" w:rsidRDefault="00F4060A" w:rsidP="00F4060A"/>
    <w:p w14:paraId="1AC209EE" w14:textId="77777777" w:rsidR="00F4060A" w:rsidRPr="00A13CAB" w:rsidRDefault="00F4060A" w:rsidP="00F4060A">
      <w:pPr>
        <w:rPr>
          <w:color w:val="00B0F0"/>
        </w:rPr>
      </w:pPr>
      <w:r w:rsidRPr="00A13CAB">
        <w:rPr>
          <w:color w:val="00B0F0"/>
        </w:rPr>
        <w:t>4.3.2</w:t>
      </w:r>
    </w:p>
    <w:p w14:paraId="2103BFA3" w14:textId="77777777" w:rsidR="00F4060A" w:rsidRDefault="00F4060A" w:rsidP="00F4060A">
      <w:r>
        <w:t xml:space="preserve">Basing any categorisation on an arbitrary benchmark would limit innovative sustainability strategies. The product categorisation should be established regardless of the PAB &amp; CTB and the PAB &amp; CTB should have to change their design to fit into the categorisation. If the categorisation were based upon these benchmarks, any investments with significant tracking error variation would potentially </w:t>
      </w:r>
      <w:r>
        <w:lastRenderedPageBreak/>
        <w:t xml:space="preserve">not fit into a category regardless of their sustainability credentials. The categorisations must remain credible and therefore independent </w:t>
      </w:r>
      <w:proofErr w:type="gramStart"/>
      <w:r>
        <w:t>in order for</w:t>
      </w:r>
      <w:proofErr w:type="gramEnd"/>
      <w:r>
        <w:t xml:space="preserve"> investment managers to provide solutions for their clients without a constraining centralised view on what benchmark ESG behaviour looks like. For example, if you based a category on the MSCI world and then a fund wanted to be included in the same category with a 5% TE with a significantly better sustainability profile, the fund would not fit the categorisation due to the deviation from the benchmark. The question implies that the PAB &amp; CTB benchmarks are credible sustainability offerings, something we belief is firmly not the case.</w:t>
      </w:r>
    </w:p>
    <w:p w14:paraId="27DB9154" w14:textId="77777777" w:rsidR="00F4060A" w:rsidRDefault="00F4060A" w:rsidP="00F4060A"/>
    <w:p w14:paraId="1CDB0E58" w14:textId="77777777" w:rsidR="00F4060A" w:rsidRDefault="00F4060A" w:rsidP="00F4060A"/>
    <w:sectPr w:rsidR="00F406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0A"/>
    <w:rsid w:val="00B837C7"/>
    <w:rsid w:val="00F4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651B0"/>
  <w15:chartTrackingRefBased/>
  <w15:docId w15:val="{4C366D80-7F28-4CB1-BD34-F709AA8C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Bhavik Parekh</dc:creator>
  <cp:keywords/>
  <dc:description/>
  <cp:lastModifiedBy>Bhavik Parekh</cp:lastModifiedBy>
  <cp:revision>1</cp:revision>
  <dcterms:created xsi:type="dcterms:W3CDTF">2023-12-19T14:16:00Z</dcterms:created>
  <dcterms:modified xsi:type="dcterms:W3CDTF">2023-12-19T14:18:00Z</dcterms:modified>
</cp:coreProperties>
</file>