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F7BA4" w14:textId="50D97596" w:rsidR="00F003E4" w:rsidRPr="00F003E4" w:rsidRDefault="00F003E4" w:rsidP="00F003E4">
      <w:pPr>
        <w:pStyle w:val="TSBodyText"/>
        <w:jc w:val="center"/>
        <w:rPr>
          <w:b/>
          <w:bCs/>
          <w:i/>
          <w:iCs/>
        </w:rPr>
      </w:pPr>
      <w:proofErr w:type="spellStart"/>
      <w:r w:rsidRPr="00F003E4">
        <w:rPr>
          <w:b/>
          <w:bCs/>
        </w:rPr>
        <w:t>iCI</w:t>
      </w:r>
      <w:proofErr w:type="spellEnd"/>
      <w:r w:rsidRPr="00F003E4">
        <w:rPr>
          <w:b/>
          <w:bCs/>
        </w:rPr>
        <w:t xml:space="preserve"> approach to SFDR II</w:t>
      </w:r>
    </w:p>
    <w:p w14:paraId="67069FE4" w14:textId="4E232D1F" w:rsidR="00F003E4" w:rsidRPr="00F003E4" w:rsidRDefault="00F003E4" w:rsidP="00F003E4">
      <w:pPr>
        <w:pStyle w:val="TSBodyText"/>
        <w:jc w:val="center"/>
        <w:rPr>
          <w:b/>
          <w:bCs/>
          <w:i/>
          <w:iCs/>
        </w:rPr>
      </w:pPr>
      <w:r w:rsidRPr="00F003E4">
        <w:rPr>
          <w:b/>
          <w:bCs/>
          <w:i/>
          <w:iCs/>
        </w:rPr>
        <w:t>In the context of the European Commission consultation on the SFDR review</w:t>
      </w:r>
    </w:p>
    <w:p w14:paraId="5EA7F9F2" w14:textId="3E8198A9" w:rsidR="00F003E4" w:rsidRDefault="00F003E4" w:rsidP="00F003E4">
      <w:pPr>
        <w:pStyle w:val="TSBodyText"/>
        <w:jc w:val="right"/>
      </w:pPr>
      <w:r>
        <w:t>2</w:t>
      </w:r>
      <w:r w:rsidR="003333A8">
        <w:t>2</w:t>
      </w:r>
      <w:r>
        <w:t xml:space="preserve"> December 2023</w:t>
      </w:r>
    </w:p>
    <w:p w14:paraId="659E9E66" w14:textId="0592C1FA" w:rsidR="00F003E4" w:rsidRDefault="00F003E4" w:rsidP="00F003E4">
      <w:pPr>
        <w:pStyle w:val="TSBodyText"/>
      </w:pPr>
      <w:proofErr w:type="spellStart"/>
      <w:r>
        <w:t>iCI</w:t>
      </w:r>
      <w:proofErr w:type="spellEnd"/>
      <w:r>
        <w:t xml:space="preserve"> welcomes the opportunity to participate in the </w:t>
      </w:r>
      <w:hyperlink r:id="rId7" w:history="1">
        <w:r w:rsidRPr="00F003E4">
          <w:rPr>
            <w:rStyle w:val="Hyperlink"/>
          </w:rPr>
          <w:t>European Commission</w:t>
        </w:r>
        <w:r w:rsidR="008C329E">
          <w:rPr>
            <w:rStyle w:val="Hyperlink"/>
          </w:rPr>
          <w:t>'</w:t>
        </w:r>
        <w:r w:rsidRPr="00F003E4">
          <w:rPr>
            <w:rStyle w:val="Hyperlink"/>
          </w:rPr>
          <w:t>s targeted consultation</w:t>
        </w:r>
      </w:hyperlink>
      <w:r>
        <w:t xml:space="preserve"> (the </w:t>
      </w:r>
      <w:r w:rsidR="008C329E">
        <w:t>"</w:t>
      </w:r>
      <w:r w:rsidRPr="00F003E4">
        <w:rPr>
          <w:b/>
          <w:bCs/>
        </w:rPr>
        <w:t>Consultation</w:t>
      </w:r>
      <w:r w:rsidR="008C329E">
        <w:t>"</w:t>
      </w:r>
      <w:r>
        <w:t xml:space="preserve">) on the implementation of the Sustainable Finance Disclosure Regulation (SFDR). The ongoing implementation and application of the SFDR and the interplay with the EU Taxonomy Regulation remain a key operational issue for both private fund managers and investors and hence, a key priority for </w:t>
      </w:r>
      <w:proofErr w:type="spellStart"/>
      <w:r>
        <w:t>iCI</w:t>
      </w:r>
      <w:proofErr w:type="spellEnd"/>
      <w:r>
        <w:t>.</w:t>
      </w:r>
    </w:p>
    <w:p w14:paraId="6B2FE1FE" w14:textId="79B9F972" w:rsidR="00F003E4" w:rsidRDefault="00F003E4" w:rsidP="00F003E4">
      <w:pPr>
        <w:pStyle w:val="TSBodyText"/>
      </w:pPr>
      <w:r>
        <w:t xml:space="preserve">The Initiative </w:t>
      </w:r>
      <w:proofErr w:type="spellStart"/>
      <w:r>
        <w:t>Climat</w:t>
      </w:r>
      <w:proofErr w:type="spellEnd"/>
      <w:r>
        <w:t xml:space="preserve"> International (</w:t>
      </w:r>
      <w:proofErr w:type="spellStart"/>
      <w:r>
        <w:t>iCI</w:t>
      </w:r>
      <w:proofErr w:type="spellEnd"/>
      <w:r>
        <w:t xml:space="preserve">) is a global practitioner-led community of private equity firms and investors that seek to better understand and manage the risks associated with climate change. The </w:t>
      </w:r>
      <w:proofErr w:type="spellStart"/>
      <w:r>
        <w:t>iCI</w:t>
      </w:r>
      <w:proofErr w:type="spellEnd"/>
      <w:r>
        <w:t xml:space="preserve"> was originally launched as the iC20 (Initiative </w:t>
      </w:r>
      <w:proofErr w:type="spellStart"/>
      <w:r>
        <w:t>Climat</w:t>
      </w:r>
      <w:proofErr w:type="spellEnd"/>
      <w:r>
        <w:t xml:space="preserve"> 2020) in 2015 by a group of French Private Equity (PE) firms to contribute to achieving the Paris Agreement</w:t>
      </w:r>
      <w:r w:rsidR="008C329E">
        <w:t>'</w:t>
      </w:r>
      <w:r>
        <w:t xml:space="preserve">s objectives. The </w:t>
      </w:r>
      <w:proofErr w:type="spellStart"/>
      <w:r>
        <w:t>iCI</w:t>
      </w:r>
      <w:proofErr w:type="spellEnd"/>
      <w:r>
        <w:t xml:space="preserve"> has since expanded internally and now counts some 212 firms representing over US$3.4 trillion in AUM as of 1st October 2022. </w:t>
      </w:r>
      <w:proofErr w:type="spellStart"/>
      <w:r>
        <w:t>iCI</w:t>
      </w:r>
      <w:r w:rsidR="008C329E">
        <w:t>'</w:t>
      </w:r>
      <w:r>
        <w:t>s</w:t>
      </w:r>
      <w:proofErr w:type="spellEnd"/>
      <w:r>
        <w:t xml:space="preserve"> members share a commitment to reduce carbon emissions of PE-backed companies and secure sustainable investment performance by recognizing and incorporating the materiality of climate risk, and to effectively analyse and manage climate-related financial risk and greenhouse gas (GHG) emissions in their PE portfolios. The </w:t>
      </w:r>
      <w:proofErr w:type="spellStart"/>
      <w:r>
        <w:t>iCI</w:t>
      </w:r>
      <w:proofErr w:type="spellEnd"/>
      <w:r>
        <w:t xml:space="preserve"> is supported by the Principles for Responsible Investment (PRI), is a Supporting Partner of The Investor Agenda, and is open to all private market</w:t>
      </w:r>
      <w:r w:rsidR="008C329E">
        <w:t>'</w:t>
      </w:r>
      <w:r>
        <w:t>s firms and investors to join.</w:t>
      </w:r>
    </w:p>
    <w:p w14:paraId="137B89F0" w14:textId="10439960" w:rsidR="00AA6220" w:rsidRDefault="00F003E4" w:rsidP="00F003E4">
      <w:pPr>
        <w:pStyle w:val="TSBodyText"/>
      </w:pPr>
      <w:proofErr w:type="spellStart"/>
      <w:r>
        <w:t>iCI</w:t>
      </w:r>
      <w:proofErr w:type="spellEnd"/>
      <w:r>
        <w:t xml:space="preserve"> understands that it is materially aligned with other key market participants on a number of responses to the Consultatio</w:t>
      </w:r>
      <w:r w:rsidRPr="00B458D4">
        <w:t xml:space="preserve">n and </w:t>
      </w:r>
      <w:proofErr w:type="spellStart"/>
      <w:r w:rsidRPr="00B458D4">
        <w:t>iCI</w:t>
      </w:r>
      <w:proofErr w:type="spellEnd"/>
      <w:r w:rsidRPr="00B458D4">
        <w:t xml:space="preserve"> is </w:t>
      </w:r>
      <w:r w:rsidRPr="003333A8">
        <w:t>generally supportive of a product categorisation system</w:t>
      </w:r>
      <w:r w:rsidRPr="00B458D4">
        <w:t xml:space="preserve"> that enhances the existing disclosure categories under Articles 6, 8 and 9 of the SFDR.</w:t>
      </w:r>
      <w:r>
        <w:t xml:space="preserve"> The views set out below </w:t>
      </w:r>
      <w:r w:rsidR="003122BA">
        <w:t xml:space="preserve">accompanies our formal </w:t>
      </w:r>
      <w:r w:rsidR="009D6850">
        <w:t xml:space="preserve">consultation </w:t>
      </w:r>
      <w:r w:rsidR="003122BA">
        <w:t>response</w:t>
      </w:r>
      <w:r w:rsidR="009D6850">
        <w:t>. The</w:t>
      </w:r>
      <w:r w:rsidR="003122BA">
        <w:t xml:space="preserve"> </w:t>
      </w:r>
      <w:r w:rsidR="009D6850">
        <w:t xml:space="preserve">views expressed below and in </w:t>
      </w:r>
      <w:r w:rsidR="00CD38A6">
        <w:t xml:space="preserve">our formal </w:t>
      </w:r>
      <w:proofErr w:type="spellStart"/>
      <w:r w:rsidR="00CD38A6">
        <w:t>iCI</w:t>
      </w:r>
      <w:proofErr w:type="spellEnd"/>
      <w:r w:rsidR="00CD38A6">
        <w:t xml:space="preserve"> </w:t>
      </w:r>
      <w:r w:rsidR="009D6850">
        <w:t xml:space="preserve">consultation response </w:t>
      </w:r>
      <w:r>
        <w:t xml:space="preserve">may not represent views held by all </w:t>
      </w:r>
      <w:proofErr w:type="spellStart"/>
      <w:r>
        <w:t>iCI</w:t>
      </w:r>
      <w:proofErr w:type="spellEnd"/>
      <w:r>
        <w:t xml:space="preserve"> members.</w:t>
      </w:r>
    </w:p>
    <w:p w14:paraId="3A24C5C9" w14:textId="77777777" w:rsidR="00716148" w:rsidRDefault="00716148" w:rsidP="00F003E4">
      <w:pPr>
        <w:pStyle w:val="TSBodyText"/>
      </w:pPr>
    </w:p>
    <w:p w14:paraId="28195845" w14:textId="77777777" w:rsidR="00716148" w:rsidRDefault="00716148">
      <w:pPr>
        <w:spacing w:after="220" w:line="288" w:lineRule="auto"/>
        <w:jc w:val="left"/>
        <w:sectPr w:rsidR="00716148" w:rsidSect="00716148">
          <w:headerReference w:type="default" r:id="rId8"/>
          <w:footerReference w:type="default" r:id="rId9"/>
          <w:headerReference w:type="first" r:id="rId10"/>
          <w:footerReference w:type="first" r:id="rId11"/>
          <w:pgSz w:w="16838" w:h="11906" w:orient="landscape" w:code="9"/>
          <w:pgMar w:top="1531" w:right="851" w:bottom="1531" w:left="1418" w:header="624" w:footer="624" w:gutter="0"/>
          <w:paperSrc w:first="258" w:other="258"/>
          <w:cols w:space="708"/>
          <w:docGrid w:linePitch="360"/>
        </w:sectPr>
      </w:pPr>
    </w:p>
    <w:p w14:paraId="4FC96E35" w14:textId="764F0C5C" w:rsidR="00F003E4" w:rsidRPr="00F003E4" w:rsidRDefault="00F003E4" w:rsidP="00F003E4">
      <w:pPr>
        <w:pStyle w:val="TSHeading1"/>
        <w:rPr>
          <w:lang w:val="en-US"/>
        </w:rPr>
      </w:pPr>
      <w:r w:rsidRPr="00923646">
        <w:rPr>
          <w:lang w:val="en-US"/>
        </w:rPr>
        <w:lastRenderedPageBreak/>
        <w:t xml:space="preserve">Product categorisation </w:t>
      </w:r>
      <w:r>
        <w:rPr>
          <w:lang w:val="en-US"/>
        </w:rPr>
        <w:t>system</w:t>
      </w:r>
    </w:p>
    <w:p w14:paraId="7D95C97C" w14:textId="43E2E999" w:rsidR="00F003E4" w:rsidRPr="00364427" w:rsidRDefault="00F003E4" w:rsidP="00F003E4">
      <w:pPr>
        <w:pStyle w:val="TSBody1-2"/>
        <w:rPr>
          <w:lang w:val="en-US"/>
        </w:rPr>
      </w:pPr>
      <w:proofErr w:type="spellStart"/>
      <w:r>
        <w:rPr>
          <w:lang w:val="en-US"/>
        </w:rPr>
        <w:t>iCI</w:t>
      </w:r>
      <w:proofErr w:type="spellEnd"/>
      <w:r>
        <w:rPr>
          <w:lang w:val="en-US"/>
        </w:rPr>
        <w:t xml:space="preserve"> is supportive of </w:t>
      </w:r>
      <w:r w:rsidR="008C329E">
        <w:rPr>
          <w:lang w:val="en-US"/>
        </w:rPr>
        <w:t>"</w:t>
      </w:r>
      <w:r>
        <w:rPr>
          <w:lang w:val="en-US"/>
        </w:rPr>
        <w:t>Approach 2</w:t>
      </w:r>
      <w:r w:rsidR="008C329E">
        <w:rPr>
          <w:lang w:val="en-US"/>
        </w:rPr>
        <w:t>"</w:t>
      </w:r>
      <w:r>
        <w:rPr>
          <w:lang w:val="en-US"/>
        </w:rPr>
        <w:t xml:space="preserve">, as described in the Consultation, which proposes converting Articles 8 and 9 of SFDR into formal product categories and adding minimum criteria that underpins existing concepts within the SFDR. </w:t>
      </w:r>
      <w:proofErr w:type="spellStart"/>
      <w:r>
        <w:rPr>
          <w:lang w:val="en-US"/>
        </w:rPr>
        <w:t>iCI</w:t>
      </w:r>
      <w:proofErr w:type="spellEnd"/>
      <w:r>
        <w:rPr>
          <w:lang w:val="en-US"/>
        </w:rPr>
        <w:t xml:space="preserve"> has set out below what it proposes these new product categories would require. </w:t>
      </w:r>
    </w:p>
    <w:p w14:paraId="35F5029A" w14:textId="45B6A3B4" w:rsidR="00F003E4" w:rsidRPr="00F003E4" w:rsidRDefault="008C329E" w:rsidP="00F003E4">
      <w:pPr>
        <w:pStyle w:val="TSLv2List2"/>
        <w:rPr>
          <w:b/>
          <w:bCs/>
          <w:lang w:val="en-US"/>
        </w:rPr>
      </w:pPr>
      <w:r>
        <w:rPr>
          <w:b/>
          <w:bCs/>
          <w:lang w:val="en-US"/>
        </w:rPr>
        <w:t>"</w:t>
      </w:r>
      <w:r w:rsidR="00F003E4" w:rsidRPr="00F003E4">
        <w:rPr>
          <w:b/>
          <w:bCs/>
          <w:lang w:val="en-US"/>
        </w:rPr>
        <w:t>New</w:t>
      </w:r>
      <w:r>
        <w:rPr>
          <w:b/>
          <w:bCs/>
          <w:lang w:val="en-US"/>
        </w:rPr>
        <w:t>"</w:t>
      </w:r>
      <w:r w:rsidR="00F003E4" w:rsidRPr="00F003E4">
        <w:rPr>
          <w:b/>
          <w:bCs/>
          <w:lang w:val="en-US"/>
        </w:rPr>
        <w:t xml:space="preserve"> SFDR II Article 8 </w:t>
      </w:r>
    </w:p>
    <w:p w14:paraId="0B5B2EE4" w14:textId="5BE04374" w:rsidR="00F003E4" w:rsidRPr="00150B2D" w:rsidRDefault="00F003E4" w:rsidP="00F003E4">
      <w:pPr>
        <w:pStyle w:val="TSBody3-4"/>
        <w:rPr>
          <w:rFonts w:eastAsia="Times New Roman"/>
          <w:color w:val="000000"/>
        </w:rPr>
      </w:pPr>
      <w:r w:rsidRPr="00962CEF">
        <w:rPr>
          <w:rFonts w:eastAsia="Times New Roman"/>
          <w:b/>
          <w:bCs/>
          <w:color w:val="000000"/>
        </w:rPr>
        <w:t xml:space="preserve">Minimum </w:t>
      </w:r>
      <w:r>
        <w:rPr>
          <w:rFonts w:eastAsia="Times New Roman"/>
          <w:b/>
          <w:bCs/>
          <w:color w:val="000000"/>
        </w:rPr>
        <w:t>standard</w:t>
      </w:r>
      <w:r>
        <w:rPr>
          <w:rFonts w:eastAsia="Times New Roman"/>
          <w:color w:val="000000"/>
        </w:rPr>
        <w:t xml:space="preserve">: </w:t>
      </w:r>
      <w:r w:rsidRPr="00150B2D">
        <w:rPr>
          <w:rFonts w:eastAsia="Times New Roman"/>
          <w:color w:val="000000"/>
        </w:rPr>
        <w:t xml:space="preserve">In respect of all or a specified minimum proportion of investments, the manager must commit to </w:t>
      </w:r>
      <w:r w:rsidR="008C329E">
        <w:rPr>
          <w:rFonts w:eastAsia="Times New Roman"/>
          <w:color w:val="000000"/>
        </w:rPr>
        <w:t>"</w:t>
      </w:r>
      <w:r w:rsidRPr="00150B2D">
        <w:rPr>
          <w:rFonts w:eastAsia="Times New Roman"/>
          <w:color w:val="000000"/>
        </w:rPr>
        <w:t>binding elements</w:t>
      </w:r>
      <w:r w:rsidR="008C329E">
        <w:rPr>
          <w:rFonts w:eastAsia="Times New Roman"/>
          <w:color w:val="000000"/>
        </w:rPr>
        <w:t>"</w:t>
      </w:r>
      <w:r w:rsidRPr="00150B2D">
        <w:rPr>
          <w:rFonts w:eastAsia="Times New Roman"/>
          <w:color w:val="000000"/>
        </w:rPr>
        <w:t xml:space="preserve"> with an ex-ante and/or ex-post effect on the fund</w:t>
      </w:r>
      <w:r w:rsidR="008C329E">
        <w:rPr>
          <w:rFonts w:eastAsia="Times New Roman"/>
          <w:color w:val="000000"/>
        </w:rPr>
        <w:t>'</w:t>
      </w:r>
      <w:r w:rsidRPr="00150B2D">
        <w:rPr>
          <w:rFonts w:eastAsia="Times New Roman"/>
          <w:color w:val="000000"/>
        </w:rPr>
        <w:t xml:space="preserve">s investments, either by: </w:t>
      </w:r>
    </w:p>
    <w:p w14:paraId="4422A1DE" w14:textId="1C442083" w:rsidR="00F003E4" w:rsidRPr="00150B2D" w:rsidRDefault="00F003E4" w:rsidP="00F003E4">
      <w:pPr>
        <w:pStyle w:val="TSLv3List2"/>
      </w:pPr>
      <w:r w:rsidRPr="00150B2D">
        <w:t>selecting or excluding investments in order to meet a clear characteristic or investment objective (thereby narrowing the fund</w:t>
      </w:r>
      <w:r w:rsidR="008C329E">
        <w:t>'</w:t>
      </w:r>
      <w:r w:rsidRPr="00150B2D">
        <w:t>s investment universe); and/or</w:t>
      </w:r>
    </w:p>
    <w:p w14:paraId="00737255" w14:textId="37B3DD32" w:rsidR="00F003E4" w:rsidRPr="007D056F" w:rsidRDefault="00F003E4" w:rsidP="00F003E4">
      <w:pPr>
        <w:pStyle w:val="TSLv3List2"/>
      </w:pPr>
      <w:r w:rsidRPr="00150B2D">
        <w:t xml:space="preserve">pursuing a meaningful stewardship strategy to achieve outcomes after an investment has been made.  </w:t>
      </w:r>
    </w:p>
    <w:p w14:paraId="5AB8C9E8" w14:textId="0A39A01C" w:rsidR="00F003E4" w:rsidRDefault="00F003E4" w:rsidP="00F003E4">
      <w:pPr>
        <w:pStyle w:val="TSBody3-4"/>
        <w:rPr>
          <w:rFonts w:eastAsia="Times New Roman"/>
          <w:color w:val="000000"/>
        </w:rPr>
      </w:pPr>
      <w:r w:rsidRPr="007D056F">
        <w:rPr>
          <w:rFonts w:eastAsia="Times New Roman"/>
          <w:color w:val="000000"/>
        </w:rPr>
        <w:t>A product under this category may, but is not required to, be in line with the definitions of the Principles for Responsible Investment (PRI) for responsible investing approaches.</w:t>
      </w:r>
      <w:r>
        <w:rPr>
          <w:rFonts w:eastAsia="Times New Roman"/>
          <w:color w:val="000000"/>
        </w:rPr>
        <w:t xml:space="preserve"> </w:t>
      </w:r>
      <w:r w:rsidRPr="007D056F">
        <w:rPr>
          <w:rFonts w:eastAsia="Times New Roman"/>
          <w:color w:val="000000"/>
        </w:rPr>
        <w:t>An ambitious exclusion screen may be eligible under provision (a) if it meets specific set rules.</w:t>
      </w:r>
    </w:p>
    <w:p w14:paraId="2E352C71" w14:textId="57574A9B" w:rsidR="00F003E4" w:rsidRPr="00F003E4" w:rsidRDefault="00F003E4" w:rsidP="00F003E4">
      <w:pPr>
        <w:pStyle w:val="TSBody3-4"/>
        <w:rPr>
          <w:rFonts w:eastAsia="Times New Roman"/>
          <w:color w:val="000000"/>
        </w:rPr>
      </w:pPr>
      <w:r>
        <w:rPr>
          <w:rFonts w:eastAsia="Times New Roman"/>
          <w:b/>
          <w:bCs/>
          <w:color w:val="000000"/>
        </w:rPr>
        <w:t xml:space="preserve">Good governance assessment: </w:t>
      </w:r>
      <w:r>
        <w:rPr>
          <w:rFonts w:eastAsia="Times New Roman"/>
          <w:color w:val="000000"/>
        </w:rPr>
        <w:t xml:space="preserve">A good governance assessment </w:t>
      </w:r>
      <w:r w:rsidR="00527C4B">
        <w:rPr>
          <w:rFonts w:eastAsia="Times New Roman"/>
          <w:color w:val="000000"/>
        </w:rPr>
        <w:t>should</w:t>
      </w:r>
      <w:r>
        <w:rPr>
          <w:rFonts w:eastAsia="Times New Roman"/>
          <w:color w:val="000000"/>
        </w:rPr>
        <w:t xml:space="preserve"> be required. </w:t>
      </w:r>
      <w:r w:rsidRPr="00CE3333">
        <w:t>However</w:t>
      </w:r>
      <w:r>
        <w:t>,</w:t>
      </w:r>
      <w:r w:rsidRPr="00CE3333">
        <w:t xml:space="preserve"> the requirement should n</w:t>
      </w:r>
      <w:r>
        <w:t>ot apply on day one but to give sufficient time to have these in place within the investee companies. It should be possible to take a proportionate approach taking into account the geography, size, nature and sector of the investee business.</w:t>
      </w:r>
    </w:p>
    <w:p w14:paraId="3923A798" w14:textId="7022F859" w:rsidR="00F003E4" w:rsidRPr="00F003E4" w:rsidRDefault="00F003E4" w:rsidP="00F003E4">
      <w:pPr>
        <w:pStyle w:val="TSBody3-4"/>
        <w:rPr>
          <w:lang w:val="en-US"/>
        </w:rPr>
      </w:pPr>
      <w:r>
        <w:rPr>
          <w:rFonts w:eastAsia="Times New Roman"/>
          <w:b/>
          <w:bCs/>
          <w:color w:val="000000"/>
        </w:rPr>
        <w:t xml:space="preserve">Consideration of PAIs: </w:t>
      </w:r>
      <w:r w:rsidRPr="007D056F">
        <w:rPr>
          <w:rFonts w:eastAsia="Times New Roman"/>
          <w:color w:val="000000"/>
        </w:rPr>
        <w:t>PAIs will not need to be considered at product level for this product category</w:t>
      </w:r>
      <w:r>
        <w:rPr>
          <w:lang w:val="en-US"/>
        </w:rPr>
        <w:t xml:space="preserve">. </w:t>
      </w:r>
    </w:p>
    <w:p w14:paraId="27E14278" w14:textId="5CCA53B3" w:rsidR="00F003E4" w:rsidRPr="00F003E4" w:rsidRDefault="008C329E" w:rsidP="00F003E4">
      <w:pPr>
        <w:pStyle w:val="TSLv2List2"/>
        <w:rPr>
          <w:b/>
          <w:bCs/>
          <w:lang w:val="en-US"/>
        </w:rPr>
      </w:pPr>
      <w:r>
        <w:rPr>
          <w:b/>
          <w:bCs/>
          <w:lang w:val="en-US"/>
        </w:rPr>
        <w:t>"</w:t>
      </w:r>
      <w:r w:rsidR="00F003E4" w:rsidRPr="00F003E4">
        <w:rPr>
          <w:b/>
          <w:bCs/>
          <w:lang w:val="en-US"/>
        </w:rPr>
        <w:t>New</w:t>
      </w:r>
      <w:r>
        <w:rPr>
          <w:b/>
          <w:bCs/>
          <w:lang w:val="en-US"/>
        </w:rPr>
        <w:t>"</w:t>
      </w:r>
      <w:r w:rsidR="00F003E4" w:rsidRPr="00F003E4">
        <w:rPr>
          <w:b/>
          <w:bCs/>
          <w:lang w:val="en-US"/>
        </w:rPr>
        <w:t xml:space="preserve"> SFDR II Article 8+</w:t>
      </w:r>
    </w:p>
    <w:p w14:paraId="5F3455F0" w14:textId="5AA19825" w:rsidR="00F003E4" w:rsidRDefault="00F003E4" w:rsidP="00F003E4">
      <w:pPr>
        <w:pStyle w:val="TSBody3-4"/>
      </w:pPr>
      <w:r w:rsidRPr="00962CEF">
        <w:rPr>
          <w:b/>
          <w:bCs/>
        </w:rPr>
        <w:t xml:space="preserve">Minimum </w:t>
      </w:r>
      <w:r>
        <w:rPr>
          <w:b/>
          <w:bCs/>
        </w:rPr>
        <w:t>standard</w:t>
      </w:r>
      <w:r>
        <w:t xml:space="preserve">: </w:t>
      </w:r>
      <w:r w:rsidRPr="00423BB3">
        <w:t xml:space="preserve">Must commit to making at least 10% Article 2(17) </w:t>
      </w:r>
      <w:r w:rsidR="008C329E">
        <w:t>"</w:t>
      </w:r>
      <w:r w:rsidRPr="00423BB3">
        <w:t>sustainable investments</w:t>
      </w:r>
      <w:r w:rsidR="008C329E">
        <w:t>"</w:t>
      </w:r>
      <w:r w:rsidRPr="00423BB3">
        <w:t xml:space="preserve"> or Taxonomy-aligned investments and up to 70% </w:t>
      </w:r>
      <w:r w:rsidR="008C329E">
        <w:t>"</w:t>
      </w:r>
      <w:r w:rsidRPr="00423BB3">
        <w:t>sustainable investments</w:t>
      </w:r>
      <w:r w:rsidR="008C329E">
        <w:t>"</w:t>
      </w:r>
      <w:r w:rsidRPr="00423BB3">
        <w:t xml:space="preserve"> and/or Taxonomy-aligned investments (distinction from </w:t>
      </w:r>
      <w:r w:rsidR="008C329E">
        <w:t>"</w:t>
      </w:r>
      <w:r w:rsidRPr="00423BB3">
        <w:t>New SFDR II Article 9</w:t>
      </w:r>
      <w:r w:rsidR="008C329E">
        <w:t>"</w:t>
      </w:r>
      <w:r w:rsidRPr="00423BB3">
        <w:t>).</w:t>
      </w:r>
    </w:p>
    <w:p w14:paraId="0ADAEEDF" w14:textId="1B944C51" w:rsidR="00F003E4" w:rsidRPr="00F003E4" w:rsidRDefault="00F003E4" w:rsidP="00F003E4">
      <w:pPr>
        <w:pStyle w:val="TSBody3-4"/>
      </w:pPr>
      <w:r>
        <w:rPr>
          <w:b/>
          <w:bCs/>
        </w:rPr>
        <w:lastRenderedPageBreak/>
        <w:t xml:space="preserve">Good governance assessment: </w:t>
      </w:r>
      <w:r>
        <w:t>Yes, with regard to</w:t>
      </w:r>
      <w:r w:rsidRPr="002A0912">
        <w:t xml:space="preserve"> the proportion of investments that are</w:t>
      </w:r>
      <w:r>
        <w:t xml:space="preserve"> not</w:t>
      </w:r>
      <w:r w:rsidRPr="002A0912">
        <w:t xml:space="preserve"> defined as (a) SFDR </w:t>
      </w:r>
      <w:r w:rsidR="008C329E">
        <w:t>"</w:t>
      </w:r>
      <w:r w:rsidRPr="002A0912">
        <w:t>sustainable investments</w:t>
      </w:r>
      <w:r w:rsidR="008C329E">
        <w:t>"</w:t>
      </w:r>
      <w:r w:rsidRPr="002A0912">
        <w:t xml:space="preserve"> or (b) Taxonomy-aligned investments (for these investments, </w:t>
      </w:r>
      <w:r w:rsidR="008C329E">
        <w:t>"</w:t>
      </w:r>
      <w:r w:rsidRPr="002A0912">
        <w:t>good governance</w:t>
      </w:r>
      <w:r w:rsidR="008C329E">
        <w:t>"</w:t>
      </w:r>
      <w:r w:rsidRPr="002A0912">
        <w:t xml:space="preserve"> is inherently included due to alignment with international standards/minimum safeguards).</w:t>
      </w:r>
      <w:r>
        <w:t xml:space="preserve"> </w:t>
      </w:r>
      <w:r w:rsidRPr="00CE3333">
        <w:t>However</w:t>
      </w:r>
      <w:r>
        <w:t>,</w:t>
      </w:r>
      <w:r w:rsidRPr="00CE3333">
        <w:t xml:space="preserve"> the requirement should n</w:t>
      </w:r>
      <w:r>
        <w:t>ot apply on day one but to give sufficient time to have these in place within the investee companies.</w:t>
      </w:r>
      <w:r w:rsidRPr="00423BB3">
        <w:t xml:space="preserve"> </w:t>
      </w:r>
      <w:r>
        <w:t>It should be possible to take a proportionate approach taking into account the geography, size, nature and sector of the investee business.</w:t>
      </w:r>
    </w:p>
    <w:p w14:paraId="0C935539" w14:textId="0EEBFA23" w:rsidR="00F003E4" w:rsidRPr="00F003E4" w:rsidRDefault="00F003E4" w:rsidP="00F003E4">
      <w:pPr>
        <w:pStyle w:val="TSBody3-4"/>
        <w:rPr>
          <w:sz w:val="24"/>
          <w:szCs w:val="24"/>
          <w:lang w:val="en-US"/>
        </w:rPr>
      </w:pPr>
      <w:r>
        <w:rPr>
          <w:b/>
          <w:bCs/>
        </w:rPr>
        <w:t xml:space="preserve">Consideration of PAIs: </w:t>
      </w:r>
      <w:r w:rsidRPr="007D056F">
        <w:t>PAIs will need to be considered at product level for this product category</w:t>
      </w:r>
      <w:r>
        <w:rPr>
          <w:sz w:val="24"/>
          <w:szCs w:val="24"/>
          <w:lang w:val="en-US"/>
        </w:rPr>
        <w:t xml:space="preserve">. </w:t>
      </w:r>
    </w:p>
    <w:p w14:paraId="0B392F85" w14:textId="2FE766D5" w:rsidR="00F003E4" w:rsidRPr="00F003E4" w:rsidRDefault="008C329E" w:rsidP="00F003E4">
      <w:pPr>
        <w:pStyle w:val="TSLv2List2"/>
        <w:rPr>
          <w:b/>
          <w:bCs/>
          <w:lang w:val="en-US"/>
        </w:rPr>
      </w:pPr>
      <w:r>
        <w:rPr>
          <w:b/>
          <w:bCs/>
          <w:lang w:val="en-US"/>
        </w:rPr>
        <w:t>"</w:t>
      </w:r>
      <w:r w:rsidR="00F003E4" w:rsidRPr="00F003E4">
        <w:rPr>
          <w:b/>
          <w:bCs/>
          <w:lang w:val="en-US"/>
        </w:rPr>
        <w:t>New</w:t>
      </w:r>
      <w:r>
        <w:rPr>
          <w:b/>
          <w:bCs/>
          <w:lang w:val="en-US"/>
        </w:rPr>
        <w:t>"</w:t>
      </w:r>
      <w:r w:rsidR="00F003E4" w:rsidRPr="00F003E4">
        <w:rPr>
          <w:b/>
          <w:bCs/>
          <w:lang w:val="en-US"/>
        </w:rPr>
        <w:t xml:space="preserve"> SFDR II Article 9</w:t>
      </w:r>
    </w:p>
    <w:p w14:paraId="68BAE7F0" w14:textId="2F61E708" w:rsidR="00F003E4" w:rsidRDefault="00F003E4" w:rsidP="00F003E4">
      <w:pPr>
        <w:pStyle w:val="TSBody3-4"/>
      </w:pPr>
      <w:r w:rsidRPr="00962CEF">
        <w:rPr>
          <w:b/>
          <w:bCs/>
        </w:rPr>
        <w:t xml:space="preserve">Minimum </w:t>
      </w:r>
      <w:r>
        <w:rPr>
          <w:b/>
          <w:bCs/>
        </w:rPr>
        <w:t>standard</w:t>
      </w:r>
      <w:r>
        <w:t xml:space="preserve">: </w:t>
      </w:r>
      <w:r w:rsidRPr="00423BB3">
        <w:t xml:space="preserve">Must commit to making more than 70% SFDR Article 2(17) </w:t>
      </w:r>
      <w:r w:rsidR="008C329E">
        <w:t>"</w:t>
      </w:r>
      <w:r w:rsidRPr="00423BB3">
        <w:t>sustainable investments</w:t>
      </w:r>
      <w:r w:rsidR="008C329E">
        <w:t>"</w:t>
      </w:r>
      <w:r w:rsidRPr="00423BB3">
        <w:t xml:space="preserve"> and/or Taxonomy-aligned investments.</w:t>
      </w:r>
    </w:p>
    <w:p w14:paraId="4FDA1382" w14:textId="77777777" w:rsidR="00F003E4" w:rsidRDefault="00F003E4" w:rsidP="00F003E4">
      <w:pPr>
        <w:pStyle w:val="TSBody3-4"/>
      </w:pPr>
      <w:r>
        <w:rPr>
          <w:b/>
          <w:bCs/>
        </w:rPr>
        <w:t xml:space="preserve">Good governance assessment: </w:t>
      </w:r>
      <w:r>
        <w:t xml:space="preserve">Yes, as above for the New Article 8+ category. </w:t>
      </w:r>
    </w:p>
    <w:p w14:paraId="24D3E582" w14:textId="77777777" w:rsidR="00F003E4" w:rsidRDefault="00F003E4" w:rsidP="00F003E4">
      <w:pPr>
        <w:pStyle w:val="TSBody3-4"/>
        <w:rPr>
          <w:lang w:val="en-US"/>
        </w:rPr>
      </w:pPr>
      <w:r>
        <w:rPr>
          <w:b/>
          <w:bCs/>
        </w:rPr>
        <w:t xml:space="preserve">Consideration of PAIs: </w:t>
      </w:r>
      <w:r w:rsidRPr="007D056F">
        <w:t>PAIs will need to be considered at product level for this product category</w:t>
      </w:r>
      <w:r>
        <w:rPr>
          <w:lang w:val="en-US"/>
        </w:rPr>
        <w:t xml:space="preserve">. </w:t>
      </w:r>
    </w:p>
    <w:p w14:paraId="76BC98C7" w14:textId="77777777" w:rsidR="00F003E4" w:rsidRDefault="00F003E4" w:rsidP="00F003E4">
      <w:pPr>
        <w:pStyle w:val="TSBody1-2"/>
        <w:rPr>
          <w:lang w:val="en-US"/>
        </w:rPr>
      </w:pPr>
      <w:r>
        <w:rPr>
          <w:lang w:val="en-US"/>
        </w:rPr>
        <w:t xml:space="preserve">To support the above, </w:t>
      </w:r>
      <w:proofErr w:type="spellStart"/>
      <w:r>
        <w:rPr>
          <w:lang w:val="en-US"/>
        </w:rPr>
        <w:t>iCI</w:t>
      </w:r>
      <w:proofErr w:type="spellEnd"/>
      <w:r>
        <w:rPr>
          <w:lang w:val="en-US"/>
        </w:rPr>
        <w:t xml:space="preserve"> proposes the following:</w:t>
      </w:r>
    </w:p>
    <w:p w14:paraId="319E8D79" w14:textId="0FA73FC5" w:rsidR="00F003E4" w:rsidRPr="00F003E4" w:rsidRDefault="00F003E4" w:rsidP="00F003E4">
      <w:pPr>
        <w:pStyle w:val="TSLv2List3"/>
        <w:rPr>
          <w:b/>
          <w:bCs/>
          <w:lang w:val="en-US"/>
        </w:rPr>
      </w:pPr>
      <w:r w:rsidRPr="00F003E4">
        <w:rPr>
          <w:b/>
          <w:bCs/>
          <w:lang w:val="en-US"/>
        </w:rPr>
        <w:t xml:space="preserve">A </w:t>
      </w:r>
      <w:r w:rsidR="008C329E">
        <w:rPr>
          <w:b/>
          <w:bCs/>
          <w:lang w:val="en-US"/>
        </w:rPr>
        <w:t>"</w:t>
      </w:r>
      <w:r w:rsidRPr="00F003E4">
        <w:rPr>
          <w:b/>
          <w:bCs/>
          <w:lang w:val="en-US"/>
        </w:rPr>
        <w:t>disclaimer rule</w:t>
      </w:r>
      <w:r w:rsidR="008C329E">
        <w:rPr>
          <w:b/>
          <w:bCs/>
          <w:lang w:val="en-US"/>
        </w:rPr>
        <w:t>"</w:t>
      </w:r>
      <w:r w:rsidRPr="00F003E4">
        <w:rPr>
          <w:b/>
          <w:bCs/>
          <w:lang w:val="en-US"/>
        </w:rPr>
        <w:t xml:space="preserve"> category</w:t>
      </w:r>
    </w:p>
    <w:p w14:paraId="43FF7665" w14:textId="2BFAF426" w:rsidR="00F003E4" w:rsidRPr="00442869" w:rsidRDefault="00F003E4" w:rsidP="00F003E4">
      <w:pPr>
        <w:pStyle w:val="TSBody3-4"/>
      </w:pPr>
      <w:r>
        <w:t>The disclaimer rule category would provide room for f</w:t>
      </w:r>
      <w:r w:rsidRPr="00442869">
        <w:t xml:space="preserve">unds, which may or may not have an ESG focus </w:t>
      </w:r>
      <w:r>
        <w:t>yet still</w:t>
      </w:r>
      <w:r w:rsidRPr="00442869">
        <w:t xml:space="preserve"> provide ESG reports to their investors</w:t>
      </w:r>
      <w:r>
        <w:t>. These</w:t>
      </w:r>
      <w:r w:rsidRPr="00442869">
        <w:t xml:space="preserve"> </w:t>
      </w:r>
      <w:r>
        <w:t>funds must</w:t>
      </w:r>
      <w:r w:rsidRPr="00442869">
        <w:t xml:space="preserve"> prominently caution in all fund and marketing literature that </w:t>
      </w:r>
      <w:r w:rsidR="008C329E">
        <w:t>"</w:t>
      </w:r>
      <w:r w:rsidRPr="00442869">
        <w:t>EU law does not oversee any ESG commitments this product might present (if any) other than demanding all declarations to be clear, fair and not misleading, and EU SFDR disclosure requirements do not pertain</w:t>
      </w:r>
      <w:r>
        <w:t xml:space="preserve"> </w:t>
      </w:r>
      <w:r w:rsidRPr="00442869">
        <w:t>to this fund</w:t>
      </w:r>
      <w:r w:rsidR="008C329E">
        <w:t>"</w:t>
      </w:r>
      <w:r w:rsidRPr="00442869">
        <w:t>.</w:t>
      </w:r>
    </w:p>
    <w:p w14:paraId="03C46C8D" w14:textId="6C6C8854" w:rsidR="00F003E4" w:rsidRDefault="00F003E4" w:rsidP="00F003E4">
      <w:pPr>
        <w:pStyle w:val="TSBody3-4"/>
      </w:pPr>
      <w:r w:rsidRPr="00442869">
        <w:t xml:space="preserve">This </w:t>
      </w:r>
      <w:r>
        <w:t>category</w:t>
      </w:r>
      <w:r w:rsidRPr="00442869">
        <w:t xml:space="preserve"> </w:t>
      </w:r>
      <w:r>
        <w:t>would be</w:t>
      </w:r>
      <w:r w:rsidRPr="00442869">
        <w:t xml:space="preserve"> exclusively available for funds directly marketed to professional investors.</w:t>
      </w:r>
    </w:p>
    <w:p w14:paraId="0AC71EB8" w14:textId="107A8266" w:rsidR="00F003E4" w:rsidRPr="00F003E4" w:rsidRDefault="00F003E4" w:rsidP="00F003E4">
      <w:pPr>
        <w:pStyle w:val="TSLv2List3"/>
        <w:rPr>
          <w:rFonts w:eastAsia="Times New Roman"/>
          <w:color w:val="000000"/>
        </w:rPr>
      </w:pPr>
      <w:r w:rsidRPr="00F003E4">
        <w:rPr>
          <w:b/>
          <w:bCs/>
          <w:lang w:val="en-US"/>
        </w:rPr>
        <w:t xml:space="preserve">Amending the definition of </w:t>
      </w:r>
      <w:r w:rsidR="008C329E">
        <w:rPr>
          <w:b/>
          <w:bCs/>
          <w:lang w:val="en-US"/>
        </w:rPr>
        <w:t>"</w:t>
      </w:r>
      <w:r w:rsidRPr="00F003E4">
        <w:rPr>
          <w:b/>
          <w:bCs/>
          <w:lang w:val="en-US"/>
        </w:rPr>
        <w:t>sustainable investment</w:t>
      </w:r>
      <w:r w:rsidR="008C329E">
        <w:rPr>
          <w:lang w:val="en-US"/>
        </w:rPr>
        <w:t>"</w:t>
      </w:r>
    </w:p>
    <w:p w14:paraId="13F221D5" w14:textId="568F9E23" w:rsidR="00F003E4" w:rsidRPr="007D056F" w:rsidRDefault="00F003E4" w:rsidP="00F003E4">
      <w:pPr>
        <w:pStyle w:val="TSBody3-4"/>
      </w:pPr>
      <w:r w:rsidRPr="007D056F">
        <w:t xml:space="preserve">The definition of </w:t>
      </w:r>
      <w:r w:rsidR="008C329E">
        <w:t>"</w:t>
      </w:r>
      <w:r w:rsidRPr="007D056F">
        <w:t>sustainable investment</w:t>
      </w:r>
      <w:r w:rsidR="008C329E">
        <w:t>"</w:t>
      </w:r>
      <w:r w:rsidRPr="007D056F">
        <w:t xml:space="preserve"> in SFDR Article 2(17) should be revised to: </w:t>
      </w:r>
    </w:p>
    <w:p w14:paraId="265DFA91" w14:textId="3F961447" w:rsidR="00F003E4" w:rsidRPr="007D056F" w:rsidRDefault="00F003E4" w:rsidP="00716148">
      <w:pPr>
        <w:pStyle w:val="TSLv3List2"/>
        <w:numPr>
          <w:ilvl w:val="0"/>
          <w:numId w:val="20"/>
        </w:numPr>
      </w:pPr>
      <w:r>
        <w:lastRenderedPageBreak/>
        <w:t>i</w:t>
      </w:r>
      <w:r w:rsidRPr="007D056F">
        <w:t xml:space="preserve">nclude investments that may not initially be sustainable, but possess a </w:t>
      </w:r>
      <w:r w:rsidR="00987F09">
        <w:t xml:space="preserve">credible </w:t>
      </w:r>
      <w:r w:rsidRPr="007D056F">
        <w:t xml:space="preserve">pathway to </w:t>
      </w:r>
      <w:r w:rsidR="00EE5A92">
        <w:t xml:space="preserve">becoming </w:t>
      </w:r>
      <w:r w:rsidRPr="007D056F">
        <w:t>sustainab</w:t>
      </w:r>
      <w:r w:rsidR="00EE5A92">
        <w:t>le</w:t>
      </w:r>
      <w:r w:rsidRPr="007D056F">
        <w:t xml:space="preserve"> within an acceptable time frame, which would be determined based on ESG topic, geographical and sector-specific criteria, and contingent on particular measures supported by an underlying budget. This would include transition and impact investments.</w:t>
      </w:r>
    </w:p>
    <w:p w14:paraId="1C29B3FC" w14:textId="7B94C6CC" w:rsidR="00F003E4" w:rsidRPr="00F003E4" w:rsidRDefault="00F003E4" w:rsidP="00F003E4">
      <w:pPr>
        <w:pStyle w:val="TSLv3List2"/>
      </w:pPr>
      <w:r>
        <w:t>i</w:t>
      </w:r>
      <w:r w:rsidRPr="007D056F">
        <w:t>ncorporate an express materiality qualifier to the Do No Significant Harm (DNSH) test.</w:t>
      </w:r>
    </w:p>
    <w:p w14:paraId="71BFC67F" w14:textId="77777777" w:rsidR="00F003E4" w:rsidRPr="0036376D" w:rsidRDefault="00F003E4" w:rsidP="00F003E4">
      <w:pPr>
        <w:pStyle w:val="TSHeading1"/>
        <w:rPr>
          <w:lang w:val="en-US"/>
        </w:rPr>
      </w:pPr>
      <w:r>
        <w:rPr>
          <w:color w:val="000000"/>
        </w:rPr>
        <w:t xml:space="preserve">Key </w:t>
      </w:r>
      <w:r w:rsidRPr="00B5401F">
        <w:rPr>
          <w:lang w:val="en-US"/>
        </w:rPr>
        <w:t>priorities</w:t>
      </w:r>
      <w:r>
        <w:rPr>
          <w:color w:val="000000"/>
        </w:rPr>
        <w:t xml:space="preserve"> </w:t>
      </w:r>
    </w:p>
    <w:p w14:paraId="55BE7893" w14:textId="77777777" w:rsidR="00F003E4" w:rsidRDefault="00F003E4" w:rsidP="00F003E4">
      <w:pPr>
        <w:pStyle w:val="TSBody1-2"/>
      </w:pPr>
      <w:r>
        <w:t xml:space="preserve">In addition to the development of a product categorisation system, </w:t>
      </w:r>
      <w:proofErr w:type="spellStart"/>
      <w:r>
        <w:t>iCI</w:t>
      </w:r>
      <w:proofErr w:type="spellEnd"/>
      <w:r>
        <w:t xml:space="preserve"> believes it is imperative to consider and address the following issues: </w:t>
      </w:r>
    </w:p>
    <w:p w14:paraId="20514E69" w14:textId="217208DD" w:rsidR="00F003E4" w:rsidRPr="006A165C" w:rsidRDefault="00F003E4" w:rsidP="00716148">
      <w:pPr>
        <w:pStyle w:val="TSLv2List2"/>
        <w:numPr>
          <w:ilvl w:val="0"/>
          <w:numId w:val="21"/>
        </w:numPr>
      </w:pPr>
      <w:r w:rsidRPr="00F003E4">
        <w:rPr>
          <w:b/>
          <w:bCs/>
          <w:sz w:val="24"/>
          <w:szCs w:val="24"/>
          <w:u w:val="single"/>
          <w:lang w:val="en-US"/>
        </w:rPr>
        <w:t>Grandfathering</w:t>
      </w:r>
      <w:r w:rsidRPr="00C831A8">
        <w:t>:</w:t>
      </w:r>
      <w:r>
        <w:t xml:space="preserve"> </w:t>
      </w:r>
      <w:r w:rsidRPr="00D202F3">
        <w:t xml:space="preserve">Private funds, </w:t>
      </w:r>
      <w:r>
        <w:t xml:space="preserve">which are typically </w:t>
      </w:r>
      <w:r w:rsidRPr="00D202F3">
        <w:t xml:space="preserve">closed-ended and long-term, should be allowed to </w:t>
      </w:r>
      <w:r>
        <w:t>disclose</w:t>
      </w:r>
      <w:r w:rsidRPr="00D202F3">
        <w:t xml:space="preserve"> </w:t>
      </w:r>
      <w:r>
        <w:t>under the existing requirements</w:t>
      </w:r>
      <w:r w:rsidRPr="00D202F3">
        <w:t xml:space="preserve"> for the </w:t>
      </w:r>
      <w:r>
        <w:t xml:space="preserve">remaining </w:t>
      </w:r>
      <w:r w:rsidRPr="00D202F3">
        <w:t xml:space="preserve">life of </w:t>
      </w:r>
      <w:r>
        <w:t>the</w:t>
      </w:r>
      <w:r w:rsidRPr="00D202F3">
        <w:t xml:space="preserve"> product.</w:t>
      </w:r>
      <w:r>
        <w:t xml:space="preserve"> </w:t>
      </w:r>
      <w:r w:rsidRPr="006A165C">
        <w:t>All closed-ended funds (whether</w:t>
      </w:r>
      <w:r>
        <w:t xml:space="preserve"> disclosing under</w:t>
      </w:r>
      <w:r w:rsidRPr="006A165C">
        <w:t xml:space="preserve"> Article 6, 8 or 9) which were fully closed</w:t>
      </w:r>
      <w:r>
        <w:t xml:space="preserve"> to new EU investors, or established and in the process of concluded their fundraising period,</w:t>
      </w:r>
      <w:r w:rsidRPr="006A165C">
        <w:t xml:space="preserve"> as at the date of SFDR II</w:t>
      </w:r>
      <w:r w:rsidR="008C329E">
        <w:t>'</w:t>
      </w:r>
      <w:r w:rsidRPr="006A165C">
        <w:t>s application should be optionally exempt from SFDR II requirements providing that they continue disclosing to investors in line with SFDR I requirements.</w:t>
      </w:r>
    </w:p>
    <w:p w14:paraId="45E6505B" w14:textId="36728F67" w:rsidR="00F003E4" w:rsidRDefault="00F003E4" w:rsidP="00F003E4">
      <w:pPr>
        <w:pStyle w:val="TSBody3-4"/>
      </w:pPr>
      <w:r w:rsidRPr="006A165C">
        <w:t>Open-ended products should be subject to an 18-month transition period starting on the date of SFDR II</w:t>
      </w:r>
      <w:r w:rsidR="008C329E">
        <w:t>'</w:t>
      </w:r>
      <w:r w:rsidRPr="006A165C">
        <w:t>s application permitting them to either change the strategy to keep the classification or to scale down and permitting investors to redeem.</w:t>
      </w:r>
    </w:p>
    <w:p w14:paraId="7CC2093B" w14:textId="712E89B7" w:rsidR="00F003E4" w:rsidRDefault="00F003E4" w:rsidP="00F003E4">
      <w:pPr>
        <w:pStyle w:val="TSLv2List2"/>
      </w:pPr>
      <w:r w:rsidRPr="00B5401F">
        <w:rPr>
          <w:b/>
          <w:bCs/>
          <w:sz w:val="24"/>
          <w:szCs w:val="24"/>
          <w:u w:val="single"/>
          <w:lang w:val="en-US"/>
        </w:rPr>
        <w:t>Website</w:t>
      </w:r>
      <w:r w:rsidRPr="00E60F72">
        <w:rPr>
          <w:u w:val="single"/>
        </w:rPr>
        <w:t xml:space="preserve"> </w:t>
      </w:r>
      <w:r w:rsidRPr="00B5401F">
        <w:rPr>
          <w:b/>
          <w:bCs/>
          <w:sz w:val="24"/>
          <w:szCs w:val="24"/>
          <w:u w:val="single"/>
          <w:lang w:val="en-US"/>
        </w:rPr>
        <w:t>disclosures</w:t>
      </w:r>
      <w:r>
        <w:t>: Firms</w:t>
      </w:r>
      <w:r w:rsidRPr="00D202F3">
        <w:t xml:space="preserve"> are obligated to disclose information publicly concerning the SFDR contents of their fund documents. However, other global </w:t>
      </w:r>
      <w:r>
        <w:t>laws</w:t>
      </w:r>
      <w:r w:rsidRPr="00D202F3">
        <w:t xml:space="preserve"> limit private funds from making their offering documents available to the public.</w:t>
      </w:r>
      <w:r>
        <w:t xml:space="preserve"> </w:t>
      </w:r>
      <w:r w:rsidRPr="00E60F72">
        <w:t>Obligations to disclose information publicly on websites under SFDR II should be limited to retail funds, or funds that are offered publicly. Private funds should be given the choice to share product level disclosures with investors</w:t>
      </w:r>
      <w:r w:rsidR="008C329E">
        <w:t xml:space="preserve"> – </w:t>
      </w:r>
      <w:r w:rsidRPr="00E60F72">
        <w:t>this could be done through password-protected website access, or any other method with comparable results.</w:t>
      </w:r>
      <w:r>
        <w:t xml:space="preserve"> </w:t>
      </w:r>
      <w:r w:rsidR="004A1A1F">
        <w:t xml:space="preserve">In addition, </w:t>
      </w:r>
      <w:r w:rsidR="00BB0AF0">
        <w:t>we considered th</w:t>
      </w:r>
      <w:r w:rsidR="00120DDD">
        <w:t>at</w:t>
      </w:r>
      <w:r w:rsidR="00111C52">
        <w:t xml:space="preserve"> private funds should not be</w:t>
      </w:r>
      <w:r w:rsidR="00BB0AF0">
        <w:t xml:space="preserve"> </w:t>
      </w:r>
      <w:r w:rsidR="00171636">
        <w:t xml:space="preserve">requirement to </w:t>
      </w:r>
      <w:r w:rsidR="004A1A1F" w:rsidRPr="00E67D9E">
        <w:rPr>
          <w:rFonts w:eastAsia="Times New Roman"/>
          <w:color w:val="000000"/>
        </w:rPr>
        <w:t>translat</w:t>
      </w:r>
      <w:r w:rsidR="00171636">
        <w:rPr>
          <w:rFonts w:eastAsia="Times New Roman"/>
          <w:color w:val="000000"/>
        </w:rPr>
        <w:t>e</w:t>
      </w:r>
      <w:r w:rsidR="004A1A1F" w:rsidRPr="00E67D9E">
        <w:rPr>
          <w:rFonts w:eastAsia="Times New Roman"/>
          <w:color w:val="000000"/>
        </w:rPr>
        <w:t xml:space="preserve"> the </w:t>
      </w:r>
      <w:r w:rsidR="004A1A1F">
        <w:rPr>
          <w:rFonts w:eastAsia="Times New Roman"/>
          <w:color w:val="000000"/>
        </w:rPr>
        <w:t>“</w:t>
      </w:r>
      <w:r w:rsidR="004A1A1F" w:rsidRPr="00E67D9E">
        <w:rPr>
          <w:rFonts w:eastAsia="Times New Roman"/>
          <w:color w:val="000000"/>
        </w:rPr>
        <w:t>Summary</w:t>
      </w:r>
      <w:r w:rsidR="004A1A1F">
        <w:rPr>
          <w:rFonts w:eastAsia="Times New Roman"/>
          <w:color w:val="000000"/>
        </w:rPr>
        <w:t>”</w:t>
      </w:r>
      <w:r w:rsidR="004A1A1F" w:rsidRPr="00E67D9E">
        <w:rPr>
          <w:rFonts w:eastAsia="Times New Roman"/>
          <w:color w:val="000000"/>
        </w:rPr>
        <w:t xml:space="preserve"> section of the website disclosure into one of the official languages of each host EU member state where a financial product is made available </w:t>
      </w:r>
      <w:r w:rsidR="003A0BC3">
        <w:rPr>
          <w:rFonts w:eastAsia="Times New Roman"/>
          <w:color w:val="000000"/>
        </w:rPr>
        <w:t xml:space="preserve">as </w:t>
      </w:r>
      <w:r w:rsidR="004A1A1F" w:rsidRPr="00E67D9E">
        <w:rPr>
          <w:rFonts w:eastAsia="Times New Roman"/>
          <w:color w:val="000000"/>
        </w:rPr>
        <w:t xml:space="preserve">professional investors </w:t>
      </w:r>
      <w:r w:rsidR="00111C52">
        <w:rPr>
          <w:rFonts w:eastAsia="Times New Roman"/>
          <w:color w:val="000000"/>
        </w:rPr>
        <w:t xml:space="preserve">are </w:t>
      </w:r>
      <w:r w:rsidR="001200E4">
        <w:rPr>
          <w:rFonts w:eastAsia="Times New Roman"/>
          <w:color w:val="000000"/>
        </w:rPr>
        <w:t xml:space="preserve">used to </w:t>
      </w:r>
      <w:r w:rsidR="004A1A1F" w:rsidRPr="00E67D9E">
        <w:rPr>
          <w:rFonts w:eastAsia="Times New Roman"/>
          <w:color w:val="000000"/>
        </w:rPr>
        <w:t>reviewing disclosures in English.</w:t>
      </w:r>
    </w:p>
    <w:p w14:paraId="74788BC5" w14:textId="005A6EE4" w:rsidR="00F003E4" w:rsidRPr="00F003E4" w:rsidRDefault="00F003E4" w:rsidP="00F003E4">
      <w:pPr>
        <w:pStyle w:val="TSLv2List2"/>
      </w:pPr>
      <w:r w:rsidRPr="00B5401F">
        <w:rPr>
          <w:b/>
          <w:bCs/>
          <w:sz w:val="24"/>
          <w:szCs w:val="24"/>
          <w:u w:val="single"/>
          <w:lang w:val="en-US"/>
        </w:rPr>
        <w:t>Firm-level PAI reporting</w:t>
      </w:r>
      <w:r>
        <w:t xml:space="preserve">: </w:t>
      </w:r>
      <w:r w:rsidRPr="00D202F3">
        <w:t xml:space="preserve">The </w:t>
      </w:r>
      <w:r>
        <w:t>firm</w:t>
      </w:r>
      <w:r w:rsidRPr="00D202F3">
        <w:t>-</w:t>
      </w:r>
      <w:r>
        <w:t>level</w:t>
      </w:r>
      <w:r w:rsidRPr="00D202F3">
        <w:t xml:space="preserve"> </w:t>
      </w:r>
      <w:r>
        <w:t>PAI regime</w:t>
      </w:r>
      <w:r w:rsidRPr="00D202F3">
        <w:t xml:space="preserve"> does not </w:t>
      </w:r>
      <w:r>
        <w:t>operate effectively for private fund managers who manage a variety of strategies</w:t>
      </w:r>
      <w:r w:rsidRPr="00D202F3">
        <w:t>.</w:t>
      </w:r>
      <w:r>
        <w:t xml:space="preserve"> The firm-level PAI regime should be eliminated due to the following: </w:t>
      </w:r>
    </w:p>
    <w:p w14:paraId="4F97079E" w14:textId="77777777" w:rsidR="00F003E4" w:rsidRDefault="00F003E4" w:rsidP="00F003E4">
      <w:pPr>
        <w:pStyle w:val="TSLv3List3"/>
      </w:pPr>
      <w:r>
        <w:lastRenderedPageBreak/>
        <w:t xml:space="preserve">The aggregated data at manager level is not only statistically insignificant, but also expensive to collect; </w:t>
      </w:r>
    </w:p>
    <w:p w14:paraId="700C0665" w14:textId="77777777" w:rsidR="00F003E4" w:rsidRDefault="00F003E4" w:rsidP="00F003E4">
      <w:pPr>
        <w:pStyle w:val="TSLv3List3"/>
      </w:pPr>
      <w:r>
        <w:t xml:space="preserve">Aggregate reporting does not provide any advantages to investors, particularly since the data for specific strategies is often unavailable, forcing firms to merely provide estimates, which could be construed as deceptive. </w:t>
      </w:r>
    </w:p>
    <w:p w14:paraId="75D38D0A" w14:textId="77777777" w:rsidR="00F003E4" w:rsidRDefault="00F003E4" w:rsidP="00F003E4">
      <w:pPr>
        <w:pStyle w:val="TSBody3-4"/>
      </w:pPr>
      <w:r>
        <w:t xml:space="preserve">If the firm-level PAI regime continues to be used, it should be made clear that the regime is separate from product-level PAI considerations, meaning that managers will be allowed to take into account PAIs for particular products even if they do not do the same at firm level. </w:t>
      </w:r>
    </w:p>
    <w:p w14:paraId="7C60D158" w14:textId="2F3D2D51" w:rsidR="00F003E4" w:rsidRDefault="00F003E4" w:rsidP="00F003E4">
      <w:pPr>
        <w:pStyle w:val="TSLv2List2"/>
      </w:pPr>
      <w:r w:rsidRPr="00F003E4">
        <w:rPr>
          <w:b/>
          <w:bCs/>
          <w:sz w:val="24"/>
          <w:szCs w:val="24"/>
          <w:u w:val="single"/>
          <w:lang w:val="en-US"/>
        </w:rPr>
        <w:t>Good governance</w:t>
      </w:r>
      <w:r>
        <w:t xml:space="preserve">: where an obligation for </w:t>
      </w:r>
      <w:r w:rsidR="008C329E">
        <w:t>"</w:t>
      </w:r>
      <w:r>
        <w:t>good governance</w:t>
      </w:r>
      <w:r w:rsidR="008C329E">
        <w:t>"</w:t>
      </w:r>
      <w:r>
        <w:t xml:space="preserve"> is in place, it should be balanced and flexible (primarily intended to eliminate poor governance practices), rather than being founded on presumptions regarding the governance standards of listed companies in developed markets. </w:t>
      </w:r>
      <w:r w:rsidRPr="00BE083B">
        <w:t>The requirement of good governance should also be achievable through modifications that are implemented post-acquisition to ensure proper governance practices, rather than it having to be a mandatory condition at the time</w:t>
      </w:r>
      <w:r>
        <w:t xml:space="preserve"> of initial investment</w:t>
      </w:r>
      <w:r w:rsidRPr="00BE083B">
        <w:t>.</w:t>
      </w:r>
    </w:p>
    <w:p w14:paraId="67419BBA" w14:textId="4B8F084E" w:rsidR="00F003E4" w:rsidRDefault="00F003E4" w:rsidP="00F003E4">
      <w:pPr>
        <w:pStyle w:val="TSLv2List2"/>
      </w:pPr>
      <w:r w:rsidRPr="00B5401F">
        <w:rPr>
          <w:b/>
          <w:bCs/>
          <w:sz w:val="24"/>
          <w:szCs w:val="24"/>
          <w:u w:val="single"/>
        </w:rPr>
        <w:t xml:space="preserve">Blind pool and </w:t>
      </w:r>
      <w:r w:rsidRPr="00B5401F">
        <w:rPr>
          <w:b/>
          <w:bCs/>
          <w:sz w:val="24"/>
          <w:szCs w:val="24"/>
          <w:u w:val="single"/>
          <w:lang w:val="en-US"/>
        </w:rPr>
        <w:t>portfolio</w:t>
      </w:r>
      <w:r w:rsidRPr="00B5401F">
        <w:rPr>
          <w:b/>
          <w:bCs/>
          <w:sz w:val="24"/>
          <w:szCs w:val="24"/>
          <w:u w:val="single"/>
        </w:rPr>
        <w:t xml:space="preserve"> composition commitments</w:t>
      </w:r>
      <w:r>
        <w:t xml:space="preserve">: </w:t>
      </w:r>
      <w:r w:rsidRPr="002A2100">
        <w:t>Private funds that invest in illiquid assets usually operate on a blind pool basis and are uncertain about the forthcoming investment opportunities.</w:t>
      </w:r>
      <w:r>
        <w:t xml:space="preserve"> </w:t>
      </w:r>
      <w:r w:rsidRPr="002A2100">
        <w:t>Portfolio composition rules, thresholds, or numerical commitments or minimum standards,</w:t>
      </w:r>
      <w:r>
        <w:t xml:space="preserve"> </w:t>
      </w:r>
      <w:r w:rsidRPr="002A2100">
        <w:t>should be measured only after a </w:t>
      </w:r>
      <w:r>
        <w:t xml:space="preserve">disclosed ramp-up period </w:t>
      </w:r>
      <w:r w:rsidR="004C4989">
        <w:t xml:space="preserve">(or ‘investment period’) </w:t>
      </w:r>
      <w:r>
        <w:t xml:space="preserve">has ended. </w:t>
      </w:r>
      <w:r w:rsidR="00CF31EB">
        <w:t xml:space="preserve">A </w:t>
      </w:r>
      <w:r w:rsidR="00CF31EB" w:rsidRPr="00E415D9">
        <w:rPr>
          <w:rFonts w:eastAsia="Times New Roman"/>
          <w:color w:val="000000"/>
        </w:rPr>
        <w:t>typical</w:t>
      </w:r>
      <w:r w:rsidR="00CF31EB">
        <w:rPr>
          <w:rFonts w:eastAsia="Times New Roman"/>
          <w:color w:val="000000"/>
        </w:rPr>
        <w:t xml:space="preserve"> investment period for private capital funds </w:t>
      </w:r>
      <w:r w:rsidR="00F76D03">
        <w:rPr>
          <w:rFonts w:eastAsia="Times New Roman"/>
          <w:color w:val="000000"/>
        </w:rPr>
        <w:t>is</w:t>
      </w:r>
      <w:r w:rsidR="00CF31EB" w:rsidRPr="00E415D9">
        <w:rPr>
          <w:rFonts w:eastAsia="Times New Roman"/>
          <w:color w:val="000000"/>
        </w:rPr>
        <w:t xml:space="preserve"> around five years until the fund is effectively fully invested – this is the point at which any portfolio co</w:t>
      </w:r>
      <w:r w:rsidR="0096383D">
        <w:rPr>
          <w:rFonts w:eastAsia="Times New Roman"/>
          <w:color w:val="000000"/>
        </w:rPr>
        <w:t>mposition commitments</w:t>
      </w:r>
      <w:r w:rsidR="00CF31EB" w:rsidRPr="00E415D9">
        <w:rPr>
          <w:rFonts w:eastAsia="Times New Roman"/>
          <w:color w:val="000000"/>
        </w:rPr>
        <w:t xml:space="preserve"> should be measured </w:t>
      </w:r>
      <w:r w:rsidR="00E67DDC">
        <w:rPr>
          <w:rFonts w:eastAsia="Times New Roman"/>
          <w:color w:val="000000"/>
        </w:rPr>
        <w:t xml:space="preserve">in order </w:t>
      </w:r>
      <w:r w:rsidR="00CF31EB" w:rsidRPr="00E415D9">
        <w:rPr>
          <w:rFonts w:eastAsia="Times New Roman"/>
          <w:color w:val="000000"/>
        </w:rPr>
        <w:t>to be meaningful</w:t>
      </w:r>
      <w:r w:rsidR="00CF31EB" w:rsidRPr="00F6155A">
        <w:rPr>
          <w:rFonts w:eastAsia="Times New Roman"/>
          <w:color w:val="000000"/>
        </w:rPr>
        <w:t xml:space="preserve">. </w:t>
      </w:r>
      <w:r>
        <w:t xml:space="preserve">Analogous to how UCITS funds forgo compliance with the UCITS portfolio composition spread prerequisites for a six-month period following initial authorisation. </w:t>
      </w:r>
      <w:r w:rsidRPr="002A2100">
        <w:t>Requirements should equally not apply during the divestment period, which, in the case of illiquid assets, can span over several years. The same level of adaptability should be extended to open-ended funds</w:t>
      </w:r>
      <w:r>
        <w:t xml:space="preserve">. Generally, NAV should serve as the foundation for measurement in this context, though some flexibility should be allowed for certain asset classes which typically set their minimum commitments based on alternative measures not related to NAV, such as the total capital </w:t>
      </w:r>
      <w:r w:rsidR="00761101">
        <w:t xml:space="preserve">deployed </w:t>
      </w:r>
      <w:r>
        <w:t>at cost</w:t>
      </w:r>
      <w:r w:rsidR="00492229">
        <w:t>,</w:t>
      </w:r>
      <w:r w:rsidR="00197085">
        <w:t xml:space="preserve"> as long as these</w:t>
      </w:r>
      <w:r w:rsidR="008F5A5F">
        <w:t xml:space="preserve"> alternative measures</w:t>
      </w:r>
      <w:r w:rsidR="00197085">
        <w:t xml:space="preserve"> are transparently and clearly disclosed to investors</w:t>
      </w:r>
      <w:r>
        <w:t xml:space="preserve">. </w:t>
      </w:r>
    </w:p>
    <w:p w14:paraId="2FB36340" w14:textId="27F44FD8" w:rsidR="00F003E4" w:rsidRDefault="00F003E4" w:rsidP="00F003E4">
      <w:pPr>
        <w:pStyle w:val="TSLv2List2"/>
      </w:pPr>
      <w:r w:rsidRPr="00B5401F">
        <w:rPr>
          <w:b/>
          <w:bCs/>
          <w:sz w:val="24"/>
          <w:szCs w:val="24"/>
          <w:u w:val="single"/>
        </w:rPr>
        <w:t>Targets v commitments and investment restrictions</w:t>
      </w:r>
      <w:r>
        <w:t>: As above, private funds that invest in illiquid assets on a blind pool basis usually cannot commit to minimum binding commitments before or during the fundraising phase. Regulators anticipate treating commitments related to the attainment of certain ESG-related outcomes</w:t>
      </w:r>
      <w:r w:rsidR="006C7029">
        <w:t xml:space="preserve"> (e.g. the proportion of ‘sustainable investments’)</w:t>
      </w:r>
      <w:r>
        <w:t xml:space="preserve"> as investment restrictions with a specific methodology for monitoring and rectifying any violations (this includes, for example, the proportion of SFDR Article 2(17) </w:t>
      </w:r>
      <w:r w:rsidR="008C329E">
        <w:t>"</w:t>
      </w:r>
      <w:r>
        <w:t xml:space="preserve">sustainable </w:t>
      </w:r>
      <w:r>
        <w:lastRenderedPageBreak/>
        <w:t>investments</w:t>
      </w:r>
      <w:r w:rsidR="008C329E">
        <w:t>"</w:t>
      </w:r>
      <w:r>
        <w:t xml:space="preserve"> or Taxonomy-aligned investments). </w:t>
      </w:r>
      <w:r w:rsidRPr="00A57D3A">
        <w:t xml:space="preserve">While it is essential to monitor target commitments made to investors and periodically report on their </w:t>
      </w:r>
      <w:r>
        <w:t>achievements</w:t>
      </w:r>
      <w:r w:rsidRPr="00A57D3A">
        <w:t xml:space="preserve">, failing to meet such commitments in a private fund investing in illiquid assets on a blind pool basis should not constitute a </w:t>
      </w:r>
      <w:r>
        <w:t>breach</w:t>
      </w:r>
      <w:r w:rsidRPr="00A57D3A">
        <w:t xml:space="preserve"> of investment </w:t>
      </w:r>
      <w:r>
        <w:t>restrictions</w:t>
      </w:r>
      <w:r w:rsidRPr="00A57D3A">
        <w:t xml:space="preserve">, unless the manager has not taken all </w:t>
      </w:r>
      <w:r>
        <w:t>reasonable</w:t>
      </w:r>
      <w:r w:rsidRPr="00A57D3A">
        <w:t xml:space="preserve"> measures to guarantee the fulfilment of the </w:t>
      </w:r>
      <w:r>
        <w:t xml:space="preserve">target </w:t>
      </w:r>
      <w:r w:rsidRPr="00A57D3A">
        <w:t>commitment.</w:t>
      </w:r>
    </w:p>
    <w:p w14:paraId="07D8ECF0" w14:textId="6F2BDECB" w:rsidR="00F003E4" w:rsidRDefault="00F003E4" w:rsidP="00F003E4">
      <w:pPr>
        <w:pStyle w:val="TSBody3-4"/>
      </w:pPr>
      <w:r w:rsidRPr="006612CE">
        <w:t xml:space="preserve">The following two situations should not necessitate a </w:t>
      </w:r>
      <w:r w:rsidR="008C329E">
        <w:t>'</w:t>
      </w:r>
      <w:r w:rsidRPr="006612CE">
        <w:t>downgrade</w:t>
      </w:r>
      <w:r w:rsidR="008C329E">
        <w:t>'</w:t>
      </w:r>
      <w:r w:rsidRPr="006612CE">
        <w:t xml:space="preserve"> of the fund to a different product classification:</w:t>
      </w:r>
    </w:p>
    <w:p w14:paraId="171F0AA2" w14:textId="396CF1D2" w:rsidR="00F003E4" w:rsidRPr="00F003E4" w:rsidRDefault="00F003E4" w:rsidP="00716148">
      <w:pPr>
        <w:pStyle w:val="TSLv3List3"/>
        <w:numPr>
          <w:ilvl w:val="0"/>
          <w:numId w:val="22"/>
        </w:numPr>
        <w:rPr>
          <w:lang w:val="en-US"/>
        </w:rPr>
      </w:pPr>
      <w:r w:rsidRPr="00F003E4">
        <w:rPr>
          <w:lang w:val="en-US"/>
        </w:rPr>
        <w:t>instances where investments that initially fulfil the sustainable investment criteria at the point of investment fail to maintain those requirements over the holding period due to circumstances beyond the fund</w:t>
      </w:r>
      <w:r w:rsidR="008C329E">
        <w:rPr>
          <w:lang w:val="en-US"/>
        </w:rPr>
        <w:t>'</w:t>
      </w:r>
      <w:r w:rsidRPr="00F003E4">
        <w:rPr>
          <w:lang w:val="en-US"/>
        </w:rPr>
        <w:t>s control;</w:t>
      </w:r>
    </w:p>
    <w:p w14:paraId="1CE7A6E5" w14:textId="77777777" w:rsidR="00F003E4" w:rsidRPr="00B5401F" w:rsidRDefault="00F003E4" w:rsidP="00F003E4">
      <w:pPr>
        <w:pStyle w:val="TSLv3List3"/>
        <w:rPr>
          <w:rFonts w:eastAsia="Times New Roman"/>
          <w:color w:val="000000"/>
        </w:rPr>
      </w:pPr>
      <w:r w:rsidRPr="00B5401F">
        <w:rPr>
          <w:lang w:val="en-US"/>
        </w:rPr>
        <w:t>minor</w:t>
      </w:r>
      <w:r w:rsidRPr="00B5401F">
        <w:rPr>
          <w:rFonts w:eastAsia="Times New Roman"/>
          <w:color w:val="000000"/>
        </w:rPr>
        <w:t xml:space="preserve"> passive violations of target commitments brought about by NAV fluctuations should not be classified as breaches either. </w:t>
      </w:r>
    </w:p>
    <w:p w14:paraId="098CA16A" w14:textId="77777777" w:rsidR="00F003E4" w:rsidRDefault="00F003E4" w:rsidP="00F003E4">
      <w:pPr>
        <w:pStyle w:val="TSLv2List2"/>
        <w:rPr>
          <w:rFonts w:eastAsia="Times New Roman"/>
          <w:color w:val="000000"/>
        </w:rPr>
      </w:pPr>
      <w:r w:rsidRPr="00B5401F">
        <w:rPr>
          <w:rFonts w:eastAsia="Times New Roman"/>
          <w:b/>
          <w:bCs/>
          <w:color w:val="000000"/>
          <w:sz w:val="24"/>
          <w:szCs w:val="24"/>
          <w:u w:val="single"/>
        </w:rPr>
        <w:t>Data gaps:</w:t>
      </w:r>
      <w:r>
        <w:rPr>
          <w:rFonts w:eastAsia="Times New Roman"/>
          <w:color w:val="000000"/>
        </w:rPr>
        <w:t xml:space="preserve"> </w:t>
      </w:r>
      <w:r w:rsidRPr="006612CE">
        <w:rPr>
          <w:rFonts w:eastAsia="Times New Roman"/>
          <w:color w:val="000000"/>
        </w:rPr>
        <w:t xml:space="preserve">Private funds frequently invest in international portfolio companies that have no association with the EU, and/or in small companies, and/or in assets other than </w:t>
      </w:r>
      <w:r>
        <w:rPr>
          <w:rFonts w:eastAsia="Times New Roman"/>
          <w:color w:val="000000"/>
        </w:rPr>
        <w:t>equities</w:t>
      </w:r>
      <w:r w:rsidRPr="006612CE">
        <w:rPr>
          <w:rFonts w:eastAsia="Times New Roman"/>
          <w:color w:val="000000"/>
        </w:rPr>
        <w:t>. These companies are less likely to be regulated by CSRD or any EU</w:t>
      </w:r>
      <w:r>
        <w:rPr>
          <w:rFonts w:eastAsia="Times New Roman"/>
          <w:color w:val="000000"/>
        </w:rPr>
        <w:t xml:space="preserve">-mandated </w:t>
      </w:r>
      <w:r w:rsidRPr="006612CE">
        <w:rPr>
          <w:rFonts w:eastAsia="Times New Roman"/>
          <w:color w:val="000000"/>
        </w:rPr>
        <w:t>corporate disclosure framework. Additionally, the private fund manager may not have control over the portfolio company.</w:t>
      </w:r>
      <w:r>
        <w:rPr>
          <w:rFonts w:eastAsia="Times New Roman"/>
          <w:color w:val="000000"/>
        </w:rPr>
        <w:t xml:space="preserve"> </w:t>
      </w:r>
    </w:p>
    <w:p w14:paraId="246D1A0C" w14:textId="77777777" w:rsidR="00F003E4" w:rsidRDefault="00F003E4" w:rsidP="00F003E4">
      <w:pPr>
        <w:pStyle w:val="TSBody3-4"/>
      </w:pPr>
      <w:r w:rsidRPr="006612CE">
        <w:t>Allowances should be made for data gaps (in regard to investor reporting, Taxonomy alignment data, PAI data, etc.).</w:t>
      </w:r>
      <w:r w:rsidRPr="006612CE">
        <w:rPr>
          <w:rFonts w:ascii="Segoe UI" w:hAnsi="Segoe UI" w:cs="Segoe UI"/>
          <w:color w:val="212529"/>
          <w:shd w:val="clear" w:color="auto" w:fill="F7F7F8"/>
        </w:rPr>
        <w:t xml:space="preserve"> </w:t>
      </w:r>
      <w:r w:rsidRPr="006612CE">
        <w:t>In situations where data gaps are especially widespread, managers should not be compelled to fill these gaps using estimates in all cases, given that credible estimates for many private asset classes are often missing.</w:t>
      </w:r>
      <w:r>
        <w:t xml:space="preserve"> </w:t>
      </w:r>
      <w:r w:rsidRPr="006612CE">
        <w:t xml:space="preserve">Rather, managers should have the liberty to either explicate the data gaps or utilise estimates </w:t>
      </w:r>
      <w:proofErr w:type="spellStart"/>
      <w:r w:rsidRPr="006612CE">
        <w:t>where</w:t>
      </w:r>
      <w:proofErr w:type="spellEnd"/>
      <w:r w:rsidRPr="006612CE">
        <w:t xml:space="preserve"> deemed suitable.</w:t>
      </w:r>
    </w:p>
    <w:p w14:paraId="2625C260" w14:textId="77777777" w:rsidR="00F003E4" w:rsidRPr="006612CE" w:rsidRDefault="00F003E4" w:rsidP="00F003E4">
      <w:pPr>
        <w:pStyle w:val="TSLv2List2"/>
        <w:rPr>
          <w:rFonts w:eastAsia="Times New Roman"/>
          <w:color w:val="000000"/>
        </w:rPr>
      </w:pPr>
      <w:r w:rsidRPr="00B5401F">
        <w:rPr>
          <w:rFonts w:eastAsia="Times New Roman"/>
          <w:b/>
          <w:bCs/>
          <w:color w:val="000000"/>
          <w:sz w:val="24"/>
          <w:szCs w:val="24"/>
          <w:u w:val="single"/>
        </w:rPr>
        <w:t>Product-level PAI reporting:</w:t>
      </w:r>
      <w:r>
        <w:rPr>
          <w:rFonts w:eastAsia="Times New Roman"/>
          <w:color w:val="000000"/>
        </w:rPr>
        <w:t xml:space="preserve"> </w:t>
      </w:r>
      <w:r w:rsidRPr="006612CE">
        <w:rPr>
          <w:rFonts w:eastAsia="Times New Roman"/>
          <w:color w:val="000000"/>
        </w:rPr>
        <w:t xml:space="preserve">In situations where the PAI regime is applicable at the product level, it should be possible to comply </w:t>
      </w:r>
      <w:r>
        <w:rPr>
          <w:rFonts w:eastAsia="Times New Roman"/>
          <w:color w:val="000000"/>
        </w:rPr>
        <w:t xml:space="preserve">with the regime </w:t>
      </w:r>
      <w:r w:rsidRPr="006612CE">
        <w:rPr>
          <w:rFonts w:eastAsia="Times New Roman"/>
          <w:color w:val="000000"/>
        </w:rPr>
        <w:t xml:space="preserve">by implementing measures after the investment to mitigate any </w:t>
      </w:r>
      <w:r>
        <w:rPr>
          <w:rFonts w:eastAsia="Times New Roman"/>
          <w:color w:val="000000"/>
        </w:rPr>
        <w:t>adverse</w:t>
      </w:r>
      <w:r w:rsidRPr="006612CE">
        <w:rPr>
          <w:rFonts w:eastAsia="Times New Roman"/>
          <w:color w:val="000000"/>
        </w:rPr>
        <w:t xml:space="preserve"> impacts.</w:t>
      </w:r>
    </w:p>
    <w:p w14:paraId="3E1E57C6" w14:textId="77777777" w:rsidR="00F003E4" w:rsidRPr="003E59B6" w:rsidRDefault="00F003E4" w:rsidP="00F003E4">
      <w:pPr>
        <w:pStyle w:val="TSHeading1"/>
        <w:rPr>
          <w:lang w:val="en-US"/>
        </w:rPr>
      </w:pPr>
      <w:r w:rsidRPr="003E59B6">
        <w:t xml:space="preserve">Additional </w:t>
      </w:r>
      <w:r>
        <w:t>considerations</w:t>
      </w:r>
      <w:r w:rsidRPr="003E59B6">
        <w:t xml:space="preserve"> to the Consultation</w:t>
      </w:r>
    </w:p>
    <w:p w14:paraId="5B1DBD21" w14:textId="5EC894E9" w:rsidR="00F003E4" w:rsidRPr="00F003E4" w:rsidRDefault="00F003E4" w:rsidP="00716148">
      <w:pPr>
        <w:pStyle w:val="TSLv2List2"/>
        <w:numPr>
          <w:ilvl w:val="0"/>
          <w:numId w:val="23"/>
        </w:numPr>
        <w:rPr>
          <w:b/>
          <w:bCs/>
        </w:rPr>
      </w:pPr>
      <w:r w:rsidRPr="00F003E4">
        <w:rPr>
          <w:b/>
          <w:bCs/>
        </w:rPr>
        <w:t>Interoperability with the UK</w:t>
      </w:r>
      <w:r w:rsidR="008C329E">
        <w:rPr>
          <w:b/>
          <w:bCs/>
        </w:rPr>
        <w:t>'</w:t>
      </w:r>
      <w:r w:rsidRPr="00F003E4">
        <w:rPr>
          <w:b/>
          <w:bCs/>
        </w:rPr>
        <w:t>s SDR</w:t>
      </w:r>
    </w:p>
    <w:p w14:paraId="1950FC0A" w14:textId="7310B0A9" w:rsidR="00F003E4" w:rsidRDefault="00F003E4" w:rsidP="00F003E4">
      <w:pPr>
        <w:pStyle w:val="TSBody3-4"/>
      </w:pPr>
      <w:r>
        <w:lastRenderedPageBreak/>
        <w:t xml:space="preserve">As has been acknowledged by the Commission within the Consultation, there has been a proliferation of national labels which risk </w:t>
      </w:r>
      <w:r w:rsidR="008C329E">
        <w:t>"</w:t>
      </w:r>
      <w:r>
        <w:t>fragmenting the European market</w:t>
      </w:r>
      <w:r w:rsidR="008C329E">
        <w:t>"</w:t>
      </w:r>
      <w:r>
        <w:t>. However, the development of product labels has continued elsewhere, including in the United Kingdom</w:t>
      </w:r>
      <w:r w:rsidR="008C329E">
        <w:t>'</w:t>
      </w:r>
      <w:r>
        <w:t>s introduction of the Sustainability Disclosure Requirements (</w:t>
      </w:r>
      <w:r w:rsidR="008C329E">
        <w:t>"</w:t>
      </w:r>
      <w:r w:rsidRPr="00E4001A">
        <w:rPr>
          <w:b/>
          <w:bCs/>
        </w:rPr>
        <w:t>SDR</w:t>
      </w:r>
      <w:r w:rsidR="008C329E">
        <w:t>"</w:t>
      </w:r>
      <w:r>
        <w:t>) and voluntary product labels.</w:t>
      </w:r>
    </w:p>
    <w:p w14:paraId="3C7863CC" w14:textId="61F26203" w:rsidR="00F003E4" w:rsidRDefault="00F003E4" w:rsidP="00F003E4">
      <w:pPr>
        <w:pStyle w:val="TSBody3-4"/>
      </w:pPr>
      <w:r>
        <w:t xml:space="preserve">During the course of a fundraise, managers market their products across a number of jurisdictions which often have competing or conflicting regulatory requirements.  </w:t>
      </w:r>
      <w:proofErr w:type="spellStart"/>
      <w:r>
        <w:t>iCI</w:t>
      </w:r>
      <w:proofErr w:type="spellEnd"/>
      <w:r>
        <w:t xml:space="preserve"> considers that the Consultation and a revised SFDR represents an opportunity to create a degree of interoperability between SFDR and the UK</w:t>
      </w:r>
      <w:r w:rsidR="008C329E">
        <w:t>'</w:t>
      </w:r>
      <w:r>
        <w:t>s SDR, with a view to broadening the pool of capital available for sustainable investment. As such, consideration should be given by the Commission to adapting concepts within SFDR in order to facilitate interoperability between the two regimes, for example by expanding SFDR</w:t>
      </w:r>
      <w:r w:rsidR="008C329E">
        <w:t>'</w:t>
      </w:r>
      <w:r>
        <w:t xml:space="preserve">s definition of Article 2(17) </w:t>
      </w:r>
      <w:r w:rsidR="008C329E">
        <w:t>"</w:t>
      </w:r>
      <w:r>
        <w:t>sustainable investments</w:t>
      </w:r>
      <w:r w:rsidR="008C329E">
        <w:t>"</w:t>
      </w:r>
      <w:r>
        <w:t xml:space="preserve"> to include investments which satisfy the requirements set out under the product labels described within the SDR. </w:t>
      </w:r>
    </w:p>
    <w:p w14:paraId="23C0BE19" w14:textId="0907EC32" w:rsidR="00F003E4" w:rsidRPr="009C4D64" w:rsidRDefault="00F003E4" w:rsidP="00716148">
      <w:pPr>
        <w:pStyle w:val="TSLv2List2"/>
        <w:numPr>
          <w:ilvl w:val="0"/>
          <w:numId w:val="23"/>
        </w:numPr>
        <w:rPr>
          <w:b/>
          <w:bCs/>
          <w:color w:val="000000"/>
          <w:sz w:val="24"/>
          <w:szCs w:val="24"/>
          <w:u w:val="single"/>
        </w:rPr>
      </w:pPr>
      <w:r w:rsidRPr="009C4D64">
        <w:rPr>
          <w:b/>
          <w:bCs/>
          <w:color w:val="000000"/>
          <w:sz w:val="24"/>
          <w:szCs w:val="24"/>
          <w:u w:val="single"/>
        </w:rPr>
        <w:t xml:space="preserve">Clarifying </w:t>
      </w:r>
      <w:r w:rsidRPr="009C4D64">
        <w:rPr>
          <w:rFonts w:eastAsia="Times New Roman"/>
          <w:b/>
          <w:bCs/>
          <w:color w:val="000000"/>
          <w:sz w:val="24"/>
          <w:szCs w:val="24"/>
          <w:u w:val="single"/>
        </w:rPr>
        <w:t>investments</w:t>
      </w:r>
      <w:r w:rsidRPr="009C4D64">
        <w:rPr>
          <w:b/>
          <w:bCs/>
          <w:color w:val="000000"/>
          <w:sz w:val="24"/>
          <w:szCs w:val="24"/>
          <w:u w:val="single"/>
        </w:rPr>
        <w:t xml:space="preserve"> that are categorized under </w:t>
      </w:r>
      <w:r w:rsidR="008C329E">
        <w:rPr>
          <w:b/>
          <w:bCs/>
          <w:color w:val="000000"/>
          <w:sz w:val="24"/>
          <w:szCs w:val="24"/>
          <w:u w:val="single"/>
        </w:rPr>
        <w:t>''</w:t>
      </w:r>
      <w:r w:rsidRPr="009C4D64">
        <w:rPr>
          <w:b/>
          <w:bCs/>
          <w:color w:val="000000"/>
          <w:sz w:val="24"/>
          <w:szCs w:val="24"/>
          <w:u w:val="single"/>
        </w:rPr>
        <w:t>#2 Other</w:t>
      </w:r>
      <w:r w:rsidR="008C329E">
        <w:rPr>
          <w:b/>
          <w:bCs/>
          <w:color w:val="000000"/>
          <w:sz w:val="24"/>
          <w:szCs w:val="24"/>
          <w:u w:val="single"/>
        </w:rPr>
        <w:t>"</w:t>
      </w:r>
      <w:r w:rsidRPr="009C4D64">
        <w:rPr>
          <w:b/>
          <w:bCs/>
          <w:color w:val="000000"/>
          <w:sz w:val="24"/>
          <w:szCs w:val="24"/>
          <w:u w:val="single"/>
        </w:rPr>
        <w:t xml:space="preserve"> and </w:t>
      </w:r>
      <w:r w:rsidR="008C329E">
        <w:rPr>
          <w:b/>
          <w:bCs/>
          <w:color w:val="000000"/>
          <w:sz w:val="24"/>
          <w:szCs w:val="24"/>
          <w:u w:val="single"/>
        </w:rPr>
        <w:t>"</w:t>
      </w:r>
      <w:r w:rsidRPr="009C4D64">
        <w:rPr>
          <w:b/>
          <w:bCs/>
          <w:color w:val="000000"/>
          <w:sz w:val="24"/>
          <w:szCs w:val="24"/>
          <w:u w:val="single"/>
        </w:rPr>
        <w:t>#2 Not sustainable</w:t>
      </w:r>
      <w:r w:rsidR="008C329E">
        <w:rPr>
          <w:b/>
          <w:bCs/>
          <w:color w:val="000000"/>
          <w:sz w:val="24"/>
          <w:szCs w:val="24"/>
          <w:u w:val="single"/>
        </w:rPr>
        <w:t>"</w:t>
      </w:r>
      <w:r w:rsidRPr="009C4D64">
        <w:rPr>
          <w:b/>
          <w:bCs/>
          <w:color w:val="000000"/>
          <w:sz w:val="24"/>
          <w:szCs w:val="24"/>
          <w:u w:val="single"/>
        </w:rPr>
        <w:t xml:space="preserve"> for the purposes of the SFDR RTS</w:t>
      </w:r>
    </w:p>
    <w:p w14:paraId="05FE2572" w14:textId="3AAB55E6" w:rsidR="00F003E4" w:rsidRPr="00E4001A" w:rsidRDefault="00F003E4" w:rsidP="00F003E4">
      <w:pPr>
        <w:pStyle w:val="TSBody3-4"/>
        <w:rPr>
          <w:rFonts w:cs="Helvetica"/>
        </w:rPr>
      </w:pPr>
      <w:r w:rsidRPr="00E4001A">
        <w:rPr>
          <w:rFonts w:cs="Helvetica"/>
        </w:rPr>
        <w:t>Under the SFDR</w:t>
      </w:r>
      <w:r w:rsidR="008C329E">
        <w:rPr>
          <w:rFonts w:cs="Helvetica"/>
        </w:rPr>
        <w:t>'</w:t>
      </w:r>
      <w:r w:rsidRPr="00E4001A">
        <w:rPr>
          <w:rFonts w:cs="Helvetica"/>
        </w:rPr>
        <w:t xml:space="preserve">s </w:t>
      </w:r>
      <w:r w:rsidRPr="00E4001A">
        <w:rPr>
          <w:rFonts w:eastAsia="Times New Roman"/>
          <w:color w:val="000000"/>
        </w:rPr>
        <w:t>RTS</w:t>
      </w:r>
      <w:r>
        <w:rPr>
          <w:rFonts w:eastAsia="Times New Roman"/>
          <w:color w:val="000000"/>
        </w:rPr>
        <w:t xml:space="preserve"> and the pre-contractual and periodic reporting templates</w:t>
      </w:r>
      <w:r w:rsidRPr="00E4001A">
        <w:rPr>
          <w:rFonts w:cs="Helvetica"/>
        </w:rPr>
        <w:t xml:space="preserve">, investments </w:t>
      </w:r>
      <w:r>
        <w:rPr>
          <w:rFonts w:cs="Helvetica"/>
        </w:rPr>
        <w:t xml:space="preserve">categorised under </w:t>
      </w:r>
      <w:r w:rsidR="008C329E">
        <w:rPr>
          <w:rFonts w:cs="Helvetica"/>
        </w:rPr>
        <w:t>"</w:t>
      </w:r>
      <w:r w:rsidRPr="00E4001A">
        <w:rPr>
          <w:rFonts w:cs="Helvetica"/>
        </w:rPr>
        <w:t>#2 Other</w:t>
      </w:r>
      <w:r w:rsidR="008C329E">
        <w:rPr>
          <w:rFonts w:cs="Helvetica"/>
        </w:rPr>
        <w:t>"</w:t>
      </w:r>
      <w:r w:rsidRPr="00E4001A">
        <w:rPr>
          <w:rFonts w:cs="Helvetica"/>
        </w:rPr>
        <w:t xml:space="preserve"> </w:t>
      </w:r>
      <w:r>
        <w:rPr>
          <w:rFonts w:cs="Helvetica"/>
        </w:rPr>
        <w:t xml:space="preserve">or </w:t>
      </w:r>
      <w:r w:rsidR="008C329E">
        <w:rPr>
          <w:rFonts w:cs="Helvetica"/>
        </w:rPr>
        <w:t>"</w:t>
      </w:r>
      <w:r>
        <w:rPr>
          <w:rFonts w:cs="Helvetica"/>
        </w:rPr>
        <w:t>#2 Not sustainable</w:t>
      </w:r>
      <w:r w:rsidR="008C329E">
        <w:rPr>
          <w:rFonts w:cs="Helvetica"/>
        </w:rPr>
        <w:t>"</w:t>
      </w:r>
      <w:r>
        <w:rPr>
          <w:rFonts w:cs="Helvetica"/>
        </w:rPr>
        <w:t xml:space="preserve"> </w:t>
      </w:r>
      <w:r w:rsidRPr="00E4001A">
        <w:rPr>
          <w:rFonts w:cs="Helvetica"/>
        </w:rPr>
        <w:t>are those which are not aligned with the promoted environmental or social characteristics of the product</w:t>
      </w:r>
      <w:r>
        <w:rPr>
          <w:rFonts w:cs="Helvetica"/>
        </w:rPr>
        <w:t xml:space="preserve"> or which do not qualify as sustainable investments</w:t>
      </w:r>
      <w:r w:rsidRPr="00E4001A">
        <w:rPr>
          <w:rFonts w:cs="Helvetica"/>
        </w:rPr>
        <w:t xml:space="preserve">. Recital 12 of the SFDR RTS acknowledges that products may invest in a </w:t>
      </w:r>
      <w:r w:rsidR="008C329E">
        <w:rPr>
          <w:rFonts w:cs="Helvetica"/>
        </w:rPr>
        <w:t>"</w:t>
      </w:r>
      <w:r w:rsidRPr="00E4001A">
        <w:rPr>
          <w:rFonts w:cs="Helvetica"/>
        </w:rPr>
        <w:t>wider range of underlying assets, some of which may not themselves qualify as sustainable investments or contribute to the specific environmental or social characteristics promoted by the financial product</w:t>
      </w:r>
      <w:r w:rsidR="008C329E">
        <w:rPr>
          <w:rFonts w:cs="Helvetica"/>
        </w:rPr>
        <w:t>"</w:t>
      </w:r>
      <w:r w:rsidRPr="00E4001A">
        <w:rPr>
          <w:rFonts w:cs="Helvetica"/>
        </w:rPr>
        <w:t xml:space="preserve">. </w:t>
      </w:r>
      <w:r>
        <w:rPr>
          <w:rFonts w:cs="Helvetica"/>
        </w:rPr>
        <w:t>E</w:t>
      </w:r>
      <w:r w:rsidRPr="00E4001A">
        <w:rPr>
          <w:rFonts w:cs="Helvetica"/>
        </w:rPr>
        <w:t xml:space="preserve">xamples given of such investments </w:t>
      </w:r>
      <w:r>
        <w:rPr>
          <w:rFonts w:cs="Helvetica"/>
        </w:rPr>
        <w:t>include</w:t>
      </w:r>
      <w:r w:rsidRPr="00E4001A">
        <w:rPr>
          <w:rFonts w:cs="Helvetica"/>
        </w:rPr>
        <w:t xml:space="preserve"> </w:t>
      </w:r>
      <w:r w:rsidR="008C329E">
        <w:rPr>
          <w:rFonts w:cs="Helvetica"/>
        </w:rPr>
        <w:t>"</w:t>
      </w:r>
      <w:r w:rsidRPr="00E4001A">
        <w:rPr>
          <w:rFonts w:cs="Helvetica"/>
        </w:rPr>
        <w:t>hedging instruments, unscreened investments for diversification purposes, investments for which data are lacking or cash held as ancillary liquidity.</w:t>
      </w:r>
      <w:r w:rsidR="008C329E">
        <w:rPr>
          <w:rFonts w:cs="Helvetica"/>
        </w:rPr>
        <w:t>"</w:t>
      </w:r>
      <w:r w:rsidRPr="00E4001A">
        <w:rPr>
          <w:rFonts w:cs="Helvetica"/>
        </w:rPr>
        <w:t>.</w:t>
      </w:r>
    </w:p>
    <w:p w14:paraId="5352DD11" w14:textId="2312503B" w:rsidR="00F003E4" w:rsidRPr="00E4001A" w:rsidRDefault="00F003E4" w:rsidP="00F003E4">
      <w:pPr>
        <w:pStyle w:val="TSBody3-4"/>
        <w:rPr>
          <w:rFonts w:cs="Helvetica"/>
        </w:rPr>
      </w:pPr>
      <w:proofErr w:type="spellStart"/>
      <w:r w:rsidRPr="00E4001A">
        <w:rPr>
          <w:rFonts w:cs="Helvetica"/>
        </w:rPr>
        <w:t>iCI</w:t>
      </w:r>
      <w:proofErr w:type="spellEnd"/>
      <w:r w:rsidRPr="00E4001A">
        <w:rPr>
          <w:rFonts w:cs="Helvetica"/>
        </w:rPr>
        <w:t xml:space="preserve"> considers that derivatives and other instruments (including cash or cash equivalents) which are used for hedging purposes or liquidity management, should be excluded from the </w:t>
      </w:r>
      <w:r w:rsidR="008C329E">
        <w:rPr>
          <w:rFonts w:cs="Helvetica"/>
        </w:rPr>
        <w:t>"</w:t>
      </w:r>
      <w:r w:rsidRPr="00E4001A">
        <w:rPr>
          <w:rFonts w:cs="Helvetica"/>
        </w:rPr>
        <w:t>#2 Other</w:t>
      </w:r>
      <w:r w:rsidR="008C329E">
        <w:rPr>
          <w:rFonts w:cs="Helvetica"/>
        </w:rPr>
        <w:t>"</w:t>
      </w:r>
      <w:r w:rsidRPr="000F75A2">
        <w:rPr>
          <w:rFonts w:cs="Helvetica"/>
        </w:rPr>
        <w:t xml:space="preserve"> </w:t>
      </w:r>
      <w:r>
        <w:rPr>
          <w:rFonts w:cs="Helvetica"/>
        </w:rPr>
        <w:t xml:space="preserve">and </w:t>
      </w:r>
      <w:r w:rsidR="008C329E">
        <w:rPr>
          <w:rFonts w:cs="Helvetica"/>
        </w:rPr>
        <w:t>"</w:t>
      </w:r>
      <w:r>
        <w:rPr>
          <w:rFonts w:cs="Helvetica"/>
        </w:rPr>
        <w:t>#2 Not sustainable</w:t>
      </w:r>
      <w:r w:rsidR="008C329E">
        <w:rPr>
          <w:rFonts w:cs="Helvetica"/>
        </w:rPr>
        <w:t>"</w:t>
      </w:r>
      <w:r>
        <w:rPr>
          <w:rFonts w:cs="Helvetica"/>
        </w:rPr>
        <w:t xml:space="preserve"> </w:t>
      </w:r>
      <w:r w:rsidRPr="00E4001A">
        <w:rPr>
          <w:rFonts w:cs="Helvetica"/>
        </w:rPr>
        <w:t>categor</w:t>
      </w:r>
      <w:r>
        <w:rPr>
          <w:rFonts w:cs="Helvetica"/>
        </w:rPr>
        <w:t>ies</w:t>
      </w:r>
      <w:r w:rsidRPr="00E4001A">
        <w:rPr>
          <w:rFonts w:cs="Helvetica"/>
        </w:rPr>
        <w:t xml:space="preserve"> of assets and subsequently</w:t>
      </w:r>
      <w:r>
        <w:rPr>
          <w:rFonts w:cs="Helvetica"/>
        </w:rPr>
        <w:t xml:space="preserve">, should not be </w:t>
      </w:r>
      <w:r w:rsidRPr="00E4001A">
        <w:rPr>
          <w:rFonts w:cs="Helvetica"/>
        </w:rPr>
        <w:t xml:space="preserve">captured </w:t>
      </w:r>
      <w:r>
        <w:rPr>
          <w:rFonts w:cs="Helvetica"/>
        </w:rPr>
        <w:t xml:space="preserve">by </w:t>
      </w:r>
      <w:r w:rsidRPr="00E4001A">
        <w:rPr>
          <w:rFonts w:cs="Helvetica"/>
        </w:rPr>
        <w:t>asset allocation calculations.</w:t>
      </w:r>
    </w:p>
    <w:p w14:paraId="35191418" w14:textId="378356BC" w:rsidR="00F003E4" w:rsidRDefault="00F003E4" w:rsidP="00F003E4">
      <w:pPr>
        <w:pStyle w:val="TSBody3-4"/>
        <w:rPr>
          <w:rFonts w:cs="Helvetica"/>
        </w:rPr>
      </w:pPr>
      <w:r w:rsidRPr="007566CC">
        <w:rPr>
          <w:rFonts w:cs="Helvetica"/>
        </w:rPr>
        <w:t xml:space="preserve">Assets which are held for hedging purposes or liquidity management </w:t>
      </w:r>
      <w:r>
        <w:rPr>
          <w:rFonts w:cs="Helvetica"/>
        </w:rPr>
        <w:t>are not investments of the product per se but are only held by reference to the core investments of the product. Such assets are</w:t>
      </w:r>
      <w:r w:rsidRPr="007566CC">
        <w:rPr>
          <w:rFonts w:cs="Helvetica"/>
        </w:rPr>
        <w:t xml:space="preserve"> </w:t>
      </w:r>
      <w:r>
        <w:rPr>
          <w:rFonts w:cs="Helvetica"/>
        </w:rPr>
        <w:t>typically</w:t>
      </w:r>
      <w:r w:rsidRPr="007566CC">
        <w:rPr>
          <w:rFonts w:cs="Helvetica"/>
        </w:rPr>
        <w:t xml:space="preserve"> held on a short-term basis, and the </w:t>
      </w:r>
      <w:r>
        <w:rPr>
          <w:rFonts w:cs="Helvetica"/>
        </w:rPr>
        <w:t>extent</w:t>
      </w:r>
      <w:r w:rsidRPr="007566CC">
        <w:rPr>
          <w:rFonts w:cs="Helvetica"/>
        </w:rPr>
        <w:t xml:space="preserve"> of </w:t>
      </w:r>
      <w:r>
        <w:rPr>
          <w:rFonts w:cs="Helvetica"/>
        </w:rPr>
        <w:t>a product</w:t>
      </w:r>
      <w:r w:rsidR="008C329E">
        <w:rPr>
          <w:rFonts w:cs="Helvetica"/>
        </w:rPr>
        <w:t>'</w:t>
      </w:r>
      <w:r>
        <w:rPr>
          <w:rFonts w:cs="Helvetica"/>
        </w:rPr>
        <w:t>s</w:t>
      </w:r>
      <w:r w:rsidRPr="007566CC">
        <w:rPr>
          <w:rFonts w:cs="Helvetica"/>
        </w:rPr>
        <w:t xml:space="preserve"> holding of such assets fluctuates by reference to the </w:t>
      </w:r>
      <w:r>
        <w:rPr>
          <w:rFonts w:cs="Helvetica"/>
        </w:rPr>
        <w:t>core</w:t>
      </w:r>
      <w:r w:rsidRPr="007566CC">
        <w:rPr>
          <w:rFonts w:cs="Helvetica"/>
        </w:rPr>
        <w:t xml:space="preserve"> investments of the product which are held over a longer period of time.</w:t>
      </w:r>
      <w:r>
        <w:rPr>
          <w:rFonts w:cs="Helvetica"/>
        </w:rPr>
        <w:t xml:space="preserve"> As such, there is no practical reason to treat such assets as </w:t>
      </w:r>
      <w:r w:rsidR="008C329E">
        <w:rPr>
          <w:rFonts w:cs="Helvetica"/>
        </w:rPr>
        <w:t>'</w:t>
      </w:r>
      <w:r>
        <w:rPr>
          <w:rFonts w:cs="Helvetica"/>
        </w:rPr>
        <w:t>investments</w:t>
      </w:r>
      <w:r w:rsidR="008C329E">
        <w:rPr>
          <w:rFonts w:cs="Helvetica"/>
        </w:rPr>
        <w:t>'</w:t>
      </w:r>
      <w:r>
        <w:rPr>
          <w:rFonts w:cs="Helvetica"/>
        </w:rPr>
        <w:t xml:space="preserve"> under </w:t>
      </w:r>
      <w:r w:rsidR="008C329E">
        <w:rPr>
          <w:rFonts w:cs="Helvetica"/>
        </w:rPr>
        <w:t>"</w:t>
      </w:r>
      <w:r>
        <w:rPr>
          <w:rFonts w:cs="Helvetica"/>
        </w:rPr>
        <w:t>#2 Other</w:t>
      </w:r>
      <w:r w:rsidR="008C329E">
        <w:rPr>
          <w:rFonts w:cs="Helvetica"/>
        </w:rPr>
        <w:t>"</w:t>
      </w:r>
      <w:r>
        <w:rPr>
          <w:rFonts w:cs="Helvetica"/>
        </w:rPr>
        <w:t xml:space="preserve"> or </w:t>
      </w:r>
      <w:r w:rsidR="008C329E">
        <w:rPr>
          <w:rFonts w:cs="Helvetica"/>
        </w:rPr>
        <w:t>"</w:t>
      </w:r>
      <w:r>
        <w:rPr>
          <w:rFonts w:cs="Helvetica"/>
        </w:rPr>
        <w:t>#2 Not sustainable</w:t>
      </w:r>
      <w:r w:rsidR="008C329E">
        <w:rPr>
          <w:rFonts w:cs="Helvetica"/>
        </w:rPr>
        <w:t>"</w:t>
      </w:r>
      <w:r>
        <w:rPr>
          <w:rFonts w:cs="Helvetica"/>
        </w:rPr>
        <w:t xml:space="preserve">. </w:t>
      </w:r>
      <w:r w:rsidRPr="00F65124">
        <w:rPr>
          <w:rFonts w:cs="Helvetica"/>
        </w:rPr>
        <w:t xml:space="preserve">Further, including such assets within the asset allocation </w:t>
      </w:r>
      <w:r w:rsidRPr="00F65124">
        <w:rPr>
          <w:rFonts w:cs="Helvetica"/>
        </w:rPr>
        <w:lastRenderedPageBreak/>
        <w:t>calculations required under the SFDR</w:t>
      </w:r>
      <w:r w:rsidR="008C329E">
        <w:rPr>
          <w:rFonts w:cs="Helvetica"/>
        </w:rPr>
        <w:t>'</w:t>
      </w:r>
      <w:r w:rsidRPr="00F65124">
        <w:rPr>
          <w:rFonts w:cs="Helvetica"/>
        </w:rPr>
        <w:t xml:space="preserve">s RTS presents a unnecessary technical challenge to managers which does not provide any additional benefit to investors. </w:t>
      </w:r>
    </w:p>
    <w:p w14:paraId="304B23CA" w14:textId="77777777" w:rsidR="00F003E4" w:rsidRPr="00D44307" w:rsidRDefault="00F003E4" w:rsidP="00F003E4">
      <w:pPr>
        <w:pStyle w:val="TSBody3-4"/>
      </w:pPr>
    </w:p>
    <w:sectPr w:rsidR="00F003E4" w:rsidRPr="00D44307" w:rsidSect="00716148">
      <w:headerReference w:type="default" r:id="rId12"/>
      <w:pgSz w:w="16838" w:h="11906" w:orient="landscape" w:code="9"/>
      <w:pgMar w:top="1531" w:right="851" w:bottom="1531" w:left="1418" w:header="624" w:footer="624" w:gutter="0"/>
      <w:paperSrc w:first="258" w:other="2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8CCEF" w14:textId="77777777" w:rsidR="003F444B" w:rsidRDefault="003F444B" w:rsidP="00D95A13">
      <w:r>
        <w:separator/>
      </w:r>
    </w:p>
  </w:endnote>
  <w:endnote w:type="continuationSeparator" w:id="0">
    <w:p w14:paraId="700A5C7E" w14:textId="77777777" w:rsidR="003F444B" w:rsidRDefault="003F444B" w:rsidP="00D9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pperplate31ab">
    <w:altName w:val="Calibri"/>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893C47"/>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61"/>
      <w:gridCol w:w="4854"/>
      <w:gridCol w:w="4854"/>
    </w:tblGrid>
    <w:tr w:rsidR="008C329E" w14:paraId="7C766812" w14:textId="77777777" w:rsidTr="00596A98">
      <w:trPr>
        <w:trHeight w:hRule="exact" w:val="340"/>
      </w:trPr>
      <w:tc>
        <w:tcPr>
          <w:tcW w:w="1668" w:type="pct"/>
          <w:tcBorders>
            <w:top w:val="single" w:sz="4" w:space="0" w:color="82C7B3"/>
          </w:tcBorders>
          <w:vAlign w:val="center"/>
        </w:tcPr>
        <w:p w14:paraId="634F2F89" w14:textId="77777777" w:rsidR="008C329E" w:rsidRDefault="008C329E" w:rsidP="00843E60">
          <w:pPr>
            <w:pStyle w:val="Footer"/>
            <w:jc w:val="center"/>
          </w:pPr>
        </w:p>
      </w:tc>
      <w:tc>
        <w:tcPr>
          <w:tcW w:w="1666" w:type="pct"/>
          <w:tcBorders>
            <w:top w:val="single" w:sz="4" w:space="0" w:color="82C7B3"/>
          </w:tcBorders>
          <w:vAlign w:val="center"/>
        </w:tcPr>
        <w:p w14:paraId="6FDF79B3" w14:textId="77777777" w:rsidR="008C329E" w:rsidRDefault="008C329E" w:rsidP="00843E60">
          <w:pPr>
            <w:pStyle w:val="Footer"/>
            <w:jc w:val="center"/>
          </w:pPr>
        </w:p>
      </w:tc>
      <w:tc>
        <w:tcPr>
          <w:tcW w:w="1666" w:type="pct"/>
          <w:tcBorders>
            <w:top w:val="single" w:sz="4" w:space="0" w:color="82C7B3"/>
          </w:tcBorders>
          <w:vAlign w:val="center"/>
        </w:tcPr>
        <w:p w14:paraId="6B4CCD8C" w14:textId="77777777" w:rsidR="008C329E" w:rsidRDefault="008C329E" w:rsidP="00843E60">
          <w:pPr>
            <w:pStyle w:val="Footer"/>
            <w:jc w:val="right"/>
          </w:pPr>
        </w:p>
      </w:tc>
    </w:tr>
  </w:tbl>
  <w:p w14:paraId="1461220A" w14:textId="77777777" w:rsidR="008F0C31" w:rsidRPr="008F0C31" w:rsidRDefault="008F0C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3"/>
      <w:tblW w:w="5000" w:type="pct"/>
      <w:tblBorders>
        <w:top w:val="single" w:sz="4" w:space="0" w:color="893C47"/>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61"/>
      <w:gridCol w:w="4854"/>
      <w:gridCol w:w="4854"/>
    </w:tblGrid>
    <w:tr w:rsidR="008F0C31" w:rsidRPr="00C25802" w14:paraId="7E587AFF" w14:textId="77777777" w:rsidTr="00413101">
      <w:trPr>
        <w:trHeight w:hRule="exact" w:val="340"/>
      </w:trPr>
      <w:tc>
        <w:tcPr>
          <w:tcW w:w="1668" w:type="pct"/>
          <w:tcBorders>
            <w:top w:val="single" w:sz="4" w:space="0" w:color="82C7B3"/>
          </w:tcBorders>
          <w:vAlign w:val="center"/>
        </w:tcPr>
        <w:p w14:paraId="6FB42F3F" w14:textId="77777777" w:rsidR="008F0C31" w:rsidRPr="00C25802" w:rsidRDefault="008F0C31" w:rsidP="00C25802">
          <w:pPr>
            <w:tabs>
              <w:tab w:val="center" w:pos="4513"/>
              <w:tab w:val="right" w:pos="9026"/>
            </w:tabs>
            <w:jc w:val="center"/>
            <w:rPr>
              <w:sz w:val="12"/>
            </w:rPr>
          </w:pPr>
        </w:p>
      </w:tc>
      <w:tc>
        <w:tcPr>
          <w:tcW w:w="1666" w:type="pct"/>
          <w:tcBorders>
            <w:top w:val="single" w:sz="4" w:space="0" w:color="82C7B3"/>
          </w:tcBorders>
          <w:vAlign w:val="center"/>
        </w:tcPr>
        <w:p w14:paraId="6E857B18" w14:textId="77777777" w:rsidR="008F0C31" w:rsidRPr="00C25802" w:rsidRDefault="008F0C31" w:rsidP="00C25802">
          <w:pPr>
            <w:tabs>
              <w:tab w:val="center" w:pos="4513"/>
              <w:tab w:val="right" w:pos="9026"/>
            </w:tabs>
            <w:jc w:val="center"/>
            <w:rPr>
              <w:sz w:val="12"/>
            </w:rPr>
          </w:pPr>
        </w:p>
      </w:tc>
      <w:tc>
        <w:tcPr>
          <w:tcW w:w="1666" w:type="pct"/>
          <w:tcBorders>
            <w:top w:val="single" w:sz="4" w:space="0" w:color="82C7B3"/>
          </w:tcBorders>
          <w:vAlign w:val="center"/>
        </w:tcPr>
        <w:p w14:paraId="11D047A0" w14:textId="77777777" w:rsidR="008F0C31" w:rsidRPr="00C25802" w:rsidRDefault="008F0C31" w:rsidP="00C25802">
          <w:pPr>
            <w:tabs>
              <w:tab w:val="center" w:pos="4513"/>
              <w:tab w:val="right" w:pos="9026"/>
            </w:tabs>
            <w:jc w:val="right"/>
            <w:rPr>
              <w:sz w:val="12"/>
            </w:rPr>
          </w:pPr>
        </w:p>
      </w:tc>
    </w:tr>
    <w:tr w:rsidR="008F0C31" w:rsidRPr="00C25802" w14:paraId="5FFC7A03" w14:textId="77777777" w:rsidTr="009E6431">
      <w:trPr>
        <w:trHeight w:val="80"/>
      </w:trPr>
      <w:tc>
        <w:tcPr>
          <w:tcW w:w="1668" w:type="pct"/>
          <w:vAlign w:val="center"/>
        </w:tcPr>
        <w:p w14:paraId="2373797B" w14:textId="7960D3D6" w:rsidR="008F0C31" w:rsidRPr="00F34E0B" w:rsidRDefault="003333A8" w:rsidP="003A18FF">
          <w:pPr>
            <w:pStyle w:val="Footer"/>
          </w:pPr>
          <w:sdt>
            <w:sdtPr>
              <w:alias w:val="BHDC Content"/>
              <w:tag w:val="1C1A9A9FA9184ABCB4D615E028C9308A"/>
              <w:id w:val="1579472593"/>
              <w:placeholder>
                <w:docPart w:val="BFED05ADE097477388F1FE00BEFEA0A8"/>
              </w:placeholder>
              <w:showingPlcHdr/>
            </w:sdtPr>
            <w:sdtEndPr/>
            <w:sdtContent/>
          </w:sdt>
          <w:sdt>
            <w:sdtPr>
              <w:alias w:val="BHDC Content"/>
              <w:tag w:val="53E3657FF5B145D9BC5C8348FF3AE14D"/>
              <w:id w:val="-1815011537"/>
              <w:placeholder>
                <w:docPart w:val="79A4D5823EB94BAB8105ABF571776DF8"/>
              </w:placeholder>
            </w:sdtPr>
            <w:sdtEndPr/>
            <w:sdtContent>
              <w:r w:rsidR="00D44307">
                <w:t>10130661/2/WB1/WB1</w:t>
              </w:r>
            </w:sdtContent>
          </w:sdt>
        </w:p>
      </w:tc>
      <w:tc>
        <w:tcPr>
          <w:tcW w:w="1666" w:type="pct"/>
          <w:vAlign w:val="center"/>
        </w:tcPr>
        <w:p w14:paraId="20082C71" w14:textId="77777777" w:rsidR="008F0C31" w:rsidRPr="00C25802" w:rsidRDefault="008F0C31" w:rsidP="00C25802">
          <w:pPr>
            <w:tabs>
              <w:tab w:val="center" w:pos="4513"/>
              <w:tab w:val="right" w:pos="9026"/>
            </w:tabs>
            <w:jc w:val="center"/>
            <w:rPr>
              <w:sz w:val="12"/>
            </w:rPr>
          </w:pPr>
        </w:p>
      </w:tc>
      <w:tc>
        <w:tcPr>
          <w:tcW w:w="1666" w:type="pct"/>
          <w:vAlign w:val="center"/>
        </w:tcPr>
        <w:p w14:paraId="749DACD6" w14:textId="77777777" w:rsidR="008F0C31" w:rsidRPr="00C25802" w:rsidRDefault="008F0C31" w:rsidP="00C25802">
          <w:pPr>
            <w:tabs>
              <w:tab w:val="center" w:pos="4513"/>
              <w:tab w:val="right" w:pos="9026"/>
            </w:tabs>
            <w:jc w:val="right"/>
            <w:rPr>
              <w:sz w:val="12"/>
            </w:rPr>
          </w:pPr>
        </w:p>
      </w:tc>
    </w:tr>
  </w:tbl>
  <w:p w14:paraId="73E1B10F" w14:textId="77777777" w:rsidR="008F0C31" w:rsidRPr="0049326C" w:rsidRDefault="008F0C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AE1DA" w14:textId="77777777" w:rsidR="003F444B" w:rsidRDefault="003F444B" w:rsidP="00D95A13">
      <w:r>
        <w:separator/>
      </w:r>
    </w:p>
  </w:footnote>
  <w:footnote w:type="continuationSeparator" w:id="0">
    <w:p w14:paraId="0FBB79E5" w14:textId="77777777" w:rsidR="003F444B" w:rsidRDefault="003F444B" w:rsidP="00D95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77353" w14:textId="761C748A" w:rsidR="00812E46" w:rsidRDefault="00812E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569"/>
    </w:tblGrid>
    <w:tr w:rsidR="00F003E4" w:rsidRPr="00C25802" w14:paraId="50DD4058" w14:textId="77777777" w:rsidTr="00B510AB">
      <w:trPr>
        <w:trHeight w:val="737"/>
      </w:trPr>
      <w:tc>
        <w:tcPr>
          <w:tcW w:w="5000" w:type="pct"/>
        </w:tcPr>
        <w:p w14:paraId="236766BE" w14:textId="0DDE58F6" w:rsidR="00F003E4" w:rsidRPr="00C25802" w:rsidRDefault="00F003E4" w:rsidP="005554FB">
          <w:r w:rsidRPr="00F003E4">
            <w:rPr>
              <w:noProof/>
            </w:rPr>
            <w:drawing>
              <wp:inline distT="0" distB="0" distL="0" distR="0" wp14:anchorId="78C7E847" wp14:editId="4A8B527F">
                <wp:extent cx="1620000" cy="413182"/>
                <wp:effectExtent l="0" t="0" r="0" b="6350"/>
                <wp:docPr id="376534942" name="Picture 376534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100957" name=""/>
                        <pic:cNvPicPr/>
                      </pic:nvPicPr>
                      <pic:blipFill>
                        <a:blip r:embed="rId1">
                          <a:extLst>
                            <a:ext uri="{28A0092B-C50C-407E-A947-70E740481C1C}">
                              <a14:useLocalDpi xmlns:a14="http://schemas.microsoft.com/office/drawing/2010/main" val="0"/>
                            </a:ext>
                          </a:extLst>
                        </a:blip>
                        <a:stretch>
                          <a:fillRect/>
                        </a:stretch>
                      </pic:blipFill>
                      <pic:spPr>
                        <a:xfrm>
                          <a:off x="0" y="0"/>
                          <a:ext cx="1620000" cy="413182"/>
                        </a:xfrm>
                        <a:prstGeom prst="rect">
                          <a:avLst/>
                        </a:prstGeom>
                      </pic:spPr>
                    </pic:pic>
                  </a:graphicData>
                </a:graphic>
              </wp:inline>
            </w:drawing>
          </w:r>
        </w:p>
      </w:tc>
    </w:tr>
    <w:tr w:rsidR="00F003E4" w:rsidRPr="00312D8A" w14:paraId="78F3CFEA" w14:textId="77777777" w:rsidTr="00596A98">
      <w:tc>
        <w:tcPr>
          <w:tcW w:w="5000" w:type="pct"/>
          <w:vAlign w:val="bottom"/>
        </w:tcPr>
        <w:p w14:paraId="52FA4815" w14:textId="05118BCE" w:rsidR="00F003E4" w:rsidRPr="0060474F" w:rsidRDefault="00F003E4" w:rsidP="003B48D1">
          <w:pPr>
            <w:pStyle w:val="Header"/>
            <w:spacing w:line="288" w:lineRule="auto"/>
            <w:jc w:val="right"/>
            <w:rPr>
              <w:sz w:val="18"/>
              <w:szCs w:val="18"/>
            </w:rPr>
          </w:pPr>
          <w:r>
            <w:rPr>
              <w:sz w:val="18"/>
              <w:szCs w:val="18"/>
            </w:rPr>
            <w:t>10 Snow Hill London EC1A 2AL</w:t>
          </w:r>
        </w:p>
        <w:p w14:paraId="66AC3ED8" w14:textId="5D7552C9" w:rsidR="00F003E4" w:rsidRPr="00C72880" w:rsidRDefault="00F003E4" w:rsidP="003B48D1">
          <w:pPr>
            <w:pStyle w:val="Header"/>
            <w:spacing w:line="288" w:lineRule="auto"/>
            <w:jc w:val="right"/>
            <w:rPr>
              <w:sz w:val="18"/>
              <w:szCs w:val="18"/>
            </w:rPr>
          </w:pPr>
          <w:r>
            <w:rPr>
              <w:sz w:val="18"/>
              <w:szCs w:val="18"/>
            </w:rPr>
            <w:t>T: +44 (0)20 7295 3000 | www.traverssmith.com</w:t>
          </w:r>
        </w:p>
      </w:tc>
    </w:tr>
    <w:tr w:rsidR="00F003E4" w:rsidRPr="00C25802" w14:paraId="03498049" w14:textId="77777777" w:rsidTr="00596A98">
      <w:trPr>
        <w:trHeight w:hRule="exact" w:val="170"/>
      </w:trPr>
      <w:tc>
        <w:tcPr>
          <w:tcW w:w="5000" w:type="pct"/>
          <w:tcBorders>
            <w:bottom w:val="single" w:sz="4" w:space="0" w:color="82C7B3"/>
          </w:tcBorders>
          <w:vAlign w:val="bottom"/>
        </w:tcPr>
        <w:p w14:paraId="3C7C2FFB" w14:textId="77777777" w:rsidR="00F003E4" w:rsidRPr="005554FB" w:rsidRDefault="00F003E4" w:rsidP="005554FB">
          <w:pPr>
            <w:rPr>
              <w:sz w:val="12"/>
              <w:szCs w:val="12"/>
            </w:rPr>
          </w:pPr>
        </w:p>
      </w:tc>
    </w:tr>
    <w:tr w:rsidR="00F003E4" w:rsidRPr="00C25802" w14:paraId="4E3093CD" w14:textId="77777777" w:rsidTr="00596A98">
      <w:trPr>
        <w:trHeight w:hRule="exact" w:val="340"/>
      </w:trPr>
      <w:tc>
        <w:tcPr>
          <w:tcW w:w="5000" w:type="pct"/>
          <w:tcBorders>
            <w:top w:val="single" w:sz="4" w:space="0" w:color="82C7B3"/>
          </w:tcBorders>
          <w:vAlign w:val="center"/>
        </w:tcPr>
        <w:p w14:paraId="35CB2AAA" w14:textId="77777777" w:rsidR="00F003E4" w:rsidRPr="005554FB" w:rsidRDefault="00F003E4" w:rsidP="005554FB">
          <w:pPr>
            <w:rPr>
              <w:sz w:val="12"/>
              <w:szCs w:val="12"/>
            </w:rPr>
          </w:pPr>
        </w:p>
      </w:tc>
    </w:tr>
  </w:tbl>
  <w:p w14:paraId="389D485E" w14:textId="0B18FF29" w:rsidR="00812E46" w:rsidRDefault="00812E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A87D" w14:textId="77777777" w:rsidR="00716148" w:rsidRDefault="00716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F0E"/>
    <w:multiLevelType w:val="multilevel"/>
    <w:tmpl w:val="93C2E42C"/>
    <w:lvl w:ilvl="0">
      <w:start w:val="1"/>
      <w:numFmt w:val="lowerRoman"/>
      <w:pStyle w:val="TSLv2List3"/>
      <w:lvlText w:val="(%1)"/>
      <w:lvlJc w:val="left"/>
      <w:pPr>
        <w:tabs>
          <w:tab w:val="num" w:pos="1985"/>
        </w:tabs>
        <w:ind w:left="1985" w:hanging="1134"/>
      </w:pPr>
      <w:rPr>
        <w:rFonts w:asciiTheme="minorHAnsi" w:hAnsiTheme="minorHAnsi" w:hint="default"/>
        <w:b w:val="0"/>
        <w:i w:val="0"/>
        <w:sz w:val="22"/>
      </w:rPr>
    </w:lvl>
    <w:lvl w:ilvl="1">
      <w:start w:val="1"/>
      <w:numFmt w:val="none"/>
      <w:suff w:val="nothing"/>
      <w:lvlText w:val="%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5426365"/>
    <w:multiLevelType w:val="multilevel"/>
    <w:tmpl w:val="F4AC064C"/>
    <w:lvl w:ilvl="0">
      <w:start w:val="1"/>
      <w:numFmt w:val="decimal"/>
      <w:pStyle w:val="TSScheduleTitle"/>
      <w:suff w:val="space"/>
      <w:lvlText w:val="Schedule %1"/>
      <w:lvlJc w:val="left"/>
      <w:pPr>
        <w:ind w:left="0" w:firstLine="0"/>
      </w:pPr>
      <w:rPr>
        <w:rFonts w:asciiTheme="minorHAnsi" w:hAnsiTheme="minorHAnsi" w:hint="default"/>
        <w:b/>
        <w:i w:val="0"/>
        <w:caps/>
        <w:sz w:val="22"/>
      </w:rPr>
    </w:lvl>
    <w:lvl w:ilvl="1">
      <w:start w:val="1"/>
      <w:numFmt w:val="upperRoman"/>
      <w:pStyle w:val="TSScheduleParts"/>
      <w:suff w:val="space"/>
      <w:lvlText w:val="Part %2"/>
      <w:lvlJc w:val="left"/>
      <w:pPr>
        <w:ind w:left="851" w:hanging="851"/>
      </w:pPr>
      <w:rPr>
        <w:rFonts w:asciiTheme="minorHAnsi" w:hAnsiTheme="minorHAnsi" w:hint="default"/>
        <w:b/>
        <w:i w:val="0"/>
        <w:caps w:val="0"/>
        <w:sz w:val="22"/>
      </w:rPr>
    </w:lvl>
    <w:lvl w:ilvl="2">
      <w:start w:val="1"/>
      <w:numFmt w:val="decimal"/>
      <w:pStyle w:val="TSScheduleHeading1"/>
      <w:lvlText w:val="%3."/>
      <w:lvlJc w:val="left"/>
      <w:pPr>
        <w:tabs>
          <w:tab w:val="num" w:pos="851"/>
        </w:tabs>
        <w:ind w:left="851" w:hanging="851"/>
      </w:pPr>
      <w:rPr>
        <w:rFonts w:asciiTheme="minorHAnsi" w:hAnsiTheme="minorHAnsi" w:hint="default"/>
        <w:b/>
        <w:i w:val="0"/>
        <w:sz w:val="22"/>
      </w:rPr>
    </w:lvl>
    <w:lvl w:ilvl="3">
      <w:start w:val="1"/>
      <w:numFmt w:val="decimal"/>
      <w:pStyle w:val="TSScheduleHeading2"/>
      <w:lvlText w:val="%3.%4"/>
      <w:lvlJc w:val="left"/>
      <w:pPr>
        <w:tabs>
          <w:tab w:val="num" w:pos="851"/>
        </w:tabs>
        <w:ind w:left="851" w:hanging="851"/>
      </w:pPr>
      <w:rPr>
        <w:rFonts w:asciiTheme="minorHAnsi" w:hAnsiTheme="minorHAnsi" w:hint="default"/>
        <w:b/>
        <w:i w:val="0"/>
        <w:sz w:val="22"/>
      </w:rPr>
    </w:lvl>
    <w:lvl w:ilvl="4">
      <w:start w:val="1"/>
      <w:numFmt w:val="decimal"/>
      <w:pStyle w:val="TSScheduleHeading3"/>
      <w:lvlText w:val="%3.%4.%5"/>
      <w:lvlJc w:val="left"/>
      <w:pPr>
        <w:tabs>
          <w:tab w:val="num" w:pos="1985"/>
        </w:tabs>
        <w:ind w:left="1985" w:hanging="1134"/>
      </w:pPr>
      <w:rPr>
        <w:rFonts w:asciiTheme="minorHAnsi" w:hAnsiTheme="minorHAnsi" w:cs="Times New Roman" w:hint="default"/>
        <w:b/>
        <w:bCs w:val="0"/>
        <w:i w:val="0"/>
        <w:iCs w:val="0"/>
        <w:caps w:val="0"/>
        <w:strike w:val="0"/>
        <w:dstrike w:val="0"/>
        <w:vanish w:val="0"/>
        <w:color w:val="auto"/>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SScheduleHeading4"/>
      <w:lvlText w:val="%3.%4.%5.%6"/>
      <w:lvlJc w:val="left"/>
      <w:pPr>
        <w:tabs>
          <w:tab w:val="num" w:pos="1985"/>
        </w:tabs>
        <w:ind w:left="1985" w:hanging="113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TSScheduleHeading5"/>
      <w:lvlText w:val="(%7)"/>
      <w:lvlJc w:val="left"/>
      <w:pPr>
        <w:tabs>
          <w:tab w:val="num" w:pos="2835"/>
        </w:tabs>
        <w:ind w:left="2835" w:hanging="850"/>
      </w:pPr>
      <w:rPr>
        <w:rFonts w:asciiTheme="minorHAnsi" w:hAnsiTheme="minorHAnsi" w:hint="default"/>
        <w:b w:val="0"/>
        <w:i w:val="0"/>
        <w:sz w:val="22"/>
      </w:rPr>
    </w:lvl>
    <w:lvl w:ilvl="7">
      <w:start w:val="1"/>
      <w:numFmt w:val="lowerRoman"/>
      <w:pStyle w:val="TSScheduleHeading6"/>
      <w:lvlText w:val="(%8)"/>
      <w:lvlJc w:val="left"/>
      <w:pPr>
        <w:tabs>
          <w:tab w:val="num" w:pos="3686"/>
        </w:tabs>
        <w:ind w:left="3686" w:hanging="851"/>
      </w:pPr>
      <w:rPr>
        <w:rFonts w:asciiTheme="minorHAnsi" w:hAnsiTheme="minorHAnsi" w:hint="default"/>
        <w:b w:val="0"/>
        <w:i w:val="0"/>
        <w:sz w:val="22"/>
      </w:rPr>
    </w:lvl>
    <w:lvl w:ilvl="8">
      <w:start w:val="1"/>
      <w:numFmt w:val="upperLetter"/>
      <w:pStyle w:val="TSScheduleHeading7"/>
      <w:lvlText w:val="%9."/>
      <w:lvlJc w:val="left"/>
      <w:pPr>
        <w:tabs>
          <w:tab w:val="num" w:pos="4536"/>
        </w:tabs>
        <w:ind w:left="4536" w:hanging="850"/>
      </w:pPr>
      <w:rPr>
        <w:rFonts w:asciiTheme="minorHAnsi" w:hAnsiTheme="minorHAnsi" w:hint="default"/>
        <w:b w:val="0"/>
        <w:i w:val="0"/>
        <w:sz w:val="22"/>
      </w:rPr>
    </w:lvl>
  </w:abstractNum>
  <w:abstractNum w:abstractNumId="2" w15:restartNumberingAfterBreak="0">
    <w:nsid w:val="08775B9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1720014"/>
    <w:multiLevelType w:val="multilevel"/>
    <w:tmpl w:val="2FC621C4"/>
    <w:lvl w:ilvl="0">
      <w:start w:val="1"/>
      <w:numFmt w:val="lowerLetter"/>
      <w:pStyle w:val="TSDefinitionsLevel1"/>
      <w:lvlText w:val="(%1)"/>
      <w:lvlJc w:val="left"/>
      <w:pPr>
        <w:tabs>
          <w:tab w:val="num" w:pos="1418"/>
        </w:tabs>
        <w:ind w:left="1418" w:hanging="567"/>
      </w:pPr>
      <w:rPr>
        <w:rFonts w:asciiTheme="minorHAnsi" w:hAnsiTheme="minorHAnsi" w:hint="default"/>
        <w:b w:val="0"/>
        <w:i w:val="0"/>
        <w:caps w:val="0"/>
        <w:sz w:val="22"/>
      </w:rPr>
    </w:lvl>
    <w:lvl w:ilvl="1">
      <w:start w:val="1"/>
      <w:numFmt w:val="lowerRoman"/>
      <w:pStyle w:val="TSDefinitionsLevel2"/>
      <w:lvlText w:val="(%2)"/>
      <w:lvlJc w:val="left"/>
      <w:pPr>
        <w:tabs>
          <w:tab w:val="num" w:pos="1985"/>
        </w:tabs>
        <w:ind w:left="1985" w:hanging="567"/>
      </w:pPr>
      <w:rPr>
        <w:rFonts w:asciiTheme="minorHAnsi" w:hAnsiTheme="minorHAnsi" w:hint="default"/>
        <w:b w:val="0"/>
        <w:i w:val="0"/>
        <w:caps w:val="0"/>
        <w:sz w:val="22"/>
      </w:rPr>
    </w:lvl>
    <w:lvl w:ilvl="2">
      <w:start w:val="1"/>
      <w:numFmt w:val="upperLetter"/>
      <w:pStyle w:val="TSDefinitionsLevel3"/>
      <w:lvlText w:val="%3."/>
      <w:lvlJc w:val="left"/>
      <w:pPr>
        <w:tabs>
          <w:tab w:val="num" w:pos="2552"/>
        </w:tabs>
        <w:ind w:left="2552" w:hanging="567"/>
      </w:pPr>
      <w:rPr>
        <w:rFonts w:asciiTheme="minorHAnsi" w:hAnsiTheme="minorHAnsi" w:hint="default"/>
        <w:b w:val="0"/>
        <w:i w:val="0"/>
        <w:caps w:val="0"/>
        <w:sz w:val="22"/>
      </w:rPr>
    </w:lvl>
    <w:lvl w:ilvl="3">
      <w:start w:val="1"/>
      <w:numFmt w:val="none"/>
      <w:lvlRestart w:val="0"/>
      <w:suff w:val="nothing"/>
      <w:lvlText w:val=""/>
      <w:lvlJc w:val="left"/>
      <w:pPr>
        <w:ind w:left="0" w:firstLine="0"/>
      </w:pPr>
      <w:rPr>
        <w:rFonts w:ascii="Times New Roman" w:hAnsi="Times New Roman" w:hint="default"/>
        <w:b/>
        <w:i w:val="0"/>
        <w:sz w:val="22"/>
      </w:rPr>
    </w:lvl>
    <w:lvl w:ilvl="4">
      <w:start w:val="1"/>
      <w:numFmt w:val="none"/>
      <w:suff w:val="nothing"/>
      <w:lvlText w:val=""/>
      <w:lvlJc w:val="left"/>
      <w:pPr>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0" w:firstLine="0"/>
      </w:pPr>
      <w:rPr>
        <w:rFonts w:ascii="Times New Roman" w:hAnsi="Times New Roman" w:hint="default"/>
        <w:b/>
        <w:i w:val="0"/>
        <w:sz w:val="22"/>
      </w:rPr>
    </w:lvl>
    <w:lvl w:ilvl="6">
      <w:start w:val="1"/>
      <w:numFmt w:val="none"/>
      <w:lvlRestart w:val="0"/>
      <w:suff w:val="nothing"/>
      <w:lvlText w:val=""/>
      <w:lvlJc w:val="left"/>
      <w:pPr>
        <w:ind w:left="0" w:firstLine="0"/>
      </w:pPr>
      <w:rPr>
        <w:rFonts w:ascii="Times New Roman" w:hAnsi="Times New Roman" w:hint="default"/>
        <w:b w:val="0"/>
        <w:i w:val="0"/>
        <w:sz w:val="22"/>
      </w:rPr>
    </w:lvl>
    <w:lvl w:ilvl="7">
      <w:start w:val="1"/>
      <w:numFmt w:val="none"/>
      <w:lvlRestart w:val="0"/>
      <w:suff w:val="nothing"/>
      <w:lvlText w:val=""/>
      <w:lvlJc w:val="left"/>
      <w:pPr>
        <w:ind w:left="0" w:firstLine="0"/>
      </w:pPr>
      <w:rPr>
        <w:rFonts w:ascii="Times New Roman" w:hAnsi="Times New Roman" w:hint="default"/>
        <w:b w:val="0"/>
        <w:i w:val="0"/>
        <w:sz w:val="22"/>
      </w:rPr>
    </w:lvl>
    <w:lvl w:ilvl="8">
      <w:start w:val="1"/>
      <w:numFmt w:val="none"/>
      <w:lvlRestart w:val="0"/>
      <w:suff w:val="nothing"/>
      <w:lvlText w:val=""/>
      <w:lvlJc w:val="left"/>
      <w:pPr>
        <w:ind w:left="0" w:firstLine="0"/>
      </w:pPr>
      <w:rPr>
        <w:rFonts w:ascii="Times New Roman" w:hAnsi="Times New Roman" w:hint="default"/>
        <w:b w:val="0"/>
        <w:i w:val="0"/>
        <w:sz w:val="22"/>
      </w:rPr>
    </w:lvl>
  </w:abstractNum>
  <w:abstractNum w:abstractNumId="4" w15:restartNumberingAfterBreak="0">
    <w:nsid w:val="152C64EC"/>
    <w:multiLevelType w:val="multilevel"/>
    <w:tmpl w:val="0BE2550C"/>
    <w:lvl w:ilvl="0">
      <w:start w:val="1"/>
      <w:numFmt w:val="decimal"/>
      <w:pStyle w:val="TSMemSection"/>
      <w:suff w:val="space"/>
      <w:lvlText w:val="Section %1"/>
      <w:lvlJc w:val="left"/>
      <w:pPr>
        <w:ind w:left="0" w:firstLine="0"/>
      </w:pPr>
      <w:rPr>
        <w:rFonts w:asciiTheme="minorHAnsi" w:hAnsiTheme="minorHAnsi" w:hint="default"/>
        <w:b/>
        <w:i w:val="0"/>
        <w:caps/>
        <w:sz w:val="22"/>
      </w:rPr>
    </w:lvl>
    <w:lvl w:ilvl="1">
      <w:start w:val="1"/>
      <w:numFmt w:val="decimal"/>
      <w:pStyle w:val="TSMemPart"/>
      <w:suff w:val="space"/>
      <w:lvlText w:val="Part %2 -"/>
      <w:lvlJc w:val="left"/>
      <w:pPr>
        <w:ind w:left="0" w:firstLine="0"/>
      </w:pPr>
      <w:rPr>
        <w:rFonts w:asciiTheme="minorHAnsi" w:hAnsiTheme="minorHAnsi" w:hint="default"/>
        <w:b/>
        <w:i w:val="0"/>
        <w:caps/>
        <w:sz w:val="22"/>
      </w:rPr>
    </w:lvl>
    <w:lvl w:ilvl="2">
      <w:start w:val="1"/>
      <w:numFmt w:val="decimal"/>
      <w:pStyle w:val="TSMemH1"/>
      <w:lvlText w:val="%3."/>
      <w:lvlJc w:val="left"/>
      <w:pPr>
        <w:tabs>
          <w:tab w:val="num" w:pos="851"/>
        </w:tabs>
        <w:ind w:left="851" w:hanging="851"/>
      </w:pPr>
      <w:rPr>
        <w:rFonts w:asciiTheme="minorHAnsi" w:hAnsiTheme="minorHAnsi" w:hint="default"/>
        <w:b/>
        <w:i w:val="0"/>
        <w:sz w:val="22"/>
      </w:rPr>
    </w:lvl>
    <w:lvl w:ilvl="3">
      <w:start w:val="1"/>
      <w:numFmt w:val="decimal"/>
      <w:pStyle w:val="TSMemH2"/>
      <w:lvlText w:val="%3.%4"/>
      <w:lvlJc w:val="left"/>
      <w:pPr>
        <w:tabs>
          <w:tab w:val="num" w:pos="851"/>
        </w:tabs>
        <w:ind w:left="851" w:hanging="851"/>
      </w:pPr>
      <w:rPr>
        <w:rFonts w:asciiTheme="minorHAnsi" w:hAnsiTheme="minorHAnsi" w:hint="default"/>
        <w:b/>
        <w:i w:val="0"/>
        <w:sz w:val="22"/>
      </w:rPr>
    </w:lvl>
    <w:lvl w:ilvl="4">
      <w:start w:val="1"/>
      <w:numFmt w:val="decimal"/>
      <w:pStyle w:val="TSMemH3"/>
      <w:lvlText w:val="%3.%4.%5"/>
      <w:lvlJc w:val="left"/>
      <w:pPr>
        <w:tabs>
          <w:tab w:val="num" w:pos="1985"/>
        </w:tabs>
        <w:ind w:left="1985" w:hanging="1134"/>
      </w:pPr>
      <w:rPr>
        <w:rFonts w:asciiTheme="minorHAnsi" w:hAnsiTheme="minorHAnsi" w:hint="default"/>
        <w:b/>
        <w:i w:val="0"/>
        <w:sz w:val="22"/>
      </w:rPr>
    </w:lvl>
    <w:lvl w:ilvl="5">
      <w:start w:val="1"/>
      <w:numFmt w:val="lowerLetter"/>
      <w:pStyle w:val="TSMemL4"/>
      <w:lvlText w:val="(%6)"/>
      <w:lvlJc w:val="left"/>
      <w:pPr>
        <w:tabs>
          <w:tab w:val="num" w:pos="2835"/>
        </w:tabs>
        <w:ind w:left="2835" w:hanging="850"/>
      </w:pPr>
      <w:rPr>
        <w:rFonts w:asciiTheme="minorHAnsi" w:hAnsiTheme="minorHAnsi" w:hint="default"/>
        <w:b w:val="0"/>
        <w:i w:val="0"/>
        <w:caps w:val="0"/>
        <w:vanish w:val="0"/>
        <w:sz w:val="22"/>
      </w:rPr>
    </w:lvl>
    <w:lvl w:ilvl="6">
      <w:start w:val="1"/>
      <w:numFmt w:val="lowerRoman"/>
      <w:pStyle w:val="TSMemL5"/>
      <w:lvlText w:val="(%7)"/>
      <w:lvlJc w:val="left"/>
      <w:pPr>
        <w:tabs>
          <w:tab w:val="num" w:pos="3686"/>
        </w:tabs>
        <w:ind w:left="3686" w:hanging="851"/>
      </w:pPr>
      <w:rPr>
        <w:rFonts w:asciiTheme="minorHAnsi" w:hAnsiTheme="minorHAnsi" w:hint="default"/>
        <w:b w:val="0"/>
        <w:i w:val="0"/>
        <w:sz w:val="22"/>
      </w:rPr>
    </w:lvl>
    <w:lvl w:ilvl="7">
      <w:start w:val="1"/>
      <w:numFmt w:val="none"/>
      <w:lvlRestart w:val="0"/>
      <w:suff w:val="nothing"/>
      <w:lvlText w:val=""/>
      <w:lvlJc w:val="left"/>
      <w:pPr>
        <w:ind w:left="0" w:firstLine="0"/>
      </w:pPr>
      <w:rPr>
        <w:rFonts w:asciiTheme="minorHAnsi" w:hAnsiTheme="minorHAnsi" w:hint="default"/>
      </w:rPr>
    </w:lvl>
    <w:lvl w:ilvl="8">
      <w:start w:val="1"/>
      <w:numFmt w:val="none"/>
      <w:lvlRestart w:val="0"/>
      <w:suff w:val="nothing"/>
      <w:lvlText w:val=""/>
      <w:lvlJc w:val="left"/>
      <w:pPr>
        <w:ind w:left="0" w:firstLine="0"/>
      </w:pPr>
      <w:rPr>
        <w:rFonts w:asciiTheme="minorHAnsi" w:hAnsiTheme="minorHAnsi" w:hint="default"/>
      </w:rPr>
    </w:lvl>
  </w:abstractNum>
  <w:abstractNum w:abstractNumId="5" w15:restartNumberingAfterBreak="0">
    <w:nsid w:val="1BA258A4"/>
    <w:multiLevelType w:val="multilevel"/>
    <w:tmpl w:val="40F085F6"/>
    <w:lvl w:ilvl="0">
      <w:start w:val="1"/>
      <w:numFmt w:val="lowerLetter"/>
      <w:pStyle w:val="TSLv3List2"/>
      <w:lvlText w:val="(%1)"/>
      <w:lvlJc w:val="left"/>
      <w:pPr>
        <w:tabs>
          <w:tab w:val="num" w:pos="2835"/>
        </w:tabs>
        <w:ind w:left="2835" w:hanging="850"/>
      </w:pPr>
      <w:rPr>
        <w:rFonts w:asciiTheme="minorHAnsi" w:hAnsiTheme="minorHAnsi" w:hint="default"/>
        <w:b w:val="0"/>
        <w:i w:val="0"/>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59E567E"/>
    <w:multiLevelType w:val="multilevel"/>
    <w:tmpl w:val="57BAFE8C"/>
    <w:lvl w:ilvl="0">
      <w:start w:val="1"/>
      <w:numFmt w:val="lowerRoman"/>
      <w:pStyle w:val="TSLv3List3"/>
      <w:lvlText w:val="(%1)"/>
      <w:lvlJc w:val="left"/>
      <w:pPr>
        <w:tabs>
          <w:tab w:val="num" w:pos="2835"/>
        </w:tabs>
        <w:ind w:left="2835" w:hanging="850"/>
      </w:pPr>
      <w:rPr>
        <w:rFonts w:asciiTheme="minorHAnsi" w:hAnsiTheme="minorHAnsi" w:hint="default"/>
        <w:b w:val="0"/>
        <w:i w:val="0"/>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7" w15:restartNumberingAfterBreak="0">
    <w:nsid w:val="266521BA"/>
    <w:multiLevelType w:val="multilevel"/>
    <w:tmpl w:val="18586D50"/>
    <w:lvl w:ilvl="0">
      <w:start w:val="1"/>
      <w:numFmt w:val="decimal"/>
      <w:pStyle w:val="TSFrontCoverParties"/>
      <w:lvlText w:val="(%1)"/>
      <w:lvlJc w:val="left"/>
      <w:pPr>
        <w:tabs>
          <w:tab w:val="num" w:pos="0"/>
        </w:tabs>
        <w:ind w:left="0" w:firstLine="0"/>
      </w:pPr>
      <w:rPr>
        <w:rFonts w:ascii="Calibri" w:hAnsi="Calibri" w:hint="default"/>
        <w:b/>
        <w:i w:val="0"/>
        <w:sz w:val="32"/>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350B1FF4"/>
    <w:multiLevelType w:val="multilevel"/>
    <w:tmpl w:val="0520D9DE"/>
    <w:lvl w:ilvl="0">
      <w:start w:val="1"/>
      <w:numFmt w:val="decimal"/>
      <w:pStyle w:val="TSParties"/>
      <w:lvlText w:val="(%1)"/>
      <w:lvlJc w:val="left"/>
      <w:pPr>
        <w:tabs>
          <w:tab w:val="num" w:pos="851"/>
        </w:tabs>
        <w:ind w:left="851" w:hanging="851"/>
      </w:pPr>
      <w:rPr>
        <w:rFonts w:asciiTheme="minorHAnsi" w:hAnsiTheme="minorHAnsi" w:hint="default"/>
        <w:b/>
        <w:i w:val="0"/>
        <w:sz w:val="22"/>
      </w:rPr>
    </w:lvl>
    <w:lvl w:ilvl="1">
      <w:start w:val="1"/>
      <w:numFmt w:val="upperLetter"/>
      <w:pStyle w:val="TSRecitals"/>
      <w:lvlText w:val="(%2)"/>
      <w:lvlJc w:val="left"/>
      <w:pPr>
        <w:tabs>
          <w:tab w:val="num" w:pos="851"/>
        </w:tabs>
        <w:ind w:left="851" w:hanging="851"/>
      </w:pPr>
      <w:rPr>
        <w:rFonts w:asciiTheme="minorHAnsi" w:hAnsiTheme="minorHAnsi" w:hint="default"/>
        <w:b/>
        <w:i w:val="0"/>
        <w:sz w:val="22"/>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15:restartNumberingAfterBreak="0">
    <w:nsid w:val="3B32360E"/>
    <w:multiLevelType w:val="multilevel"/>
    <w:tmpl w:val="EAFEB402"/>
    <w:lvl w:ilvl="0">
      <w:start w:val="1"/>
      <w:numFmt w:val="lowerLetter"/>
      <w:pStyle w:val="TSLv2List2"/>
      <w:lvlText w:val="(%1)"/>
      <w:lvlJc w:val="left"/>
      <w:pPr>
        <w:tabs>
          <w:tab w:val="num" w:pos="1985"/>
        </w:tabs>
        <w:ind w:left="1985" w:hanging="1134"/>
      </w:pPr>
      <w:rPr>
        <w:rFonts w:asciiTheme="minorHAnsi" w:hAnsiTheme="minorHAnsi" w:hint="default"/>
        <w:b w:val="0"/>
        <w:i w:val="0"/>
        <w:sz w:val="22"/>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3E410EB6"/>
    <w:multiLevelType w:val="multilevel"/>
    <w:tmpl w:val="6D24605A"/>
    <w:lvl w:ilvl="0">
      <w:start w:val="1"/>
      <w:numFmt w:val="decimal"/>
      <w:pStyle w:val="TSHeading1"/>
      <w:lvlText w:val="%1."/>
      <w:lvlJc w:val="left"/>
      <w:pPr>
        <w:tabs>
          <w:tab w:val="num" w:pos="851"/>
        </w:tabs>
        <w:ind w:left="851" w:hanging="851"/>
      </w:pPr>
      <w:rPr>
        <w:rFonts w:asciiTheme="minorHAnsi" w:hAnsiTheme="minorHAnsi" w:hint="default"/>
        <w:b/>
        <w:i w:val="0"/>
        <w:caps/>
        <w:sz w:val="22"/>
      </w:rPr>
    </w:lvl>
    <w:lvl w:ilvl="1">
      <w:start w:val="1"/>
      <w:numFmt w:val="decimal"/>
      <w:pStyle w:val="TSHeading2"/>
      <w:lvlText w:val="%1.%2"/>
      <w:lvlJc w:val="left"/>
      <w:pPr>
        <w:tabs>
          <w:tab w:val="num" w:pos="851"/>
        </w:tabs>
        <w:ind w:left="851" w:hanging="851"/>
      </w:pPr>
      <w:rPr>
        <w:rFonts w:asciiTheme="minorHAnsi" w:hAnsiTheme="minorHAnsi" w:hint="default"/>
        <w:b/>
        <w:i w:val="0"/>
        <w:caps/>
        <w:sz w:val="22"/>
      </w:rPr>
    </w:lvl>
    <w:lvl w:ilvl="2">
      <w:start w:val="1"/>
      <w:numFmt w:val="decimal"/>
      <w:pStyle w:val="TSHeading3"/>
      <w:lvlText w:val="%1.%2.%3"/>
      <w:lvlJc w:val="left"/>
      <w:pPr>
        <w:tabs>
          <w:tab w:val="num" w:pos="1985"/>
        </w:tabs>
        <w:ind w:left="1985" w:hanging="1134"/>
      </w:pPr>
      <w:rPr>
        <w:rFonts w:asciiTheme="minorHAnsi" w:hAnsiTheme="minorHAnsi" w:hint="default"/>
        <w:b/>
        <w:i w:val="0"/>
        <w:sz w:val="22"/>
      </w:rPr>
    </w:lvl>
    <w:lvl w:ilvl="3">
      <w:start w:val="1"/>
      <w:numFmt w:val="decimal"/>
      <w:pStyle w:val="TSHeading4"/>
      <w:lvlText w:val="%1.%2.%3.%4"/>
      <w:lvlJc w:val="left"/>
      <w:pPr>
        <w:tabs>
          <w:tab w:val="num" w:pos="1985"/>
        </w:tabs>
        <w:ind w:left="1985" w:hanging="1134"/>
      </w:pPr>
      <w:rPr>
        <w:rFonts w:asciiTheme="minorHAnsi" w:hAnsiTheme="minorHAnsi" w:hint="default"/>
        <w:b/>
        <w:i w:val="0"/>
        <w:sz w:val="22"/>
      </w:rPr>
    </w:lvl>
    <w:lvl w:ilvl="4">
      <w:start w:val="1"/>
      <w:numFmt w:val="lowerLetter"/>
      <w:pStyle w:val="TSHeading5"/>
      <w:lvlText w:val="(%5)"/>
      <w:lvlJc w:val="left"/>
      <w:pPr>
        <w:tabs>
          <w:tab w:val="num" w:pos="2835"/>
        </w:tabs>
        <w:ind w:left="2835" w:hanging="850"/>
      </w:pPr>
      <w:rPr>
        <w:rFonts w:asciiTheme="minorHAnsi" w:hAnsiTheme="minorHAnsi" w:cs="Times New Roman" w:hint="default"/>
        <w:b w:val="0"/>
        <w:bCs w:val="0"/>
        <w:i w:val="0"/>
        <w:iCs w:val="0"/>
        <w:small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TSHeading6"/>
      <w:lvlText w:val="(%6)"/>
      <w:lvlJc w:val="left"/>
      <w:pPr>
        <w:tabs>
          <w:tab w:val="num" w:pos="3686"/>
        </w:tabs>
        <w:ind w:left="3686" w:hanging="851"/>
      </w:pPr>
      <w:rPr>
        <w:rFonts w:asciiTheme="minorHAnsi" w:hAnsiTheme="minorHAnsi" w:hint="default"/>
        <w:b w:val="0"/>
        <w:i w:val="0"/>
        <w:sz w:val="22"/>
      </w:rPr>
    </w:lvl>
    <w:lvl w:ilvl="6">
      <w:start w:val="1"/>
      <w:numFmt w:val="upperLetter"/>
      <w:pStyle w:val="TSHeading7"/>
      <w:lvlText w:val="%7."/>
      <w:lvlJc w:val="left"/>
      <w:pPr>
        <w:tabs>
          <w:tab w:val="num" w:pos="4536"/>
        </w:tabs>
        <w:ind w:left="4536" w:hanging="850"/>
      </w:pPr>
      <w:rPr>
        <w:rFonts w:asciiTheme="minorHAnsi" w:hAnsiTheme="minorHAnsi" w:hint="default"/>
        <w:b w:val="0"/>
        <w:i w:val="0"/>
        <w:sz w:val="22"/>
      </w:rPr>
    </w:lvl>
    <w:lvl w:ilvl="7">
      <w:start w:val="1"/>
      <w:numFmt w:val="none"/>
      <w:lvlRestart w:val="0"/>
      <w:suff w:val="nothing"/>
      <w:lvlText w:val=""/>
      <w:lvlJc w:val="left"/>
      <w:pPr>
        <w:ind w:left="0" w:firstLine="0"/>
      </w:pPr>
      <w:rPr>
        <w:rFonts w:asciiTheme="minorHAnsi" w:hAnsiTheme="minorHAnsi" w:hint="default"/>
        <w:b w:val="0"/>
        <w:i w:val="0"/>
        <w:sz w:val="22"/>
      </w:rPr>
    </w:lvl>
    <w:lvl w:ilvl="8">
      <w:start w:val="1"/>
      <w:numFmt w:val="none"/>
      <w:suff w:val="nothing"/>
      <w:lvlText w:val=""/>
      <w:lvlJc w:val="left"/>
      <w:pPr>
        <w:ind w:left="0" w:firstLine="0"/>
      </w:pPr>
      <w:rPr>
        <w:rFonts w:asciiTheme="minorHAnsi" w:hAnsiTheme="minorHAnsi" w:hint="default"/>
        <w:b w:val="0"/>
        <w:i w:val="0"/>
        <w:sz w:val="22"/>
      </w:rPr>
    </w:lvl>
  </w:abstractNum>
  <w:abstractNum w:abstractNumId="11" w15:restartNumberingAfterBreak="0">
    <w:nsid w:val="48005CF2"/>
    <w:multiLevelType w:val="multilevel"/>
    <w:tmpl w:val="C1186ED4"/>
    <w:lvl w:ilvl="0">
      <w:start w:val="1"/>
      <w:numFmt w:val="lowerLetter"/>
      <w:pStyle w:val="TSLv1List2"/>
      <w:lvlText w:val="(%1)"/>
      <w:lvlJc w:val="left"/>
      <w:pPr>
        <w:tabs>
          <w:tab w:val="num" w:pos="851"/>
        </w:tabs>
        <w:ind w:left="851" w:hanging="851"/>
      </w:pPr>
      <w:rPr>
        <w:rFonts w:asciiTheme="minorHAnsi" w:hAnsiTheme="minorHAnsi" w:hint="default"/>
        <w:b w:val="0"/>
        <w:i w:val="0"/>
        <w:sz w:val="22"/>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4C760B5C"/>
    <w:multiLevelType w:val="multilevel"/>
    <w:tmpl w:val="7ED2A298"/>
    <w:lvl w:ilvl="0">
      <w:start w:val="1"/>
      <w:numFmt w:val="decimal"/>
      <w:pStyle w:val="TSAppendixTitle"/>
      <w:suff w:val="space"/>
      <w:lvlText w:val="Appendix %1"/>
      <w:lvlJc w:val="left"/>
      <w:pPr>
        <w:ind w:left="0" w:firstLine="0"/>
      </w:pPr>
      <w:rPr>
        <w:rFonts w:asciiTheme="minorHAnsi" w:hAnsiTheme="minorHAnsi" w:hint="default"/>
        <w:b/>
        <w:i w:val="0"/>
        <w:caps/>
        <w:sz w:val="22"/>
      </w:rPr>
    </w:lvl>
    <w:lvl w:ilvl="1">
      <w:start w:val="1"/>
      <w:numFmt w:val="upperRoman"/>
      <w:pStyle w:val="TSAppendixParts"/>
      <w:suff w:val="space"/>
      <w:lvlText w:val="Part %2"/>
      <w:lvlJc w:val="left"/>
      <w:pPr>
        <w:ind w:left="851" w:hanging="851"/>
      </w:pPr>
      <w:rPr>
        <w:rFonts w:asciiTheme="minorHAnsi" w:hAnsiTheme="minorHAnsi" w:hint="default"/>
        <w:b/>
        <w:i w:val="0"/>
        <w:caps w:val="0"/>
        <w:sz w:val="22"/>
      </w:rPr>
    </w:lvl>
    <w:lvl w:ilvl="2">
      <w:start w:val="1"/>
      <w:numFmt w:val="decimal"/>
      <w:pStyle w:val="TSAppendixHeading1"/>
      <w:lvlText w:val="%3."/>
      <w:lvlJc w:val="left"/>
      <w:pPr>
        <w:tabs>
          <w:tab w:val="num" w:pos="851"/>
        </w:tabs>
        <w:ind w:left="851" w:hanging="851"/>
      </w:pPr>
      <w:rPr>
        <w:rFonts w:asciiTheme="minorHAnsi" w:hAnsiTheme="minorHAnsi" w:hint="default"/>
        <w:b/>
        <w:i w:val="0"/>
        <w:sz w:val="22"/>
      </w:rPr>
    </w:lvl>
    <w:lvl w:ilvl="3">
      <w:start w:val="1"/>
      <w:numFmt w:val="decimal"/>
      <w:pStyle w:val="TSAppendixHeading2"/>
      <w:lvlText w:val="%3.%4"/>
      <w:lvlJc w:val="left"/>
      <w:pPr>
        <w:tabs>
          <w:tab w:val="num" w:pos="851"/>
        </w:tabs>
        <w:ind w:left="851" w:hanging="851"/>
      </w:pPr>
      <w:rPr>
        <w:rFonts w:asciiTheme="minorHAnsi" w:hAnsiTheme="minorHAnsi" w:hint="default"/>
        <w:b/>
        <w:i w:val="0"/>
        <w:sz w:val="22"/>
      </w:rPr>
    </w:lvl>
    <w:lvl w:ilvl="4">
      <w:start w:val="1"/>
      <w:numFmt w:val="decimal"/>
      <w:pStyle w:val="TSAppendixHeading3"/>
      <w:lvlText w:val="%3.%4.%5"/>
      <w:lvlJc w:val="left"/>
      <w:pPr>
        <w:tabs>
          <w:tab w:val="num" w:pos="1985"/>
        </w:tabs>
        <w:ind w:left="1985" w:hanging="1134"/>
      </w:pPr>
      <w:rPr>
        <w:rFonts w:asciiTheme="minorHAnsi" w:hAnsiTheme="minorHAnsi" w:cs="Times New Roman" w:hint="default"/>
        <w:b/>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TSAppendixHeading4"/>
      <w:lvlText w:val="(%6)"/>
      <w:lvlJc w:val="left"/>
      <w:pPr>
        <w:tabs>
          <w:tab w:val="num" w:pos="2835"/>
        </w:tabs>
        <w:ind w:left="2835" w:hanging="850"/>
      </w:pPr>
      <w:rPr>
        <w:rFonts w:asciiTheme="minorHAnsi" w:hAnsiTheme="minorHAnsi" w:hint="default"/>
        <w:b w:val="0"/>
        <w:i w:val="0"/>
        <w:sz w:val="22"/>
      </w:rPr>
    </w:lvl>
    <w:lvl w:ilvl="6">
      <w:start w:val="1"/>
      <w:numFmt w:val="lowerRoman"/>
      <w:pStyle w:val="TSAppendixHeading5"/>
      <w:lvlText w:val="(%7)"/>
      <w:lvlJc w:val="left"/>
      <w:pPr>
        <w:tabs>
          <w:tab w:val="num" w:pos="3686"/>
        </w:tabs>
        <w:ind w:left="3686" w:hanging="851"/>
      </w:pPr>
      <w:rPr>
        <w:rFonts w:asciiTheme="minorHAnsi" w:hAnsiTheme="minorHAnsi" w:hint="default"/>
        <w:b w:val="0"/>
        <w:i w:val="0"/>
        <w:sz w:val="22"/>
      </w:rPr>
    </w:lvl>
    <w:lvl w:ilvl="7">
      <w:start w:val="1"/>
      <w:numFmt w:val="none"/>
      <w:lvlRestart w:val="0"/>
      <w:suff w:val="nothing"/>
      <w:lvlText w:val=""/>
      <w:lvlJc w:val="left"/>
      <w:pPr>
        <w:ind w:left="0" w:firstLine="0"/>
      </w:pPr>
      <w:rPr>
        <w:rFonts w:asciiTheme="minorHAnsi" w:hAnsiTheme="minorHAnsi" w:hint="default"/>
        <w:b w:val="0"/>
        <w:i w:val="0"/>
        <w:sz w:val="22"/>
      </w:rPr>
    </w:lvl>
    <w:lvl w:ilvl="8">
      <w:start w:val="1"/>
      <w:numFmt w:val="none"/>
      <w:lvlRestart w:val="0"/>
      <w:suff w:val="nothing"/>
      <w:lvlText w:val=""/>
      <w:lvlJc w:val="left"/>
      <w:pPr>
        <w:ind w:left="0" w:firstLine="0"/>
      </w:pPr>
      <w:rPr>
        <w:rFonts w:asciiTheme="minorHAnsi" w:hAnsiTheme="minorHAnsi" w:hint="default"/>
        <w:b w:val="0"/>
        <w:i w:val="0"/>
        <w:sz w:val="22"/>
      </w:rPr>
    </w:lvl>
  </w:abstractNum>
  <w:abstractNum w:abstractNumId="13" w15:restartNumberingAfterBreak="0">
    <w:nsid w:val="56C74EE1"/>
    <w:multiLevelType w:val="multilevel"/>
    <w:tmpl w:val="21A64264"/>
    <w:styleLink w:val="Style1"/>
    <w:lvl w:ilvl="0">
      <w:start w:val="1"/>
      <w:numFmt w:val="decimal"/>
      <w:lvlText w:val="(%1)"/>
      <w:lvlJc w:val="left"/>
      <w:pPr>
        <w:tabs>
          <w:tab w:val="num" w:pos="0"/>
        </w:tabs>
        <w:ind w:left="0" w:firstLine="0"/>
      </w:pPr>
      <w:rPr>
        <w:rFonts w:ascii="Copperplate31ab" w:hAnsi="Copperplate31ab" w:hint="default"/>
        <w:b w:val="0"/>
        <w:i w:val="0"/>
        <w:sz w:val="24"/>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61680F45"/>
    <w:multiLevelType w:val="multilevel"/>
    <w:tmpl w:val="0D189D80"/>
    <w:lvl w:ilvl="0">
      <w:start w:val="1"/>
      <w:numFmt w:val="decimal"/>
      <w:pStyle w:val="TSLv3List1"/>
      <w:lvlText w:val="%1."/>
      <w:lvlJc w:val="left"/>
      <w:pPr>
        <w:tabs>
          <w:tab w:val="num" w:pos="2835"/>
        </w:tabs>
        <w:ind w:left="2835" w:hanging="850"/>
      </w:pPr>
      <w:rPr>
        <w:rFonts w:asciiTheme="minorHAnsi" w:hAnsiTheme="minorHAnsi" w:hint="default"/>
        <w:b w:val="0"/>
        <w:i w:val="0"/>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698C604E"/>
    <w:multiLevelType w:val="multilevel"/>
    <w:tmpl w:val="5916350E"/>
    <w:lvl w:ilvl="0">
      <w:start w:val="1"/>
      <w:numFmt w:val="lowerRoman"/>
      <w:pStyle w:val="TSLv1List3"/>
      <w:lvlText w:val="(%1)"/>
      <w:lvlJc w:val="left"/>
      <w:pPr>
        <w:tabs>
          <w:tab w:val="num" w:pos="851"/>
        </w:tabs>
        <w:ind w:left="851" w:hanging="851"/>
      </w:pPr>
      <w:rPr>
        <w:rFonts w:asciiTheme="minorHAnsi" w:hAnsiTheme="minorHAnsi" w:hint="default"/>
        <w:b w:val="0"/>
        <w:i w:val="0"/>
        <w:sz w:val="22"/>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6DAA72AA"/>
    <w:multiLevelType w:val="multilevel"/>
    <w:tmpl w:val="11B0D808"/>
    <w:lvl w:ilvl="0">
      <w:start w:val="2"/>
      <w:numFmt w:val="bullet"/>
      <w:pStyle w:val="TSBullet1"/>
      <w:lvlText w:val=""/>
      <w:lvlJc w:val="left"/>
      <w:pPr>
        <w:tabs>
          <w:tab w:val="num" w:pos="851"/>
        </w:tabs>
        <w:ind w:left="851" w:hanging="851"/>
      </w:pPr>
      <w:rPr>
        <w:rFonts w:ascii="Symbol" w:hAnsi="Symbol" w:hint="default"/>
      </w:rPr>
    </w:lvl>
    <w:lvl w:ilvl="1">
      <w:start w:val="1"/>
      <w:numFmt w:val="bullet"/>
      <w:lvlRestart w:val="0"/>
      <w:pStyle w:val="TSBullet2"/>
      <w:lvlText w:val="-"/>
      <w:lvlJc w:val="left"/>
      <w:pPr>
        <w:tabs>
          <w:tab w:val="num" w:pos="851"/>
        </w:tabs>
        <w:ind w:left="851" w:hanging="851"/>
      </w:pPr>
      <w:rPr>
        <w:rFonts w:ascii="Georgia" w:hAnsi="Georgia" w:hint="default"/>
        <w:color w:val="auto"/>
      </w:rPr>
    </w:lvl>
    <w:lvl w:ilvl="2">
      <w:start w:val="1"/>
      <w:numFmt w:val="bullet"/>
      <w:lvlRestart w:val="0"/>
      <w:pStyle w:val="TSBullet3"/>
      <w:lvlText w:val="»"/>
      <w:lvlJc w:val="left"/>
      <w:pPr>
        <w:tabs>
          <w:tab w:val="num" w:pos="851"/>
        </w:tabs>
        <w:ind w:left="851" w:hanging="851"/>
      </w:pPr>
      <w:rPr>
        <w:rFonts w:ascii="Calibri" w:hAnsi="Calibri" w:hint="default"/>
      </w:rPr>
    </w:lvl>
    <w:lvl w:ilvl="3">
      <w:start w:val="1"/>
      <w:numFmt w:val="bullet"/>
      <w:lvlRestart w:val="0"/>
      <w:pStyle w:val="TSBullet4"/>
      <w:lvlText w:val=""/>
      <w:lvlJc w:val="left"/>
      <w:pPr>
        <w:tabs>
          <w:tab w:val="num" w:pos="1985"/>
        </w:tabs>
        <w:ind w:left="1985" w:hanging="1134"/>
      </w:pPr>
      <w:rPr>
        <w:rFonts w:ascii="Symbol" w:hAnsi="Symbol" w:hint="default"/>
      </w:rPr>
    </w:lvl>
    <w:lvl w:ilvl="4">
      <w:start w:val="1"/>
      <w:numFmt w:val="bullet"/>
      <w:lvlRestart w:val="0"/>
      <w:pStyle w:val="TSBullet5"/>
      <w:lvlText w:val="-"/>
      <w:lvlJc w:val="left"/>
      <w:pPr>
        <w:tabs>
          <w:tab w:val="num" w:pos="1985"/>
        </w:tabs>
        <w:ind w:left="1985" w:hanging="1134"/>
      </w:pPr>
      <w:rPr>
        <w:rFonts w:ascii="Georgia" w:hAnsi="Georgia" w:hint="default"/>
      </w:rPr>
    </w:lvl>
    <w:lvl w:ilvl="5">
      <w:start w:val="1"/>
      <w:numFmt w:val="bullet"/>
      <w:lvlRestart w:val="0"/>
      <w:pStyle w:val="TSBullet6"/>
      <w:lvlText w:val="»"/>
      <w:lvlJc w:val="left"/>
      <w:pPr>
        <w:tabs>
          <w:tab w:val="num" w:pos="1985"/>
        </w:tabs>
        <w:ind w:left="1985" w:hanging="1134"/>
      </w:pPr>
      <w:rPr>
        <w:rFonts w:ascii="Calibri" w:hAnsi="Calibri" w:hint="default"/>
      </w:rPr>
    </w:lvl>
    <w:lvl w:ilvl="6">
      <w:start w:val="1"/>
      <w:numFmt w:val="bullet"/>
      <w:lvlRestart w:val="0"/>
      <w:pStyle w:val="TSBullet7"/>
      <w:lvlText w:val=""/>
      <w:lvlJc w:val="left"/>
      <w:pPr>
        <w:tabs>
          <w:tab w:val="num" w:pos="2835"/>
        </w:tabs>
        <w:ind w:left="2835" w:hanging="850"/>
      </w:pPr>
      <w:rPr>
        <w:rFonts w:ascii="Symbol" w:hAnsi="Symbol" w:hint="default"/>
        <w:color w:val="3A3E42" w:themeColor="text1"/>
      </w:rPr>
    </w:lvl>
    <w:lvl w:ilvl="7">
      <w:start w:val="1"/>
      <w:numFmt w:val="bullet"/>
      <w:lvlRestart w:val="0"/>
      <w:pStyle w:val="TSBullet8"/>
      <w:lvlText w:val="-"/>
      <w:lvlJc w:val="left"/>
      <w:pPr>
        <w:tabs>
          <w:tab w:val="num" w:pos="2835"/>
        </w:tabs>
        <w:ind w:left="2835" w:hanging="850"/>
      </w:pPr>
      <w:rPr>
        <w:rFonts w:ascii="Calibri" w:hAnsi="Calibri" w:hint="default"/>
      </w:rPr>
    </w:lvl>
    <w:lvl w:ilvl="8">
      <w:start w:val="1"/>
      <w:numFmt w:val="bullet"/>
      <w:lvlRestart w:val="0"/>
      <w:pStyle w:val="TSBullet9"/>
      <w:lvlText w:val="»"/>
      <w:lvlJc w:val="left"/>
      <w:pPr>
        <w:tabs>
          <w:tab w:val="num" w:pos="2835"/>
        </w:tabs>
        <w:ind w:left="2835" w:hanging="850"/>
      </w:pPr>
      <w:rPr>
        <w:rFonts w:ascii="Calibri" w:hAnsi="Calibri" w:hint="default"/>
        <w:color w:val="3A3E42" w:themeColor="text1"/>
      </w:rPr>
    </w:lvl>
  </w:abstractNum>
  <w:abstractNum w:abstractNumId="17" w15:restartNumberingAfterBreak="0">
    <w:nsid w:val="76381CEC"/>
    <w:multiLevelType w:val="multilevel"/>
    <w:tmpl w:val="98101B0A"/>
    <w:lvl w:ilvl="0">
      <w:start w:val="1"/>
      <w:numFmt w:val="decimal"/>
      <w:pStyle w:val="TSLv2List1"/>
      <w:lvlText w:val="%1."/>
      <w:lvlJc w:val="left"/>
      <w:pPr>
        <w:tabs>
          <w:tab w:val="num" w:pos="1985"/>
        </w:tabs>
        <w:ind w:left="1985" w:hanging="1134"/>
      </w:pPr>
      <w:rPr>
        <w:rFonts w:asciiTheme="minorHAnsi" w:hAnsiTheme="minorHAnsi" w:hint="default"/>
        <w:b w:val="0"/>
        <w:i w:val="0"/>
        <w:sz w:val="22"/>
      </w:rPr>
    </w:lvl>
    <w:lvl w:ilvl="1">
      <w:start w:val="1"/>
      <w:numFmt w:val="none"/>
      <w:lvlRestart w:val="0"/>
      <w:lvlText w:val=""/>
      <w:lvlJc w:val="left"/>
      <w:pPr>
        <w:tabs>
          <w:tab w:val="num" w:pos="0"/>
        </w:tabs>
        <w:ind w:left="0" w:firstLine="0"/>
      </w:pPr>
      <w:rPr>
        <w:rFonts w:hint="default"/>
      </w:rPr>
    </w:lvl>
    <w:lvl w:ilvl="2">
      <w:start w:val="1"/>
      <w:numFmt w:val="none"/>
      <w:lvlRestart w:val="0"/>
      <w:lvlText w:val="%3"/>
      <w:lvlJc w:val="left"/>
      <w:pPr>
        <w:tabs>
          <w:tab w:val="num" w:pos="0"/>
        </w:tabs>
        <w:ind w:left="0" w:firstLine="0"/>
      </w:pPr>
      <w:rPr>
        <w:rFonts w:hint="default"/>
      </w:rPr>
    </w:lvl>
    <w:lvl w:ilvl="3">
      <w:start w:val="1"/>
      <w:numFmt w:val="none"/>
      <w:lvlRestart w:val="0"/>
      <w:lvlText w:val=""/>
      <w:lvlJc w:val="left"/>
      <w:pPr>
        <w:tabs>
          <w:tab w:val="num" w:pos="0"/>
        </w:tabs>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7F967BE0"/>
    <w:multiLevelType w:val="multilevel"/>
    <w:tmpl w:val="2A64B92C"/>
    <w:lvl w:ilvl="0">
      <w:start w:val="1"/>
      <w:numFmt w:val="decimal"/>
      <w:pStyle w:val="TSLv1List1"/>
      <w:lvlText w:val="%1."/>
      <w:lvlJc w:val="left"/>
      <w:pPr>
        <w:tabs>
          <w:tab w:val="num" w:pos="851"/>
        </w:tabs>
        <w:ind w:left="851" w:hanging="851"/>
      </w:pPr>
      <w:rPr>
        <w:rFonts w:asciiTheme="minorHAnsi" w:hAnsiTheme="minorHAnsi" w:hint="default"/>
        <w:b w:val="0"/>
        <w:i w:val="0"/>
        <w:sz w:val="22"/>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16cid:durableId="657148512">
    <w:abstractNumId w:val="12"/>
  </w:num>
  <w:num w:numId="2" w16cid:durableId="1817061352">
    <w:abstractNumId w:val="13"/>
  </w:num>
  <w:num w:numId="3" w16cid:durableId="103160998">
    <w:abstractNumId w:val="7"/>
  </w:num>
  <w:num w:numId="4" w16cid:durableId="2009752329">
    <w:abstractNumId w:val="2"/>
  </w:num>
  <w:num w:numId="5" w16cid:durableId="1745567033">
    <w:abstractNumId w:val="4"/>
  </w:num>
  <w:num w:numId="6" w16cid:durableId="514265731">
    <w:abstractNumId w:val="16"/>
  </w:num>
  <w:num w:numId="7" w16cid:durableId="460851842">
    <w:abstractNumId w:val="3"/>
  </w:num>
  <w:num w:numId="8" w16cid:durableId="1405176104">
    <w:abstractNumId w:val="18"/>
  </w:num>
  <w:num w:numId="9" w16cid:durableId="1347711070">
    <w:abstractNumId w:val="11"/>
  </w:num>
  <w:num w:numId="10" w16cid:durableId="1940721986">
    <w:abstractNumId w:val="15"/>
  </w:num>
  <w:num w:numId="11" w16cid:durableId="86535730">
    <w:abstractNumId w:val="17"/>
  </w:num>
  <w:num w:numId="12" w16cid:durableId="373621230">
    <w:abstractNumId w:val="9"/>
  </w:num>
  <w:num w:numId="13" w16cid:durableId="1450313922">
    <w:abstractNumId w:val="0"/>
  </w:num>
  <w:num w:numId="14" w16cid:durableId="1761022900">
    <w:abstractNumId w:val="14"/>
  </w:num>
  <w:num w:numId="15" w16cid:durableId="475805543">
    <w:abstractNumId w:val="5"/>
  </w:num>
  <w:num w:numId="16" w16cid:durableId="430123653">
    <w:abstractNumId w:val="6"/>
  </w:num>
  <w:num w:numId="17" w16cid:durableId="1808544333">
    <w:abstractNumId w:val="8"/>
  </w:num>
  <w:num w:numId="18" w16cid:durableId="2111898756">
    <w:abstractNumId w:val="10"/>
  </w:num>
  <w:num w:numId="19" w16cid:durableId="1316493384">
    <w:abstractNumId w:val="1"/>
  </w:num>
  <w:num w:numId="20" w16cid:durableId="6016510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00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34270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01051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E1C"/>
    <w:rsid w:val="000009E6"/>
    <w:rsid w:val="00037219"/>
    <w:rsid w:val="00044482"/>
    <w:rsid w:val="00047F29"/>
    <w:rsid w:val="000544AE"/>
    <w:rsid w:val="00076E31"/>
    <w:rsid w:val="00102E00"/>
    <w:rsid w:val="001057CF"/>
    <w:rsid w:val="0010787C"/>
    <w:rsid w:val="00111C52"/>
    <w:rsid w:val="00115352"/>
    <w:rsid w:val="001200E4"/>
    <w:rsid w:val="00120DDD"/>
    <w:rsid w:val="0013318F"/>
    <w:rsid w:val="00135FCD"/>
    <w:rsid w:val="001375B0"/>
    <w:rsid w:val="00140DA3"/>
    <w:rsid w:val="001410EB"/>
    <w:rsid w:val="00146D25"/>
    <w:rsid w:val="0016449B"/>
    <w:rsid w:val="00171636"/>
    <w:rsid w:val="00172F70"/>
    <w:rsid w:val="00174723"/>
    <w:rsid w:val="0017607A"/>
    <w:rsid w:val="001830ED"/>
    <w:rsid w:val="00190EC7"/>
    <w:rsid w:val="001961F0"/>
    <w:rsid w:val="00197085"/>
    <w:rsid w:val="001A5403"/>
    <w:rsid w:val="001B13B4"/>
    <w:rsid w:val="001C27EB"/>
    <w:rsid w:val="001C58E5"/>
    <w:rsid w:val="001D0380"/>
    <w:rsid w:val="001E4BBE"/>
    <w:rsid w:val="001F2DC6"/>
    <w:rsid w:val="001F6E38"/>
    <w:rsid w:val="00203D48"/>
    <w:rsid w:val="00257DF9"/>
    <w:rsid w:val="002839DC"/>
    <w:rsid w:val="00287AD9"/>
    <w:rsid w:val="002A0485"/>
    <w:rsid w:val="002A63A1"/>
    <w:rsid w:val="002C71E5"/>
    <w:rsid w:val="002C7DB9"/>
    <w:rsid w:val="002E2D00"/>
    <w:rsid w:val="002F668B"/>
    <w:rsid w:val="003122BA"/>
    <w:rsid w:val="00330CFC"/>
    <w:rsid w:val="003333A8"/>
    <w:rsid w:val="00347D1C"/>
    <w:rsid w:val="00356846"/>
    <w:rsid w:val="003629BB"/>
    <w:rsid w:val="003757C1"/>
    <w:rsid w:val="0039025C"/>
    <w:rsid w:val="00392FED"/>
    <w:rsid w:val="003A0BC3"/>
    <w:rsid w:val="003A18FF"/>
    <w:rsid w:val="003B052B"/>
    <w:rsid w:val="003B212A"/>
    <w:rsid w:val="003D3FF1"/>
    <w:rsid w:val="003D42FE"/>
    <w:rsid w:val="003E10E1"/>
    <w:rsid w:val="003E3AA6"/>
    <w:rsid w:val="003E78E0"/>
    <w:rsid w:val="003F3DF9"/>
    <w:rsid w:val="003F444B"/>
    <w:rsid w:val="00413101"/>
    <w:rsid w:val="00416F87"/>
    <w:rsid w:val="00427CDD"/>
    <w:rsid w:val="0043703B"/>
    <w:rsid w:val="004440A9"/>
    <w:rsid w:val="00446884"/>
    <w:rsid w:val="00476894"/>
    <w:rsid w:val="00486676"/>
    <w:rsid w:val="00492229"/>
    <w:rsid w:val="0049326C"/>
    <w:rsid w:val="004A1A1F"/>
    <w:rsid w:val="004A253F"/>
    <w:rsid w:val="004A29DE"/>
    <w:rsid w:val="004A585D"/>
    <w:rsid w:val="004C1348"/>
    <w:rsid w:val="004C4989"/>
    <w:rsid w:val="004D3A05"/>
    <w:rsid w:val="004E091A"/>
    <w:rsid w:val="004E695E"/>
    <w:rsid w:val="00514A96"/>
    <w:rsid w:val="00527C4B"/>
    <w:rsid w:val="00532E5C"/>
    <w:rsid w:val="00567D35"/>
    <w:rsid w:val="00582B10"/>
    <w:rsid w:val="00585802"/>
    <w:rsid w:val="00586DA6"/>
    <w:rsid w:val="005879C2"/>
    <w:rsid w:val="0059062D"/>
    <w:rsid w:val="005B2249"/>
    <w:rsid w:val="005C6612"/>
    <w:rsid w:val="005D6E7E"/>
    <w:rsid w:val="0060474F"/>
    <w:rsid w:val="00610319"/>
    <w:rsid w:val="00615BC9"/>
    <w:rsid w:val="006176B5"/>
    <w:rsid w:val="006463E2"/>
    <w:rsid w:val="006553AD"/>
    <w:rsid w:val="00662348"/>
    <w:rsid w:val="00674570"/>
    <w:rsid w:val="006752D6"/>
    <w:rsid w:val="0067727E"/>
    <w:rsid w:val="00694345"/>
    <w:rsid w:val="006964F7"/>
    <w:rsid w:val="006B4DB1"/>
    <w:rsid w:val="006C3402"/>
    <w:rsid w:val="006C7029"/>
    <w:rsid w:val="006D40D5"/>
    <w:rsid w:val="006E100B"/>
    <w:rsid w:val="006F0615"/>
    <w:rsid w:val="006F3A57"/>
    <w:rsid w:val="00712161"/>
    <w:rsid w:val="00716148"/>
    <w:rsid w:val="00726AE9"/>
    <w:rsid w:val="0074660B"/>
    <w:rsid w:val="00755FBD"/>
    <w:rsid w:val="00761101"/>
    <w:rsid w:val="0077742F"/>
    <w:rsid w:val="007851F6"/>
    <w:rsid w:val="007A71D7"/>
    <w:rsid w:val="007B53AD"/>
    <w:rsid w:val="007B74C8"/>
    <w:rsid w:val="007C2BBE"/>
    <w:rsid w:val="007C4EEE"/>
    <w:rsid w:val="007D5ECC"/>
    <w:rsid w:val="008005BA"/>
    <w:rsid w:val="00812E46"/>
    <w:rsid w:val="008232AF"/>
    <w:rsid w:val="0083597C"/>
    <w:rsid w:val="008446A1"/>
    <w:rsid w:val="00845854"/>
    <w:rsid w:val="00856E23"/>
    <w:rsid w:val="0085721E"/>
    <w:rsid w:val="00872939"/>
    <w:rsid w:val="008774D1"/>
    <w:rsid w:val="008851DE"/>
    <w:rsid w:val="00891585"/>
    <w:rsid w:val="008A5BA5"/>
    <w:rsid w:val="008C329E"/>
    <w:rsid w:val="008C5887"/>
    <w:rsid w:val="008C7194"/>
    <w:rsid w:val="008D0E1C"/>
    <w:rsid w:val="008D6368"/>
    <w:rsid w:val="008F0C31"/>
    <w:rsid w:val="008F5A5F"/>
    <w:rsid w:val="00900F1C"/>
    <w:rsid w:val="00913AC9"/>
    <w:rsid w:val="00921AA5"/>
    <w:rsid w:val="00932087"/>
    <w:rsid w:val="0093446C"/>
    <w:rsid w:val="0094139A"/>
    <w:rsid w:val="00952801"/>
    <w:rsid w:val="0096383D"/>
    <w:rsid w:val="00966CE8"/>
    <w:rsid w:val="00987F09"/>
    <w:rsid w:val="0099308F"/>
    <w:rsid w:val="00995D5E"/>
    <w:rsid w:val="00997202"/>
    <w:rsid w:val="00997BE6"/>
    <w:rsid w:val="009C703F"/>
    <w:rsid w:val="009D0EB4"/>
    <w:rsid w:val="009D6850"/>
    <w:rsid w:val="009E2227"/>
    <w:rsid w:val="009E6431"/>
    <w:rsid w:val="009F5731"/>
    <w:rsid w:val="00A14BC8"/>
    <w:rsid w:val="00A21930"/>
    <w:rsid w:val="00A40338"/>
    <w:rsid w:val="00A47637"/>
    <w:rsid w:val="00A578A4"/>
    <w:rsid w:val="00A81AE3"/>
    <w:rsid w:val="00A91AAC"/>
    <w:rsid w:val="00AA1B45"/>
    <w:rsid w:val="00AA5D4C"/>
    <w:rsid w:val="00AA61F9"/>
    <w:rsid w:val="00AA6220"/>
    <w:rsid w:val="00AB302D"/>
    <w:rsid w:val="00AD2D75"/>
    <w:rsid w:val="00AD6533"/>
    <w:rsid w:val="00AE1C1D"/>
    <w:rsid w:val="00AE3860"/>
    <w:rsid w:val="00AF2FF6"/>
    <w:rsid w:val="00AF6C84"/>
    <w:rsid w:val="00B005E1"/>
    <w:rsid w:val="00B1173A"/>
    <w:rsid w:val="00B228D7"/>
    <w:rsid w:val="00B25C08"/>
    <w:rsid w:val="00B31395"/>
    <w:rsid w:val="00B458D4"/>
    <w:rsid w:val="00B45B7F"/>
    <w:rsid w:val="00B46128"/>
    <w:rsid w:val="00B61119"/>
    <w:rsid w:val="00B73FD3"/>
    <w:rsid w:val="00BA3DFF"/>
    <w:rsid w:val="00BB0AF0"/>
    <w:rsid w:val="00BC4021"/>
    <w:rsid w:val="00BC4459"/>
    <w:rsid w:val="00BE10B4"/>
    <w:rsid w:val="00BE4ECF"/>
    <w:rsid w:val="00BE70E1"/>
    <w:rsid w:val="00C174F8"/>
    <w:rsid w:val="00C75454"/>
    <w:rsid w:val="00C904A9"/>
    <w:rsid w:val="00C959BE"/>
    <w:rsid w:val="00CA5EE8"/>
    <w:rsid w:val="00CB51FA"/>
    <w:rsid w:val="00CC5146"/>
    <w:rsid w:val="00CC5EE0"/>
    <w:rsid w:val="00CD38A6"/>
    <w:rsid w:val="00CE150A"/>
    <w:rsid w:val="00CE59BE"/>
    <w:rsid w:val="00CF31EB"/>
    <w:rsid w:val="00D317A8"/>
    <w:rsid w:val="00D44307"/>
    <w:rsid w:val="00D65B34"/>
    <w:rsid w:val="00D7392D"/>
    <w:rsid w:val="00D74506"/>
    <w:rsid w:val="00D81246"/>
    <w:rsid w:val="00D82230"/>
    <w:rsid w:val="00D9351C"/>
    <w:rsid w:val="00D95A13"/>
    <w:rsid w:val="00DD43A1"/>
    <w:rsid w:val="00DD7073"/>
    <w:rsid w:val="00DF7E34"/>
    <w:rsid w:val="00E02C23"/>
    <w:rsid w:val="00E22024"/>
    <w:rsid w:val="00E413D0"/>
    <w:rsid w:val="00E438D6"/>
    <w:rsid w:val="00E5675B"/>
    <w:rsid w:val="00E6115F"/>
    <w:rsid w:val="00E62E86"/>
    <w:rsid w:val="00E67DDC"/>
    <w:rsid w:val="00E927CF"/>
    <w:rsid w:val="00E9377F"/>
    <w:rsid w:val="00EB59CA"/>
    <w:rsid w:val="00EB5D00"/>
    <w:rsid w:val="00EC0A08"/>
    <w:rsid w:val="00ED616F"/>
    <w:rsid w:val="00EE5A92"/>
    <w:rsid w:val="00F003E4"/>
    <w:rsid w:val="00F0529D"/>
    <w:rsid w:val="00F14814"/>
    <w:rsid w:val="00F16F38"/>
    <w:rsid w:val="00F17F2F"/>
    <w:rsid w:val="00F23EF0"/>
    <w:rsid w:val="00F27037"/>
    <w:rsid w:val="00F34E0B"/>
    <w:rsid w:val="00F556A2"/>
    <w:rsid w:val="00F55E26"/>
    <w:rsid w:val="00F5759A"/>
    <w:rsid w:val="00F625E3"/>
    <w:rsid w:val="00F735BA"/>
    <w:rsid w:val="00F758EA"/>
    <w:rsid w:val="00F76D03"/>
    <w:rsid w:val="00FB7651"/>
    <w:rsid w:val="00FC2F35"/>
    <w:rsid w:val="00FE063A"/>
    <w:rsid w:val="00FF1A0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092DD"/>
  <w15:docId w15:val="{1DAA4E3B-F521-405A-8F4B-6250B382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D1C"/>
    <w:pPr>
      <w:spacing w:after="0" w:line="240" w:lineRule="auto"/>
      <w:jc w:val="both"/>
    </w:pPr>
  </w:style>
  <w:style w:type="paragraph" w:styleId="Heading1">
    <w:name w:val="heading 1"/>
    <w:basedOn w:val="Normal"/>
    <w:next w:val="Normal"/>
    <w:link w:val="Heading1Char"/>
    <w:uiPriority w:val="9"/>
    <w:semiHidden/>
    <w:qFormat/>
    <w:rsid w:val="00E927CF"/>
    <w:pPr>
      <w:keepNext/>
      <w:keepLines/>
      <w:numPr>
        <w:numId w:val="4"/>
      </w:numPr>
      <w:spacing w:before="480"/>
      <w:outlineLvl w:val="0"/>
    </w:pPr>
    <w:rPr>
      <w:rFonts w:asciiTheme="majorHAnsi" w:eastAsiaTheme="majorEastAsia" w:hAnsiTheme="majorHAnsi" w:cstheme="majorBidi"/>
      <w:b/>
      <w:bCs/>
      <w:color w:val="001736" w:themeColor="accent1" w:themeShade="BF"/>
      <w:sz w:val="28"/>
      <w:szCs w:val="28"/>
    </w:rPr>
  </w:style>
  <w:style w:type="paragraph" w:styleId="Heading2">
    <w:name w:val="heading 2"/>
    <w:basedOn w:val="Normal"/>
    <w:next w:val="Normal"/>
    <w:link w:val="Heading2Char"/>
    <w:uiPriority w:val="9"/>
    <w:semiHidden/>
    <w:qFormat/>
    <w:rsid w:val="00E927CF"/>
    <w:pPr>
      <w:keepNext/>
      <w:keepLines/>
      <w:numPr>
        <w:ilvl w:val="1"/>
        <w:numId w:val="4"/>
      </w:numPr>
      <w:spacing w:before="200"/>
      <w:outlineLvl w:val="1"/>
    </w:pPr>
    <w:rPr>
      <w:rFonts w:asciiTheme="majorHAnsi" w:eastAsiaTheme="majorEastAsia" w:hAnsiTheme="majorHAnsi" w:cstheme="majorBidi"/>
      <w:b/>
      <w:bCs/>
      <w:color w:val="001F49" w:themeColor="accent1"/>
      <w:sz w:val="26"/>
      <w:szCs w:val="26"/>
    </w:rPr>
  </w:style>
  <w:style w:type="paragraph" w:styleId="Heading3">
    <w:name w:val="heading 3"/>
    <w:basedOn w:val="Normal"/>
    <w:next w:val="Normal"/>
    <w:link w:val="Heading3Char"/>
    <w:uiPriority w:val="9"/>
    <w:semiHidden/>
    <w:qFormat/>
    <w:rsid w:val="00E927CF"/>
    <w:pPr>
      <w:keepNext/>
      <w:keepLines/>
      <w:numPr>
        <w:ilvl w:val="2"/>
        <w:numId w:val="4"/>
      </w:numPr>
      <w:spacing w:before="200"/>
      <w:outlineLvl w:val="2"/>
    </w:pPr>
    <w:rPr>
      <w:rFonts w:asciiTheme="majorHAnsi" w:eastAsiaTheme="majorEastAsia" w:hAnsiTheme="majorHAnsi" w:cstheme="majorBidi"/>
      <w:b/>
      <w:bCs/>
      <w:color w:val="001F49" w:themeColor="accent1"/>
    </w:rPr>
  </w:style>
  <w:style w:type="paragraph" w:styleId="Heading4">
    <w:name w:val="heading 4"/>
    <w:basedOn w:val="Normal"/>
    <w:next w:val="Normal"/>
    <w:link w:val="Heading4Char"/>
    <w:uiPriority w:val="9"/>
    <w:semiHidden/>
    <w:qFormat/>
    <w:rsid w:val="00E927CF"/>
    <w:pPr>
      <w:keepNext/>
      <w:keepLines/>
      <w:numPr>
        <w:ilvl w:val="3"/>
        <w:numId w:val="4"/>
      </w:numPr>
      <w:spacing w:before="200"/>
      <w:outlineLvl w:val="3"/>
    </w:pPr>
    <w:rPr>
      <w:rFonts w:asciiTheme="majorHAnsi" w:eastAsiaTheme="majorEastAsia" w:hAnsiTheme="majorHAnsi" w:cstheme="majorBidi"/>
      <w:b/>
      <w:bCs/>
      <w:i/>
      <w:iCs/>
      <w:color w:val="001F49" w:themeColor="accent1"/>
    </w:rPr>
  </w:style>
  <w:style w:type="paragraph" w:styleId="Heading5">
    <w:name w:val="heading 5"/>
    <w:basedOn w:val="Normal"/>
    <w:next w:val="Normal"/>
    <w:link w:val="Heading5Char"/>
    <w:uiPriority w:val="9"/>
    <w:semiHidden/>
    <w:qFormat/>
    <w:rsid w:val="00E927CF"/>
    <w:pPr>
      <w:keepNext/>
      <w:keepLines/>
      <w:numPr>
        <w:ilvl w:val="4"/>
        <w:numId w:val="4"/>
      </w:numPr>
      <w:spacing w:before="200"/>
      <w:outlineLvl w:val="4"/>
    </w:pPr>
    <w:rPr>
      <w:rFonts w:asciiTheme="majorHAnsi" w:eastAsiaTheme="majorEastAsia" w:hAnsiTheme="majorHAnsi" w:cstheme="majorBidi"/>
      <w:color w:val="000F24" w:themeColor="accent1" w:themeShade="7F"/>
    </w:rPr>
  </w:style>
  <w:style w:type="paragraph" w:styleId="Heading6">
    <w:name w:val="heading 6"/>
    <w:basedOn w:val="Normal"/>
    <w:next w:val="Normal"/>
    <w:link w:val="Heading6Char"/>
    <w:uiPriority w:val="9"/>
    <w:semiHidden/>
    <w:qFormat/>
    <w:rsid w:val="00E927CF"/>
    <w:pPr>
      <w:keepNext/>
      <w:keepLines/>
      <w:numPr>
        <w:ilvl w:val="5"/>
        <w:numId w:val="4"/>
      </w:numPr>
      <w:spacing w:before="200"/>
      <w:outlineLvl w:val="5"/>
    </w:pPr>
    <w:rPr>
      <w:rFonts w:asciiTheme="majorHAnsi" w:eastAsiaTheme="majorEastAsia" w:hAnsiTheme="majorHAnsi" w:cstheme="majorBidi"/>
      <w:i/>
      <w:iCs/>
      <w:color w:val="000F24" w:themeColor="accent1" w:themeShade="7F"/>
    </w:rPr>
  </w:style>
  <w:style w:type="paragraph" w:styleId="Heading7">
    <w:name w:val="heading 7"/>
    <w:basedOn w:val="Normal"/>
    <w:next w:val="Normal"/>
    <w:link w:val="Heading7Char"/>
    <w:uiPriority w:val="9"/>
    <w:semiHidden/>
    <w:qFormat/>
    <w:rsid w:val="00E927CF"/>
    <w:pPr>
      <w:keepNext/>
      <w:keepLines/>
      <w:numPr>
        <w:ilvl w:val="6"/>
        <w:numId w:val="4"/>
      </w:numPr>
      <w:spacing w:before="200"/>
      <w:outlineLvl w:val="6"/>
    </w:pPr>
    <w:rPr>
      <w:rFonts w:asciiTheme="majorHAnsi" w:eastAsiaTheme="majorEastAsia" w:hAnsiTheme="majorHAnsi" w:cstheme="majorBidi"/>
      <w:i/>
      <w:iCs/>
      <w:color w:val="676E75" w:themeColor="text1" w:themeTint="BF"/>
    </w:rPr>
  </w:style>
  <w:style w:type="paragraph" w:styleId="Heading8">
    <w:name w:val="heading 8"/>
    <w:basedOn w:val="Normal"/>
    <w:next w:val="Normal"/>
    <w:link w:val="Heading8Char"/>
    <w:uiPriority w:val="9"/>
    <w:semiHidden/>
    <w:qFormat/>
    <w:rsid w:val="00E927CF"/>
    <w:pPr>
      <w:keepNext/>
      <w:keepLines/>
      <w:numPr>
        <w:ilvl w:val="7"/>
        <w:numId w:val="4"/>
      </w:numPr>
      <w:spacing w:before="200"/>
      <w:outlineLvl w:val="7"/>
    </w:pPr>
    <w:rPr>
      <w:rFonts w:asciiTheme="majorHAnsi" w:eastAsiaTheme="majorEastAsia" w:hAnsiTheme="majorHAnsi" w:cstheme="majorBidi"/>
      <w:color w:val="676E75" w:themeColor="text1" w:themeTint="BF"/>
    </w:rPr>
  </w:style>
  <w:style w:type="paragraph" w:styleId="Heading9">
    <w:name w:val="heading 9"/>
    <w:basedOn w:val="Normal"/>
    <w:next w:val="Normal"/>
    <w:link w:val="Heading9Char"/>
    <w:uiPriority w:val="9"/>
    <w:semiHidden/>
    <w:qFormat/>
    <w:rsid w:val="00E927CF"/>
    <w:pPr>
      <w:keepNext/>
      <w:keepLines/>
      <w:numPr>
        <w:ilvl w:val="8"/>
        <w:numId w:val="4"/>
      </w:numPr>
      <w:spacing w:before="200"/>
      <w:outlineLvl w:val="8"/>
    </w:pPr>
    <w:rPr>
      <w:rFonts w:asciiTheme="majorHAnsi" w:eastAsiaTheme="majorEastAsia" w:hAnsiTheme="majorHAnsi" w:cstheme="majorBidi"/>
      <w:i/>
      <w:iCs/>
      <w:color w:val="676E75"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E927CF"/>
    <w:rPr>
      <w:rFonts w:asciiTheme="majorHAnsi" w:eastAsiaTheme="majorEastAsia" w:hAnsiTheme="majorHAnsi" w:cstheme="majorBidi"/>
      <w:b/>
      <w:bCs/>
      <w:color w:val="001736" w:themeColor="accent1" w:themeShade="BF"/>
      <w:sz w:val="28"/>
      <w:szCs w:val="28"/>
    </w:rPr>
  </w:style>
  <w:style w:type="character" w:customStyle="1" w:styleId="Heading2Char">
    <w:name w:val="Heading 2 Char"/>
    <w:basedOn w:val="DefaultParagraphFont"/>
    <w:link w:val="Heading2"/>
    <w:uiPriority w:val="9"/>
    <w:semiHidden/>
    <w:rsid w:val="00E927CF"/>
    <w:rPr>
      <w:rFonts w:asciiTheme="majorHAnsi" w:eastAsiaTheme="majorEastAsia" w:hAnsiTheme="majorHAnsi" w:cstheme="majorBidi"/>
      <w:b/>
      <w:bCs/>
      <w:color w:val="001F49" w:themeColor="accent1"/>
      <w:sz w:val="26"/>
      <w:szCs w:val="26"/>
    </w:rPr>
  </w:style>
  <w:style w:type="character" w:customStyle="1" w:styleId="Heading3Char">
    <w:name w:val="Heading 3 Char"/>
    <w:basedOn w:val="DefaultParagraphFont"/>
    <w:link w:val="Heading3"/>
    <w:uiPriority w:val="9"/>
    <w:semiHidden/>
    <w:rsid w:val="00E927CF"/>
    <w:rPr>
      <w:rFonts w:asciiTheme="majorHAnsi" w:eastAsiaTheme="majorEastAsia" w:hAnsiTheme="majorHAnsi" w:cstheme="majorBidi"/>
      <w:b/>
      <w:bCs/>
      <w:color w:val="001F49" w:themeColor="accent1"/>
    </w:rPr>
  </w:style>
  <w:style w:type="character" w:customStyle="1" w:styleId="Heading4Char">
    <w:name w:val="Heading 4 Char"/>
    <w:basedOn w:val="DefaultParagraphFont"/>
    <w:link w:val="Heading4"/>
    <w:uiPriority w:val="9"/>
    <w:semiHidden/>
    <w:rsid w:val="00E927CF"/>
    <w:rPr>
      <w:rFonts w:asciiTheme="majorHAnsi" w:eastAsiaTheme="majorEastAsia" w:hAnsiTheme="majorHAnsi" w:cstheme="majorBidi"/>
      <w:b/>
      <w:bCs/>
      <w:i/>
      <w:iCs/>
      <w:color w:val="001F49" w:themeColor="accent1"/>
    </w:rPr>
  </w:style>
  <w:style w:type="character" w:customStyle="1" w:styleId="Heading5Char">
    <w:name w:val="Heading 5 Char"/>
    <w:basedOn w:val="DefaultParagraphFont"/>
    <w:link w:val="Heading5"/>
    <w:uiPriority w:val="9"/>
    <w:semiHidden/>
    <w:rsid w:val="00E927CF"/>
    <w:rPr>
      <w:rFonts w:asciiTheme="majorHAnsi" w:eastAsiaTheme="majorEastAsia" w:hAnsiTheme="majorHAnsi" w:cstheme="majorBidi"/>
      <w:color w:val="000F24" w:themeColor="accent1" w:themeShade="7F"/>
    </w:rPr>
  </w:style>
  <w:style w:type="character" w:customStyle="1" w:styleId="Heading6Char">
    <w:name w:val="Heading 6 Char"/>
    <w:basedOn w:val="DefaultParagraphFont"/>
    <w:link w:val="Heading6"/>
    <w:uiPriority w:val="9"/>
    <w:semiHidden/>
    <w:rsid w:val="00E927CF"/>
    <w:rPr>
      <w:rFonts w:asciiTheme="majorHAnsi" w:eastAsiaTheme="majorEastAsia" w:hAnsiTheme="majorHAnsi" w:cstheme="majorBidi"/>
      <w:i/>
      <w:iCs/>
      <w:color w:val="000F24" w:themeColor="accent1" w:themeShade="7F"/>
    </w:rPr>
  </w:style>
  <w:style w:type="character" w:customStyle="1" w:styleId="Heading7Char">
    <w:name w:val="Heading 7 Char"/>
    <w:basedOn w:val="DefaultParagraphFont"/>
    <w:link w:val="Heading7"/>
    <w:uiPriority w:val="9"/>
    <w:semiHidden/>
    <w:rsid w:val="00E927CF"/>
    <w:rPr>
      <w:rFonts w:asciiTheme="majorHAnsi" w:eastAsiaTheme="majorEastAsia" w:hAnsiTheme="majorHAnsi" w:cstheme="majorBidi"/>
      <w:i/>
      <w:iCs/>
      <w:color w:val="676E75" w:themeColor="text1" w:themeTint="BF"/>
    </w:rPr>
  </w:style>
  <w:style w:type="character" w:customStyle="1" w:styleId="Heading8Char">
    <w:name w:val="Heading 8 Char"/>
    <w:basedOn w:val="DefaultParagraphFont"/>
    <w:link w:val="Heading8"/>
    <w:uiPriority w:val="9"/>
    <w:semiHidden/>
    <w:rsid w:val="00E927CF"/>
    <w:rPr>
      <w:rFonts w:asciiTheme="majorHAnsi" w:eastAsiaTheme="majorEastAsia" w:hAnsiTheme="majorHAnsi" w:cstheme="majorBidi"/>
      <w:color w:val="676E75" w:themeColor="text1" w:themeTint="BF"/>
    </w:rPr>
  </w:style>
  <w:style w:type="character" w:customStyle="1" w:styleId="Heading9Char">
    <w:name w:val="Heading 9 Char"/>
    <w:basedOn w:val="DefaultParagraphFont"/>
    <w:link w:val="Heading9"/>
    <w:uiPriority w:val="9"/>
    <w:semiHidden/>
    <w:rsid w:val="00E927CF"/>
    <w:rPr>
      <w:rFonts w:asciiTheme="majorHAnsi" w:eastAsiaTheme="majorEastAsia" w:hAnsiTheme="majorHAnsi" w:cstheme="majorBidi"/>
      <w:i/>
      <w:iCs/>
      <w:color w:val="676E75" w:themeColor="text1" w:themeTint="BF"/>
    </w:rPr>
  </w:style>
  <w:style w:type="paragraph" w:styleId="Header">
    <w:name w:val="header"/>
    <w:basedOn w:val="Normal"/>
    <w:link w:val="HeaderChar"/>
    <w:uiPriority w:val="99"/>
    <w:rsid w:val="005879C2"/>
    <w:pPr>
      <w:tabs>
        <w:tab w:val="center" w:pos="4513"/>
        <w:tab w:val="right" w:pos="9026"/>
      </w:tabs>
    </w:pPr>
    <w:rPr>
      <w:sz w:val="16"/>
    </w:rPr>
  </w:style>
  <w:style w:type="character" w:customStyle="1" w:styleId="HeaderChar">
    <w:name w:val="Header Char"/>
    <w:basedOn w:val="DefaultParagraphFont"/>
    <w:link w:val="Header"/>
    <w:uiPriority w:val="99"/>
    <w:rsid w:val="005879C2"/>
    <w:rPr>
      <w:sz w:val="16"/>
    </w:rPr>
  </w:style>
  <w:style w:type="paragraph" w:styleId="Footer">
    <w:name w:val="footer"/>
    <w:basedOn w:val="Normal"/>
    <w:link w:val="FooterChar"/>
    <w:uiPriority w:val="99"/>
    <w:rsid w:val="00E927CF"/>
    <w:pPr>
      <w:tabs>
        <w:tab w:val="center" w:pos="4513"/>
        <w:tab w:val="right" w:pos="9026"/>
      </w:tabs>
    </w:pPr>
    <w:rPr>
      <w:sz w:val="12"/>
    </w:rPr>
  </w:style>
  <w:style w:type="character" w:customStyle="1" w:styleId="FooterChar">
    <w:name w:val="Footer Char"/>
    <w:basedOn w:val="DefaultParagraphFont"/>
    <w:link w:val="Footer"/>
    <w:uiPriority w:val="99"/>
    <w:rsid w:val="00E927CF"/>
    <w:rPr>
      <w:sz w:val="12"/>
    </w:rPr>
  </w:style>
  <w:style w:type="table" w:styleId="TableGrid">
    <w:name w:val="Table Grid"/>
    <w:basedOn w:val="TableNormal"/>
    <w:uiPriority w:val="59"/>
    <w:rsid w:val="00E927C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CentredHeadingUC">
    <w:name w:val="TS Centred Heading UC"/>
    <w:rsid w:val="00257DF9"/>
    <w:pPr>
      <w:jc w:val="center"/>
    </w:pPr>
    <w:rPr>
      <w:b/>
      <w:caps/>
    </w:rPr>
  </w:style>
  <w:style w:type="paragraph" w:customStyle="1" w:styleId="TSContractHeading">
    <w:name w:val="TS Contract Heading"/>
    <w:link w:val="TSContractHeadingChar"/>
    <w:rsid w:val="00347D1C"/>
    <w:pPr>
      <w:jc w:val="both"/>
    </w:pPr>
    <w:rPr>
      <w:b/>
    </w:rPr>
  </w:style>
  <w:style w:type="paragraph" w:customStyle="1" w:styleId="TSDefinitionsBody1">
    <w:name w:val="TS Definitions Body 1"/>
    <w:rsid w:val="00347D1C"/>
    <w:pPr>
      <w:ind w:left="1418"/>
      <w:jc w:val="both"/>
    </w:pPr>
  </w:style>
  <w:style w:type="paragraph" w:customStyle="1" w:styleId="TSDefinitionsBody2">
    <w:name w:val="TS Definitions Body 2"/>
    <w:rsid w:val="00347D1C"/>
    <w:pPr>
      <w:ind w:left="1985"/>
      <w:jc w:val="both"/>
    </w:pPr>
  </w:style>
  <w:style w:type="paragraph" w:customStyle="1" w:styleId="TSDefinitionsBody3">
    <w:name w:val="TS Definitions Body 3"/>
    <w:rsid w:val="00347D1C"/>
    <w:pPr>
      <w:ind w:left="2552"/>
      <w:jc w:val="both"/>
    </w:pPr>
  </w:style>
  <w:style w:type="paragraph" w:customStyle="1" w:styleId="TSDefinitionsBodyText">
    <w:name w:val="TS Definitions Body Text"/>
    <w:rsid w:val="00347D1C"/>
    <w:pPr>
      <w:ind w:left="851"/>
      <w:jc w:val="both"/>
    </w:pPr>
  </w:style>
  <w:style w:type="paragraph" w:customStyle="1" w:styleId="TSDefinitionsLevel1">
    <w:name w:val="TS Definitions Level 1"/>
    <w:rsid w:val="00347D1C"/>
    <w:pPr>
      <w:numPr>
        <w:numId w:val="7"/>
      </w:numPr>
      <w:jc w:val="both"/>
    </w:pPr>
  </w:style>
  <w:style w:type="paragraph" w:customStyle="1" w:styleId="TSDefinitionsLevel2">
    <w:name w:val="TS Definitions Level 2"/>
    <w:rsid w:val="00347D1C"/>
    <w:pPr>
      <w:numPr>
        <w:ilvl w:val="1"/>
        <w:numId w:val="7"/>
      </w:numPr>
      <w:jc w:val="both"/>
    </w:pPr>
  </w:style>
  <w:style w:type="paragraph" w:customStyle="1" w:styleId="TSDefinitionsLevel3">
    <w:name w:val="TS Definitions Level 3"/>
    <w:rsid w:val="00347D1C"/>
    <w:pPr>
      <w:numPr>
        <w:ilvl w:val="2"/>
        <w:numId w:val="7"/>
      </w:numPr>
      <w:jc w:val="both"/>
    </w:pPr>
  </w:style>
  <w:style w:type="paragraph" w:customStyle="1" w:styleId="TSFrontCoverTitle">
    <w:name w:val="TS Front Cover Title"/>
    <w:rsid w:val="00446884"/>
    <w:pPr>
      <w:jc w:val="center"/>
    </w:pPr>
    <w:rPr>
      <w:b/>
      <w:sz w:val="32"/>
    </w:rPr>
  </w:style>
  <w:style w:type="paragraph" w:customStyle="1" w:styleId="TSIndentedBoldText">
    <w:name w:val="TS Indented Bold Text"/>
    <w:rsid w:val="00347D1C"/>
    <w:pPr>
      <w:ind w:left="851"/>
      <w:jc w:val="both"/>
    </w:pPr>
    <w:rPr>
      <w:b/>
    </w:rPr>
  </w:style>
  <w:style w:type="paragraph" w:customStyle="1" w:styleId="TSIndentedItalicText">
    <w:name w:val="TS Indented Italic Text"/>
    <w:rsid w:val="00347D1C"/>
    <w:pPr>
      <w:ind w:left="851"/>
      <w:jc w:val="both"/>
    </w:pPr>
    <w:rPr>
      <w:i/>
    </w:rPr>
  </w:style>
  <w:style w:type="paragraph" w:customStyle="1" w:styleId="TSBoldText">
    <w:name w:val="TS Bold Text"/>
    <w:rsid w:val="00347D1C"/>
    <w:pPr>
      <w:jc w:val="both"/>
    </w:pPr>
    <w:rPr>
      <w:b/>
    </w:rPr>
  </w:style>
  <w:style w:type="character" w:styleId="PlaceholderText">
    <w:name w:val="Placeholder Text"/>
    <w:basedOn w:val="DefaultParagraphFont"/>
    <w:uiPriority w:val="99"/>
    <w:semiHidden/>
    <w:rsid w:val="00E927CF"/>
    <w:rPr>
      <w:color w:val="808080"/>
    </w:rPr>
  </w:style>
  <w:style w:type="paragraph" w:styleId="BalloonText">
    <w:name w:val="Balloon Text"/>
    <w:basedOn w:val="Normal"/>
    <w:link w:val="BalloonTextChar"/>
    <w:uiPriority w:val="99"/>
    <w:semiHidden/>
    <w:unhideWhenUsed/>
    <w:rsid w:val="00E927CF"/>
    <w:rPr>
      <w:rFonts w:ascii="Tahoma" w:hAnsi="Tahoma" w:cs="Tahoma"/>
      <w:sz w:val="16"/>
      <w:szCs w:val="16"/>
    </w:rPr>
  </w:style>
  <w:style w:type="character" w:customStyle="1" w:styleId="BalloonTextChar">
    <w:name w:val="Balloon Text Char"/>
    <w:basedOn w:val="DefaultParagraphFont"/>
    <w:link w:val="BalloonText"/>
    <w:uiPriority w:val="99"/>
    <w:semiHidden/>
    <w:rsid w:val="00E927CF"/>
    <w:rPr>
      <w:rFonts w:ascii="Tahoma" w:hAnsi="Tahoma" w:cs="Tahoma"/>
      <w:sz w:val="16"/>
      <w:szCs w:val="16"/>
    </w:rPr>
  </w:style>
  <w:style w:type="paragraph" w:customStyle="1" w:styleId="TSBodyText">
    <w:name w:val="TS Body Text"/>
    <w:rsid w:val="00347D1C"/>
    <w:pPr>
      <w:jc w:val="both"/>
    </w:pPr>
  </w:style>
  <w:style w:type="paragraph" w:customStyle="1" w:styleId="TSBody1-2">
    <w:name w:val="TS Body 1-2"/>
    <w:rsid w:val="00347D1C"/>
    <w:pPr>
      <w:ind w:left="851"/>
      <w:jc w:val="both"/>
    </w:pPr>
  </w:style>
  <w:style w:type="paragraph" w:customStyle="1" w:styleId="TSBody3-4">
    <w:name w:val="TS Body 3-4"/>
    <w:rsid w:val="00347D1C"/>
    <w:pPr>
      <w:ind w:left="1985"/>
      <w:jc w:val="both"/>
    </w:pPr>
  </w:style>
  <w:style w:type="paragraph" w:customStyle="1" w:styleId="TSAppendixHeading2">
    <w:name w:val="TS Appendix Heading 2"/>
    <w:next w:val="TSBody1-2"/>
    <w:rsid w:val="00E927CF"/>
    <w:pPr>
      <w:numPr>
        <w:ilvl w:val="3"/>
        <w:numId w:val="1"/>
      </w:numPr>
      <w:jc w:val="both"/>
      <w:outlineLvl w:val="3"/>
    </w:pPr>
    <w:rPr>
      <w:b/>
    </w:rPr>
  </w:style>
  <w:style w:type="paragraph" w:customStyle="1" w:styleId="TSBody5">
    <w:name w:val="TS Body 5"/>
    <w:rsid w:val="00347D1C"/>
    <w:pPr>
      <w:ind w:left="2835"/>
      <w:jc w:val="both"/>
    </w:pPr>
  </w:style>
  <w:style w:type="paragraph" w:customStyle="1" w:styleId="TSBody6">
    <w:name w:val="TS Body 6"/>
    <w:rsid w:val="00347D1C"/>
    <w:pPr>
      <w:ind w:left="3686"/>
      <w:jc w:val="both"/>
    </w:pPr>
  </w:style>
  <w:style w:type="paragraph" w:customStyle="1" w:styleId="TSBody7">
    <w:name w:val="TS Body 7"/>
    <w:rsid w:val="00347D1C"/>
    <w:pPr>
      <w:ind w:left="4536"/>
      <w:jc w:val="both"/>
    </w:pPr>
  </w:style>
  <w:style w:type="paragraph" w:customStyle="1" w:styleId="TSParties">
    <w:name w:val="TS Parties"/>
    <w:rsid w:val="0077742F"/>
    <w:pPr>
      <w:numPr>
        <w:numId w:val="17"/>
      </w:numPr>
      <w:jc w:val="both"/>
    </w:pPr>
  </w:style>
  <w:style w:type="paragraph" w:customStyle="1" w:styleId="TSRecitals">
    <w:name w:val="TS Recitals"/>
    <w:rsid w:val="0077742F"/>
    <w:pPr>
      <w:numPr>
        <w:ilvl w:val="1"/>
        <w:numId w:val="17"/>
      </w:numPr>
      <w:jc w:val="both"/>
    </w:pPr>
  </w:style>
  <w:style w:type="paragraph" w:customStyle="1" w:styleId="TSHeading1">
    <w:name w:val="TS Heading 1"/>
    <w:next w:val="TSBody1-2"/>
    <w:rsid w:val="00347D1C"/>
    <w:pPr>
      <w:numPr>
        <w:numId w:val="18"/>
      </w:numPr>
      <w:jc w:val="both"/>
      <w:outlineLvl w:val="0"/>
    </w:pPr>
    <w:rPr>
      <w:b/>
      <w:caps/>
    </w:rPr>
  </w:style>
  <w:style w:type="paragraph" w:customStyle="1" w:styleId="TSHeading2">
    <w:name w:val="TS Heading 2"/>
    <w:next w:val="TSBody1-2"/>
    <w:rsid w:val="00347D1C"/>
    <w:pPr>
      <w:numPr>
        <w:ilvl w:val="1"/>
        <w:numId w:val="18"/>
      </w:numPr>
      <w:jc w:val="both"/>
      <w:outlineLvl w:val="1"/>
    </w:pPr>
    <w:rPr>
      <w:b/>
    </w:rPr>
  </w:style>
  <w:style w:type="paragraph" w:customStyle="1" w:styleId="TSHeading3">
    <w:name w:val="TS Heading 3"/>
    <w:next w:val="TSBody3-4"/>
    <w:rsid w:val="00347D1C"/>
    <w:pPr>
      <w:numPr>
        <w:ilvl w:val="2"/>
        <w:numId w:val="18"/>
      </w:numPr>
      <w:jc w:val="both"/>
      <w:outlineLvl w:val="2"/>
    </w:pPr>
    <w:rPr>
      <w:b/>
    </w:rPr>
  </w:style>
  <w:style w:type="paragraph" w:customStyle="1" w:styleId="TSHeading4">
    <w:name w:val="TS Heading 4"/>
    <w:next w:val="TSBody3-4"/>
    <w:rsid w:val="007B74C8"/>
    <w:pPr>
      <w:numPr>
        <w:ilvl w:val="3"/>
        <w:numId w:val="18"/>
      </w:numPr>
      <w:outlineLvl w:val="3"/>
    </w:pPr>
    <w:rPr>
      <w:b/>
    </w:rPr>
  </w:style>
  <w:style w:type="paragraph" w:customStyle="1" w:styleId="TSHeading5">
    <w:name w:val="TS Heading 5"/>
    <w:next w:val="TSBody5"/>
    <w:rsid w:val="007B74C8"/>
    <w:pPr>
      <w:numPr>
        <w:ilvl w:val="4"/>
        <w:numId w:val="18"/>
      </w:numPr>
      <w:outlineLvl w:val="4"/>
    </w:pPr>
    <w:rPr>
      <w:b/>
    </w:rPr>
  </w:style>
  <w:style w:type="paragraph" w:customStyle="1" w:styleId="TSHeading6">
    <w:name w:val="TS Heading 6"/>
    <w:next w:val="TSBody6"/>
    <w:rsid w:val="007B74C8"/>
    <w:pPr>
      <w:numPr>
        <w:ilvl w:val="5"/>
        <w:numId w:val="18"/>
      </w:numPr>
      <w:outlineLvl w:val="5"/>
    </w:pPr>
    <w:rPr>
      <w:b/>
    </w:rPr>
  </w:style>
  <w:style w:type="paragraph" w:customStyle="1" w:styleId="TSHeading7">
    <w:name w:val="TS Heading 7"/>
    <w:next w:val="TSBody7"/>
    <w:rsid w:val="007B74C8"/>
    <w:pPr>
      <w:numPr>
        <w:ilvl w:val="6"/>
        <w:numId w:val="18"/>
      </w:numPr>
      <w:outlineLvl w:val="6"/>
    </w:pPr>
    <w:rPr>
      <w:b/>
    </w:rPr>
  </w:style>
  <w:style w:type="paragraph" w:customStyle="1" w:styleId="TSLevel1">
    <w:name w:val="TS Level 1"/>
    <w:basedOn w:val="TSHeading1"/>
    <w:next w:val="TSBody1-2"/>
    <w:rsid w:val="00257DF9"/>
    <w:pPr>
      <w:outlineLvl w:val="9"/>
    </w:pPr>
    <w:rPr>
      <w:b w:val="0"/>
      <w:caps w:val="0"/>
    </w:rPr>
  </w:style>
  <w:style w:type="paragraph" w:customStyle="1" w:styleId="TSLevel2">
    <w:name w:val="TS Level 2"/>
    <w:basedOn w:val="TSHeading2"/>
    <w:next w:val="TSBody1-2"/>
    <w:rsid w:val="00257DF9"/>
    <w:pPr>
      <w:outlineLvl w:val="9"/>
    </w:pPr>
    <w:rPr>
      <w:b w:val="0"/>
    </w:rPr>
  </w:style>
  <w:style w:type="paragraph" w:customStyle="1" w:styleId="TSLevel3">
    <w:name w:val="TS Level 3"/>
    <w:basedOn w:val="TSHeading3"/>
    <w:next w:val="TSBody3-4"/>
    <w:rsid w:val="00257DF9"/>
    <w:pPr>
      <w:outlineLvl w:val="9"/>
    </w:pPr>
    <w:rPr>
      <w:b w:val="0"/>
    </w:rPr>
  </w:style>
  <w:style w:type="paragraph" w:customStyle="1" w:styleId="TSLevel4">
    <w:name w:val="TS Level 4"/>
    <w:basedOn w:val="TSHeading4"/>
    <w:next w:val="TSBody3-4"/>
    <w:rsid w:val="00A47637"/>
    <w:pPr>
      <w:jc w:val="both"/>
      <w:outlineLvl w:val="9"/>
    </w:pPr>
    <w:rPr>
      <w:b w:val="0"/>
    </w:rPr>
  </w:style>
  <w:style w:type="paragraph" w:customStyle="1" w:styleId="TSLevel5">
    <w:name w:val="TS Level 5"/>
    <w:basedOn w:val="TSHeading5"/>
    <w:next w:val="TSBody5"/>
    <w:rsid w:val="00A47637"/>
    <w:pPr>
      <w:jc w:val="both"/>
      <w:outlineLvl w:val="9"/>
    </w:pPr>
    <w:rPr>
      <w:b w:val="0"/>
    </w:rPr>
  </w:style>
  <w:style w:type="paragraph" w:customStyle="1" w:styleId="TSLevel6">
    <w:name w:val="TS Level 6"/>
    <w:basedOn w:val="TSHeading6"/>
    <w:next w:val="TSBody6"/>
    <w:rsid w:val="00A47637"/>
    <w:pPr>
      <w:jc w:val="both"/>
      <w:outlineLvl w:val="9"/>
    </w:pPr>
    <w:rPr>
      <w:b w:val="0"/>
    </w:rPr>
  </w:style>
  <w:style w:type="paragraph" w:customStyle="1" w:styleId="TSLevel7">
    <w:name w:val="TS Level 7"/>
    <w:basedOn w:val="TSHeading7"/>
    <w:next w:val="TSBody7"/>
    <w:rsid w:val="00A47637"/>
    <w:pPr>
      <w:jc w:val="both"/>
      <w:outlineLvl w:val="9"/>
    </w:pPr>
    <w:rPr>
      <w:b w:val="0"/>
    </w:rPr>
  </w:style>
  <w:style w:type="paragraph" w:customStyle="1" w:styleId="TSScheduleHeading1">
    <w:name w:val="TS Schedule Heading 1"/>
    <w:next w:val="TSBody1-2"/>
    <w:rsid w:val="0083597C"/>
    <w:pPr>
      <w:numPr>
        <w:ilvl w:val="2"/>
        <w:numId w:val="19"/>
      </w:numPr>
      <w:jc w:val="both"/>
      <w:outlineLvl w:val="2"/>
    </w:pPr>
    <w:rPr>
      <w:b/>
    </w:rPr>
  </w:style>
  <w:style w:type="paragraph" w:customStyle="1" w:styleId="TSScheduleHeading2">
    <w:name w:val="TS Schedule Heading 2"/>
    <w:next w:val="TSBody1-2"/>
    <w:rsid w:val="0077742F"/>
    <w:pPr>
      <w:numPr>
        <w:ilvl w:val="3"/>
        <w:numId w:val="19"/>
      </w:numPr>
      <w:jc w:val="both"/>
      <w:outlineLvl w:val="3"/>
    </w:pPr>
    <w:rPr>
      <w:b/>
    </w:rPr>
  </w:style>
  <w:style w:type="paragraph" w:customStyle="1" w:styleId="TSScheduleHeading3">
    <w:name w:val="TS Schedule Heading 3"/>
    <w:next w:val="TSBody3-4"/>
    <w:rsid w:val="0077742F"/>
    <w:pPr>
      <w:numPr>
        <w:ilvl w:val="4"/>
        <w:numId w:val="19"/>
      </w:numPr>
      <w:jc w:val="both"/>
      <w:outlineLvl w:val="4"/>
    </w:pPr>
    <w:rPr>
      <w:b/>
    </w:rPr>
  </w:style>
  <w:style w:type="paragraph" w:customStyle="1" w:styleId="TSScheduleHeading4">
    <w:name w:val="TS Schedule Heading 4"/>
    <w:next w:val="TSBody3-4"/>
    <w:rsid w:val="007B74C8"/>
    <w:pPr>
      <w:numPr>
        <w:ilvl w:val="5"/>
        <w:numId w:val="19"/>
      </w:numPr>
      <w:outlineLvl w:val="5"/>
    </w:pPr>
    <w:rPr>
      <w:b/>
    </w:rPr>
  </w:style>
  <w:style w:type="paragraph" w:customStyle="1" w:styleId="TSScheduleHeading5">
    <w:name w:val="TS Schedule Heading 5"/>
    <w:next w:val="TSBody5"/>
    <w:rsid w:val="007B74C8"/>
    <w:pPr>
      <w:numPr>
        <w:ilvl w:val="6"/>
        <w:numId w:val="19"/>
      </w:numPr>
      <w:outlineLvl w:val="6"/>
    </w:pPr>
    <w:rPr>
      <w:b/>
    </w:rPr>
  </w:style>
  <w:style w:type="paragraph" w:customStyle="1" w:styleId="TSScheduleHeading6">
    <w:name w:val="TS Schedule Heading 6"/>
    <w:next w:val="TSBody6"/>
    <w:rsid w:val="007B74C8"/>
    <w:pPr>
      <w:numPr>
        <w:ilvl w:val="7"/>
        <w:numId w:val="19"/>
      </w:numPr>
      <w:outlineLvl w:val="7"/>
    </w:pPr>
    <w:rPr>
      <w:b/>
    </w:rPr>
  </w:style>
  <w:style w:type="paragraph" w:customStyle="1" w:styleId="TSScheduleHeading7">
    <w:name w:val="TS Schedule Heading 7"/>
    <w:next w:val="TSBody7"/>
    <w:rsid w:val="007B74C8"/>
    <w:pPr>
      <w:numPr>
        <w:ilvl w:val="8"/>
        <w:numId w:val="19"/>
      </w:numPr>
      <w:outlineLvl w:val="8"/>
    </w:pPr>
    <w:rPr>
      <w:b/>
    </w:rPr>
  </w:style>
  <w:style w:type="paragraph" w:customStyle="1" w:styleId="TSScheduleTitle">
    <w:name w:val="TS Schedule Title"/>
    <w:next w:val="TSScheduleParts"/>
    <w:rsid w:val="00257DF9"/>
    <w:pPr>
      <w:pageBreakBefore/>
      <w:numPr>
        <w:numId w:val="19"/>
      </w:numPr>
      <w:jc w:val="center"/>
      <w:outlineLvl w:val="0"/>
    </w:pPr>
    <w:rPr>
      <w:b/>
      <w:caps/>
    </w:rPr>
  </w:style>
  <w:style w:type="paragraph" w:customStyle="1" w:styleId="TSScheduleParts">
    <w:name w:val="TS Schedule Parts"/>
    <w:next w:val="TSScheduleHeading1"/>
    <w:rsid w:val="00BE70E1"/>
    <w:pPr>
      <w:numPr>
        <w:ilvl w:val="1"/>
        <w:numId w:val="19"/>
      </w:numPr>
      <w:jc w:val="both"/>
      <w:outlineLvl w:val="1"/>
    </w:pPr>
    <w:rPr>
      <w:b/>
    </w:rPr>
  </w:style>
  <w:style w:type="paragraph" w:customStyle="1" w:styleId="TSSchLevel1">
    <w:name w:val="TS Sch Level 1"/>
    <w:basedOn w:val="TSScheduleHeading1"/>
    <w:next w:val="TSBody1-2"/>
    <w:rsid w:val="0077742F"/>
    <w:pPr>
      <w:outlineLvl w:val="9"/>
    </w:pPr>
    <w:rPr>
      <w:b w:val="0"/>
    </w:rPr>
  </w:style>
  <w:style w:type="paragraph" w:customStyle="1" w:styleId="TSSchLevel2">
    <w:name w:val="TS Sch Level 2"/>
    <w:basedOn w:val="TSScheduleHeading2"/>
    <w:next w:val="TSBody1-2"/>
    <w:rsid w:val="0077742F"/>
    <w:pPr>
      <w:outlineLvl w:val="9"/>
    </w:pPr>
    <w:rPr>
      <w:b w:val="0"/>
    </w:rPr>
  </w:style>
  <w:style w:type="paragraph" w:customStyle="1" w:styleId="TSSchLevel3">
    <w:name w:val="TS Sch Level 3"/>
    <w:basedOn w:val="TSScheduleHeading3"/>
    <w:next w:val="TSBody3-4"/>
    <w:rsid w:val="0077742F"/>
    <w:pPr>
      <w:outlineLvl w:val="9"/>
    </w:pPr>
    <w:rPr>
      <w:b w:val="0"/>
    </w:rPr>
  </w:style>
  <w:style w:type="paragraph" w:customStyle="1" w:styleId="TSSchLevel4">
    <w:name w:val="TS Sch Level 4"/>
    <w:basedOn w:val="TSScheduleHeading4"/>
    <w:next w:val="TSBody3-4"/>
    <w:rsid w:val="007B74C8"/>
    <w:pPr>
      <w:outlineLvl w:val="9"/>
    </w:pPr>
    <w:rPr>
      <w:b w:val="0"/>
    </w:rPr>
  </w:style>
  <w:style w:type="paragraph" w:customStyle="1" w:styleId="TSSchLevel5">
    <w:name w:val="TS Sch Level 5"/>
    <w:basedOn w:val="TSScheduleHeading5"/>
    <w:next w:val="TSBody5"/>
    <w:rsid w:val="007B74C8"/>
    <w:pPr>
      <w:outlineLvl w:val="9"/>
    </w:pPr>
    <w:rPr>
      <w:b w:val="0"/>
    </w:rPr>
  </w:style>
  <w:style w:type="paragraph" w:customStyle="1" w:styleId="TSSchLevel6">
    <w:name w:val="TS Sch Level 6"/>
    <w:basedOn w:val="TSScheduleHeading6"/>
    <w:next w:val="TSBody6"/>
    <w:rsid w:val="007B74C8"/>
    <w:pPr>
      <w:outlineLvl w:val="9"/>
    </w:pPr>
    <w:rPr>
      <w:b w:val="0"/>
    </w:rPr>
  </w:style>
  <w:style w:type="paragraph" w:customStyle="1" w:styleId="TSSchLevel7">
    <w:name w:val="TS Sch Level 7"/>
    <w:basedOn w:val="TSScheduleHeading7"/>
    <w:next w:val="TSBody7"/>
    <w:rsid w:val="007B74C8"/>
    <w:pPr>
      <w:outlineLvl w:val="9"/>
    </w:pPr>
    <w:rPr>
      <w:b w:val="0"/>
    </w:rPr>
  </w:style>
  <w:style w:type="paragraph" w:customStyle="1" w:styleId="TSAppendixTitle">
    <w:name w:val="TS Appendix Title"/>
    <w:next w:val="TSAppendixParts"/>
    <w:rsid w:val="00E927CF"/>
    <w:pPr>
      <w:pageBreakBefore/>
      <w:numPr>
        <w:numId w:val="1"/>
      </w:numPr>
      <w:jc w:val="center"/>
      <w:outlineLvl w:val="0"/>
    </w:pPr>
    <w:rPr>
      <w:b/>
      <w:caps/>
    </w:rPr>
  </w:style>
  <w:style w:type="paragraph" w:customStyle="1" w:styleId="TSAppendixParts">
    <w:name w:val="TS Appendix Parts"/>
    <w:next w:val="TSAppendixHeading1"/>
    <w:rsid w:val="00E927CF"/>
    <w:pPr>
      <w:keepNext/>
      <w:numPr>
        <w:ilvl w:val="1"/>
        <w:numId w:val="1"/>
      </w:numPr>
      <w:jc w:val="both"/>
      <w:outlineLvl w:val="1"/>
    </w:pPr>
    <w:rPr>
      <w:b/>
    </w:rPr>
  </w:style>
  <w:style w:type="paragraph" w:customStyle="1" w:styleId="TSAppendixHeading1">
    <w:name w:val="TS Appendix Heading 1"/>
    <w:next w:val="TSBody1-2"/>
    <w:rsid w:val="00392FED"/>
    <w:pPr>
      <w:numPr>
        <w:ilvl w:val="2"/>
        <w:numId w:val="1"/>
      </w:numPr>
      <w:jc w:val="both"/>
      <w:outlineLvl w:val="2"/>
    </w:pPr>
    <w:rPr>
      <w:b/>
    </w:rPr>
  </w:style>
  <w:style w:type="paragraph" w:customStyle="1" w:styleId="TSAppendixHeading3">
    <w:name w:val="TS Appendix Heading 3"/>
    <w:next w:val="TSBody3-4"/>
    <w:rsid w:val="00E927CF"/>
    <w:pPr>
      <w:numPr>
        <w:ilvl w:val="4"/>
        <w:numId w:val="1"/>
      </w:numPr>
      <w:jc w:val="both"/>
      <w:outlineLvl w:val="4"/>
    </w:pPr>
    <w:rPr>
      <w:b/>
    </w:rPr>
  </w:style>
  <w:style w:type="paragraph" w:customStyle="1" w:styleId="TSAppendixHeading4">
    <w:name w:val="TS Appendix Heading 4"/>
    <w:next w:val="TSBody5"/>
    <w:rsid w:val="00E927CF"/>
    <w:pPr>
      <w:numPr>
        <w:ilvl w:val="5"/>
        <w:numId w:val="1"/>
      </w:numPr>
      <w:jc w:val="both"/>
      <w:outlineLvl w:val="5"/>
    </w:pPr>
    <w:rPr>
      <w:b/>
    </w:rPr>
  </w:style>
  <w:style w:type="paragraph" w:customStyle="1" w:styleId="TSAppendixHeading5">
    <w:name w:val="TS Appendix Heading 5"/>
    <w:next w:val="TSBody5"/>
    <w:rsid w:val="00E927CF"/>
    <w:pPr>
      <w:numPr>
        <w:ilvl w:val="6"/>
        <w:numId w:val="1"/>
      </w:numPr>
      <w:jc w:val="both"/>
      <w:outlineLvl w:val="6"/>
    </w:pPr>
    <w:rPr>
      <w:b/>
    </w:rPr>
  </w:style>
  <w:style w:type="paragraph" w:customStyle="1" w:styleId="TSAppendLevel1">
    <w:name w:val="TS Append Level 1"/>
    <w:basedOn w:val="TSAppendixHeading1"/>
    <w:next w:val="TSBody1-2"/>
    <w:rsid w:val="00E927CF"/>
    <w:pPr>
      <w:outlineLvl w:val="9"/>
    </w:pPr>
    <w:rPr>
      <w:b w:val="0"/>
    </w:rPr>
  </w:style>
  <w:style w:type="paragraph" w:customStyle="1" w:styleId="TSAppendLevel2">
    <w:name w:val="TS Append Level 2"/>
    <w:basedOn w:val="TSAppendixHeading2"/>
    <w:next w:val="TSBody1-2"/>
    <w:rsid w:val="00E927CF"/>
    <w:pPr>
      <w:outlineLvl w:val="9"/>
    </w:pPr>
    <w:rPr>
      <w:b w:val="0"/>
    </w:rPr>
  </w:style>
  <w:style w:type="paragraph" w:customStyle="1" w:styleId="TSAppendLevel3">
    <w:name w:val="TS Append Level 3"/>
    <w:basedOn w:val="TSAppendixHeading3"/>
    <w:next w:val="TSBody3-4"/>
    <w:rsid w:val="00E927CF"/>
    <w:pPr>
      <w:outlineLvl w:val="9"/>
    </w:pPr>
    <w:rPr>
      <w:b w:val="0"/>
    </w:rPr>
  </w:style>
  <w:style w:type="paragraph" w:customStyle="1" w:styleId="TSAppendLevel4">
    <w:name w:val="TS Append Level 4"/>
    <w:basedOn w:val="TSAppendixHeading4"/>
    <w:next w:val="TSBody3-4"/>
    <w:rsid w:val="00E927CF"/>
    <w:pPr>
      <w:outlineLvl w:val="9"/>
    </w:pPr>
    <w:rPr>
      <w:b w:val="0"/>
    </w:rPr>
  </w:style>
  <w:style w:type="paragraph" w:customStyle="1" w:styleId="TSAppendLevel5">
    <w:name w:val="TS Append Level 5"/>
    <w:basedOn w:val="TSAppendixHeading5"/>
    <w:next w:val="TSBody5"/>
    <w:rsid w:val="00E927CF"/>
    <w:pPr>
      <w:outlineLvl w:val="9"/>
    </w:pPr>
    <w:rPr>
      <w:b w:val="0"/>
    </w:rPr>
  </w:style>
  <w:style w:type="paragraph" w:styleId="ListParagraph">
    <w:name w:val="List Paragraph"/>
    <w:basedOn w:val="Normal"/>
    <w:uiPriority w:val="34"/>
    <w:qFormat/>
    <w:rsid w:val="00E927CF"/>
    <w:pPr>
      <w:ind w:left="720"/>
      <w:contextualSpacing/>
    </w:pPr>
  </w:style>
  <w:style w:type="paragraph" w:customStyle="1" w:styleId="TSBullet1">
    <w:name w:val="TS Bullet 1"/>
    <w:rsid w:val="00347D1C"/>
    <w:pPr>
      <w:numPr>
        <w:numId w:val="6"/>
      </w:numPr>
      <w:jc w:val="both"/>
    </w:pPr>
  </w:style>
  <w:style w:type="paragraph" w:customStyle="1" w:styleId="TSBullet2">
    <w:name w:val="TS Bullet 2"/>
    <w:rsid w:val="00347D1C"/>
    <w:pPr>
      <w:numPr>
        <w:ilvl w:val="1"/>
        <w:numId w:val="6"/>
      </w:numPr>
      <w:jc w:val="both"/>
    </w:pPr>
  </w:style>
  <w:style w:type="paragraph" w:customStyle="1" w:styleId="TSBullet3">
    <w:name w:val="TS Bullet 3"/>
    <w:rsid w:val="00347D1C"/>
    <w:pPr>
      <w:numPr>
        <w:ilvl w:val="2"/>
        <w:numId w:val="6"/>
      </w:numPr>
      <w:jc w:val="both"/>
    </w:pPr>
  </w:style>
  <w:style w:type="paragraph" w:customStyle="1" w:styleId="TSBullet4">
    <w:name w:val="TS Bullet 4"/>
    <w:rsid w:val="00347D1C"/>
    <w:pPr>
      <w:numPr>
        <w:ilvl w:val="3"/>
        <w:numId w:val="6"/>
      </w:numPr>
      <w:jc w:val="both"/>
    </w:pPr>
  </w:style>
  <w:style w:type="paragraph" w:customStyle="1" w:styleId="TSBullet5">
    <w:name w:val="TS Bullet 5"/>
    <w:rsid w:val="00347D1C"/>
    <w:pPr>
      <w:numPr>
        <w:ilvl w:val="4"/>
        <w:numId w:val="6"/>
      </w:numPr>
      <w:jc w:val="both"/>
    </w:pPr>
  </w:style>
  <w:style w:type="paragraph" w:customStyle="1" w:styleId="TSBullet6">
    <w:name w:val="TS Bullet 6"/>
    <w:rsid w:val="00347D1C"/>
    <w:pPr>
      <w:numPr>
        <w:ilvl w:val="5"/>
        <w:numId w:val="6"/>
      </w:numPr>
      <w:jc w:val="both"/>
    </w:pPr>
  </w:style>
  <w:style w:type="paragraph" w:customStyle="1" w:styleId="TSBullet7">
    <w:name w:val="TS Bullet 7"/>
    <w:rsid w:val="00347D1C"/>
    <w:pPr>
      <w:numPr>
        <w:ilvl w:val="6"/>
        <w:numId w:val="6"/>
      </w:numPr>
      <w:jc w:val="both"/>
    </w:pPr>
  </w:style>
  <w:style w:type="paragraph" w:customStyle="1" w:styleId="TSBullet8">
    <w:name w:val="TS Bullet 8"/>
    <w:rsid w:val="00347D1C"/>
    <w:pPr>
      <w:numPr>
        <w:ilvl w:val="7"/>
        <w:numId w:val="6"/>
      </w:numPr>
      <w:jc w:val="both"/>
    </w:pPr>
  </w:style>
  <w:style w:type="paragraph" w:customStyle="1" w:styleId="TSFrontCoverParties">
    <w:name w:val="TS Front Cover Parties"/>
    <w:rsid w:val="00446884"/>
    <w:pPr>
      <w:numPr>
        <w:numId w:val="3"/>
      </w:numPr>
      <w:jc w:val="center"/>
    </w:pPr>
    <w:rPr>
      <w:b/>
      <w:sz w:val="32"/>
    </w:rPr>
  </w:style>
  <w:style w:type="numbering" w:customStyle="1" w:styleId="Style1">
    <w:name w:val="Style1"/>
    <w:uiPriority w:val="99"/>
    <w:rsid w:val="00E927CF"/>
    <w:pPr>
      <w:numPr>
        <w:numId w:val="2"/>
      </w:numPr>
    </w:pPr>
  </w:style>
  <w:style w:type="paragraph" w:customStyle="1" w:styleId="TSLv1List1">
    <w:name w:val="TS Lv1 List 1"/>
    <w:rsid w:val="00347D1C"/>
    <w:pPr>
      <w:numPr>
        <w:numId w:val="8"/>
      </w:numPr>
      <w:jc w:val="both"/>
    </w:pPr>
  </w:style>
  <w:style w:type="paragraph" w:customStyle="1" w:styleId="TSLv1List3">
    <w:name w:val="TS Lv1 List 3"/>
    <w:rsid w:val="00347D1C"/>
    <w:pPr>
      <w:numPr>
        <w:numId w:val="10"/>
      </w:numPr>
      <w:jc w:val="both"/>
    </w:pPr>
  </w:style>
  <w:style w:type="paragraph" w:customStyle="1" w:styleId="TSLv1List2">
    <w:name w:val="TS Lv1 List 2"/>
    <w:rsid w:val="00347D1C"/>
    <w:pPr>
      <w:numPr>
        <w:numId w:val="9"/>
      </w:numPr>
      <w:jc w:val="both"/>
    </w:pPr>
  </w:style>
  <w:style w:type="paragraph" w:customStyle="1" w:styleId="TSLv2List1">
    <w:name w:val="TS Lv2 List 1"/>
    <w:rsid w:val="00347D1C"/>
    <w:pPr>
      <w:numPr>
        <w:numId w:val="11"/>
      </w:numPr>
      <w:jc w:val="both"/>
    </w:pPr>
  </w:style>
  <w:style w:type="paragraph" w:customStyle="1" w:styleId="TSLv2List2">
    <w:name w:val="TS Lv2 List 2"/>
    <w:rsid w:val="00347D1C"/>
    <w:pPr>
      <w:numPr>
        <w:numId w:val="12"/>
      </w:numPr>
      <w:jc w:val="both"/>
    </w:pPr>
  </w:style>
  <w:style w:type="paragraph" w:customStyle="1" w:styleId="TSLv2List3">
    <w:name w:val="TS Lv2 List 3"/>
    <w:rsid w:val="0077742F"/>
    <w:pPr>
      <w:numPr>
        <w:numId w:val="13"/>
      </w:numPr>
      <w:jc w:val="both"/>
    </w:pPr>
  </w:style>
  <w:style w:type="paragraph" w:customStyle="1" w:styleId="TSRightAlignText">
    <w:name w:val="TS Right Align Text"/>
    <w:qFormat/>
    <w:rsid w:val="00E927CF"/>
    <w:pPr>
      <w:jc w:val="right"/>
    </w:pPr>
  </w:style>
  <w:style w:type="paragraph" w:customStyle="1" w:styleId="TSItalicText">
    <w:name w:val="TS Italic Text"/>
    <w:rsid w:val="00347D1C"/>
    <w:pPr>
      <w:jc w:val="both"/>
    </w:pPr>
    <w:rPr>
      <w:i/>
    </w:rPr>
  </w:style>
  <w:style w:type="paragraph" w:styleId="TOC1">
    <w:name w:val="toc 1"/>
    <w:basedOn w:val="Normal"/>
    <w:next w:val="Normal"/>
    <w:autoRedefine/>
    <w:uiPriority w:val="39"/>
    <w:unhideWhenUsed/>
    <w:rsid w:val="00E927CF"/>
    <w:pPr>
      <w:tabs>
        <w:tab w:val="left" w:pos="709"/>
        <w:tab w:val="right" w:leader="dot" w:pos="8845"/>
      </w:tabs>
      <w:spacing w:after="100"/>
    </w:pPr>
  </w:style>
  <w:style w:type="character" w:styleId="Hyperlink">
    <w:name w:val="Hyperlink"/>
    <w:basedOn w:val="DefaultParagraphFont"/>
    <w:uiPriority w:val="99"/>
    <w:unhideWhenUsed/>
    <w:rsid w:val="00E927CF"/>
    <w:rPr>
      <w:color w:val="001F49" w:themeColor="hyperlink"/>
      <w:u w:val="single"/>
    </w:rPr>
  </w:style>
  <w:style w:type="character" w:styleId="FootnoteReference">
    <w:name w:val="footnote reference"/>
    <w:basedOn w:val="DefaultParagraphFont"/>
    <w:uiPriority w:val="99"/>
    <w:unhideWhenUsed/>
    <w:rsid w:val="00E927CF"/>
    <w:rPr>
      <w:sz w:val="18"/>
      <w:vertAlign w:val="superscript"/>
    </w:rPr>
  </w:style>
  <w:style w:type="character" w:styleId="EndnoteReference">
    <w:name w:val="endnote reference"/>
    <w:basedOn w:val="DefaultParagraphFont"/>
    <w:uiPriority w:val="99"/>
    <w:unhideWhenUsed/>
    <w:rsid w:val="00E927CF"/>
    <w:rPr>
      <w:sz w:val="14"/>
      <w:vertAlign w:val="superscript"/>
    </w:rPr>
  </w:style>
  <w:style w:type="paragraph" w:styleId="FootnoteText">
    <w:name w:val="footnote text"/>
    <w:basedOn w:val="Normal"/>
    <w:link w:val="FootnoteTextChar"/>
    <w:uiPriority w:val="99"/>
    <w:rsid w:val="001C27EB"/>
    <w:pPr>
      <w:tabs>
        <w:tab w:val="left" w:pos="425"/>
      </w:tabs>
      <w:ind w:left="425" w:hanging="425"/>
    </w:pPr>
    <w:rPr>
      <w:sz w:val="16"/>
    </w:rPr>
  </w:style>
  <w:style w:type="character" w:customStyle="1" w:styleId="FootnoteTextChar">
    <w:name w:val="Footnote Text Char"/>
    <w:basedOn w:val="DefaultParagraphFont"/>
    <w:link w:val="FootnoteText"/>
    <w:uiPriority w:val="99"/>
    <w:rsid w:val="001C27EB"/>
    <w:rPr>
      <w:sz w:val="16"/>
      <w:szCs w:val="20"/>
    </w:rPr>
  </w:style>
  <w:style w:type="paragraph" w:customStyle="1" w:styleId="TSCentredText">
    <w:name w:val="TS Centred Text"/>
    <w:qFormat/>
    <w:rsid w:val="00257DF9"/>
    <w:pPr>
      <w:jc w:val="center"/>
    </w:pPr>
  </w:style>
  <w:style w:type="paragraph" w:customStyle="1" w:styleId="TSMemSection">
    <w:name w:val="TS Mem Section"/>
    <w:next w:val="TSMemPart"/>
    <w:qFormat/>
    <w:rsid w:val="00E927CF"/>
    <w:pPr>
      <w:pageBreakBefore/>
      <w:numPr>
        <w:numId w:val="5"/>
      </w:numPr>
      <w:jc w:val="center"/>
      <w:outlineLvl w:val="0"/>
    </w:pPr>
    <w:rPr>
      <w:b/>
      <w:caps/>
    </w:rPr>
  </w:style>
  <w:style w:type="paragraph" w:customStyle="1" w:styleId="TSMemPart">
    <w:name w:val="TS Mem Part"/>
    <w:next w:val="TSMemH1"/>
    <w:qFormat/>
    <w:rsid w:val="00AD6533"/>
    <w:pPr>
      <w:keepNext/>
      <w:numPr>
        <w:ilvl w:val="1"/>
        <w:numId w:val="5"/>
      </w:numPr>
      <w:jc w:val="both"/>
      <w:outlineLvl w:val="0"/>
    </w:pPr>
    <w:rPr>
      <w:b/>
      <w:caps/>
    </w:rPr>
  </w:style>
  <w:style w:type="paragraph" w:styleId="EndnoteText">
    <w:name w:val="endnote text"/>
    <w:basedOn w:val="Normal"/>
    <w:link w:val="EndnoteTextChar"/>
    <w:uiPriority w:val="99"/>
    <w:semiHidden/>
    <w:unhideWhenUsed/>
    <w:rsid w:val="00E927CF"/>
  </w:style>
  <w:style w:type="character" w:customStyle="1" w:styleId="EndnoteTextChar">
    <w:name w:val="Endnote Text Char"/>
    <w:basedOn w:val="DefaultParagraphFont"/>
    <w:link w:val="EndnoteText"/>
    <w:uiPriority w:val="99"/>
    <w:semiHidden/>
    <w:rsid w:val="00E927CF"/>
    <w:rPr>
      <w:sz w:val="20"/>
      <w:szCs w:val="20"/>
    </w:rPr>
  </w:style>
  <w:style w:type="paragraph" w:styleId="TOC2">
    <w:name w:val="toc 2"/>
    <w:basedOn w:val="Normal"/>
    <w:next w:val="Normal"/>
    <w:autoRedefine/>
    <w:uiPriority w:val="39"/>
    <w:unhideWhenUsed/>
    <w:rsid w:val="00E927CF"/>
    <w:pPr>
      <w:tabs>
        <w:tab w:val="left" w:pos="1559"/>
        <w:tab w:val="right" w:leader="dot" w:pos="8845"/>
      </w:tabs>
      <w:spacing w:after="100"/>
      <w:ind w:left="709"/>
    </w:pPr>
  </w:style>
  <w:style w:type="paragraph" w:styleId="TOC3">
    <w:name w:val="toc 3"/>
    <w:basedOn w:val="Normal"/>
    <w:next w:val="Normal"/>
    <w:autoRedefine/>
    <w:uiPriority w:val="39"/>
    <w:unhideWhenUsed/>
    <w:rsid w:val="00E927CF"/>
    <w:pPr>
      <w:tabs>
        <w:tab w:val="left" w:pos="2693"/>
        <w:tab w:val="right" w:leader="dot" w:pos="8845"/>
      </w:tabs>
      <w:spacing w:after="100"/>
      <w:ind w:left="1559"/>
    </w:pPr>
  </w:style>
  <w:style w:type="paragraph" w:styleId="TOC4">
    <w:name w:val="toc 4"/>
    <w:basedOn w:val="Normal"/>
    <w:next w:val="Normal"/>
    <w:autoRedefine/>
    <w:uiPriority w:val="39"/>
    <w:unhideWhenUsed/>
    <w:rsid w:val="00E927CF"/>
    <w:pPr>
      <w:tabs>
        <w:tab w:val="left" w:pos="4111"/>
        <w:tab w:val="right" w:leader="dot" w:pos="8845"/>
      </w:tabs>
      <w:spacing w:after="100"/>
      <w:ind w:left="2693"/>
    </w:pPr>
  </w:style>
  <w:style w:type="paragraph" w:styleId="TOC5">
    <w:name w:val="toc 5"/>
    <w:basedOn w:val="Normal"/>
    <w:next w:val="Normal"/>
    <w:autoRedefine/>
    <w:uiPriority w:val="39"/>
    <w:unhideWhenUsed/>
    <w:rsid w:val="00E927CF"/>
    <w:pPr>
      <w:tabs>
        <w:tab w:val="left" w:pos="4820"/>
        <w:tab w:val="right" w:leader="dot" w:pos="8845"/>
      </w:tabs>
      <w:spacing w:after="100"/>
      <w:ind w:left="4111"/>
    </w:pPr>
  </w:style>
  <w:style w:type="paragraph" w:styleId="TOC6">
    <w:name w:val="toc 6"/>
    <w:basedOn w:val="Normal"/>
    <w:next w:val="Normal"/>
    <w:autoRedefine/>
    <w:uiPriority w:val="39"/>
    <w:unhideWhenUsed/>
    <w:rsid w:val="00E927CF"/>
    <w:pPr>
      <w:tabs>
        <w:tab w:val="left" w:pos="5387"/>
        <w:tab w:val="right" w:leader="dot" w:pos="8845"/>
      </w:tabs>
      <w:spacing w:after="100"/>
      <w:ind w:left="4820"/>
    </w:pPr>
  </w:style>
  <w:style w:type="paragraph" w:styleId="TOC7">
    <w:name w:val="toc 7"/>
    <w:basedOn w:val="Normal"/>
    <w:next w:val="Normal"/>
    <w:autoRedefine/>
    <w:uiPriority w:val="39"/>
    <w:unhideWhenUsed/>
    <w:rsid w:val="00E927CF"/>
    <w:pPr>
      <w:tabs>
        <w:tab w:val="left" w:pos="5954"/>
        <w:tab w:val="right" w:leader="dot" w:pos="8845"/>
      </w:tabs>
      <w:spacing w:after="100"/>
      <w:ind w:left="5387"/>
    </w:pPr>
  </w:style>
  <w:style w:type="paragraph" w:customStyle="1" w:styleId="TSMemH1">
    <w:name w:val="TS Mem H1"/>
    <w:next w:val="TSMemH2"/>
    <w:qFormat/>
    <w:rsid w:val="00392FED"/>
    <w:pPr>
      <w:numPr>
        <w:ilvl w:val="2"/>
        <w:numId w:val="5"/>
      </w:numPr>
      <w:jc w:val="both"/>
      <w:outlineLvl w:val="0"/>
    </w:pPr>
    <w:rPr>
      <w:b/>
      <w:caps/>
    </w:rPr>
  </w:style>
  <w:style w:type="paragraph" w:customStyle="1" w:styleId="TSMemH2">
    <w:name w:val="TS Mem H2"/>
    <w:qFormat/>
    <w:rsid w:val="00E927CF"/>
    <w:pPr>
      <w:numPr>
        <w:ilvl w:val="3"/>
        <w:numId w:val="5"/>
      </w:numPr>
      <w:jc w:val="both"/>
    </w:pPr>
    <w:rPr>
      <w:b/>
    </w:rPr>
  </w:style>
  <w:style w:type="paragraph" w:customStyle="1" w:styleId="TSMemH3">
    <w:name w:val="TS Mem H3"/>
    <w:qFormat/>
    <w:rsid w:val="00E927CF"/>
    <w:pPr>
      <w:numPr>
        <w:ilvl w:val="4"/>
        <w:numId w:val="5"/>
      </w:numPr>
      <w:jc w:val="both"/>
    </w:pPr>
    <w:rPr>
      <w:b/>
    </w:rPr>
  </w:style>
  <w:style w:type="paragraph" w:customStyle="1" w:styleId="TSMemL4">
    <w:name w:val="TS Mem L4"/>
    <w:qFormat/>
    <w:rsid w:val="00E927CF"/>
    <w:pPr>
      <w:numPr>
        <w:ilvl w:val="5"/>
        <w:numId w:val="5"/>
      </w:numPr>
      <w:jc w:val="both"/>
    </w:pPr>
  </w:style>
  <w:style w:type="paragraph" w:customStyle="1" w:styleId="TSMemL5">
    <w:name w:val="TS Mem L5"/>
    <w:qFormat/>
    <w:rsid w:val="00E927CF"/>
    <w:pPr>
      <w:numPr>
        <w:ilvl w:val="6"/>
        <w:numId w:val="5"/>
      </w:numPr>
      <w:jc w:val="both"/>
    </w:pPr>
  </w:style>
  <w:style w:type="paragraph" w:customStyle="1" w:styleId="TSBullet9">
    <w:name w:val="TS Bullet 9"/>
    <w:qFormat/>
    <w:rsid w:val="00347D1C"/>
    <w:pPr>
      <w:numPr>
        <w:ilvl w:val="8"/>
        <w:numId w:val="6"/>
      </w:numPr>
      <w:jc w:val="both"/>
    </w:pPr>
  </w:style>
  <w:style w:type="paragraph" w:customStyle="1" w:styleId="TSTOCHeading">
    <w:name w:val="TS TOC Heading"/>
    <w:next w:val="TSBodyText"/>
    <w:qFormat/>
    <w:rsid w:val="00257DF9"/>
    <w:pPr>
      <w:jc w:val="center"/>
      <w:outlineLvl w:val="0"/>
    </w:pPr>
    <w:rPr>
      <w:b/>
      <w:caps/>
    </w:rPr>
  </w:style>
  <w:style w:type="paragraph" w:customStyle="1" w:styleId="TSLv3List1">
    <w:name w:val="TS Lv3 List 1"/>
    <w:qFormat/>
    <w:rsid w:val="0077742F"/>
    <w:pPr>
      <w:numPr>
        <w:numId w:val="14"/>
      </w:numPr>
      <w:jc w:val="both"/>
    </w:pPr>
  </w:style>
  <w:style w:type="paragraph" w:customStyle="1" w:styleId="TSLv3List2">
    <w:name w:val="TS Lv3 List 2"/>
    <w:qFormat/>
    <w:rsid w:val="0077742F"/>
    <w:pPr>
      <w:numPr>
        <w:numId w:val="15"/>
      </w:numPr>
      <w:jc w:val="both"/>
    </w:pPr>
  </w:style>
  <w:style w:type="paragraph" w:customStyle="1" w:styleId="TSLv3List3">
    <w:name w:val="TS Lv3 List 3"/>
    <w:qFormat/>
    <w:rsid w:val="0077742F"/>
    <w:pPr>
      <w:numPr>
        <w:numId w:val="16"/>
      </w:numPr>
      <w:jc w:val="both"/>
    </w:pPr>
  </w:style>
  <w:style w:type="paragraph" w:customStyle="1" w:styleId="TSMemL1">
    <w:name w:val="TS Mem L1"/>
    <w:basedOn w:val="TSMemH1"/>
    <w:qFormat/>
    <w:rsid w:val="00E927CF"/>
    <w:pPr>
      <w:outlineLvl w:val="9"/>
    </w:pPr>
    <w:rPr>
      <w:b w:val="0"/>
      <w:caps w:val="0"/>
    </w:rPr>
  </w:style>
  <w:style w:type="paragraph" w:customStyle="1" w:styleId="TSMemL2">
    <w:name w:val="TS Mem L2"/>
    <w:basedOn w:val="TSMemH2"/>
    <w:qFormat/>
    <w:rsid w:val="00E927CF"/>
    <w:rPr>
      <w:b w:val="0"/>
    </w:rPr>
  </w:style>
  <w:style w:type="paragraph" w:customStyle="1" w:styleId="TSMemL3">
    <w:name w:val="TS Mem L3"/>
    <w:basedOn w:val="TSMemH3"/>
    <w:qFormat/>
    <w:rsid w:val="00E927CF"/>
    <w:rPr>
      <w:b w:val="0"/>
    </w:rPr>
  </w:style>
  <w:style w:type="paragraph" w:customStyle="1" w:styleId="TSTOCLeftHeading">
    <w:name w:val="TS TOC Left Heading"/>
    <w:next w:val="TSBodyText"/>
    <w:qFormat/>
    <w:rsid w:val="00BE70E1"/>
    <w:pPr>
      <w:jc w:val="both"/>
      <w:outlineLvl w:val="0"/>
    </w:pPr>
    <w:rPr>
      <w:b/>
      <w:caps/>
    </w:rPr>
  </w:style>
  <w:style w:type="character" w:customStyle="1" w:styleId="TSContractHeadingChar">
    <w:name w:val="TS Contract Heading Char"/>
    <w:basedOn w:val="DefaultParagraphFont"/>
    <w:link w:val="TSContractHeading"/>
    <w:rsid w:val="00347D1C"/>
    <w:rPr>
      <w:b/>
    </w:rPr>
  </w:style>
  <w:style w:type="table" w:customStyle="1" w:styleId="TableGrid2">
    <w:name w:val="Table Grid2"/>
    <w:basedOn w:val="TableNormal"/>
    <w:next w:val="TableGrid"/>
    <w:uiPriority w:val="59"/>
    <w:rsid w:val="008F0C3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F0C3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37219"/>
    <w:rPr>
      <w:rFonts w:cs="Times New Roman"/>
      <w:szCs w:val="24"/>
    </w:rPr>
  </w:style>
  <w:style w:type="paragraph" w:styleId="Title">
    <w:name w:val="Title"/>
    <w:basedOn w:val="Normal"/>
    <w:next w:val="Normal"/>
    <w:link w:val="TitleChar"/>
    <w:uiPriority w:val="10"/>
    <w:qFormat/>
    <w:rsid w:val="00BE70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70E1"/>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BE70E1"/>
    <w:rPr>
      <w:i/>
      <w:iCs/>
      <w:color w:val="676E75" w:themeColor="text1" w:themeTint="BF"/>
    </w:rPr>
  </w:style>
  <w:style w:type="character" w:styleId="Emphasis">
    <w:name w:val="Emphasis"/>
    <w:basedOn w:val="DefaultParagraphFont"/>
    <w:uiPriority w:val="20"/>
    <w:qFormat/>
    <w:rsid w:val="00BE70E1"/>
    <w:rPr>
      <w:i/>
      <w:iCs/>
    </w:rPr>
  </w:style>
  <w:style w:type="character" w:styleId="IntenseEmphasis">
    <w:name w:val="Intense Emphasis"/>
    <w:basedOn w:val="DefaultParagraphFont"/>
    <w:uiPriority w:val="21"/>
    <w:qFormat/>
    <w:rsid w:val="00BE70E1"/>
    <w:rPr>
      <w:i/>
      <w:iCs/>
      <w:color w:val="001F49" w:themeColor="accent1"/>
    </w:rPr>
  </w:style>
  <w:style w:type="character" w:styleId="UnresolvedMention">
    <w:name w:val="Unresolved Mention"/>
    <w:basedOn w:val="DefaultParagraphFont"/>
    <w:uiPriority w:val="99"/>
    <w:semiHidden/>
    <w:unhideWhenUsed/>
    <w:rsid w:val="00F003E4"/>
    <w:rPr>
      <w:color w:val="605E5C"/>
      <w:shd w:val="clear" w:color="auto" w:fill="E1DFDD"/>
    </w:rPr>
  </w:style>
  <w:style w:type="paragraph" w:styleId="Revision">
    <w:name w:val="Revision"/>
    <w:hidden/>
    <w:uiPriority w:val="99"/>
    <w:semiHidden/>
    <w:rsid w:val="007851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finance.ec.europa.eu/regulation-and-supervision/consultations/finance-2023-sfdr-implementation_en" TargetMode="Externa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glossaryDocument" Target="glossary/document.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ED05ADE097477388F1FE00BEFEA0A8"/>
        <w:category>
          <w:name w:val="General"/>
          <w:gallery w:val="placeholder"/>
        </w:category>
        <w:types>
          <w:type w:val="bbPlcHdr"/>
        </w:types>
        <w:behaviors>
          <w:behavior w:val="content"/>
        </w:behaviors>
        <w:guid w:val="{7AD4BCA0-D762-45A7-B410-19F83BBC83FB}"/>
      </w:docPartPr>
      <w:docPartBody>
        <w:p w:rsidR="00B35795" w:rsidRDefault="00B35795"/>
      </w:docPartBody>
    </w:docPart>
    <w:docPart>
      <w:docPartPr>
        <w:name w:val="79A4D5823EB94BAB8105ABF571776DF8"/>
        <w:category>
          <w:name w:val="General"/>
          <w:gallery w:val="placeholder"/>
        </w:category>
        <w:types>
          <w:type w:val="bbPlcHdr"/>
        </w:types>
        <w:behaviors>
          <w:behavior w:val="content"/>
        </w:behaviors>
        <w:guid w:val="{EBC3AD17-F92F-460E-8199-A656DF4F7536}"/>
      </w:docPartPr>
      <w:docPartBody>
        <w:p w:rsidR="005576BE" w:rsidRDefault="005576B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pperplate31ab">
    <w:altName w:val="Calibri"/>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795"/>
    <w:rsid w:val="00084F45"/>
    <w:rsid w:val="001D6EDF"/>
    <w:rsid w:val="005576BE"/>
    <w:rsid w:val="00B35795"/>
    <w:rsid w:val="00C46D0E"/>
    <w:rsid w:val="00CF27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S Standard Theme">
  <a:themeElements>
    <a:clrScheme name="TS Standard">
      <a:dk1>
        <a:srgbClr val="3A3E42"/>
      </a:dk1>
      <a:lt1>
        <a:srgbClr val="FFFFFF"/>
      </a:lt1>
      <a:dk2>
        <a:srgbClr val="808080"/>
      </a:dk2>
      <a:lt2>
        <a:srgbClr val="F4F0D4"/>
      </a:lt2>
      <a:accent1>
        <a:srgbClr val="001F49"/>
      </a:accent1>
      <a:accent2>
        <a:srgbClr val="C35500"/>
      </a:accent2>
      <a:accent3>
        <a:srgbClr val="82C7B3"/>
      </a:accent3>
      <a:accent4>
        <a:srgbClr val="4E1649"/>
      </a:accent4>
      <a:accent5>
        <a:srgbClr val="A38000"/>
      </a:accent5>
      <a:accent6>
        <a:srgbClr val="0F3F32"/>
      </a:accent6>
      <a:hlink>
        <a:srgbClr val="001F49"/>
      </a:hlink>
      <a:folHlink>
        <a:srgbClr val="444541"/>
      </a:folHlink>
    </a:clrScheme>
    <a:fontScheme name="TS Fon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a42760f-88e7-4104-a3d2-9f36ac959aaf}" enabled="0" method="" siteId="{fa42760f-88e7-4104-a3d2-9f36ac959aaf}"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2452</Words>
  <Characters>13982</Characters>
  <Application>Microsoft Office Word</Application>
  <DocSecurity>4</DocSecurity>
  <Lines>116</Lines>
  <Paragraphs>32</Paragraphs>
  <ScaleCrop>false</ScaleCrop>
  <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2023-12-22T14:51:00Z</dcterms:created>
  <dcterms:modified xsi:type="dcterms:W3CDTF">2023-12-22T14:51:00Z</dcterms:modified>
</cp:coreProperties>
</file>