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15FCF" w14:textId="0480C2D9" w:rsidR="004B0512" w:rsidRPr="00961317" w:rsidRDefault="004B0512" w:rsidP="25916264">
      <w:pPr>
        <w:ind w:right="643"/>
        <w:rPr>
          <w:noProof/>
          <w:sz w:val="22"/>
        </w:rPr>
      </w:pPr>
    </w:p>
    <w:p w14:paraId="507E53F8" w14:textId="77777777" w:rsidR="004B0512" w:rsidRPr="00961317" w:rsidRDefault="004B0512">
      <w:pPr>
        <w:ind w:right="643"/>
        <w:rPr>
          <w:noProof/>
          <w:sz w:val="22"/>
        </w:rPr>
      </w:pPr>
    </w:p>
    <w:p w14:paraId="6DF5DE2A" w14:textId="77777777" w:rsidR="003926EA" w:rsidRPr="00961317" w:rsidRDefault="003926EA">
      <w:pPr>
        <w:ind w:right="643"/>
        <w:rPr>
          <w:noProof/>
          <w:sz w:val="22"/>
        </w:rPr>
      </w:pPr>
    </w:p>
    <w:p w14:paraId="490C2672" w14:textId="77777777" w:rsidR="003926EA" w:rsidRPr="00961317" w:rsidRDefault="003926EA">
      <w:pPr>
        <w:ind w:right="643"/>
        <w:rPr>
          <w:noProof/>
          <w:sz w:val="22"/>
        </w:rPr>
      </w:pPr>
    </w:p>
    <w:tbl>
      <w:tblPr>
        <w:tblW w:w="9776" w:type="dxa"/>
        <w:tblCellMar>
          <w:left w:w="0" w:type="dxa"/>
          <w:right w:w="0" w:type="dxa"/>
        </w:tblCellMar>
        <w:tblLook w:val="04A0" w:firstRow="1" w:lastRow="0" w:firstColumn="1" w:lastColumn="0" w:noHBand="0" w:noVBand="1"/>
      </w:tblPr>
      <w:tblGrid>
        <w:gridCol w:w="7083"/>
        <w:gridCol w:w="2693"/>
      </w:tblGrid>
      <w:tr w:rsidR="00961317" w:rsidRPr="007A7F1A" w14:paraId="11E41FC8" w14:textId="77777777" w:rsidTr="007F478A">
        <w:tc>
          <w:tcPr>
            <w:tcW w:w="7083" w:type="dxa"/>
          </w:tcPr>
          <w:p w14:paraId="74D2C4F4" w14:textId="12816B3B" w:rsidR="00961317" w:rsidRPr="007A7F1A" w:rsidRDefault="00C56460" w:rsidP="00AE66B9">
            <w:pPr>
              <w:rPr>
                <w:rFonts w:ascii="Whitney Light" w:hAnsi="Whitney Light"/>
                <w:b/>
                <w:bCs/>
                <w:sz w:val="22"/>
              </w:rPr>
            </w:pPr>
            <w:r w:rsidRPr="007A7F1A">
              <w:rPr>
                <w:rFonts w:ascii="Whitney Light" w:hAnsi="Whitney Light"/>
                <w:b/>
                <w:bCs/>
                <w:sz w:val="22"/>
              </w:rPr>
              <w:t xml:space="preserve">European Commission </w:t>
            </w:r>
          </w:p>
          <w:p w14:paraId="0D1241B5" w14:textId="2F4615A1" w:rsidR="00C56460" w:rsidRPr="007A7F1A" w:rsidRDefault="00C56460" w:rsidP="00AE66B9">
            <w:pPr>
              <w:rPr>
                <w:rFonts w:ascii="Whitney Light" w:hAnsi="Whitney Light"/>
                <w:b/>
                <w:bCs/>
                <w:sz w:val="22"/>
              </w:rPr>
            </w:pPr>
            <w:r w:rsidRPr="007A7F1A">
              <w:rPr>
                <w:rFonts w:ascii="Whitney Light" w:hAnsi="Whitney Light"/>
                <w:b/>
                <w:bCs/>
                <w:sz w:val="22"/>
              </w:rPr>
              <w:t>Directorate-General for Financial Stability</w:t>
            </w:r>
          </w:p>
          <w:p w14:paraId="7AAD3CE0" w14:textId="1684388F" w:rsidR="00C56460" w:rsidRPr="007A7F1A" w:rsidRDefault="00C56460" w:rsidP="00AE66B9">
            <w:pPr>
              <w:rPr>
                <w:rFonts w:ascii="Whitney Light" w:hAnsi="Whitney Light"/>
                <w:b/>
                <w:bCs/>
                <w:sz w:val="22"/>
              </w:rPr>
            </w:pPr>
            <w:r w:rsidRPr="007A7F1A">
              <w:rPr>
                <w:rFonts w:ascii="Whitney Light" w:hAnsi="Whitney Light"/>
                <w:b/>
                <w:bCs/>
                <w:sz w:val="22"/>
              </w:rPr>
              <w:t>Financial Services and Capital Markets Union</w:t>
            </w:r>
          </w:p>
          <w:p w14:paraId="1D8DB9DF" w14:textId="278E1382" w:rsidR="00C56460" w:rsidRPr="007A7F1A" w:rsidRDefault="00C56460" w:rsidP="00AE66B9">
            <w:pPr>
              <w:rPr>
                <w:rFonts w:ascii="Whitney Light" w:hAnsi="Whitney Light"/>
                <w:b/>
                <w:bCs/>
                <w:sz w:val="22"/>
              </w:rPr>
            </w:pPr>
            <w:r w:rsidRPr="007A7F1A">
              <w:rPr>
                <w:rFonts w:ascii="Whitney Light" w:hAnsi="Whitney Light"/>
                <w:b/>
                <w:bCs/>
                <w:sz w:val="22"/>
              </w:rPr>
              <w:t>1049 Bruxelles/Brussels</w:t>
            </w:r>
          </w:p>
          <w:p w14:paraId="6225882A" w14:textId="606E8E7C" w:rsidR="00C56460" w:rsidRPr="007A7F1A" w:rsidRDefault="00C56460" w:rsidP="00AE66B9">
            <w:pPr>
              <w:rPr>
                <w:rFonts w:ascii="Whitney Light" w:hAnsi="Whitney Light"/>
                <w:b/>
                <w:bCs/>
                <w:sz w:val="22"/>
              </w:rPr>
            </w:pPr>
            <w:r w:rsidRPr="007A7F1A">
              <w:rPr>
                <w:rFonts w:ascii="Whitney Light" w:hAnsi="Whitney Light"/>
                <w:b/>
                <w:bCs/>
                <w:sz w:val="22"/>
              </w:rPr>
              <w:t>Belgium</w:t>
            </w:r>
          </w:p>
          <w:p w14:paraId="64B64722" w14:textId="52F515EE" w:rsidR="00961317" w:rsidRPr="007A7F1A" w:rsidRDefault="00961317" w:rsidP="00AE66B9">
            <w:pPr>
              <w:rPr>
                <w:rFonts w:ascii="Whitney Light" w:hAnsi="Whitney Light"/>
                <w:b/>
                <w:bCs/>
                <w:sz w:val="22"/>
              </w:rPr>
            </w:pPr>
          </w:p>
        </w:tc>
        <w:tc>
          <w:tcPr>
            <w:tcW w:w="2693" w:type="dxa"/>
          </w:tcPr>
          <w:p w14:paraId="3FD3C3DC" w14:textId="77777777" w:rsidR="00961317" w:rsidRPr="007A7F1A" w:rsidRDefault="00961317" w:rsidP="00AE66B9">
            <w:pPr>
              <w:rPr>
                <w:rFonts w:ascii="Whitney Light" w:hAnsi="Whitney Light"/>
                <w:b/>
                <w:bCs/>
                <w:sz w:val="22"/>
              </w:rPr>
            </w:pPr>
            <w:r w:rsidRPr="007A7F1A">
              <w:rPr>
                <w:rFonts w:ascii="Whitney Light" w:hAnsi="Whitney Light"/>
                <w:b/>
                <w:bCs/>
                <w:sz w:val="22"/>
              </w:rPr>
              <w:t>UKSIF</w:t>
            </w:r>
          </w:p>
          <w:p w14:paraId="3A0DA6F7" w14:textId="77777777" w:rsidR="00961317" w:rsidRPr="007A7F1A" w:rsidRDefault="00961317" w:rsidP="00AE66B9">
            <w:pPr>
              <w:rPr>
                <w:rFonts w:ascii="Whitney Light" w:hAnsi="Whitney Light"/>
                <w:b/>
                <w:bCs/>
                <w:sz w:val="22"/>
              </w:rPr>
            </w:pPr>
            <w:r w:rsidRPr="007A7F1A">
              <w:rPr>
                <w:rFonts w:ascii="Whitney Light" w:hAnsi="Whitney Light"/>
                <w:b/>
                <w:bCs/>
                <w:sz w:val="22"/>
              </w:rPr>
              <w:t>73 Watling Street</w:t>
            </w:r>
          </w:p>
          <w:p w14:paraId="38CB159E" w14:textId="77777777" w:rsidR="00961317" w:rsidRPr="007A7F1A" w:rsidRDefault="00961317" w:rsidP="00AE66B9">
            <w:pPr>
              <w:rPr>
                <w:rFonts w:ascii="Whitney Light" w:hAnsi="Whitney Light"/>
                <w:b/>
                <w:bCs/>
                <w:sz w:val="22"/>
              </w:rPr>
            </w:pPr>
            <w:r w:rsidRPr="007A7F1A">
              <w:rPr>
                <w:rFonts w:ascii="Whitney Light" w:hAnsi="Whitney Light"/>
                <w:b/>
                <w:bCs/>
                <w:sz w:val="22"/>
              </w:rPr>
              <w:t>London</w:t>
            </w:r>
          </w:p>
          <w:p w14:paraId="6209179A" w14:textId="77777777" w:rsidR="00961317" w:rsidRPr="007A7F1A" w:rsidRDefault="00961317" w:rsidP="00AE66B9">
            <w:pPr>
              <w:rPr>
                <w:rFonts w:ascii="Whitney Light" w:hAnsi="Whitney Light"/>
                <w:b/>
                <w:bCs/>
                <w:sz w:val="22"/>
              </w:rPr>
            </w:pPr>
            <w:r w:rsidRPr="007A7F1A">
              <w:rPr>
                <w:rFonts w:ascii="Whitney Light" w:hAnsi="Whitney Light"/>
                <w:b/>
                <w:bCs/>
                <w:sz w:val="22"/>
              </w:rPr>
              <w:t>EC4M 9BJ</w:t>
            </w:r>
          </w:p>
          <w:p w14:paraId="11DB5A8C" w14:textId="77777777" w:rsidR="00961317" w:rsidRPr="007A7F1A" w:rsidRDefault="00961317" w:rsidP="00AE66B9">
            <w:pPr>
              <w:rPr>
                <w:rFonts w:ascii="Whitney Light" w:hAnsi="Whitney Light"/>
                <w:b/>
                <w:bCs/>
                <w:sz w:val="22"/>
              </w:rPr>
            </w:pPr>
            <w:r w:rsidRPr="007A7F1A">
              <w:rPr>
                <w:rFonts w:ascii="Whitney Light" w:hAnsi="Whitney Light"/>
                <w:b/>
                <w:bCs/>
                <w:sz w:val="22"/>
              </w:rPr>
              <w:t>info@uksif.org</w:t>
            </w:r>
          </w:p>
          <w:p w14:paraId="272D5A0B" w14:textId="77777777" w:rsidR="00961317" w:rsidRPr="007A7F1A" w:rsidRDefault="00961317" w:rsidP="00AE66B9">
            <w:pPr>
              <w:rPr>
                <w:rFonts w:ascii="Whitney Light" w:hAnsi="Whitney Light"/>
                <w:sz w:val="22"/>
              </w:rPr>
            </w:pPr>
          </w:p>
        </w:tc>
      </w:tr>
    </w:tbl>
    <w:p w14:paraId="77A3EF94" w14:textId="77777777" w:rsidR="00961317" w:rsidRPr="007A7F1A" w:rsidRDefault="00961317" w:rsidP="00961317">
      <w:pPr>
        <w:spacing w:after="0"/>
        <w:rPr>
          <w:rFonts w:ascii="Whitney Light" w:hAnsi="Whitney Light"/>
          <w:b/>
          <w:bCs/>
          <w:sz w:val="22"/>
        </w:rPr>
      </w:pPr>
    </w:p>
    <w:p w14:paraId="672AFC3F" w14:textId="3E72A095" w:rsidR="00961317" w:rsidRPr="007A7F1A" w:rsidRDefault="00DE3DCF" w:rsidP="00DE3DCF">
      <w:pPr>
        <w:spacing w:after="0"/>
        <w:ind w:left="0" w:firstLine="0"/>
        <w:rPr>
          <w:rFonts w:ascii="Whitney Light" w:hAnsi="Whitney Light"/>
          <w:b/>
          <w:bCs/>
          <w:sz w:val="22"/>
        </w:rPr>
      </w:pPr>
      <w:r>
        <w:rPr>
          <w:rFonts w:ascii="Whitney Light" w:hAnsi="Whitney Light"/>
          <w:b/>
          <w:bCs/>
          <w:sz w:val="22"/>
        </w:rPr>
        <w:t>15</w:t>
      </w:r>
      <w:r w:rsidR="004308E4">
        <w:rPr>
          <w:rFonts w:ascii="Whitney Light" w:hAnsi="Whitney Light"/>
          <w:b/>
          <w:bCs/>
          <w:sz w:val="22"/>
        </w:rPr>
        <w:t xml:space="preserve"> December</w:t>
      </w:r>
      <w:r w:rsidR="00961317" w:rsidRPr="007A7F1A">
        <w:rPr>
          <w:rFonts w:ascii="Whitney Light" w:hAnsi="Whitney Light"/>
          <w:b/>
          <w:bCs/>
          <w:sz w:val="22"/>
        </w:rPr>
        <w:t xml:space="preserve"> 2023</w:t>
      </w:r>
    </w:p>
    <w:p w14:paraId="771BE3E9" w14:textId="77777777" w:rsidR="00961317" w:rsidRPr="007A7F1A" w:rsidRDefault="00961317" w:rsidP="00961317">
      <w:pPr>
        <w:spacing w:after="0"/>
        <w:rPr>
          <w:rFonts w:ascii="Whitney Light" w:hAnsi="Whitney Light"/>
          <w:sz w:val="22"/>
        </w:rPr>
      </w:pPr>
    </w:p>
    <w:p w14:paraId="0403587C" w14:textId="5350B1C6" w:rsidR="00961317" w:rsidRPr="007A7F1A" w:rsidRDefault="00961317" w:rsidP="00961317">
      <w:pPr>
        <w:spacing w:after="0"/>
        <w:rPr>
          <w:rFonts w:ascii="Whitney Light" w:hAnsi="Whitney Light"/>
          <w:sz w:val="22"/>
        </w:rPr>
      </w:pPr>
      <w:r w:rsidRPr="007A7F1A">
        <w:rPr>
          <w:rFonts w:ascii="Whitney Light" w:hAnsi="Whitney Light"/>
          <w:sz w:val="22"/>
        </w:rPr>
        <w:t>Dear all</w:t>
      </w:r>
      <w:r w:rsidR="007A7F1A" w:rsidRPr="007A7F1A">
        <w:rPr>
          <w:rFonts w:ascii="Whitney Light" w:hAnsi="Whitney Light"/>
          <w:sz w:val="22"/>
        </w:rPr>
        <w:t xml:space="preserve">, </w:t>
      </w:r>
    </w:p>
    <w:p w14:paraId="0F6643D3" w14:textId="77777777" w:rsidR="00961317" w:rsidRPr="007A7F1A" w:rsidRDefault="00961317" w:rsidP="00961317">
      <w:pPr>
        <w:spacing w:after="0"/>
        <w:rPr>
          <w:rFonts w:ascii="Whitney Light" w:hAnsi="Whitney Light"/>
          <w:sz w:val="22"/>
        </w:rPr>
      </w:pPr>
    </w:p>
    <w:p w14:paraId="6144A0A9" w14:textId="5E3DBC1A" w:rsidR="00961317" w:rsidRPr="007A7F1A" w:rsidRDefault="00961317" w:rsidP="00961317">
      <w:pPr>
        <w:spacing w:after="0"/>
        <w:rPr>
          <w:rFonts w:ascii="Whitney Light" w:hAnsi="Whitney Light"/>
          <w:b/>
          <w:sz w:val="22"/>
        </w:rPr>
      </w:pPr>
      <w:r w:rsidRPr="007A7F1A">
        <w:rPr>
          <w:rFonts w:ascii="Whitney Light" w:hAnsi="Whitney Light"/>
          <w:b/>
          <w:sz w:val="22"/>
        </w:rPr>
        <w:t xml:space="preserve">RE: </w:t>
      </w:r>
      <w:r w:rsidR="00BA39BF" w:rsidRPr="007A7F1A">
        <w:rPr>
          <w:rFonts w:ascii="Whitney Light" w:hAnsi="Whitney Light"/>
          <w:b/>
          <w:sz w:val="22"/>
        </w:rPr>
        <w:t xml:space="preserve">Targeted Consultation Document-Implementation of the </w:t>
      </w:r>
      <w:r w:rsidR="00EE161C" w:rsidRPr="007A7F1A">
        <w:rPr>
          <w:rFonts w:ascii="Whitney Light" w:hAnsi="Whitney Light"/>
          <w:b/>
          <w:sz w:val="22"/>
        </w:rPr>
        <w:t>Sustainable Finance Disclosures Regulation (SFDR)</w:t>
      </w:r>
    </w:p>
    <w:p w14:paraId="20D45747" w14:textId="77777777" w:rsidR="00961317" w:rsidRPr="007A7F1A" w:rsidRDefault="00961317" w:rsidP="00961317">
      <w:pPr>
        <w:spacing w:after="0"/>
        <w:rPr>
          <w:rFonts w:ascii="Whitney Light" w:hAnsi="Whitney Light"/>
          <w:b/>
          <w:bCs/>
          <w:sz w:val="22"/>
        </w:rPr>
      </w:pPr>
    </w:p>
    <w:p w14:paraId="6FDFF8CF" w14:textId="16966D09" w:rsidR="00785948" w:rsidRDefault="00753082" w:rsidP="00785948">
      <w:pPr>
        <w:spacing w:after="0"/>
        <w:rPr>
          <w:rFonts w:ascii="Whitney Light" w:hAnsi="Whitney Light"/>
          <w:sz w:val="22"/>
        </w:rPr>
      </w:pPr>
      <w:r w:rsidRPr="00731378">
        <w:rPr>
          <w:rFonts w:ascii="Whitney Light" w:hAnsi="Whitney Light"/>
          <w:sz w:val="22"/>
        </w:rPr>
        <w:t xml:space="preserve">We are pleased to respond </w:t>
      </w:r>
      <w:r>
        <w:rPr>
          <w:rFonts w:ascii="Whitney Light" w:hAnsi="Whitney Light"/>
          <w:sz w:val="22"/>
        </w:rPr>
        <w:t xml:space="preserve">on behalf of our members </w:t>
      </w:r>
      <w:r w:rsidRPr="00731378">
        <w:rPr>
          <w:rFonts w:ascii="Whitney Light" w:hAnsi="Whitney Light"/>
          <w:sz w:val="22"/>
        </w:rPr>
        <w:t>to the targeted consultation on the implementation of the Sustainable Finance Disclosures Regulation (SFDR).</w:t>
      </w:r>
      <w:r w:rsidR="00F838F3">
        <w:rPr>
          <w:rFonts w:ascii="Whitney Light" w:hAnsi="Whitney Light"/>
          <w:sz w:val="22"/>
        </w:rPr>
        <w:t xml:space="preserve"> </w:t>
      </w:r>
      <w:r w:rsidRPr="00731378">
        <w:rPr>
          <w:rFonts w:ascii="Whitney Light" w:hAnsi="Whitney Light"/>
          <w:sz w:val="22"/>
        </w:rPr>
        <w:t>UKSIF is the</w:t>
      </w:r>
      <w:r w:rsidR="00206CAB">
        <w:rPr>
          <w:rFonts w:ascii="Whitney Light" w:hAnsi="Whitney Light"/>
          <w:sz w:val="22"/>
        </w:rPr>
        <w:t xml:space="preserve"> </w:t>
      </w:r>
      <w:r w:rsidRPr="00731378">
        <w:rPr>
          <w:rFonts w:ascii="Whitney Light" w:hAnsi="Whitney Light"/>
          <w:sz w:val="22"/>
        </w:rPr>
        <w:t xml:space="preserve">UK’s leading membership network for sustainable finance, representing more than 300 financial institutions </w:t>
      </w:r>
      <w:r>
        <w:rPr>
          <w:rFonts w:ascii="Whitney Light" w:hAnsi="Whitney Light"/>
          <w:sz w:val="22"/>
        </w:rPr>
        <w:t xml:space="preserve">and investors </w:t>
      </w:r>
      <w:r w:rsidRPr="00731378">
        <w:rPr>
          <w:rFonts w:ascii="Whitney Light" w:hAnsi="Whitney Light"/>
          <w:sz w:val="22"/>
        </w:rPr>
        <w:t>collectively managing over £19trn in global assets under management (AUM)</w:t>
      </w:r>
      <w:r>
        <w:rPr>
          <w:rFonts w:ascii="Whitney Light" w:hAnsi="Whitney Light"/>
          <w:sz w:val="22"/>
        </w:rPr>
        <w:t>.</w:t>
      </w:r>
      <w:r>
        <w:rPr>
          <w:rStyle w:val="FootnoteReference"/>
          <w:rFonts w:ascii="Whitney Light" w:hAnsi="Whitney Light"/>
          <w:sz w:val="22"/>
        </w:rPr>
        <w:footnoteReference w:id="2"/>
      </w:r>
      <w:r>
        <w:rPr>
          <w:rFonts w:ascii="Whitney Light" w:hAnsi="Whitney Light"/>
          <w:sz w:val="22"/>
        </w:rPr>
        <w:t xml:space="preserve"> </w:t>
      </w:r>
    </w:p>
    <w:p w14:paraId="3A6DF9E4" w14:textId="77777777" w:rsidR="00785948" w:rsidRDefault="00785948" w:rsidP="00785948">
      <w:pPr>
        <w:spacing w:after="0"/>
        <w:rPr>
          <w:rFonts w:ascii="Whitney Light" w:hAnsi="Whitney Light"/>
          <w:sz w:val="22"/>
        </w:rPr>
      </w:pPr>
    </w:p>
    <w:p w14:paraId="739AB8C3" w14:textId="567D14FA" w:rsidR="00753082" w:rsidRDefault="00753082" w:rsidP="00785948">
      <w:pPr>
        <w:spacing w:after="0"/>
        <w:rPr>
          <w:rFonts w:ascii="Whitney Light" w:hAnsi="Whitney Light"/>
          <w:sz w:val="22"/>
        </w:rPr>
      </w:pPr>
      <w:r>
        <w:rPr>
          <w:rFonts w:ascii="Whitney Light" w:hAnsi="Whitney Light"/>
          <w:sz w:val="22"/>
        </w:rPr>
        <w:t xml:space="preserve">Alongside other national sustainable investment forums (SIFs) from across Europe, UKSIF is a member of Eurosif and separately to our </w:t>
      </w:r>
      <w:r w:rsidR="00A93510">
        <w:rPr>
          <w:rFonts w:ascii="Whitney Light" w:hAnsi="Whitney Light"/>
          <w:sz w:val="22"/>
        </w:rPr>
        <w:t xml:space="preserve">own </w:t>
      </w:r>
      <w:r>
        <w:rPr>
          <w:rFonts w:ascii="Whitney Light" w:hAnsi="Whitney Light"/>
          <w:sz w:val="22"/>
        </w:rPr>
        <w:t xml:space="preserve">response below, we are supportive of </w:t>
      </w:r>
      <w:r w:rsidR="006E47F5">
        <w:rPr>
          <w:rFonts w:ascii="Whitney Light" w:hAnsi="Whitney Light"/>
          <w:sz w:val="22"/>
        </w:rPr>
        <w:t>a number</w:t>
      </w:r>
      <w:r>
        <w:rPr>
          <w:rFonts w:ascii="Whitney Light" w:hAnsi="Whitney Light"/>
          <w:sz w:val="22"/>
        </w:rPr>
        <w:t xml:space="preserve"> of the key messages outlined in Eurosif’s </w:t>
      </w:r>
      <w:r w:rsidR="008A1585">
        <w:rPr>
          <w:rFonts w:ascii="Whitney Light" w:hAnsi="Whitney Light"/>
          <w:sz w:val="22"/>
        </w:rPr>
        <w:t xml:space="preserve">submission </w:t>
      </w:r>
      <w:r>
        <w:rPr>
          <w:rFonts w:ascii="Whitney Light" w:hAnsi="Whitney Light"/>
          <w:sz w:val="22"/>
        </w:rPr>
        <w:t>to th</w:t>
      </w:r>
      <w:r w:rsidR="00895489">
        <w:rPr>
          <w:rFonts w:ascii="Whitney Light" w:hAnsi="Whitney Light"/>
          <w:sz w:val="22"/>
        </w:rPr>
        <w:t>e targeted</w:t>
      </w:r>
      <w:r>
        <w:rPr>
          <w:rFonts w:ascii="Whitney Light" w:hAnsi="Whitney Light"/>
          <w:sz w:val="22"/>
        </w:rPr>
        <w:t xml:space="preserve"> consultation.</w:t>
      </w:r>
    </w:p>
    <w:p w14:paraId="11AF0009" w14:textId="77777777" w:rsidR="00753082" w:rsidRDefault="00753082" w:rsidP="00753082">
      <w:pPr>
        <w:spacing w:after="0"/>
        <w:rPr>
          <w:rFonts w:ascii="Whitney Light" w:hAnsi="Whitney Light"/>
          <w:sz w:val="22"/>
        </w:rPr>
      </w:pPr>
    </w:p>
    <w:p w14:paraId="01A12207" w14:textId="6DA60D82" w:rsidR="00753082" w:rsidRDefault="00753082" w:rsidP="00753082">
      <w:pPr>
        <w:spacing w:after="0"/>
        <w:ind w:left="0" w:firstLine="0"/>
        <w:rPr>
          <w:rFonts w:ascii="Whitney Light" w:hAnsi="Whitney Light"/>
          <w:sz w:val="22"/>
        </w:rPr>
      </w:pPr>
      <w:r w:rsidRPr="0F4889AF">
        <w:rPr>
          <w:rFonts w:ascii="Whitney Light" w:hAnsi="Whitney Light"/>
          <w:sz w:val="22"/>
        </w:rPr>
        <w:t>Together with</w:t>
      </w:r>
      <w:r>
        <w:rPr>
          <w:rFonts w:ascii="Whitney Light" w:hAnsi="Whitney Light"/>
          <w:sz w:val="22"/>
        </w:rPr>
        <w:t xml:space="preserve"> our members,</w:t>
      </w:r>
      <w:r w:rsidR="00C83359">
        <w:rPr>
          <w:rFonts w:ascii="Whitney Light" w:hAnsi="Whitney Light"/>
          <w:sz w:val="22"/>
        </w:rPr>
        <w:t xml:space="preserve"> </w:t>
      </w:r>
      <w:r w:rsidR="00690509">
        <w:rPr>
          <w:rFonts w:ascii="Whitney Light" w:hAnsi="Whitney Light"/>
          <w:sz w:val="22"/>
        </w:rPr>
        <w:t xml:space="preserve">UKSIF </w:t>
      </w:r>
      <w:r>
        <w:rPr>
          <w:rFonts w:ascii="Whitney Light" w:hAnsi="Whitney Light"/>
          <w:sz w:val="22"/>
        </w:rPr>
        <w:t>h</w:t>
      </w:r>
      <w:r w:rsidR="00690509">
        <w:rPr>
          <w:rFonts w:ascii="Whitney Light" w:hAnsi="Whitney Light"/>
          <w:sz w:val="22"/>
        </w:rPr>
        <w:t xml:space="preserve">as </w:t>
      </w:r>
      <w:r>
        <w:rPr>
          <w:rFonts w:ascii="Whitney Light" w:hAnsi="Whitney Light"/>
          <w:sz w:val="22"/>
        </w:rPr>
        <w:t>closely</w:t>
      </w:r>
      <w:r w:rsidRPr="00731378">
        <w:rPr>
          <w:rFonts w:ascii="Whitney Light" w:hAnsi="Whitney Light"/>
          <w:sz w:val="22"/>
        </w:rPr>
        <w:t xml:space="preserve"> </w:t>
      </w:r>
      <w:r>
        <w:rPr>
          <w:rFonts w:ascii="Whitney Light" w:hAnsi="Whitney Light"/>
          <w:sz w:val="22"/>
        </w:rPr>
        <w:t xml:space="preserve">followed in the UK the evolution of the SFDR framework since its application in March 2021, </w:t>
      </w:r>
      <w:r w:rsidR="00647FA0">
        <w:rPr>
          <w:rFonts w:ascii="Whitney Light" w:hAnsi="Whitney Light"/>
          <w:sz w:val="22"/>
        </w:rPr>
        <w:t>and we have drawn</w:t>
      </w:r>
      <w:r>
        <w:rPr>
          <w:rFonts w:ascii="Whitney Light" w:hAnsi="Whitney Light"/>
          <w:sz w:val="22"/>
        </w:rPr>
        <w:t xml:space="preserve"> </w:t>
      </w:r>
      <w:r w:rsidR="00F357ED">
        <w:rPr>
          <w:rFonts w:ascii="Whitney Light" w:hAnsi="Whitney Light"/>
          <w:sz w:val="22"/>
        </w:rPr>
        <w:t xml:space="preserve">extensively </w:t>
      </w:r>
      <w:r>
        <w:rPr>
          <w:rFonts w:ascii="Whitney Light" w:hAnsi="Whitney Light"/>
          <w:sz w:val="22"/>
        </w:rPr>
        <w:t>on the regime’s implementation in the EU’s market to inform our ongoing work with our members and policymakers</w:t>
      </w:r>
      <w:r w:rsidR="009161D8">
        <w:rPr>
          <w:rFonts w:ascii="Whitney Light" w:hAnsi="Whitney Light"/>
          <w:sz w:val="22"/>
        </w:rPr>
        <w:t xml:space="preserve"> </w:t>
      </w:r>
      <w:r>
        <w:rPr>
          <w:rFonts w:ascii="Whitney Light" w:hAnsi="Whitney Light"/>
          <w:sz w:val="22"/>
        </w:rPr>
        <w:t xml:space="preserve">to embed sustainability in the UK’s </w:t>
      </w:r>
      <w:r w:rsidRPr="000235B9">
        <w:rPr>
          <w:rFonts w:ascii="Whitney Light" w:hAnsi="Whitney Light"/>
          <w:sz w:val="22"/>
        </w:rPr>
        <w:t>public policy and regulatory frameworks</w:t>
      </w:r>
      <w:r>
        <w:rPr>
          <w:rFonts w:ascii="Whitney Light" w:hAnsi="Whitney Light"/>
          <w:sz w:val="22"/>
        </w:rPr>
        <w:t xml:space="preserve"> and across financial markets. </w:t>
      </w:r>
    </w:p>
    <w:p w14:paraId="1DA32855" w14:textId="77777777" w:rsidR="00753082" w:rsidRDefault="00753082" w:rsidP="00753082">
      <w:pPr>
        <w:spacing w:after="0"/>
        <w:ind w:left="0" w:firstLine="0"/>
        <w:rPr>
          <w:rFonts w:ascii="Whitney Light" w:hAnsi="Whitney Light"/>
          <w:sz w:val="22"/>
        </w:rPr>
      </w:pPr>
    </w:p>
    <w:p w14:paraId="174F0ACA" w14:textId="60938196" w:rsidR="00753082" w:rsidRDefault="00753082" w:rsidP="00753082">
      <w:pPr>
        <w:spacing w:after="0"/>
        <w:rPr>
          <w:rFonts w:ascii="Whitney Light" w:hAnsi="Whitney Light"/>
          <w:sz w:val="22"/>
        </w:rPr>
      </w:pPr>
      <w:r>
        <w:rPr>
          <w:rFonts w:ascii="Whitney Light" w:hAnsi="Whitney Light"/>
          <w:sz w:val="22"/>
        </w:rPr>
        <w:t>We have been strongly supportive of the core objectives of the SFDR</w:t>
      </w:r>
      <w:r w:rsidR="009161D8">
        <w:rPr>
          <w:rFonts w:ascii="Whitney Light" w:hAnsi="Whitney Light"/>
          <w:sz w:val="22"/>
        </w:rPr>
        <w:t xml:space="preserve"> to </w:t>
      </w:r>
      <w:r w:rsidR="00764E08">
        <w:rPr>
          <w:rFonts w:ascii="Whitney Light" w:hAnsi="Whitney Light"/>
          <w:sz w:val="22"/>
        </w:rPr>
        <w:t>address greenwashing risks in the market</w:t>
      </w:r>
      <w:r w:rsidR="00396ACF">
        <w:rPr>
          <w:rFonts w:ascii="Whitney Light" w:hAnsi="Whitney Light"/>
          <w:sz w:val="22"/>
        </w:rPr>
        <w:t xml:space="preserve"> and promote </w:t>
      </w:r>
      <w:r w:rsidR="00513D01">
        <w:rPr>
          <w:rFonts w:ascii="Whitney Light" w:hAnsi="Whitney Light"/>
          <w:sz w:val="22"/>
        </w:rPr>
        <w:t>capital f</w:t>
      </w:r>
      <w:r w:rsidR="009161D8">
        <w:rPr>
          <w:rFonts w:ascii="Whitney Light" w:hAnsi="Whitney Light"/>
          <w:sz w:val="22"/>
        </w:rPr>
        <w:t>l</w:t>
      </w:r>
      <w:r w:rsidR="00513D01">
        <w:rPr>
          <w:rFonts w:ascii="Whitney Light" w:hAnsi="Whitney Light"/>
          <w:sz w:val="22"/>
        </w:rPr>
        <w:t>ows</w:t>
      </w:r>
      <w:r w:rsidR="00396ACF">
        <w:rPr>
          <w:rFonts w:ascii="Whitney Light" w:hAnsi="Whitney Light"/>
          <w:sz w:val="22"/>
        </w:rPr>
        <w:t xml:space="preserve"> towards sustainable investments</w:t>
      </w:r>
      <w:r w:rsidR="00764E08">
        <w:rPr>
          <w:rFonts w:ascii="Whitney Light" w:hAnsi="Whitney Light"/>
          <w:sz w:val="22"/>
        </w:rPr>
        <w:t>,</w:t>
      </w:r>
      <w:r>
        <w:rPr>
          <w:rFonts w:ascii="Whitney Light" w:hAnsi="Whitney Light"/>
          <w:sz w:val="22"/>
        </w:rPr>
        <w:t xml:space="preserve"> </w:t>
      </w:r>
      <w:r w:rsidR="008D6246">
        <w:rPr>
          <w:rFonts w:ascii="Whitney Light" w:hAnsi="Whitney Light"/>
          <w:sz w:val="22"/>
        </w:rPr>
        <w:t>and we believe it</w:t>
      </w:r>
      <w:r>
        <w:rPr>
          <w:rFonts w:ascii="Whitney Light" w:hAnsi="Whitney Light"/>
          <w:sz w:val="22"/>
        </w:rPr>
        <w:t xml:space="preserve"> has helped further elevate the importance of embedding sustainability risks and opportunities within firms’ investment decision-making, strategies, and cultures. </w:t>
      </w:r>
    </w:p>
    <w:p w14:paraId="4E5DB86B" w14:textId="77777777" w:rsidR="00753082" w:rsidRDefault="00753082" w:rsidP="00753082">
      <w:pPr>
        <w:spacing w:after="0"/>
        <w:rPr>
          <w:rFonts w:ascii="Whitney Light" w:hAnsi="Whitney Light"/>
          <w:sz w:val="22"/>
        </w:rPr>
      </w:pPr>
    </w:p>
    <w:p w14:paraId="00965594" w14:textId="77777777" w:rsidR="0070641E" w:rsidRDefault="00753082" w:rsidP="00753082">
      <w:pPr>
        <w:spacing w:after="0"/>
        <w:rPr>
          <w:rFonts w:ascii="Whitney Light" w:hAnsi="Whitney Light"/>
          <w:sz w:val="22"/>
        </w:rPr>
      </w:pPr>
      <w:r>
        <w:rPr>
          <w:rFonts w:ascii="Whitney Light" w:hAnsi="Whitney Light"/>
          <w:sz w:val="22"/>
        </w:rPr>
        <w:t xml:space="preserve">In the UK, we have welcomed the recent steps adopted by the Financial Conduct Authority (FCA) to draw </w:t>
      </w:r>
      <w:r w:rsidR="006D31B2">
        <w:rPr>
          <w:rFonts w:ascii="Whitney Light" w:hAnsi="Whitney Light"/>
          <w:sz w:val="22"/>
        </w:rPr>
        <w:t xml:space="preserve">directly </w:t>
      </w:r>
      <w:r>
        <w:rPr>
          <w:rFonts w:ascii="Whitney Light" w:hAnsi="Whitney Light"/>
          <w:sz w:val="22"/>
        </w:rPr>
        <w:t>on the experience of the SFDR framework, among other international regimes, in its approach to sustainability disclosures and fund labelling, and to consider where certain clarifications</w:t>
      </w:r>
      <w:r w:rsidR="00FA298B">
        <w:rPr>
          <w:rFonts w:ascii="Whitney Light" w:hAnsi="Whitney Light"/>
          <w:sz w:val="22"/>
        </w:rPr>
        <w:t xml:space="preserve"> and improvements</w:t>
      </w:r>
      <w:r>
        <w:rPr>
          <w:rFonts w:ascii="Whitney Light" w:hAnsi="Whitney Light"/>
          <w:sz w:val="22"/>
        </w:rPr>
        <w:t xml:space="preserve"> could be made.</w:t>
      </w:r>
      <w:r w:rsidR="00135441">
        <w:rPr>
          <w:rFonts w:ascii="Whitney Light" w:hAnsi="Whitney Light"/>
          <w:sz w:val="22"/>
        </w:rPr>
        <w:t xml:space="preserve"> </w:t>
      </w:r>
    </w:p>
    <w:p w14:paraId="03812439" w14:textId="77777777" w:rsidR="0070641E" w:rsidRDefault="0070641E" w:rsidP="00753082">
      <w:pPr>
        <w:spacing w:after="0"/>
        <w:rPr>
          <w:rFonts w:ascii="Whitney Light" w:hAnsi="Whitney Light"/>
          <w:sz w:val="22"/>
        </w:rPr>
      </w:pPr>
    </w:p>
    <w:p w14:paraId="7C78B892" w14:textId="1DE5E501" w:rsidR="00753082" w:rsidRDefault="00753082" w:rsidP="0070641E">
      <w:pPr>
        <w:spacing w:after="0"/>
        <w:rPr>
          <w:rFonts w:ascii="Whitney Light" w:hAnsi="Whitney Light"/>
          <w:sz w:val="22"/>
        </w:rPr>
      </w:pPr>
      <w:r>
        <w:rPr>
          <w:rFonts w:ascii="Whitney Light" w:hAnsi="Whitney Light"/>
          <w:sz w:val="22"/>
        </w:rPr>
        <w:t xml:space="preserve">We </w:t>
      </w:r>
      <w:r w:rsidR="005D2B76">
        <w:rPr>
          <w:rFonts w:ascii="Whitney Light" w:hAnsi="Whitney Light"/>
          <w:sz w:val="22"/>
        </w:rPr>
        <w:t>are</w:t>
      </w:r>
      <w:r>
        <w:rPr>
          <w:rFonts w:ascii="Whitney Light" w:hAnsi="Whitney Light"/>
          <w:sz w:val="22"/>
        </w:rPr>
        <w:t xml:space="preserve"> </w:t>
      </w:r>
      <w:r w:rsidR="005D2B76">
        <w:rPr>
          <w:rFonts w:ascii="Whitney Light" w:hAnsi="Whitney Light"/>
          <w:sz w:val="22"/>
        </w:rPr>
        <w:t>delighted</w:t>
      </w:r>
      <w:r>
        <w:rPr>
          <w:rFonts w:ascii="Whitney Light" w:hAnsi="Whitney Light"/>
          <w:sz w:val="22"/>
        </w:rPr>
        <w:t xml:space="preserve"> to see the</w:t>
      </w:r>
      <w:r w:rsidR="005D2B76">
        <w:rPr>
          <w:rFonts w:ascii="Whitney Light" w:hAnsi="Whitney Light"/>
          <w:sz w:val="22"/>
        </w:rPr>
        <w:t xml:space="preserve"> </w:t>
      </w:r>
      <w:r>
        <w:rPr>
          <w:rFonts w:ascii="Whitney Light" w:hAnsi="Whitney Light"/>
          <w:sz w:val="22"/>
        </w:rPr>
        <w:t xml:space="preserve">recent publication of the FCA’s final Policy Statement, </w:t>
      </w:r>
      <w:r w:rsidR="0070641E" w:rsidRPr="0070641E">
        <w:rPr>
          <w:rFonts w:ascii="Whitney Light" w:hAnsi="Whitney Light"/>
          <w:sz w:val="22"/>
        </w:rPr>
        <w:t>PS23/16: Sustainability Disclosure Requirements (SDR) and investment labels</w:t>
      </w:r>
      <w:r w:rsidR="0070641E">
        <w:rPr>
          <w:rFonts w:ascii="Whitney Light" w:hAnsi="Whitney Light"/>
          <w:sz w:val="22"/>
        </w:rPr>
        <w:t xml:space="preserve">, </w:t>
      </w:r>
      <w:r>
        <w:rPr>
          <w:rFonts w:ascii="Whitney Light" w:hAnsi="Whitney Light"/>
          <w:sz w:val="22"/>
        </w:rPr>
        <w:t>which provides welcome clarity for our industry</w:t>
      </w:r>
      <w:r w:rsidR="005D2B76">
        <w:rPr>
          <w:rFonts w:ascii="Whitney Light" w:hAnsi="Whitney Light"/>
          <w:sz w:val="22"/>
        </w:rPr>
        <w:t xml:space="preserve"> and has generally been well-received by financial market participants, industry groups, and the NGO community. W</w:t>
      </w:r>
      <w:r>
        <w:rPr>
          <w:rFonts w:ascii="Whitney Light" w:hAnsi="Whitney Light"/>
          <w:sz w:val="22"/>
        </w:rPr>
        <w:t>e would support consideration by the Commission</w:t>
      </w:r>
      <w:r w:rsidR="00DA0F57">
        <w:rPr>
          <w:rFonts w:ascii="Whitney Light" w:hAnsi="Whitney Light"/>
          <w:sz w:val="22"/>
        </w:rPr>
        <w:t xml:space="preserve"> going forward</w:t>
      </w:r>
      <w:r>
        <w:rPr>
          <w:rFonts w:ascii="Whitney Light" w:hAnsi="Whitney Light"/>
          <w:sz w:val="22"/>
        </w:rPr>
        <w:t xml:space="preserve"> of how the revised SFDR framework could align closely with the emerging </w:t>
      </w:r>
      <w:r w:rsidR="00F14D2C" w:rsidRPr="00306A41">
        <w:rPr>
          <w:rFonts w:ascii="Whitney Light" w:hAnsi="Whitney Light"/>
          <w:sz w:val="22"/>
        </w:rPr>
        <w:t>Sustainability Disclosure Requirements</w:t>
      </w:r>
      <w:r w:rsidR="00F14D2C">
        <w:rPr>
          <w:rFonts w:ascii="Whitney Light" w:hAnsi="Whitney Light"/>
          <w:sz w:val="22"/>
        </w:rPr>
        <w:t xml:space="preserve"> </w:t>
      </w:r>
      <w:r w:rsidR="00F14D2C" w:rsidRPr="00306A41">
        <w:rPr>
          <w:rFonts w:ascii="Whitney Light" w:hAnsi="Whitney Light"/>
          <w:sz w:val="22"/>
        </w:rPr>
        <w:t>(SDR</w:t>
      </w:r>
      <w:r w:rsidR="00F14D2C">
        <w:rPr>
          <w:rFonts w:ascii="Whitney Light" w:hAnsi="Whitney Light"/>
          <w:sz w:val="22"/>
        </w:rPr>
        <w:t>)</w:t>
      </w:r>
      <w:r>
        <w:rPr>
          <w:rFonts w:ascii="Whitney Light" w:hAnsi="Whitney Light"/>
          <w:sz w:val="22"/>
        </w:rPr>
        <w:t xml:space="preserve"> and </w:t>
      </w:r>
      <w:r w:rsidR="002E2B5C">
        <w:rPr>
          <w:rFonts w:ascii="Whitney Light" w:hAnsi="Whitney Light"/>
          <w:sz w:val="22"/>
        </w:rPr>
        <w:t>investment labels in the UK.</w:t>
      </w:r>
      <w:r w:rsidR="00717AF5">
        <w:rPr>
          <w:rStyle w:val="FootnoteReference"/>
          <w:rFonts w:ascii="Whitney Light" w:hAnsi="Whitney Light"/>
          <w:sz w:val="22"/>
        </w:rPr>
        <w:footnoteReference w:id="3"/>
      </w:r>
      <w:r w:rsidR="002E2B5C">
        <w:rPr>
          <w:rFonts w:ascii="Whitney Light" w:hAnsi="Whitney Light"/>
          <w:sz w:val="22"/>
        </w:rPr>
        <w:t xml:space="preserve"> </w:t>
      </w:r>
      <w:r>
        <w:rPr>
          <w:rFonts w:ascii="Whitney Light" w:hAnsi="Whitney Light"/>
          <w:sz w:val="22"/>
        </w:rPr>
        <w:t xml:space="preserve"> </w:t>
      </w:r>
    </w:p>
    <w:p w14:paraId="3E4DBD83" w14:textId="77777777" w:rsidR="00753082" w:rsidRDefault="00753082" w:rsidP="00753082">
      <w:pPr>
        <w:spacing w:after="0"/>
        <w:ind w:left="0" w:firstLine="0"/>
        <w:rPr>
          <w:rFonts w:ascii="Whitney Light" w:hAnsi="Whitney Light"/>
          <w:sz w:val="22"/>
        </w:rPr>
      </w:pPr>
    </w:p>
    <w:p w14:paraId="532BCAFC" w14:textId="77777777" w:rsidR="009954A9" w:rsidRDefault="00753082" w:rsidP="00025C65">
      <w:pPr>
        <w:spacing w:after="0"/>
        <w:rPr>
          <w:rFonts w:ascii="Whitney Light" w:hAnsi="Whitney Light"/>
          <w:sz w:val="22"/>
        </w:rPr>
      </w:pPr>
      <w:r>
        <w:rPr>
          <w:rFonts w:ascii="Whitney Light" w:hAnsi="Whitney Light"/>
          <w:sz w:val="22"/>
        </w:rPr>
        <w:lastRenderedPageBreak/>
        <w:t>Our response to th</w:t>
      </w:r>
      <w:r w:rsidR="00F10FD0">
        <w:rPr>
          <w:rFonts w:ascii="Whitney Light" w:hAnsi="Whitney Light"/>
          <w:sz w:val="22"/>
        </w:rPr>
        <w:t>is</w:t>
      </w:r>
      <w:r>
        <w:rPr>
          <w:rFonts w:ascii="Whitney Light" w:hAnsi="Whitney Light"/>
          <w:sz w:val="22"/>
        </w:rPr>
        <w:t xml:space="preserve"> targeted consultation has been significantly shaped by the UK’s</w:t>
      </w:r>
      <w:r w:rsidR="00F10FD0">
        <w:rPr>
          <w:rFonts w:ascii="Whitney Light" w:hAnsi="Whitney Light"/>
          <w:sz w:val="22"/>
        </w:rPr>
        <w:t xml:space="preserve"> own</w:t>
      </w:r>
      <w:r>
        <w:rPr>
          <w:rFonts w:ascii="Whitney Light" w:hAnsi="Whitney Light"/>
          <w:sz w:val="22"/>
        </w:rPr>
        <w:t xml:space="preserve"> efforts in developing the SDR</w:t>
      </w:r>
      <w:r w:rsidR="00690E93">
        <w:rPr>
          <w:rFonts w:ascii="Whitney Light" w:hAnsi="Whitney Light"/>
          <w:sz w:val="22"/>
        </w:rPr>
        <w:t xml:space="preserve"> and investment labels</w:t>
      </w:r>
      <w:r>
        <w:rPr>
          <w:rFonts w:ascii="Whitney Light" w:hAnsi="Whitney Light"/>
          <w:sz w:val="22"/>
        </w:rPr>
        <w:t xml:space="preserve"> over the last two years, which we have </w:t>
      </w:r>
      <w:r w:rsidR="00F10FD0">
        <w:rPr>
          <w:rFonts w:ascii="Whitney Light" w:hAnsi="Whitney Light"/>
          <w:sz w:val="22"/>
        </w:rPr>
        <w:t>directly</w:t>
      </w:r>
      <w:r w:rsidRPr="3F6327B0">
        <w:rPr>
          <w:rFonts w:ascii="Whitney Light" w:hAnsi="Whitney Light"/>
          <w:sz w:val="22"/>
        </w:rPr>
        <w:t xml:space="preserve"> </w:t>
      </w:r>
      <w:r>
        <w:rPr>
          <w:rFonts w:ascii="Whitney Light" w:hAnsi="Whitney Light"/>
          <w:sz w:val="22"/>
        </w:rPr>
        <w:t xml:space="preserve">contributed towards as a member of the independent Disclosures and Labels Advisory Group (DLAG). </w:t>
      </w:r>
    </w:p>
    <w:p w14:paraId="5B4CBCBA" w14:textId="77777777" w:rsidR="009954A9" w:rsidRDefault="009954A9" w:rsidP="00025C65">
      <w:pPr>
        <w:spacing w:after="0"/>
        <w:rPr>
          <w:rFonts w:ascii="Whitney Light" w:hAnsi="Whitney Light"/>
          <w:sz w:val="22"/>
        </w:rPr>
      </w:pPr>
    </w:p>
    <w:p w14:paraId="476C29D3" w14:textId="31824A31" w:rsidR="00753082" w:rsidRDefault="00753082" w:rsidP="00025C65">
      <w:pPr>
        <w:spacing w:after="0"/>
        <w:rPr>
          <w:rFonts w:ascii="Whitney Light" w:hAnsi="Whitney Light"/>
          <w:sz w:val="22"/>
        </w:rPr>
      </w:pPr>
      <w:r>
        <w:rPr>
          <w:rFonts w:ascii="Whitney Light" w:hAnsi="Whitney Light"/>
          <w:sz w:val="22"/>
        </w:rPr>
        <w:t>The DLAG has been c</w:t>
      </w:r>
      <w:r w:rsidRPr="00595E2C">
        <w:rPr>
          <w:rFonts w:ascii="Whitney Light" w:hAnsi="Whitney Light"/>
          <w:sz w:val="22"/>
        </w:rPr>
        <w:t>omprised of leading industry and investor-led associations</w:t>
      </w:r>
      <w:r w:rsidR="00916628">
        <w:rPr>
          <w:rFonts w:ascii="Whitney Light" w:hAnsi="Whitney Light"/>
          <w:sz w:val="22"/>
        </w:rPr>
        <w:t>,</w:t>
      </w:r>
      <w:r w:rsidRPr="00595E2C">
        <w:rPr>
          <w:rFonts w:ascii="Whitney Light" w:hAnsi="Whitney Light"/>
          <w:sz w:val="22"/>
        </w:rPr>
        <w:t xml:space="preserve"> including the Principles for Responsible Investment (PRI), Investment Association (IA), the Investing and Saving Alliance (TISA), and representatives from</w:t>
      </w:r>
      <w:r w:rsidR="00F10FD0">
        <w:rPr>
          <w:rFonts w:ascii="Whitney Light" w:hAnsi="Whitney Light"/>
          <w:sz w:val="22"/>
        </w:rPr>
        <w:t xml:space="preserve"> across</w:t>
      </w:r>
      <w:r w:rsidRPr="00595E2C">
        <w:rPr>
          <w:rFonts w:ascii="Whitney Light" w:hAnsi="Whitney Light"/>
          <w:sz w:val="22"/>
        </w:rPr>
        <w:t xml:space="preserve"> civil society and academia</w:t>
      </w:r>
      <w:r w:rsidR="00F10FD0">
        <w:rPr>
          <w:rFonts w:ascii="Whitney Light" w:hAnsi="Whitney Light"/>
          <w:sz w:val="22"/>
        </w:rPr>
        <w:t>.</w:t>
      </w:r>
      <w:r w:rsidR="00D15733">
        <w:rPr>
          <w:rFonts w:ascii="Whitney Light" w:hAnsi="Whitney Light"/>
          <w:sz w:val="22"/>
        </w:rPr>
        <w:t xml:space="preserve"> </w:t>
      </w:r>
      <w:r w:rsidR="00F10FD0">
        <w:rPr>
          <w:rFonts w:ascii="Whitney Light" w:hAnsi="Whitney Light"/>
          <w:sz w:val="22"/>
        </w:rPr>
        <w:t>The group</w:t>
      </w:r>
      <w:r>
        <w:rPr>
          <w:rFonts w:ascii="Whitney Light" w:hAnsi="Whitney Light"/>
          <w:sz w:val="22"/>
        </w:rPr>
        <w:t xml:space="preserve"> has </w:t>
      </w:r>
      <w:r w:rsidRPr="00FA3D29">
        <w:rPr>
          <w:rFonts w:ascii="Whitney Light" w:hAnsi="Whitney Light"/>
          <w:sz w:val="22"/>
        </w:rPr>
        <w:t>provided ongoing guidance</w:t>
      </w:r>
      <w:r>
        <w:rPr>
          <w:rFonts w:ascii="Whitney Light" w:hAnsi="Whitney Light"/>
          <w:sz w:val="22"/>
        </w:rPr>
        <w:t xml:space="preserve"> and constructive challenge to the regulator</w:t>
      </w:r>
      <w:r w:rsidRPr="00FA3D29">
        <w:rPr>
          <w:rFonts w:ascii="Whitney Light" w:hAnsi="Whitney Light"/>
          <w:sz w:val="22"/>
        </w:rPr>
        <w:t xml:space="preserve"> on the</w:t>
      </w:r>
      <w:r>
        <w:rPr>
          <w:rFonts w:ascii="Whitney Light" w:hAnsi="Whitney Light"/>
          <w:sz w:val="22"/>
        </w:rPr>
        <w:t xml:space="preserve"> design of the</w:t>
      </w:r>
      <w:r w:rsidRPr="00FA3D29">
        <w:rPr>
          <w:rFonts w:ascii="Whitney Light" w:hAnsi="Whitney Light"/>
          <w:sz w:val="22"/>
        </w:rPr>
        <w:t xml:space="preserve"> regime</w:t>
      </w:r>
      <w:r>
        <w:rPr>
          <w:rFonts w:ascii="Whitney Light" w:hAnsi="Whitney Light"/>
          <w:sz w:val="22"/>
        </w:rPr>
        <w:t>, supporting the</w:t>
      </w:r>
      <w:r w:rsidR="000148EC">
        <w:rPr>
          <w:rFonts w:ascii="Whitney Light" w:hAnsi="Whitney Light"/>
          <w:sz w:val="22"/>
        </w:rPr>
        <w:t xml:space="preserve"> positive</w:t>
      </w:r>
      <w:r>
        <w:rPr>
          <w:rFonts w:ascii="Whitney Light" w:hAnsi="Whitney Light"/>
          <w:sz w:val="22"/>
        </w:rPr>
        <w:t xml:space="preserve"> evolution of the proposals over time</w:t>
      </w:r>
      <w:r w:rsidRPr="00FA3D29">
        <w:rPr>
          <w:rFonts w:ascii="Whitney Light" w:hAnsi="Whitney Light"/>
          <w:sz w:val="22"/>
        </w:rPr>
        <w:t>.</w:t>
      </w:r>
      <w:r w:rsidRPr="00731378">
        <w:rPr>
          <w:rStyle w:val="FootnoteReference"/>
          <w:rFonts w:ascii="Whitney Light" w:hAnsi="Whitney Light"/>
          <w:sz w:val="22"/>
        </w:rPr>
        <w:footnoteReference w:id="4"/>
      </w:r>
      <w:r w:rsidRPr="00731378">
        <w:rPr>
          <w:rFonts w:ascii="Whitney Light" w:hAnsi="Whitney Light"/>
          <w:sz w:val="22"/>
        </w:rPr>
        <w:t xml:space="preserve"> </w:t>
      </w:r>
    </w:p>
    <w:p w14:paraId="1B8D5853" w14:textId="77777777" w:rsidR="00753082" w:rsidRDefault="00753082" w:rsidP="00753082">
      <w:pPr>
        <w:spacing w:after="0"/>
        <w:ind w:left="0" w:firstLine="0"/>
        <w:rPr>
          <w:rFonts w:ascii="Whitney Light" w:hAnsi="Whitney Light"/>
          <w:sz w:val="22"/>
        </w:rPr>
      </w:pPr>
    </w:p>
    <w:p w14:paraId="1882255F" w14:textId="4CCDEEAA" w:rsidR="00753082" w:rsidRDefault="00753082" w:rsidP="00753082">
      <w:pPr>
        <w:spacing w:after="0"/>
        <w:rPr>
          <w:rFonts w:ascii="Whitney Light" w:hAnsi="Whitney Light"/>
          <w:sz w:val="22"/>
        </w:rPr>
      </w:pPr>
      <w:r w:rsidRPr="51191D5C">
        <w:rPr>
          <w:rFonts w:ascii="Whitney Light" w:hAnsi="Whitney Light"/>
          <w:sz w:val="22"/>
        </w:rPr>
        <w:t>Above all</w:t>
      </w:r>
      <w:r w:rsidR="009954A9">
        <w:rPr>
          <w:rFonts w:ascii="Whitney Light" w:hAnsi="Whitney Light"/>
          <w:sz w:val="22"/>
        </w:rPr>
        <w:t>,</w:t>
      </w:r>
      <w:r>
        <w:rPr>
          <w:rFonts w:ascii="Whitney Light" w:hAnsi="Whitney Light"/>
          <w:sz w:val="22"/>
        </w:rPr>
        <w:t xml:space="preserve"> in our response</w:t>
      </w:r>
      <w:r w:rsidR="008A3249">
        <w:rPr>
          <w:rFonts w:ascii="Whitney Light" w:hAnsi="Whitney Light"/>
          <w:sz w:val="22"/>
        </w:rPr>
        <w:t xml:space="preserve"> to the consultation</w:t>
      </w:r>
      <w:r w:rsidRPr="51191D5C">
        <w:rPr>
          <w:rFonts w:ascii="Whitney Light" w:hAnsi="Whitney Light"/>
          <w:sz w:val="22"/>
        </w:rPr>
        <w:t xml:space="preserve"> we </w:t>
      </w:r>
      <w:r w:rsidR="00A02BE7">
        <w:rPr>
          <w:rFonts w:ascii="Whitney Light" w:hAnsi="Whitney Light"/>
          <w:sz w:val="22"/>
        </w:rPr>
        <w:t xml:space="preserve">would </w:t>
      </w:r>
      <w:r w:rsidRPr="51191D5C">
        <w:rPr>
          <w:rFonts w:ascii="Whitney Light" w:hAnsi="Whitney Light"/>
          <w:sz w:val="22"/>
        </w:rPr>
        <w:t xml:space="preserve">recommend that the Commission continue to build on the </w:t>
      </w:r>
      <w:r>
        <w:rPr>
          <w:rFonts w:ascii="Whitney Light" w:hAnsi="Whitney Light"/>
          <w:sz w:val="22"/>
        </w:rPr>
        <w:t>existing</w:t>
      </w:r>
      <w:r w:rsidRPr="51191D5C">
        <w:rPr>
          <w:rFonts w:ascii="Whitney Light" w:hAnsi="Whitney Light"/>
          <w:sz w:val="22"/>
        </w:rPr>
        <w:t xml:space="preserve"> SFDR framework and several of its concepts; for example</w:t>
      </w:r>
      <w:r w:rsidR="00CF1FC5">
        <w:rPr>
          <w:rFonts w:ascii="Whitney Light" w:hAnsi="Whitney Light"/>
          <w:sz w:val="22"/>
        </w:rPr>
        <w:t>,</w:t>
      </w:r>
      <w:r w:rsidRPr="51191D5C">
        <w:rPr>
          <w:rFonts w:ascii="Whitney Light" w:hAnsi="Whitney Light"/>
          <w:sz w:val="22"/>
        </w:rPr>
        <w:t xml:space="preserve"> the Article 2</w:t>
      </w:r>
      <w:r w:rsidR="00CF1FC5">
        <w:rPr>
          <w:rFonts w:ascii="Whitney Light" w:hAnsi="Whitney Light"/>
          <w:sz w:val="22"/>
        </w:rPr>
        <w:t xml:space="preserve"> </w:t>
      </w:r>
      <w:r w:rsidRPr="51191D5C">
        <w:rPr>
          <w:rFonts w:ascii="Whitney Light" w:hAnsi="Whitney Light"/>
          <w:sz w:val="22"/>
        </w:rPr>
        <w:t>(17) definition of ‘sustainable investment’, ‘Do No Significant Harm’, and</w:t>
      </w:r>
      <w:r>
        <w:rPr>
          <w:rFonts w:ascii="Whitney Light" w:hAnsi="Whitney Light"/>
          <w:sz w:val="22"/>
        </w:rPr>
        <w:t xml:space="preserve"> a number of the</w:t>
      </w:r>
      <w:r w:rsidRPr="51191D5C">
        <w:rPr>
          <w:rFonts w:ascii="Whitney Light" w:hAnsi="Whitney Light"/>
          <w:sz w:val="22"/>
        </w:rPr>
        <w:t xml:space="preserve"> Principle Adverse Impact (PAI) indicators,</w:t>
      </w:r>
      <w:r w:rsidR="00CF1FC5">
        <w:rPr>
          <w:rFonts w:ascii="Whitney Light" w:hAnsi="Whitney Light"/>
          <w:sz w:val="22"/>
        </w:rPr>
        <w:t xml:space="preserve"> </w:t>
      </w:r>
      <w:r w:rsidR="00F41D94">
        <w:rPr>
          <w:rFonts w:ascii="Whitney Light" w:hAnsi="Whitney Light"/>
          <w:sz w:val="22"/>
        </w:rPr>
        <w:t xml:space="preserve">particularly at the product-level, </w:t>
      </w:r>
      <w:r w:rsidRPr="51191D5C">
        <w:rPr>
          <w:rFonts w:ascii="Whitney Light" w:hAnsi="Whitney Light"/>
          <w:sz w:val="22"/>
        </w:rPr>
        <w:t xml:space="preserve">while developing a </w:t>
      </w:r>
      <w:r w:rsidR="00CF1FC5">
        <w:rPr>
          <w:rFonts w:ascii="Whitney Light" w:hAnsi="Whitney Light"/>
          <w:sz w:val="22"/>
        </w:rPr>
        <w:t>disti</w:t>
      </w:r>
      <w:r w:rsidR="00962C81">
        <w:rPr>
          <w:rFonts w:ascii="Whitney Light" w:hAnsi="Whitney Light"/>
          <w:sz w:val="22"/>
        </w:rPr>
        <w:t>nct, voluntary</w:t>
      </w:r>
      <w:r w:rsidR="00CF1FC5">
        <w:rPr>
          <w:rFonts w:ascii="Whitney Light" w:hAnsi="Whitney Light"/>
          <w:sz w:val="22"/>
        </w:rPr>
        <w:t xml:space="preserve"> </w:t>
      </w:r>
      <w:r w:rsidRPr="51191D5C">
        <w:rPr>
          <w:rFonts w:ascii="Whitney Light" w:hAnsi="Whitney Light"/>
          <w:sz w:val="22"/>
        </w:rPr>
        <w:t>product classification system within the SFDR</w:t>
      </w:r>
      <w:r w:rsidR="008A3249">
        <w:rPr>
          <w:rFonts w:ascii="Whitney Light" w:hAnsi="Whitney Light"/>
          <w:sz w:val="22"/>
        </w:rPr>
        <w:t xml:space="preserve"> </w:t>
      </w:r>
      <w:r w:rsidR="00AF6500">
        <w:rPr>
          <w:rFonts w:ascii="Whitney Light" w:hAnsi="Whitney Light"/>
          <w:sz w:val="22"/>
        </w:rPr>
        <w:t>aligned</w:t>
      </w:r>
      <w:r w:rsidRPr="51191D5C">
        <w:rPr>
          <w:rFonts w:ascii="Whitney Light" w:hAnsi="Whitney Light"/>
          <w:sz w:val="22"/>
        </w:rPr>
        <w:t xml:space="preserve"> </w:t>
      </w:r>
      <w:r w:rsidR="0018268C">
        <w:rPr>
          <w:rFonts w:ascii="Whitney Light" w:hAnsi="Whitney Light"/>
          <w:sz w:val="22"/>
        </w:rPr>
        <w:t>to</w:t>
      </w:r>
      <w:r w:rsidRPr="51191D5C">
        <w:rPr>
          <w:rFonts w:ascii="Whitney Light" w:hAnsi="Whitney Light"/>
          <w:sz w:val="22"/>
        </w:rPr>
        <w:t xml:space="preserve"> the </w:t>
      </w:r>
      <w:r w:rsidR="002B3AEF">
        <w:rPr>
          <w:rFonts w:ascii="Whitney Light" w:hAnsi="Whitney Light"/>
          <w:sz w:val="22"/>
        </w:rPr>
        <w:t xml:space="preserve">UK’s </w:t>
      </w:r>
      <w:r w:rsidR="008A3249">
        <w:rPr>
          <w:rFonts w:ascii="Whitney Light" w:hAnsi="Whitney Light"/>
          <w:sz w:val="22"/>
        </w:rPr>
        <w:t>SDR</w:t>
      </w:r>
      <w:r w:rsidR="0018268C">
        <w:rPr>
          <w:rFonts w:ascii="Whitney Light" w:hAnsi="Whitney Light"/>
          <w:sz w:val="22"/>
        </w:rPr>
        <w:t>.</w:t>
      </w:r>
      <w:r>
        <w:rPr>
          <w:rStyle w:val="FootnoteReference"/>
          <w:rFonts w:ascii="Whitney Light" w:hAnsi="Whitney Light"/>
          <w:sz w:val="22"/>
        </w:rPr>
        <w:footnoteReference w:id="5"/>
      </w:r>
      <w:r w:rsidRPr="51191D5C">
        <w:rPr>
          <w:rFonts w:ascii="Whitney Light" w:hAnsi="Whitney Light"/>
          <w:sz w:val="22"/>
        </w:rPr>
        <w:t xml:space="preserve"> </w:t>
      </w:r>
    </w:p>
    <w:p w14:paraId="53E07059" w14:textId="77777777" w:rsidR="00753082" w:rsidRDefault="00753082" w:rsidP="00753082">
      <w:pPr>
        <w:spacing w:after="0"/>
        <w:rPr>
          <w:rFonts w:ascii="Whitney Light" w:hAnsi="Whitney Light"/>
          <w:sz w:val="22"/>
        </w:rPr>
      </w:pPr>
    </w:p>
    <w:p w14:paraId="6442E111" w14:textId="43090920" w:rsidR="00753082" w:rsidRDefault="00753082" w:rsidP="00611767">
      <w:pPr>
        <w:spacing w:after="0"/>
        <w:rPr>
          <w:rFonts w:ascii="Whitney Light" w:hAnsi="Whitney Light"/>
          <w:sz w:val="22"/>
        </w:rPr>
      </w:pPr>
      <w:r w:rsidRPr="51191D5C">
        <w:rPr>
          <w:rFonts w:ascii="Whitney Light" w:hAnsi="Whitney Light"/>
          <w:sz w:val="22"/>
        </w:rPr>
        <w:t xml:space="preserve">We would </w:t>
      </w:r>
      <w:r>
        <w:rPr>
          <w:rFonts w:ascii="Whitney Light" w:hAnsi="Whitney Light"/>
          <w:sz w:val="22"/>
        </w:rPr>
        <w:t xml:space="preserve">very much </w:t>
      </w:r>
      <w:r w:rsidRPr="51191D5C">
        <w:rPr>
          <w:rFonts w:ascii="Whitney Light" w:hAnsi="Whitney Light"/>
          <w:sz w:val="22"/>
        </w:rPr>
        <w:t>welcome a marked shift from reliance on Articles 6, 8</w:t>
      </w:r>
      <w:r w:rsidR="0088443F">
        <w:rPr>
          <w:rFonts w:ascii="Whitney Light" w:hAnsi="Whitney Light"/>
          <w:sz w:val="22"/>
        </w:rPr>
        <w:t>,</w:t>
      </w:r>
      <w:r w:rsidRPr="51191D5C">
        <w:rPr>
          <w:rFonts w:ascii="Whitney Light" w:hAnsi="Whitney Light"/>
          <w:sz w:val="22"/>
        </w:rPr>
        <w:t xml:space="preserve"> and 9 as de-facto fund labels in the mar</w:t>
      </w:r>
      <w:r>
        <w:rPr>
          <w:rFonts w:ascii="Whitney Light" w:hAnsi="Whitney Light"/>
          <w:sz w:val="22"/>
        </w:rPr>
        <w:t>ket,</w:t>
      </w:r>
      <w:r w:rsidR="00611767">
        <w:rPr>
          <w:rFonts w:ascii="Whitney Light" w:hAnsi="Whitney Light"/>
          <w:sz w:val="22"/>
        </w:rPr>
        <w:t xml:space="preserve"> which has contributed to greenwashing risks for end investors, </w:t>
      </w:r>
      <w:r w:rsidRPr="51191D5C">
        <w:rPr>
          <w:rFonts w:ascii="Whitney Light" w:hAnsi="Whitney Light"/>
          <w:sz w:val="22"/>
        </w:rPr>
        <w:t>while supporting further clarification to a number of the concepts of the SFDR</w:t>
      </w:r>
      <w:r>
        <w:rPr>
          <w:rFonts w:ascii="Whitney Light" w:hAnsi="Whitney Light"/>
          <w:sz w:val="22"/>
        </w:rPr>
        <w:t>, including those indicated directly above.</w:t>
      </w:r>
      <w:r w:rsidR="00F53185">
        <w:rPr>
          <w:rFonts w:ascii="Whitney Light" w:hAnsi="Whitney Light"/>
          <w:sz w:val="22"/>
        </w:rPr>
        <w:t xml:space="preserve"> </w:t>
      </w:r>
      <w:r w:rsidR="00327067">
        <w:rPr>
          <w:rFonts w:ascii="Whitney Light" w:hAnsi="Whitney Light"/>
          <w:sz w:val="22"/>
        </w:rPr>
        <w:t>There</w:t>
      </w:r>
      <w:r w:rsidR="003123E4">
        <w:rPr>
          <w:rFonts w:ascii="Whitney Light" w:hAnsi="Whitney Light"/>
          <w:sz w:val="22"/>
        </w:rPr>
        <w:t xml:space="preserve"> remains </w:t>
      </w:r>
      <w:r w:rsidR="000511DE">
        <w:rPr>
          <w:rFonts w:ascii="Whitney Light" w:hAnsi="Whitney Light"/>
          <w:sz w:val="22"/>
        </w:rPr>
        <w:t>today v</w:t>
      </w:r>
      <w:r w:rsidR="00424B1E">
        <w:rPr>
          <w:rFonts w:ascii="Whitney Light" w:hAnsi="Whitney Light"/>
          <w:sz w:val="22"/>
        </w:rPr>
        <w:t xml:space="preserve">ery diverse interpretations of these </w:t>
      </w:r>
      <w:r w:rsidR="0088443F">
        <w:rPr>
          <w:rFonts w:ascii="Whitney Light" w:hAnsi="Whitney Light"/>
          <w:sz w:val="22"/>
        </w:rPr>
        <w:t xml:space="preserve">underlying </w:t>
      </w:r>
      <w:r w:rsidR="00424B1E">
        <w:rPr>
          <w:rFonts w:ascii="Whitney Light" w:hAnsi="Whitney Light"/>
          <w:sz w:val="22"/>
        </w:rPr>
        <w:t>concepts among</w:t>
      </w:r>
      <w:r w:rsidR="000511DE">
        <w:rPr>
          <w:rFonts w:ascii="Whitney Light" w:hAnsi="Whitney Light"/>
          <w:sz w:val="22"/>
        </w:rPr>
        <w:t xml:space="preserve"> many</w:t>
      </w:r>
      <w:r w:rsidR="00424B1E">
        <w:rPr>
          <w:rFonts w:ascii="Whitney Light" w:hAnsi="Whitney Light"/>
          <w:sz w:val="22"/>
        </w:rPr>
        <w:t xml:space="preserve"> stakeholders</w:t>
      </w:r>
      <w:r w:rsidR="001F1078">
        <w:rPr>
          <w:rFonts w:ascii="Whitney Light" w:hAnsi="Whitney Light"/>
          <w:sz w:val="22"/>
        </w:rPr>
        <w:t>, while clarification and a</w:t>
      </w:r>
      <w:r w:rsidR="00A66CF9">
        <w:rPr>
          <w:rFonts w:ascii="Whitney Light" w:hAnsi="Whitney Light"/>
          <w:sz w:val="22"/>
        </w:rPr>
        <w:t xml:space="preserve"> more </w:t>
      </w:r>
      <w:r w:rsidR="001F1078">
        <w:rPr>
          <w:rFonts w:ascii="Whitney Light" w:hAnsi="Whitney Light"/>
          <w:sz w:val="22"/>
        </w:rPr>
        <w:t>evolutionary approach in these specific areas</w:t>
      </w:r>
      <w:r w:rsidR="00D45612">
        <w:rPr>
          <w:rFonts w:ascii="Whitney Light" w:hAnsi="Whitney Light"/>
          <w:sz w:val="22"/>
        </w:rPr>
        <w:t xml:space="preserve"> should, we expect, help alleviate some of the </w:t>
      </w:r>
      <w:r w:rsidR="00A66CF9">
        <w:rPr>
          <w:rFonts w:ascii="Whitney Light" w:hAnsi="Whitney Light"/>
          <w:sz w:val="22"/>
        </w:rPr>
        <w:t xml:space="preserve">additional </w:t>
      </w:r>
      <w:r w:rsidR="00D45612">
        <w:rPr>
          <w:rFonts w:ascii="Whitney Light" w:hAnsi="Whitney Light"/>
          <w:sz w:val="22"/>
        </w:rPr>
        <w:t xml:space="preserve">costs </w:t>
      </w:r>
      <w:r w:rsidR="0035663C">
        <w:rPr>
          <w:rFonts w:ascii="Whitney Light" w:hAnsi="Whitney Light"/>
          <w:sz w:val="22"/>
        </w:rPr>
        <w:t>that</w:t>
      </w:r>
      <w:r w:rsidR="00EB664F">
        <w:rPr>
          <w:rFonts w:ascii="Whitney Light" w:hAnsi="Whitney Light"/>
          <w:sz w:val="22"/>
        </w:rPr>
        <w:t xml:space="preserve"> </w:t>
      </w:r>
      <w:r w:rsidR="00D45612">
        <w:rPr>
          <w:rFonts w:ascii="Whitney Light" w:hAnsi="Whitney Light"/>
          <w:sz w:val="22"/>
        </w:rPr>
        <w:t>firms</w:t>
      </w:r>
      <w:r w:rsidR="0035663C">
        <w:rPr>
          <w:rFonts w:ascii="Whitney Light" w:hAnsi="Whitney Light"/>
          <w:sz w:val="22"/>
        </w:rPr>
        <w:t xml:space="preserve"> will face</w:t>
      </w:r>
      <w:r w:rsidR="00D45612">
        <w:rPr>
          <w:rFonts w:ascii="Whitney Light" w:hAnsi="Whitney Light"/>
          <w:sz w:val="22"/>
        </w:rPr>
        <w:t xml:space="preserve"> in implementation of </w:t>
      </w:r>
      <w:r w:rsidR="000A2046">
        <w:rPr>
          <w:rFonts w:ascii="Whitney Light" w:hAnsi="Whitney Light"/>
          <w:sz w:val="22"/>
        </w:rPr>
        <w:t>the</w:t>
      </w:r>
      <w:r w:rsidR="00D45612">
        <w:rPr>
          <w:rFonts w:ascii="Whitney Light" w:hAnsi="Whitney Light"/>
          <w:sz w:val="22"/>
        </w:rPr>
        <w:t xml:space="preserve"> new </w:t>
      </w:r>
      <w:r w:rsidR="00891BA6">
        <w:rPr>
          <w:rFonts w:ascii="Whitney Light" w:hAnsi="Whitney Light"/>
          <w:sz w:val="22"/>
        </w:rPr>
        <w:t xml:space="preserve">SFDR </w:t>
      </w:r>
      <w:r w:rsidR="00D45612">
        <w:rPr>
          <w:rFonts w:ascii="Whitney Light" w:hAnsi="Whitney Light"/>
          <w:sz w:val="22"/>
        </w:rPr>
        <w:t>framework.</w:t>
      </w:r>
    </w:p>
    <w:p w14:paraId="0A660A4A" w14:textId="77777777" w:rsidR="007D4533" w:rsidRDefault="007D4533" w:rsidP="00753082">
      <w:pPr>
        <w:spacing w:after="0"/>
        <w:rPr>
          <w:rFonts w:ascii="Whitney Light" w:hAnsi="Whitney Light"/>
          <w:sz w:val="22"/>
        </w:rPr>
      </w:pPr>
    </w:p>
    <w:p w14:paraId="0675BEF9" w14:textId="0D37998A" w:rsidR="00753082" w:rsidRDefault="00753082" w:rsidP="00753082">
      <w:pPr>
        <w:spacing w:after="0"/>
        <w:ind w:left="0" w:firstLine="0"/>
        <w:rPr>
          <w:rFonts w:ascii="Whitney Light" w:hAnsi="Whitney Light"/>
          <w:sz w:val="22"/>
        </w:rPr>
      </w:pPr>
      <w:r w:rsidRPr="51191D5C">
        <w:rPr>
          <w:rFonts w:ascii="Whitney Light" w:hAnsi="Whitney Light"/>
          <w:sz w:val="22"/>
        </w:rPr>
        <w:t>A distinct classification system</w:t>
      </w:r>
      <w:r>
        <w:rPr>
          <w:rFonts w:ascii="Whitney Light" w:hAnsi="Whitney Light"/>
          <w:sz w:val="22"/>
        </w:rPr>
        <w:t xml:space="preserve"> sh</w:t>
      </w:r>
      <w:r w:rsidRPr="51191D5C">
        <w:rPr>
          <w:rFonts w:ascii="Whitney Light" w:hAnsi="Whitney Light"/>
          <w:sz w:val="22"/>
        </w:rPr>
        <w:t>ould explore new sustainability-related criteria and principles for investments products and strategies qualifying as sustainable under the SFDR, including importantly for those strategies that aim to support the transition towards a more sustainable future.</w:t>
      </w:r>
      <w:r w:rsidR="008C034B">
        <w:rPr>
          <w:rFonts w:ascii="Whitney Light" w:hAnsi="Whitney Light"/>
          <w:sz w:val="22"/>
        </w:rPr>
        <w:t xml:space="preserve"> Clearer recognition of transition strategies and investments in the SFDR is critical</w:t>
      </w:r>
      <w:r w:rsidR="002E7F21">
        <w:rPr>
          <w:rFonts w:ascii="Whitney Light" w:hAnsi="Whitney Light"/>
          <w:sz w:val="22"/>
        </w:rPr>
        <w:t>, especially in light of the continued</w:t>
      </w:r>
      <w:r w:rsidR="00EB5693">
        <w:rPr>
          <w:rFonts w:ascii="Whitney Light" w:hAnsi="Whitney Light"/>
          <w:sz w:val="22"/>
        </w:rPr>
        <w:t xml:space="preserve">, urgent </w:t>
      </w:r>
      <w:r w:rsidR="002E7F21">
        <w:rPr>
          <w:rFonts w:ascii="Whitney Light" w:hAnsi="Whitney Light"/>
          <w:sz w:val="22"/>
        </w:rPr>
        <w:t xml:space="preserve">need to </w:t>
      </w:r>
      <w:r w:rsidR="00EB5693">
        <w:rPr>
          <w:rFonts w:ascii="Whitney Light" w:hAnsi="Whitney Light"/>
          <w:sz w:val="22"/>
        </w:rPr>
        <w:t>transition the whole economy towards net-zero</w:t>
      </w:r>
      <w:r w:rsidR="007A7B02">
        <w:rPr>
          <w:rFonts w:ascii="Whitney Light" w:hAnsi="Whitney Light"/>
          <w:sz w:val="22"/>
        </w:rPr>
        <w:t xml:space="preserve"> and to ensure that capital flows are not limited towards </w:t>
      </w:r>
      <w:r w:rsidR="00EB5693">
        <w:rPr>
          <w:rFonts w:ascii="Whitney Light" w:hAnsi="Whitney Light"/>
          <w:sz w:val="22"/>
        </w:rPr>
        <w:t xml:space="preserve">those </w:t>
      </w:r>
      <w:r w:rsidR="002E7F21">
        <w:rPr>
          <w:rFonts w:ascii="Whitney Light" w:hAnsi="Whitney Light"/>
          <w:sz w:val="22"/>
        </w:rPr>
        <w:t>activities that can have the largest</w:t>
      </w:r>
      <w:r w:rsidR="00EB5693">
        <w:rPr>
          <w:rFonts w:ascii="Whitney Light" w:hAnsi="Whitney Light"/>
          <w:sz w:val="22"/>
        </w:rPr>
        <w:t>, real-world</w:t>
      </w:r>
      <w:r w:rsidR="002E7F21">
        <w:rPr>
          <w:rFonts w:ascii="Whitney Light" w:hAnsi="Whitney Light"/>
          <w:sz w:val="22"/>
        </w:rPr>
        <w:t xml:space="preserve"> impact on emissions reductions</w:t>
      </w:r>
      <w:r w:rsidR="00EB5693">
        <w:rPr>
          <w:rFonts w:ascii="Whitney Light" w:hAnsi="Whitney Light"/>
          <w:sz w:val="22"/>
        </w:rPr>
        <w:t>.</w:t>
      </w:r>
    </w:p>
    <w:p w14:paraId="4197064F" w14:textId="77777777" w:rsidR="00EB5693" w:rsidRDefault="00EB5693" w:rsidP="00753082">
      <w:pPr>
        <w:spacing w:after="0"/>
        <w:ind w:left="0" w:firstLine="0"/>
        <w:rPr>
          <w:rFonts w:ascii="Whitney Light" w:hAnsi="Whitney Light"/>
          <w:sz w:val="22"/>
        </w:rPr>
      </w:pPr>
    </w:p>
    <w:p w14:paraId="6E2BFEEA" w14:textId="054511CB" w:rsidR="00753082" w:rsidRDefault="00753082" w:rsidP="00753082">
      <w:pPr>
        <w:spacing w:after="0"/>
        <w:ind w:left="0" w:firstLine="0"/>
        <w:rPr>
          <w:rFonts w:ascii="Whitney Light" w:hAnsi="Whitney Light"/>
          <w:sz w:val="22"/>
        </w:rPr>
      </w:pPr>
      <w:r>
        <w:rPr>
          <w:rFonts w:ascii="Whitney Light" w:hAnsi="Whitney Light"/>
          <w:sz w:val="22"/>
        </w:rPr>
        <w:t xml:space="preserve">Broadly speaking, we believe there are a number of </w:t>
      </w:r>
      <w:r w:rsidR="00AC671F">
        <w:rPr>
          <w:rFonts w:ascii="Whitney Light" w:hAnsi="Whitney Light"/>
          <w:sz w:val="22"/>
        </w:rPr>
        <w:t xml:space="preserve">very </w:t>
      </w:r>
      <w:r>
        <w:rPr>
          <w:rFonts w:ascii="Whitney Light" w:hAnsi="Whitney Light"/>
          <w:sz w:val="22"/>
        </w:rPr>
        <w:t>important elements of the FCA’s finalised regime that should be explored by the Commission as part of its upcoming review</w:t>
      </w:r>
      <w:r w:rsidR="00F53D82">
        <w:rPr>
          <w:rFonts w:ascii="Whitney Light" w:hAnsi="Whitney Light"/>
          <w:sz w:val="22"/>
        </w:rPr>
        <w:t xml:space="preserve"> of the SFDR.</w:t>
      </w:r>
    </w:p>
    <w:p w14:paraId="28DF5A82" w14:textId="77777777" w:rsidR="00753082" w:rsidRDefault="00753082" w:rsidP="00753082">
      <w:pPr>
        <w:spacing w:after="0"/>
        <w:ind w:left="0" w:firstLine="0"/>
        <w:rPr>
          <w:rFonts w:ascii="Whitney Light" w:hAnsi="Whitney Light"/>
          <w:sz w:val="22"/>
        </w:rPr>
      </w:pPr>
    </w:p>
    <w:p w14:paraId="1B9FFEAD" w14:textId="020B07E2" w:rsidR="00753082" w:rsidRDefault="00753082" w:rsidP="00753082">
      <w:pPr>
        <w:spacing w:after="0"/>
        <w:ind w:left="0" w:firstLine="0"/>
        <w:rPr>
          <w:rFonts w:ascii="Whitney Light" w:hAnsi="Whitney Light"/>
          <w:sz w:val="22"/>
        </w:rPr>
      </w:pPr>
      <w:r>
        <w:rPr>
          <w:rFonts w:ascii="Whitney Light" w:hAnsi="Whitney Light"/>
          <w:sz w:val="22"/>
        </w:rPr>
        <w:t>These include the following: the holistic approach adopted in setting</w:t>
      </w:r>
      <w:r w:rsidR="00A707A7">
        <w:rPr>
          <w:rFonts w:ascii="Whitney Light" w:hAnsi="Whitney Light"/>
          <w:sz w:val="22"/>
        </w:rPr>
        <w:t xml:space="preserve"> out</w:t>
      </w:r>
      <w:r>
        <w:rPr>
          <w:rFonts w:ascii="Whitney Light" w:hAnsi="Whitney Light"/>
          <w:sz w:val="22"/>
        </w:rPr>
        <w:t xml:space="preserve"> rules simultaneously for </w:t>
      </w:r>
      <w:r w:rsidR="00E10E76">
        <w:rPr>
          <w:rFonts w:ascii="Whitney Light" w:hAnsi="Whitney Light"/>
          <w:sz w:val="22"/>
        </w:rPr>
        <w:t xml:space="preserve">entity-level and product-level sustainability </w:t>
      </w:r>
      <w:r>
        <w:rPr>
          <w:rFonts w:ascii="Whitney Light" w:hAnsi="Whitney Light"/>
          <w:sz w:val="22"/>
        </w:rPr>
        <w:t>disclosures, fund labels, naming and marketing, and an ‘anti-greenwashing’</w:t>
      </w:r>
      <w:r w:rsidR="00A707A7">
        <w:rPr>
          <w:rFonts w:ascii="Whitney Light" w:hAnsi="Whitney Light"/>
          <w:sz w:val="22"/>
        </w:rPr>
        <w:t xml:space="preserve"> rule</w:t>
      </w:r>
      <w:r>
        <w:rPr>
          <w:rFonts w:ascii="Whitney Light" w:hAnsi="Whitney Light"/>
          <w:sz w:val="22"/>
        </w:rPr>
        <w:t xml:space="preserve">; extensive consumer testing conducted by the regulator and industry bodies; </w:t>
      </w:r>
      <w:r w:rsidR="00F61E6C">
        <w:rPr>
          <w:rFonts w:ascii="Whitney Light" w:hAnsi="Whitney Light"/>
          <w:sz w:val="22"/>
        </w:rPr>
        <w:t xml:space="preserve">the </w:t>
      </w:r>
      <w:r>
        <w:rPr>
          <w:rFonts w:ascii="Whitney Light" w:hAnsi="Whitney Light"/>
          <w:sz w:val="22"/>
        </w:rPr>
        <w:t>use of ‘consumer-friendly’ terminology in fund disclosures to make these as accessible as possible for retail investors</w:t>
      </w:r>
      <w:r w:rsidR="00184505">
        <w:rPr>
          <w:rFonts w:ascii="Whitney Light" w:hAnsi="Whitney Light"/>
          <w:sz w:val="22"/>
        </w:rPr>
        <w:t xml:space="preserve">; </w:t>
      </w:r>
      <w:r>
        <w:rPr>
          <w:rFonts w:ascii="Whitney Light" w:hAnsi="Whitney Light"/>
          <w:sz w:val="22"/>
        </w:rPr>
        <w:t xml:space="preserve">the non-hierarchical approach to the investment labels; a dedicated category for multi-asset funds and blended strategies to recognise those funds that may be invested across a number of labels; </w:t>
      </w:r>
      <w:r w:rsidR="00F61E6C">
        <w:rPr>
          <w:rFonts w:ascii="Whitney Light" w:hAnsi="Whitney Light"/>
          <w:sz w:val="22"/>
        </w:rPr>
        <w:t>the recognition of transitioning strategies within a disclosures and labelling framework;</w:t>
      </w:r>
      <w:r>
        <w:rPr>
          <w:rFonts w:ascii="Whitney Light" w:hAnsi="Whitney Light"/>
          <w:sz w:val="22"/>
        </w:rPr>
        <w:t xml:space="preserve"> flexibility for firms to disclose against a broad range of</w:t>
      </w:r>
      <w:r w:rsidR="00184505">
        <w:rPr>
          <w:rFonts w:ascii="Whitney Light" w:hAnsi="Whitney Light"/>
          <w:sz w:val="22"/>
        </w:rPr>
        <w:t xml:space="preserve"> objective</w:t>
      </w:r>
      <w:r w:rsidR="007D4533">
        <w:rPr>
          <w:rFonts w:ascii="Whitney Light" w:hAnsi="Whitney Light"/>
          <w:sz w:val="22"/>
        </w:rPr>
        <w:t xml:space="preserve">, </w:t>
      </w:r>
      <w:r w:rsidR="00184505">
        <w:rPr>
          <w:rFonts w:ascii="Whitney Light" w:hAnsi="Whitney Light"/>
          <w:sz w:val="22"/>
        </w:rPr>
        <w:t xml:space="preserve">robust </w:t>
      </w:r>
      <w:r>
        <w:rPr>
          <w:rFonts w:ascii="Whitney Light" w:hAnsi="Whitney Light"/>
          <w:sz w:val="22"/>
        </w:rPr>
        <w:t>sustainability</w:t>
      </w:r>
      <w:r w:rsidR="007D4533">
        <w:rPr>
          <w:rFonts w:ascii="Whitney Light" w:hAnsi="Whitney Light"/>
          <w:sz w:val="22"/>
        </w:rPr>
        <w:t xml:space="preserve"> </w:t>
      </w:r>
      <w:r>
        <w:rPr>
          <w:rFonts w:ascii="Whitney Light" w:hAnsi="Whitney Light"/>
          <w:sz w:val="22"/>
        </w:rPr>
        <w:t xml:space="preserve">standards to demonstrate the sustainability </w:t>
      </w:r>
      <w:r w:rsidR="00F61E6C">
        <w:rPr>
          <w:rFonts w:ascii="Whitney Light" w:hAnsi="Whitney Light"/>
          <w:sz w:val="22"/>
        </w:rPr>
        <w:t>characteristics</w:t>
      </w:r>
      <w:r>
        <w:rPr>
          <w:rFonts w:ascii="Whitney Light" w:hAnsi="Whitney Light"/>
          <w:sz w:val="22"/>
        </w:rPr>
        <w:t xml:space="preserve"> of labelled funds, beyond a </w:t>
      </w:r>
      <w:r w:rsidR="00C64FB8">
        <w:rPr>
          <w:rFonts w:ascii="Whitney Light" w:hAnsi="Whitney Light"/>
          <w:sz w:val="22"/>
        </w:rPr>
        <w:t xml:space="preserve">‘green </w:t>
      </w:r>
      <w:r>
        <w:rPr>
          <w:rFonts w:ascii="Whitney Light" w:hAnsi="Whitney Light"/>
          <w:sz w:val="22"/>
        </w:rPr>
        <w:t>taxonomy</w:t>
      </w:r>
      <w:r w:rsidR="00C64FB8">
        <w:rPr>
          <w:rFonts w:ascii="Whitney Light" w:hAnsi="Whitney Light"/>
          <w:sz w:val="22"/>
        </w:rPr>
        <w:t>’</w:t>
      </w:r>
      <w:r>
        <w:rPr>
          <w:rFonts w:ascii="Whitney Light" w:hAnsi="Whitney Light"/>
          <w:sz w:val="22"/>
        </w:rPr>
        <w:t xml:space="preserve"> alone;</w:t>
      </w:r>
      <w:r w:rsidR="002641F4">
        <w:rPr>
          <w:rFonts w:ascii="Whitney Light" w:hAnsi="Whitney Light"/>
          <w:sz w:val="22"/>
        </w:rPr>
        <w:t xml:space="preserve"> </w:t>
      </w:r>
      <w:r w:rsidR="00490C9A">
        <w:rPr>
          <w:rFonts w:ascii="Whitney Light" w:hAnsi="Whitney Light"/>
          <w:sz w:val="22"/>
        </w:rPr>
        <w:t xml:space="preserve">and </w:t>
      </w:r>
      <w:r>
        <w:rPr>
          <w:rFonts w:ascii="Whitney Light" w:hAnsi="Whitney Light"/>
          <w:sz w:val="22"/>
        </w:rPr>
        <w:t xml:space="preserve">the ‘opt-in’ nature of the </w:t>
      </w:r>
      <w:r w:rsidR="00F61E6C">
        <w:rPr>
          <w:rFonts w:ascii="Whitney Light" w:hAnsi="Whitney Light"/>
          <w:sz w:val="22"/>
        </w:rPr>
        <w:t xml:space="preserve">SDR </w:t>
      </w:r>
      <w:r>
        <w:rPr>
          <w:rFonts w:ascii="Whitney Light" w:hAnsi="Whitney Light"/>
          <w:sz w:val="22"/>
        </w:rPr>
        <w:t>with firms able to choose</w:t>
      </w:r>
      <w:r w:rsidR="003D47A2">
        <w:rPr>
          <w:rFonts w:ascii="Whitney Light" w:hAnsi="Whitney Light"/>
          <w:sz w:val="22"/>
        </w:rPr>
        <w:t xml:space="preserve"> voluntarily</w:t>
      </w:r>
      <w:r>
        <w:rPr>
          <w:rFonts w:ascii="Whitney Light" w:hAnsi="Whitney Light"/>
          <w:sz w:val="22"/>
        </w:rPr>
        <w:t xml:space="preserve"> whether to apply for labels with ongoing review from the regulato</w:t>
      </w:r>
      <w:r w:rsidR="00BA37CC">
        <w:rPr>
          <w:rFonts w:ascii="Whitney Light" w:hAnsi="Whitney Light"/>
          <w:sz w:val="22"/>
        </w:rPr>
        <w:t>r.</w:t>
      </w:r>
      <w:r w:rsidR="006442B0">
        <w:rPr>
          <w:rStyle w:val="FootnoteReference"/>
          <w:rFonts w:ascii="Whitney Light" w:hAnsi="Whitney Light"/>
          <w:sz w:val="22"/>
        </w:rPr>
        <w:footnoteReference w:id="6"/>
      </w:r>
      <w:r w:rsidR="00BA37CC">
        <w:rPr>
          <w:rFonts w:ascii="Whitney Light" w:hAnsi="Whitney Light"/>
          <w:sz w:val="22"/>
        </w:rPr>
        <w:t xml:space="preserve"> </w:t>
      </w:r>
      <w:r>
        <w:rPr>
          <w:rFonts w:ascii="Whitney Light" w:hAnsi="Whitney Light"/>
          <w:sz w:val="22"/>
        </w:rPr>
        <w:t xml:space="preserve"> </w:t>
      </w:r>
    </w:p>
    <w:p w14:paraId="63F9F755" w14:textId="77777777" w:rsidR="00753082" w:rsidRDefault="00753082" w:rsidP="00753082">
      <w:pPr>
        <w:spacing w:after="0"/>
        <w:ind w:left="0" w:firstLine="0"/>
        <w:rPr>
          <w:rFonts w:ascii="Whitney Light" w:hAnsi="Whitney Light"/>
          <w:sz w:val="22"/>
        </w:rPr>
      </w:pPr>
    </w:p>
    <w:p w14:paraId="07925279" w14:textId="79B31A51" w:rsidR="00753082" w:rsidRDefault="00753082" w:rsidP="00753082">
      <w:pPr>
        <w:spacing w:after="0"/>
        <w:rPr>
          <w:rFonts w:ascii="Whitney Light" w:hAnsi="Whitney Light"/>
          <w:sz w:val="22"/>
        </w:rPr>
      </w:pPr>
      <w:r w:rsidRPr="51191D5C">
        <w:rPr>
          <w:rFonts w:ascii="Whitney Light" w:hAnsi="Whitney Light"/>
          <w:sz w:val="22"/>
        </w:rPr>
        <w:t xml:space="preserve">While naturally </w:t>
      </w:r>
      <w:r w:rsidR="00D83E03">
        <w:rPr>
          <w:rFonts w:ascii="Whitney Light" w:hAnsi="Whitney Light"/>
          <w:sz w:val="22"/>
        </w:rPr>
        <w:t xml:space="preserve">we expect </w:t>
      </w:r>
      <w:r w:rsidRPr="51191D5C">
        <w:rPr>
          <w:rFonts w:ascii="Whitney Light" w:hAnsi="Whitney Light"/>
          <w:sz w:val="22"/>
        </w:rPr>
        <w:t>there may be some nuances and differences across the EU</w:t>
      </w:r>
      <w:r>
        <w:rPr>
          <w:rFonts w:ascii="Whitney Light" w:hAnsi="Whitney Light"/>
          <w:sz w:val="22"/>
        </w:rPr>
        <w:t xml:space="preserve">’s </w:t>
      </w:r>
      <w:r w:rsidRPr="51191D5C">
        <w:rPr>
          <w:rFonts w:ascii="Whitney Light" w:hAnsi="Whitney Light"/>
          <w:sz w:val="22"/>
        </w:rPr>
        <w:t xml:space="preserve">and UK’s approaches to disclosures and fund labelling, we would strongly emphasise the need for continued close </w:t>
      </w:r>
      <w:r w:rsidRPr="51191D5C">
        <w:rPr>
          <w:rFonts w:ascii="Whitney Light" w:hAnsi="Whitney Light"/>
          <w:sz w:val="22"/>
        </w:rPr>
        <w:lastRenderedPageBreak/>
        <w:t>co-operation between our respective regulatory authorities, and across different jurisdictions, such as the United States</w:t>
      </w:r>
      <w:r w:rsidR="00E11905">
        <w:rPr>
          <w:rFonts w:ascii="Whitney Light" w:hAnsi="Whitney Light"/>
          <w:sz w:val="22"/>
        </w:rPr>
        <w:t>,</w:t>
      </w:r>
      <w:r w:rsidRPr="51191D5C">
        <w:rPr>
          <w:rFonts w:ascii="Whitney Light" w:hAnsi="Whitney Light"/>
          <w:sz w:val="22"/>
        </w:rPr>
        <w:t xml:space="preserve"> Australia,</w:t>
      </w:r>
      <w:r w:rsidR="00E11905">
        <w:rPr>
          <w:rFonts w:ascii="Whitney Light" w:hAnsi="Whitney Light"/>
          <w:sz w:val="22"/>
        </w:rPr>
        <w:t xml:space="preserve"> and elsewhere,</w:t>
      </w:r>
      <w:r w:rsidRPr="51191D5C">
        <w:rPr>
          <w:rFonts w:ascii="Whitney Light" w:hAnsi="Whitney Light"/>
          <w:sz w:val="22"/>
        </w:rPr>
        <w:t xml:space="preserve"> as well as global standard-setting institutions</w:t>
      </w:r>
      <w:r>
        <w:rPr>
          <w:rFonts w:ascii="Whitney Light" w:hAnsi="Whitney Light"/>
          <w:sz w:val="22"/>
        </w:rPr>
        <w:t>,</w:t>
      </w:r>
      <w:r w:rsidRPr="51191D5C">
        <w:rPr>
          <w:rFonts w:ascii="Whitney Light" w:hAnsi="Whitney Light"/>
          <w:sz w:val="22"/>
        </w:rPr>
        <w:t xml:space="preserve"> to promote harmonised approaches, and crucially consistency in the fund disclosures</w:t>
      </w:r>
      <w:r>
        <w:rPr>
          <w:rFonts w:ascii="Whitney Light" w:hAnsi="Whitney Light"/>
          <w:sz w:val="22"/>
        </w:rPr>
        <w:t xml:space="preserve"> accessed by</w:t>
      </w:r>
      <w:r w:rsidRPr="51191D5C">
        <w:rPr>
          <w:rFonts w:ascii="Whitney Light" w:hAnsi="Whitney Light"/>
          <w:sz w:val="22"/>
        </w:rPr>
        <w:t xml:space="preserve"> clients and savers in different markets. </w:t>
      </w:r>
    </w:p>
    <w:p w14:paraId="1372903A" w14:textId="77777777" w:rsidR="00753082" w:rsidRDefault="00753082" w:rsidP="00753082">
      <w:pPr>
        <w:spacing w:after="0"/>
        <w:rPr>
          <w:rFonts w:ascii="Whitney Light" w:hAnsi="Whitney Light"/>
          <w:sz w:val="22"/>
        </w:rPr>
      </w:pPr>
    </w:p>
    <w:p w14:paraId="2D13B140" w14:textId="5C01BFFD" w:rsidR="00753082" w:rsidRDefault="00753082" w:rsidP="00753082">
      <w:pPr>
        <w:spacing w:after="0"/>
        <w:rPr>
          <w:rFonts w:ascii="Whitney Light" w:hAnsi="Whitney Light"/>
          <w:sz w:val="22"/>
        </w:rPr>
      </w:pPr>
      <w:r>
        <w:rPr>
          <w:rFonts w:ascii="Whitney Light" w:hAnsi="Whitney Light"/>
          <w:sz w:val="22"/>
        </w:rPr>
        <w:t xml:space="preserve">With many global markets </w:t>
      </w:r>
      <w:r w:rsidR="001C0B8D">
        <w:rPr>
          <w:rFonts w:ascii="Whitney Light" w:hAnsi="Whitney Light"/>
          <w:sz w:val="22"/>
        </w:rPr>
        <w:t>now seemingly</w:t>
      </w:r>
      <w:r>
        <w:rPr>
          <w:rFonts w:ascii="Whitney Light" w:hAnsi="Whitney Light"/>
          <w:sz w:val="22"/>
        </w:rPr>
        <w:t xml:space="preserve"> moving more towards a labelling regime, the Commission’s approach to a revised framework should take into account the international direction of travel and upcoming experience of countries</w:t>
      </w:r>
      <w:r w:rsidR="00003E9E">
        <w:rPr>
          <w:rFonts w:ascii="Whitney Light" w:hAnsi="Whitney Light"/>
          <w:sz w:val="22"/>
        </w:rPr>
        <w:t>-</w:t>
      </w:r>
      <w:r>
        <w:rPr>
          <w:rFonts w:ascii="Whitney Light" w:hAnsi="Whitney Light"/>
          <w:sz w:val="22"/>
        </w:rPr>
        <w:t xml:space="preserve"> such as the UK and U.S</w:t>
      </w:r>
      <w:r w:rsidR="00003E9E">
        <w:rPr>
          <w:rFonts w:ascii="Whitney Light" w:hAnsi="Whitney Light"/>
          <w:sz w:val="22"/>
        </w:rPr>
        <w:t>-</w:t>
      </w:r>
      <w:r>
        <w:rPr>
          <w:rFonts w:ascii="Whitney Light" w:hAnsi="Whitney Light"/>
          <w:sz w:val="22"/>
        </w:rPr>
        <w:t xml:space="preserve"> as fund labelling regimes develop, with the overall objective of promoting </w:t>
      </w:r>
      <w:r w:rsidRPr="0019248D">
        <w:rPr>
          <w:rFonts w:ascii="Whitney Light" w:hAnsi="Whitney Light"/>
          <w:sz w:val="22"/>
        </w:rPr>
        <w:t>global consiste</w:t>
      </w:r>
      <w:r>
        <w:rPr>
          <w:rFonts w:ascii="Whitney Light" w:hAnsi="Whitney Light"/>
          <w:sz w:val="22"/>
        </w:rPr>
        <w:t>ncy</w:t>
      </w:r>
      <w:r w:rsidR="00897C8C">
        <w:rPr>
          <w:rFonts w:ascii="Whitney Light" w:hAnsi="Whitney Light"/>
          <w:sz w:val="22"/>
        </w:rPr>
        <w:t xml:space="preserve"> and minimising confusion for end investors.</w:t>
      </w:r>
    </w:p>
    <w:p w14:paraId="6783B638" w14:textId="77777777" w:rsidR="00753082" w:rsidRDefault="00753082" w:rsidP="00753082">
      <w:pPr>
        <w:spacing w:after="0"/>
        <w:rPr>
          <w:rFonts w:ascii="Whitney Light" w:hAnsi="Whitney Light"/>
          <w:sz w:val="22"/>
        </w:rPr>
      </w:pPr>
    </w:p>
    <w:p w14:paraId="42F2779B" w14:textId="525C7119" w:rsidR="00753082" w:rsidRDefault="00753082" w:rsidP="00753082">
      <w:pPr>
        <w:spacing w:after="0"/>
        <w:rPr>
          <w:rFonts w:ascii="Whitney Light" w:hAnsi="Whitney Light"/>
          <w:sz w:val="22"/>
        </w:rPr>
      </w:pPr>
      <w:r>
        <w:rPr>
          <w:rFonts w:ascii="Whitney Light" w:hAnsi="Whitney Light"/>
          <w:sz w:val="22"/>
        </w:rPr>
        <w:t xml:space="preserve">Across the EU, the Commission will need to continue to be mindful of fund labelling approaches being adopted, or starting to be considered, by Member States and how a future framework could seamlessly interact with and work alongside national authorities’ own </w:t>
      </w:r>
      <w:r w:rsidR="004543DB">
        <w:rPr>
          <w:rFonts w:ascii="Whitney Light" w:hAnsi="Whitney Light"/>
          <w:sz w:val="22"/>
        </w:rPr>
        <w:t xml:space="preserve">sustainability </w:t>
      </w:r>
      <w:r>
        <w:rPr>
          <w:rFonts w:ascii="Whitney Light" w:hAnsi="Whitney Light"/>
          <w:sz w:val="22"/>
        </w:rPr>
        <w:t xml:space="preserve">labelling regimes, whether voluntary or mandatory. </w:t>
      </w:r>
    </w:p>
    <w:p w14:paraId="38DC4091" w14:textId="77777777" w:rsidR="00F61E6C" w:rsidRDefault="00F61E6C" w:rsidP="00753082">
      <w:pPr>
        <w:spacing w:after="0"/>
        <w:rPr>
          <w:rFonts w:ascii="Whitney Light" w:hAnsi="Whitney Light"/>
          <w:sz w:val="22"/>
        </w:rPr>
      </w:pPr>
    </w:p>
    <w:p w14:paraId="6AE35969" w14:textId="1A4D094E" w:rsidR="00753082" w:rsidRDefault="00753082" w:rsidP="00753082">
      <w:pPr>
        <w:spacing w:after="0"/>
        <w:ind w:left="0" w:firstLine="0"/>
        <w:rPr>
          <w:rFonts w:ascii="Whitney Light" w:hAnsi="Whitney Light"/>
          <w:sz w:val="22"/>
        </w:rPr>
      </w:pPr>
      <w:r>
        <w:rPr>
          <w:rFonts w:ascii="Whitney Light" w:hAnsi="Whitney Light"/>
          <w:sz w:val="22"/>
        </w:rPr>
        <w:t>We look forward to seeing the Commission’s review</w:t>
      </w:r>
      <w:r w:rsidR="00282B3F">
        <w:rPr>
          <w:rFonts w:ascii="Whitney Light" w:hAnsi="Whitney Light"/>
          <w:sz w:val="22"/>
        </w:rPr>
        <w:t xml:space="preserve"> </w:t>
      </w:r>
      <w:r>
        <w:rPr>
          <w:rFonts w:ascii="Whitney Light" w:hAnsi="Whitney Light"/>
          <w:sz w:val="22"/>
        </w:rPr>
        <w:t xml:space="preserve">progress over the coming months, and in support of your work we would be delighted to share with you some of our and our members’ latest perspectives on the </w:t>
      </w:r>
      <w:r w:rsidR="004543DB">
        <w:rPr>
          <w:rFonts w:ascii="Whitney Light" w:hAnsi="Whitney Light"/>
          <w:sz w:val="22"/>
        </w:rPr>
        <w:t xml:space="preserve">UK’s </w:t>
      </w:r>
      <w:r w:rsidR="00ED1146">
        <w:rPr>
          <w:rFonts w:ascii="Whitney Light" w:hAnsi="Whitney Light"/>
          <w:sz w:val="22"/>
        </w:rPr>
        <w:t xml:space="preserve">recently </w:t>
      </w:r>
      <w:r>
        <w:rPr>
          <w:rFonts w:ascii="Whitney Light" w:hAnsi="Whitney Light"/>
          <w:sz w:val="22"/>
        </w:rPr>
        <w:t xml:space="preserve">finalised </w:t>
      </w:r>
      <w:r w:rsidRPr="00306A41">
        <w:rPr>
          <w:rFonts w:ascii="Whitney Light" w:hAnsi="Whitney Light"/>
          <w:sz w:val="22"/>
        </w:rPr>
        <w:t>Sustainability Disclosure Requirements</w:t>
      </w:r>
      <w:r>
        <w:rPr>
          <w:rFonts w:ascii="Whitney Light" w:hAnsi="Whitney Light"/>
          <w:sz w:val="22"/>
        </w:rPr>
        <w:t xml:space="preserve"> </w:t>
      </w:r>
      <w:r w:rsidRPr="00306A41">
        <w:rPr>
          <w:rFonts w:ascii="Whitney Light" w:hAnsi="Whitney Light"/>
          <w:sz w:val="22"/>
        </w:rPr>
        <w:t>(SDR) and investment lab</w:t>
      </w:r>
      <w:r>
        <w:rPr>
          <w:rFonts w:ascii="Whitney Light" w:hAnsi="Whitney Light"/>
          <w:sz w:val="22"/>
        </w:rPr>
        <w:t>els.</w:t>
      </w:r>
    </w:p>
    <w:p w14:paraId="2EFE6B80" w14:textId="77777777" w:rsidR="00455C9C" w:rsidRDefault="00455C9C" w:rsidP="00736031">
      <w:pPr>
        <w:spacing w:after="0"/>
        <w:ind w:left="0" w:firstLine="0"/>
        <w:rPr>
          <w:rFonts w:ascii="Whitney Light" w:hAnsi="Whitney Light"/>
          <w:sz w:val="22"/>
        </w:rPr>
      </w:pPr>
    </w:p>
    <w:p w14:paraId="09A1C218" w14:textId="77777777" w:rsidR="005A1F5A" w:rsidRPr="00543A28" w:rsidRDefault="005A1F5A" w:rsidP="005A1F5A">
      <w:pPr>
        <w:pStyle w:val="Normal1"/>
        <w:rPr>
          <w:rFonts w:ascii="Whitney Light" w:hAnsi="Whitney Light"/>
          <w:w w:val="100"/>
          <w:kern w:val="0"/>
          <w:szCs w:val="22"/>
        </w:rPr>
      </w:pPr>
      <w:r w:rsidRPr="00392510">
        <w:rPr>
          <w:rFonts w:ascii="Whitney Light" w:hAnsi="Whitney Light"/>
          <w:w w:val="100"/>
          <w:kern w:val="0"/>
          <w:szCs w:val="22"/>
        </w:rPr>
        <w:t>Yours sincerely</w:t>
      </w:r>
      <w:r w:rsidRPr="00543A28">
        <w:rPr>
          <w:rFonts w:ascii="Whitney Light" w:hAnsi="Whitney Light"/>
          <w:w w:val="100"/>
          <w:kern w:val="0"/>
          <w:szCs w:val="22"/>
        </w:rPr>
        <w:t xml:space="preserve">, </w:t>
      </w:r>
    </w:p>
    <w:p w14:paraId="1D9FC898" w14:textId="77777777" w:rsidR="005A1F5A" w:rsidRPr="00543A28" w:rsidRDefault="005A1F5A" w:rsidP="005A1F5A">
      <w:pPr>
        <w:pStyle w:val="Normal1"/>
        <w:rPr>
          <w:rFonts w:ascii="Whitney Light" w:hAnsi="Whitney Light"/>
          <w:szCs w:val="22"/>
        </w:rPr>
      </w:pPr>
      <w:r w:rsidRPr="00543A28">
        <w:rPr>
          <w:rFonts w:ascii="Whitney Light" w:hAnsi="Whitney Light"/>
          <w:noProof/>
          <w:color w:val="2B579A"/>
          <w:szCs w:val="22"/>
          <w:shd w:val="clear" w:color="auto" w:fill="E6E6E6"/>
          <w:lang w:eastAsia="en-GB"/>
        </w:rPr>
        <w:drawing>
          <wp:anchor distT="0" distB="0" distL="114300" distR="114300" simplePos="0" relativeHeight="251658241" behindDoc="1" locked="0" layoutInCell="1" allowOverlap="1" wp14:anchorId="14080839" wp14:editId="13303ACB">
            <wp:simplePos x="0" y="0"/>
            <wp:positionH relativeFrom="margin">
              <wp:align>left</wp:align>
            </wp:positionH>
            <wp:positionV relativeFrom="paragraph">
              <wp:posOffset>50165</wp:posOffset>
            </wp:positionV>
            <wp:extent cx="570865" cy="518160"/>
            <wp:effectExtent l="0" t="0" r="635" b="0"/>
            <wp:wrapTight wrapText="bothSides">
              <wp:wrapPolygon edited="0">
                <wp:start x="0" y="0"/>
                <wp:lineTo x="0" y="20647"/>
                <wp:lineTo x="20903" y="20647"/>
                <wp:lineTo x="2090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0865" cy="518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DF39B3" w14:textId="77777777" w:rsidR="005A1F5A" w:rsidRPr="00543A28" w:rsidRDefault="005A1F5A" w:rsidP="005A1F5A">
      <w:pPr>
        <w:pStyle w:val="Normal1"/>
        <w:rPr>
          <w:rFonts w:ascii="Whitney Light" w:hAnsi="Whitney Light"/>
          <w:b/>
          <w:szCs w:val="22"/>
        </w:rPr>
      </w:pPr>
    </w:p>
    <w:p w14:paraId="2FB550A2" w14:textId="77777777" w:rsidR="005A1F5A" w:rsidRPr="00543A28" w:rsidRDefault="005A1F5A" w:rsidP="005A1F5A">
      <w:pPr>
        <w:pStyle w:val="Normal1"/>
        <w:rPr>
          <w:rFonts w:ascii="Whitney Light" w:hAnsi="Whitney Light"/>
          <w:b/>
          <w:szCs w:val="22"/>
        </w:rPr>
      </w:pPr>
    </w:p>
    <w:p w14:paraId="59E33110" w14:textId="77777777" w:rsidR="005A1F5A" w:rsidRPr="00543A28" w:rsidRDefault="005A1F5A" w:rsidP="005A1F5A">
      <w:pPr>
        <w:pStyle w:val="Normal1"/>
        <w:rPr>
          <w:rFonts w:ascii="Whitney Light" w:hAnsi="Whitney Light"/>
          <w:b/>
          <w:szCs w:val="22"/>
        </w:rPr>
      </w:pPr>
    </w:p>
    <w:p w14:paraId="7BDE2753" w14:textId="77777777" w:rsidR="005A1F5A" w:rsidRPr="00543A28" w:rsidRDefault="005A1F5A" w:rsidP="005A1F5A">
      <w:pPr>
        <w:pStyle w:val="Normal1"/>
        <w:rPr>
          <w:rFonts w:ascii="Whitney Light" w:hAnsi="Whitney Light"/>
          <w:b/>
          <w:szCs w:val="22"/>
        </w:rPr>
      </w:pPr>
      <w:r w:rsidRPr="00543A28">
        <w:rPr>
          <w:rFonts w:ascii="Whitney Light" w:hAnsi="Whitney Light"/>
          <w:b/>
          <w:szCs w:val="22"/>
        </w:rPr>
        <w:t xml:space="preserve">James Alexander </w:t>
      </w:r>
    </w:p>
    <w:p w14:paraId="1497864E" w14:textId="77777777" w:rsidR="005A1F5A" w:rsidRPr="00543A28" w:rsidRDefault="005A1F5A" w:rsidP="005A1F5A">
      <w:pPr>
        <w:pStyle w:val="Normal1"/>
        <w:rPr>
          <w:rFonts w:ascii="Whitney Light" w:hAnsi="Whitney Light"/>
          <w:b/>
          <w:szCs w:val="22"/>
        </w:rPr>
      </w:pPr>
      <w:r w:rsidRPr="00543A28">
        <w:rPr>
          <w:rFonts w:ascii="Whitney Light" w:hAnsi="Whitney Light"/>
          <w:b/>
          <w:szCs w:val="22"/>
        </w:rPr>
        <w:t xml:space="preserve">Chief Executive </w:t>
      </w:r>
    </w:p>
    <w:p w14:paraId="4D54F836" w14:textId="77777777" w:rsidR="004B0512" w:rsidRDefault="004B0512" w:rsidP="004B0512">
      <w:pPr>
        <w:ind w:left="0" w:right="643" w:firstLine="0"/>
        <w:rPr>
          <w:noProof/>
        </w:rPr>
      </w:pPr>
    </w:p>
    <w:p w14:paraId="070F8D89" w14:textId="77777777" w:rsidR="004B0512" w:rsidRDefault="004B0512">
      <w:pPr>
        <w:ind w:right="643"/>
        <w:rPr>
          <w:noProof/>
        </w:rPr>
      </w:pPr>
    </w:p>
    <w:p w14:paraId="1DB80C61" w14:textId="77777777" w:rsidR="004B0512" w:rsidRDefault="004B0512">
      <w:pPr>
        <w:ind w:right="643"/>
        <w:rPr>
          <w:noProof/>
        </w:rPr>
      </w:pPr>
    </w:p>
    <w:p w14:paraId="2E0F7F94" w14:textId="77777777" w:rsidR="004B0512" w:rsidRDefault="004B0512">
      <w:pPr>
        <w:ind w:right="643"/>
        <w:rPr>
          <w:noProof/>
        </w:rPr>
      </w:pPr>
    </w:p>
    <w:p w14:paraId="43480BE4" w14:textId="77777777" w:rsidR="00025C65" w:rsidRDefault="00025C65">
      <w:pPr>
        <w:ind w:right="643"/>
        <w:rPr>
          <w:noProof/>
        </w:rPr>
      </w:pPr>
    </w:p>
    <w:p w14:paraId="5E2FB518" w14:textId="77777777" w:rsidR="00025C65" w:rsidRDefault="00025C65">
      <w:pPr>
        <w:ind w:right="643"/>
        <w:rPr>
          <w:noProof/>
        </w:rPr>
      </w:pPr>
    </w:p>
    <w:p w14:paraId="1B372E65" w14:textId="77777777" w:rsidR="00025C65" w:rsidRDefault="00025C65">
      <w:pPr>
        <w:ind w:right="643"/>
        <w:rPr>
          <w:noProof/>
        </w:rPr>
      </w:pPr>
    </w:p>
    <w:p w14:paraId="03FDB6A2" w14:textId="77777777" w:rsidR="00025C65" w:rsidRDefault="00025C65">
      <w:pPr>
        <w:ind w:right="643"/>
        <w:rPr>
          <w:noProof/>
        </w:rPr>
      </w:pPr>
    </w:p>
    <w:p w14:paraId="2F028E07" w14:textId="77777777" w:rsidR="00025C65" w:rsidRDefault="00025C65">
      <w:pPr>
        <w:ind w:right="643"/>
        <w:rPr>
          <w:noProof/>
        </w:rPr>
      </w:pPr>
    </w:p>
    <w:p w14:paraId="3A29CF8C" w14:textId="77777777" w:rsidR="00025C65" w:rsidRDefault="00025C65">
      <w:pPr>
        <w:ind w:right="643"/>
        <w:rPr>
          <w:noProof/>
        </w:rPr>
      </w:pPr>
    </w:p>
    <w:p w14:paraId="726E33C7" w14:textId="77777777" w:rsidR="00025C65" w:rsidRDefault="00025C65">
      <w:pPr>
        <w:ind w:right="643"/>
        <w:rPr>
          <w:noProof/>
        </w:rPr>
      </w:pPr>
    </w:p>
    <w:p w14:paraId="15CDB179" w14:textId="77777777" w:rsidR="00025C65" w:rsidRDefault="00025C65">
      <w:pPr>
        <w:ind w:right="643"/>
        <w:rPr>
          <w:noProof/>
        </w:rPr>
      </w:pPr>
    </w:p>
    <w:p w14:paraId="13F058EB" w14:textId="77777777" w:rsidR="00025C65" w:rsidRDefault="00025C65">
      <w:pPr>
        <w:ind w:right="643"/>
        <w:rPr>
          <w:noProof/>
        </w:rPr>
      </w:pPr>
    </w:p>
    <w:p w14:paraId="5BBEB0D1" w14:textId="77777777" w:rsidR="00025C65" w:rsidRDefault="00025C65">
      <w:pPr>
        <w:ind w:right="643"/>
        <w:rPr>
          <w:noProof/>
        </w:rPr>
      </w:pPr>
    </w:p>
    <w:p w14:paraId="2D19F385" w14:textId="77777777" w:rsidR="00025C65" w:rsidRDefault="00025C65">
      <w:pPr>
        <w:ind w:right="643"/>
        <w:rPr>
          <w:noProof/>
        </w:rPr>
      </w:pPr>
    </w:p>
    <w:p w14:paraId="2D845BFB" w14:textId="77777777" w:rsidR="00025C65" w:rsidRDefault="00025C65">
      <w:pPr>
        <w:ind w:right="643"/>
        <w:rPr>
          <w:noProof/>
        </w:rPr>
      </w:pPr>
    </w:p>
    <w:p w14:paraId="4E3F3E5E" w14:textId="77777777" w:rsidR="00025C65" w:rsidRDefault="00025C65">
      <w:pPr>
        <w:ind w:right="643"/>
        <w:rPr>
          <w:noProof/>
        </w:rPr>
      </w:pPr>
    </w:p>
    <w:p w14:paraId="557EA11C" w14:textId="77777777" w:rsidR="00025C65" w:rsidRDefault="00025C65">
      <w:pPr>
        <w:ind w:right="643"/>
        <w:rPr>
          <w:noProof/>
        </w:rPr>
      </w:pPr>
    </w:p>
    <w:p w14:paraId="32E01A51" w14:textId="77777777" w:rsidR="00025C65" w:rsidRDefault="00025C65">
      <w:pPr>
        <w:ind w:right="643"/>
        <w:rPr>
          <w:noProof/>
        </w:rPr>
      </w:pPr>
    </w:p>
    <w:p w14:paraId="7263E671" w14:textId="77777777" w:rsidR="00025C65" w:rsidRDefault="00025C65">
      <w:pPr>
        <w:ind w:right="643"/>
        <w:rPr>
          <w:noProof/>
        </w:rPr>
      </w:pPr>
    </w:p>
    <w:p w14:paraId="12A52D3E" w14:textId="77777777" w:rsidR="00025C65" w:rsidRDefault="00025C65">
      <w:pPr>
        <w:ind w:right="643"/>
        <w:rPr>
          <w:noProof/>
        </w:rPr>
      </w:pPr>
    </w:p>
    <w:p w14:paraId="5E45B111" w14:textId="77777777" w:rsidR="00025C65" w:rsidRDefault="00025C65">
      <w:pPr>
        <w:ind w:right="643"/>
        <w:rPr>
          <w:noProof/>
        </w:rPr>
      </w:pPr>
    </w:p>
    <w:p w14:paraId="43DD47B5" w14:textId="77777777" w:rsidR="00025C65" w:rsidRDefault="00025C65">
      <w:pPr>
        <w:ind w:right="643"/>
        <w:rPr>
          <w:noProof/>
        </w:rPr>
      </w:pPr>
    </w:p>
    <w:p w14:paraId="055C9D31" w14:textId="77777777" w:rsidR="00025C65" w:rsidRDefault="00025C65">
      <w:pPr>
        <w:ind w:right="643"/>
        <w:rPr>
          <w:noProof/>
        </w:rPr>
      </w:pPr>
    </w:p>
    <w:p w14:paraId="20E45906" w14:textId="77777777" w:rsidR="00025C65" w:rsidRDefault="00025C65">
      <w:pPr>
        <w:ind w:right="643"/>
        <w:rPr>
          <w:noProof/>
        </w:rPr>
      </w:pPr>
    </w:p>
    <w:p w14:paraId="23BCAA0E" w14:textId="16687926" w:rsidR="0045673A" w:rsidRDefault="00E17DF3">
      <w:pPr>
        <w:ind w:right="643"/>
      </w:pPr>
      <w:r>
        <w:rPr>
          <w:noProof/>
        </w:rPr>
        <w:lastRenderedPageBreak/>
        <w:drawing>
          <wp:anchor distT="0" distB="0" distL="114300" distR="114300" simplePos="0" relativeHeight="251658240" behindDoc="0" locked="0" layoutInCell="1" allowOverlap="0" wp14:anchorId="4CEECA80" wp14:editId="7FDB6637">
            <wp:simplePos x="0" y="0"/>
            <wp:positionH relativeFrom="column">
              <wp:posOffset>76</wp:posOffset>
            </wp:positionH>
            <wp:positionV relativeFrom="paragraph">
              <wp:posOffset>-6070</wp:posOffset>
            </wp:positionV>
            <wp:extent cx="1370584" cy="676275"/>
            <wp:effectExtent l="0" t="0" r="0" b="0"/>
            <wp:wrapSquare wrapText="bothSides"/>
            <wp:docPr id="92" name="Picture 92"/>
            <wp:cNvGraphicFramePr/>
            <a:graphic xmlns:a="http://schemas.openxmlformats.org/drawingml/2006/main">
              <a:graphicData uri="http://schemas.openxmlformats.org/drawingml/2006/picture">
                <pic:pic xmlns:pic="http://schemas.openxmlformats.org/drawingml/2006/picture">
                  <pic:nvPicPr>
                    <pic:cNvPr id="92" name="Picture 92"/>
                    <pic:cNvPicPr/>
                  </pic:nvPicPr>
                  <pic:blipFill>
                    <a:blip r:embed="rId12"/>
                    <a:stretch>
                      <a:fillRect/>
                    </a:stretch>
                  </pic:blipFill>
                  <pic:spPr>
                    <a:xfrm>
                      <a:off x="0" y="0"/>
                      <a:ext cx="1370584" cy="676275"/>
                    </a:xfrm>
                    <a:prstGeom prst="rect">
                      <a:avLst/>
                    </a:prstGeom>
                  </pic:spPr>
                </pic:pic>
              </a:graphicData>
            </a:graphic>
          </wp:anchor>
        </w:drawing>
      </w:r>
      <w:r>
        <w:t xml:space="preserve">EUROPEAN COMMISSION </w:t>
      </w:r>
    </w:p>
    <w:p w14:paraId="17D490D0" w14:textId="77777777" w:rsidR="0045673A" w:rsidRDefault="00E17DF3">
      <w:pPr>
        <w:spacing w:after="4" w:line="237" w:lineRule="auto"/>
        <w:jc w:val="left"/>
      </w:pPr>
      <w:r>
        <w:rPr>
          <w:sz w:val="16"/>
        </w:rPr>
        <w:t xml:space="preserve">DIRECTORATE-GENERAL FOR FINANCIAL STABILITY, FINANCIAL SERVICES AND CAPITAL MARKETS UNION </w:t>
      </w:r>
    </w:p>
    <w:p w14:paraId="50C4381B" w14:textId="77777777" w:rsidR="0045673A" w:rsidRDefault="00E17DF3">
      <w:pPr>
        <w:spacing w:after="165" w:line="259" w:lineRule="auto"/>
        <w:ind w:left="0" w:firstLine="0"/>
        <w:jc w:val="left"/>
      </w:pPr>
      <w:r>
        <w:rPr>
          <w:sz w:val="16"/>
        </w:rPr>
        <w:t xml:space="preserve"> </w:t>
      </w:r>
    </w:p>
    <w:p w14:paraId="12A934A9" w14:textId="2C488C05" w:rsidR="0045673A" w:rsidRDefault="00E17DF3">
      <w:pPr>
        <w:tabs>
          <w:tab w:val="center" w:pos="2161"/>
          <w:tab w:val="center" w:pos="3007"/>
        </w:tabs>
        <w:spacing w:after="494" w:line="237" w:lineRule="auto"/>
        <w:ind w:left="0" w:firstLine="0"/>
        <w:jc w:val="left"/>
      </w:pPr>
      <w:r>
        <w:rPr>
          <w:rFonts w:ascii="Calibri" w:eastAsia="Calibri" w:hAnsi="Calibri" w:cs="Calibri"/>
          <w:sz w:val="22"/>
        </w:rPr>
        <w:tab/>
      </w:r>
      <w:r>
        <w:t xml:space="preserve"> </w:t>
      </w:r>
      <w:r>
        <w:tab/>
      </w:r>
      <w:r>
        <w:rPr>
          <w:sz w:val="16"/>
        </w:rPr>
        <w:t>Financial markets</w:t>
      </w:r>
      <w:r w:rsidR="004B0512">
        <w:rPr>
          <w:sz w:val="16"/>
        </w:rPr>
        <w:t xml:space="preserve"> </w:t>
      </w:r>
      <w:r>
        <w:rPr>
          <w:sz w:val="16"/>
        </w:rPr>
        <w:t>Asset management</w:t>
      </w:r>
      <w:r>
        <w:rPr>
          <w:color w:val="FF0000"/>
          <w:sz w:val="16"/>
        </w:rPr>
        <w:t xml:space="preserve"> </w:t>
      </w:r>
      <w:r>
        <w:rPr>
          <w:b/>
          <w:sz w:val="16"/>
        </w:rPr>
        <w:t xml:space="preserve"> </w:t>
      </w:r>
    </w:p>
    <w:p w14:paraId="0055EA80" w14:textId="77777777" w:rsidR="0045673A" w:rsidRDefault="00E17DF3">
      <w:pPr>
        <w:spacing w:after="0" w:line="259" w:lineRule="auto"/>
        <w:ind w:left="0" w:firstLine="0"/>
        <w:jc w:val="left"/>
      </w:pPr>
      <w:r>
        <w:t xml:space="preserve"> </w:t>
      </w:r>
    </w:p>
    <w:p w14:paraId="7B11DF54" w14:textId="77777777" w:rsidR="0045673A" w:rsidRDefault="00E17DF3">
      <w:pPr>
        <w:spacing w:after="0" w:line="259" w:lineRule="auto"/>
        <w:ind w:left="0" w:firstLine="0"/>
        <w:jc w:val="left"/>
      </w:pPr>
      <w:r>
        <w:t xml:space="preserve"> </w:t>
      </w:r>
    </w:p>
    <w:p w14:paraId="77B18782" w14:textId="77777777" w:rsidR="0045673A" w:rsidRDefault="00E17DF3">
      <w:pPr>
        <w:spacing w:after="0" w:line="259" w:lineRule="auto"/>
        <w:ind w:left="0" w:firstLine="0"/>
        <w:jc w:val="left"/>
      </w:pPr>
      <w:r>
        <w:t xml:space="preserve"> </w:t>
      </w:r>
    </w:p>
    <w:p w14:paraId="70A88753" w14:textId="77777777" w:rsidR="0045673A" w:rsidRDefault="00E17DF3">
      <w:pPr>
        <w:spacing w:after="0" w:line="259" w:lineRule="auto"/>
        <w:ind w:left="0" w:firstLine="0"/>
        <w:jc w:val="left"/>
      </w:pPr>
      <w:r>
        <w:t xml:space="preserve"> </w:t>
      </w:r>
    </w:p>
    <w:p w14:paraId="0C5C7A29" w14:textId="77777777" w:rsidR="0045673A" w:rsidRDefault="00E17DF3">
      <w:pPr>
        <w:spacing w:after="0" w:line="259" w:lineRule="auto"/>
        <w:ind w:left="0" w:firstLine="0"/>
        <w:jc w:val="left"/>
      </w:pPr>
      <w:r>
        <w:t xml:space="preserve"> </w:t>
      </w:r>
    </w:p>
    <w:p w14:paraId="52C725E0" w14:textId="77777777" w:rsidR="0045673A" w:rsidRDefault="00E17DF3">
      <w:pPr>
        <w:spacing w:after="0" w:line="259" w:lineRule="auto"/>
        <w:ind w:left="0" w:firstLine="0"/>
        <w:jc w:val="left"/>
      </w:pPr>
      <w:r>
        <w:t xml:space="preserve"> </w:t>
      </w:r>
    </w:p>
    <w:p w14:paraId="3D04D7F2" w14:textId="77777777" w:rsidR="0045673A" w:rsidRDefault="00E17DF3">
      <w:pPr>
        <w:spacing w:after="0" w:line="259" w:lineRule="auto"/>
        <w:ind w:left="0" w:firstLine="0"/>
        <w:jc w:val="left"/>
      </w:pPr>
      <w:r>
        <w:t xml:space="preserve"> </w:t>
      </w:r>
    </w:p>
    <w:p w14:paraId="7DDD2305" w14:textId="77777777" w:rsidR="0045673A" w:rsidRDefault="00E17DF3">
      <w:pPr>
        <w:spacing w:after="96" w:line="259" w:lineRule="auto"/>
        <w:ind w:left="0" w:firstLine="0"/>
        <w:jc w:val="left"/>
      </w:pPr>
      <w:r>
        <w:t xml:space="preserve"> </w:t>
      </w:r>
    </w:p>
    <w:p w14:paraId="27957B4B" w14:textId="77777777" w:rsidR="0045673A" w:rsidRDefault="00E17DF3">
      <w:pPr>
        <w:spacing w:after="228" w:line="249" w:lineRule="auto"/>
        <w:ind w:left="1899" w:right="636"/>
      </w:pPr>
      <w:r>
        <w:rPr>
          <w:b/>
        </w:rPr>
        <w:t xml:space="preserve">TARGETED CONSULTATION DOCUMENT </w:t>
      </w:r>
    </w:p>
    <w:p w14:paraId="2CA7A51E" w14:textId="77777777" w:rsidR="0045673A" w:rsidRDefault="00E17DF3">
      <w:pPr>
        <w:spacing w:after="0" w:line="259" w:lineRule="auto"/>
        <w:ind w:left="0" w:right="654" w:firstLine="0"/>
        <w:jc w:val="center"/>
      </w:pPr>
      <w:r>
        <w:rPr>
          <w:b/>
        </w:rPr>
        <w:t xml:space="preserve">IMPLEMENTATION OF </w:t>
      </w:r>
    </w:p>
    <w:p w14:paraId="36764491" w14:textId="77777777" w:rsidR="0045673A" w:rsidRDefault="00E17DF3">
      <w:pPr>
        <w:pStyle w:val="Heading1"/>
        <w:spacing w:after="106" w:line="249" w:lineRule="auto"/>
        <w:ind w:left="461" w:right="636" w:hanging="10"/>
        <w:jc w:val="both"/>
      </w:pPr>
      <w:r>
        <w:rPr>
          <w:sz w:val="24"/>
        </w:rPr>
        <w:t xml:space="preserve">THE SUSTAINABLE FINANCE DISCLOSURES REGULATION (SFDR) </w:t>
      </w:r>
    </w:p>
    <w:p w14:paraId="72315241" w14:textId="77777777" w:rsidR="0045673A" w:rsidRDefault="00E17DF3">
      <w:pPr>
        <w:spacing w:after="0" w:line="259" w:lineRule="auto"/>
        <w:ind w:left="0" w:firstLine="0"/>
        <w:jc w:val="left"/>
      </w:pPr>
      <w:r>
        <w:t xml:space="preserve"> </w:t>
      </w:r>
    </w:p>
    <w:p w14:paraId="692D70CF" w14:textId="77777777" w:rsidR="0045673A" w:rsidRDefault="00E17DF3">
      <w:pPr>
        <w:spacing w:after="0" w:line="259" w:lineRule="auto"/>
        <w:ind w:left="0" w:firstLine="0"/>
        <w:jc w:val="left"/>
      </w:pPr>
      <w:r>
        <w:t xml:space="preserve"> </w:t>
      </w:r>
    </w:p>
    <w:p w14:paraId="0F4DB64E" w14:textId="77777777" w:rsidR="0045673A" w:rsidRDefault="00E17DF3">
      <w:pPr>
        <w:spacing w:after="0" w:line="259" w:lineRule="auto"/>
        <w:ind w:left="0" w:firstLine="0"/>
        <w:jc w:val="left"/>
      </w:pPr>
      <w:r>
        <w:t xml:space="preserve"> </w:t>
      </w:r>
    </w:p>
    <w:p w14:paraId="3357808A" w14:textId="77777777" w:rsidR="0045673A" w:rsidRDefault="00E17DF3">
      <w:pPr>
        <w:spacing w:after="0" w:line="259" w:lineRule="auto"/>
        <w:ind w:left="0" w:firstLine="0"/>
        <w:jc w:val="left"/>
      </w:pPr>
      <w:r>
        <w:t xml:space="preserve"> </w:t>
      </w:r>
    </w:p>
    <w:p w14:paraId="3EEAFC6F" w14:textId="77777777" w:rsidR="0045673A" w:rsidRDefault="00E17DF3">
      <w:pPr>
        <w:spacing w:after="0" w:line="259" w:lineRule="auto"/>
        <w:ind w:left="0" w:firstLine="0"/>
        <w:jc w:val="left"/>
      </w:pPr>
      <w:r>
        <w:t xml:space="preserve"> </w:t>
      </w:r>
    </w:p>
    <w:p w14:paraId="57E3010B" w14:textId="77777777" w:rsidR="0045673A" w:rsidRDefault="00E17DF3">
      <w:pPr>
        <w:spacing w:after="0" w:line="259" w:lineRule="auto"/>
        <w:ind w:left="0" w:firstLine="0"/>
        <w:jc w:val="left"/>
      </w:pPr>
      <w:r>
        <w:t xml:space="preserve"> </w:t>
      </w:r>
    </w:p>
    <w:p w14:paraId="3AABF137" w14:textId="77777777" w:rsidR="0045673A" w:rsidRDefault="00E17DF3">
      <w:pPr>
        <w:spacing w:after="0" w:line="259" w:lineRule="auto"/>
        <w:ind w:left="0" w:firstLine="0"/>
        <w:jc w:val="left"/>
      </w:pPr>
      <w:r>
        <w:t xml:space="preserve"> </w:t>
      </w:r>
    </w:p>
    <w:p w14:paraId="7151AC3C" w14:textId="77777777" w:rsidR="0045673A" w:rsidRDefault="00E17DF3">
      <w:pPr>
        <w:spacing w:after="0" w:line="259" w:lineRule="auto"/>
        <w:ind w:left="0" w:firstLine="0"/>
        <w:jc w:val="left"/>
      </w:pPr>
      <w:r>
        <w:t xml:space="preserve"> </w:t>
      </w:r>
    </w:p>
    <w:p w14:paraId="65497128" w14:textId="77777777" w:rsidR="0045673A" w:rsidRDefault="00E17DF3">
      <w:pPr>
        <w:pBdr>
          <w:top w:val="single" w:sz="4" w:space="0" w:color="000000"/>
          <w:left w:val="single" w:sz="4" w:space="0" w:color="000000"/>
          <w:bottom w:val="single" w:sz="4" w:space="0" w:color="000000"/>
          <w:right w:val="single" w:sz="4" w:space="0" w:color="000000"/>
        </w:pBdr>
        <w:shd w:val="clear" w:color="auto" w:fill="B2B2B2"/>
        <w:spacing w:after="216" w:line="259" w:lineRule="auto"/>
        <w:ind w:left="-15" w:right="641" w:firstLine="0"/>
        <w:jc w:val="left"/>
      </w:pPr>
      <w:r>
        <w:rPr>
          <w:b/>
        </w:rPr>
        <w:t xml:space="preserve">Disclaimer </w:t>
      </w:r>
    </w:p>
    <w:p w14:paraId="4D86F302" w14:textId="77777777" w:rsidR="0045673A" w:rsidRDefault="00E17DF3">
      <w:pPr>
        <w:pBdr>
          <w:top w:val="single" w:sz="4" w:space="0" w:color="000000"/>
          <w:left w:val="single" w:sz="4" w:space="0" w:color="000000"/>
          <w:bottom w:val="single" w:sz="4" w:space="0" w:color="000000"/>
          <w:right w:val="single" w:sz="4" w:space="0" w:color="000000"/>
        </w:pBdr>
        <w:shd w:val="clear" w:color="auto" w:fill="B2B2B2"/>
        <w:spacing w:after="245" w:line="238" w:lineRule="auto"/>
        <w:ind w:left="-5" w:right="641"/>
      </w:pPr>
      <w:r>
        <w:t xml:space="preserve">This document is a working document of the Commission services for consultation and does not prejudge the final decision that the Commission may take. </w:t>
      </w:r>
    </w:p>
    <w:p w14:paraId="4D2567A5" w14:textId="77777777" w:rsidR="0045673A" w:rsidRDefault="00E17DF3">
      <w:pPr>
        <w:pBdr>
          <w:top w:val="single" w:sz="4" w:space="0" w:color="000000"/>
          <w:left w:val="single" w:sz="4" w:space="0" w:color="000000"/>
          <w:bottom w:val="single" w:sz="4" w:space="0" w:color="000000"/>
          <w:right w:val="single" w:sz="4" w:space="0" w:color="000000"/>
        </w:pBdr>
        <w:shd w:val="clear" w:color="auto" w:fill="B2B2B2"/>
        <w:spacing w:after="245" w:line="238" w:lineRule="auto"/>
        <w:ind w:left="-5" w:right="641"/>
      </w:pPr>
      <w:r>
        <w:t>The views reflected on this consultation paper provide an indication on the approach the Commission services may take but do not constitute a final policy position or a formal proposal by the European Commission.</w:t>
      </w:r>
      <w:r>
        <w:rPr>
          <w:b/>
        </w:rPr>
        <w:t xml:space="preserve">  </w:t>
      </w:r>
    </w:p>
    <w:p w14:paraId="2F060F91" w14:textId="77777777" w:rsidR="0045673A" w:rsidRDefault="00E17DF3">
      <w:pPr>
        <w:spacing w:after="216" w:line="259" w:lineRule="auto"/>
        <w:ind w:left="0" w:firstLine="0"/>
        <w:jc w:val="left"/>
      </w:pPr>
      <w:r>
        <w:rPr>
          <w:b/>
        </w:rPr>
        <w:t xml:space="preserve"> </w:t>
      </w:r>
    </w:p>
    <w:p w14:paraId="168FF35D" w14:textId="77777777" w:rsidR="0045673A" w:rsidRDefault="00E17DF3">
      <w:pPr>
        <w:spacing w:after="3671" w:line="259" w:lineRule="auto"/>
        <w:ind w:left="0" w:firstLine="0"/>
        <w:jc w:val="left"/>
      </w:pPr>
      <w:r>
        <w:t xml:space="preserve"> </w:t>
      </w:r>
      <w:r>
        <w:tab/>
        <w:t xml:space="preserve"> </w:t>
      </w:r>
    </w:p>
    <w:p w14:paraId="2B77E76A" w14:textId="77777777" w:rsidR="0045673A" w:rsidRDefault="00E17DF3">
      <w:pPr>
        <w:spacing w:after="4" w:line="237" w:lineRule="auto"/>
        <w:jc w:val="left"/>
      </w:pPr>
      <w:r>
        <w:rPr>
          <w:sz w:val="16"/>
        </w:rPr>
        <w:lastRenderedPageBreak/>
        <w:t xml:space="preserve">Commission européenne/Europese Commissie, 1049 Bruxelles/Brussel, BELGIQUE/BELGIË - Tel. +32 22991111 </w:t>
      </w:r>
      <w:hyperlink r:id="rId13">
        <w:r>
          <w:rPr>
            <w:color w:val="0000FF"/>
            <w:sz w:val="16"/>
            <w:u w:val="single" w:color="0000FF"/>
          </w:rPr>
          <w:t>https://ec.europa.eu/info/business</w:t>
        </w:r>
      </w:hyperlink>
      <w:hyperlink r:id="rId14">
        <w:r>
          <w:rPr>
            <w:color w:val="0000FF"/>
            <w:sz w:val="16"/>
            <w:u w:val="single" w:color="0000FF"/>
          </w:rPr>
          <w:t>-</w:t>
        </w:r>
      </w:hyperlink>
      <w:hyperlink r:id="rId15">
        <w:r>
          <w:rPr>
            <w:color w:val="0000FF"/>
            <w:sz w:val="16"/>
            <w:u w:val="single" w:color="0000FF"/>
          </w:rPr>
          <w:t>economy</w:t>
        </w:r>
      </w:hyperlink>
      <w:hyperlink r:id="rId16">
        <w:r>
          <w:rPr>
            <w:color w:val="0000FF"/>
            <w:sz w:val="16"/>
            <w:u w:val="single" w:color="0000FF"/>
          </w:rPr>
          <w:t>-</w:t>
        </w:r>
      </w:hyperlink>
      <w:hyperlink r:id="rId17">
        <w:r>
          <w:rPr>
            <w:color w:val="0000FF"/>
            <w:sz w:val="16"/>
            <w:u w:val="single" w:color="0000FF"/>
          </w:rPr>
          <w:t>euro_en</w:t>
        </w:r>
      </w:hyperlink>
      <w:hyperlink r:id="rId18">
        <w:r>
          <w:rPr>
            <w:sz w:val="16"/>
          </w:rPr>
          <w:t xml:space="preserve"> </w:t>
        </w:r>
      </w:hyperlink>
    </w:p>
    <w:p w14:paraId="76442552" w14:textId="0BAFB6DF" w:rsidR="0045673A" w:rsidRDefault="0045673A" w:rsidP="00731378">
      <w:pPr>
        <w:spacing w:after="216" w:line="259" w:lineRule="auto"/>
        <w:ind w:left="0" w:firstLine="0"/>
        <w:jc w:val="left"/>
      </w:pPr>
    </w:p>
    <w:p w14:paraId="2F58C316" w14:textId="77777777" w:rsidR="0045673A" w:rsidRDefault="00E17DF3">
      <w:pPr>
        <w:ind w:right="643"/>
      </w:pPr>
      <w:r>
        <w:t xml:space="preserve">You are invited to reply </w:t>
      </w:r>
      <w:r>
        <w:rPr>
          <w:b/>
        </w:rPr>
        <w:t>by 15 December 2023</w:t>
      </w:r>
      <w:r>
        <w:t xml:space="preserve"> at the latest to the </w:t>
      </w:r>
      <w:r>
        <w:rPr>
          <w:b/>
        </w:rPr>
        <w:t>online questionnaire</w:t>
      </w:r>
      <w:r>
        <w:t xml:space="preserve"> available on the following webpage: </w:t>
      </w:r>
    </w:p>
    <w:p w14:paraId="7B40E60D" w14:textId="28BA23FF" w:rsidR="0045673A" w:rsidRDefault="00F53185">
      <w:pPr>
        <w:spacing w:after="230" w:line="249" w:lineRule="auto"/>
        <w:jc w:val="left"/>
      </w:pPr>
      <w:hyperlink r:id="rId19">
        <w:r w:rsidR="00E17DF3">
          <w:rPr>
            <w:color w:val="0000FF"/>
            <w:u w:val="single" w:color="0000FF"/>
          </w:rPr>
          <w:t>https://finance.ec.europa.eu/regulation</w:t>
        </w:r>
      </w:hyperlink>
      <w:hyperlink r:id="rId20">
        <w:r w:rsidR="00E17DF3">
          <w:rPr>
            <w:color w:val="0000FF"/>
            <w:u w:val="single" w:color="0000FF"/>
          </w:rPr>
          <w:t>-</w:t>
        </w:r>
      </w:hyperlink>
      <w:hyperlink r:id="rId21">
        <w:r w:rsidR="00E17DF3">
          <w:rPr>
            <w:color w:val="0000FF"/>
            <w:u w:val="single" w:color="0000FF"/>
          </w:rPr>
          <w:t>and</w:t>
        </w:r>
      </w:hyperlink>
      <w:hyperlink r:id="rId22">
        <w:r w:rsidR="00E17DF3">
          <w:rPr>
            <w:color w:val="0000FF"/>
            <w:u w:val="single" w:color="0000FF"/>
          </w:rPr>
          <w:t>-</w:t>
        </w:r>
      </w:hyperlink>
      <w:hyperlink r:id="rId23">
        <w:r w:rsidR="00E17DF3">
          <w:rPr>
            <w:color w:val="0000FF"/>
            <w:u w:val="single" w:color="0000FF"/>
          </w:rPr>
          <w:t>supervision/consultations/finance</w:t>
        </w:r>
      </w:hyperlink>
      <w:hyperlink r:id="rId24">
        <w:r w:rsidR="00E17DF3">
          <w:rPr>
            <w:color w:val="0000FF"/>
            <w:u w:val="single" w:color="0000FF"/>
          </w:rPr>
          <w:t>-</w:t>
        </w:r>
      </w:hyperlink>
      <w:hyperlink r:id="rId25">
        <w:r w:rsidR="00E17DF3">
          <w:rPr>
            <w:color w:val="0000FF"/>
            <w:u w:val="single" w:color="0000FF"/>
          </w:rPr>
          <w:t>2023</w:t>
        </w:r>
      </w:hyperlink>
      <w:hyperlink r:id="rId26">
        <w:r w:rsidR="00E17DF3">
          <w:rPr>
            <w:color w:val="0000FF"/>
            <w:u w:val="single" w:color="0000FF"/>
          </w:rPr>
          <w:t>-</w:t>
        </w:r>
      </w:hyperlink>
      <w:hyperlink r:id="rId27">
        <w:r w:rsidR="00E17DF3">
          <w:rPr>
            <w:color w:val="0000FF"/>
            <w:u w:val="single" w:color="0000FF"/>
          </w:rPr>
          <w:t>sfdr</w:t>
        </w:r>
      </w:hyperlink>
      <w:hyperlink r:id="rId28">
        <w:r w:rsidR="007F478A">
          <w:rPr>
            <w:rStyle w:val="Hyperlink"/>
          </w:rPr>
          <w:t>https://finance.ec.europa.eu/regulation-and-supervision/consultations/finance-2023-sfdr-implementation_en</w:t>
        </w:r>
      </w:hyperlink>
      <w:hyperlink r:id="rId29">
        <w:r w:rsidR="00E17DF3">
          <w:rPr>
            <w:color w:val="0000FF"/>
            <w:u w:val="single" w:color="0000FF"/>
          </w:rPr>
          <w:t>implementation_en</w:t>
        </w:r>
      </w:hyperlink>
      <w:hyperlink r:id="rId30">
        <w:r w:rsidR="00E17DF3">
          <w:rPr>
            <w:color w:val="FF0000"/>
          </w:rPr>
          <w:t xml:space="preserve"> </w:t>
        </w:r>
      </w:hyperlink>
    </w:p>
    <w:p w14:paraId="03C6705F" w14:textId="77777777" w:rsidR="0045673A" w:rsidRDefault="00E17DF3">
      <w:pPr>
        <w:spacing w:after="228" w:line="249" w:lineRule="auto"/>
        <w:ind w:left="-5" w:right="636"/>
      </w:pPr>
      <w:r>
        <w:t xml:space="preserve">Please note that in order to ensure a fair and transparent consultation process </w:t>
      </w:r>
      <w:r>
        <w:rPr>
          <w:b/>
        </w:rPr>
        <w:t>only responses received through the online questionnaire will be taken into account and included in the report summarising the responses</w:t>
      </w:r>
      <w:r>
        <w:t xml:space="preserve">. </w:t>
      </w:r>
    </w:p>
    <w:p w14:paraId="6ED1927F" w14:textId="77777777" w:rsidR="0045673A" w:rsidRDefault="00E17DF3">
      <w:pPr>
        <w:spacing w:after="229"/>
        <w:ind w:right="643"/>
      </w:pPr>
      <w:r>
        <w:t xml:space="preserve">This consultation follows the normal rules of the European Commission for targeted consultations. Responses will be published in accordance with the privacy options respondents will have opted for in the online questionnaire. </w:t>
      </w:r>
    </w:p>
    <w:p w14:paraId="78EE15DC" w14:textId="0803AD41" w:rsidR="0045673A" w:rsidRDefault="00E17DF3">
      <w:pPr>
        <w:spacing w:after="230" w:line="249" w:lineRule="auto"/>
        <w:jc w:val="left"/>
      </w:pPr>
      <w:r>
        <w:t xml:space="preserve">Responses authorised for publication will be published on the following webpage: </w:t>
      </w:r>
      <w:hyperlink r:id="rId31">
        <w:r>
          <w:rPr>
            <w:color w:val="0000FF"/>
            <w:u w:val="single" w:color="0000FF"/>
          </w:rPr>
          <w:t>https://finance.ec.europa.eu/regulation</w:t>
        </w:r>
      </w:hyperlink>
      <w:hyperlink r:id="rId32">
        <w:r>
          <w:rPr>
            <w:color w:val="0000FF"/>
            <w:u w:val="single" w:color="0000FF"/>
          </w:rPr>
          <w:t>-</w:t>
        </w:r>
      </w:hyperlink>
      <w:hyperlink r:id="rId33">
        <w:r>
          <w:rPr>
            <w:color w:val="0000FF"/>
            <w:u w:val="single" w:color="0000FF"/>
          </w:rPr>
          <w:t>and</w:t>
        </w:r>
      </w:hyperlink>
      <w:hyperlink r:id="rId34">
        <w:r>
          <w:rPr>
            <w:color w:val="0000FF"/>
            <w:u w:val="single" w:color="0000FF"/>
          </w:rPr>
          <w:t>-</w:t>
        </w:r>
      </w:hyperlink>
      <w:hyperlink r:id="rId35">
        <w:r>
          <w:rPr>
            <w:color w:val="0000FF"/>
            <w:u w:val="single" w:color="0000FF"/>
          </w:rPr>
          <w:t>supervision/consultations/finance</w:t>
        </w:r>
      </w:hyperlink>
      <w:hyperlink r:id="rId36">
        <w:r>
          <w:rPr>
            <w:color w:val="0000FF"/>
            <w:u w:val="single" w:color="0000FF"/>
          </w:rPr>
          <w:t>-</w:t>
        </w:r>
      </w:hyperlink>
      <w:hyperlink r:id="rId37">
        <w:r>
          <w:rPr>
            <w:color w:val="0000FF"/>
            <w:u w:val="single" w:color="0000FF"/>
          </w:rPr>
          <w:t>2023</w:t>
        </w:r>
      </w:hyperlink>
      <w:hyperlink r:id="rId38">
        <w:r>
          <w:rPr>
            <w:color w:val="0000FF"/>
            <w:u w:val="single" w:color="0000FF"/>
          </w:rPr>
          <w:t>-</w:t>
        </w:r>
      </w:hyperlink>
      <w:hyperlink r:id="rId39">
        <w:r>
          <w:rPr>
            <w:color w:val="0000FF"/>
            <w:u w:val="single" w:color="0000FF"/>
          </w:rPr>
          <w:t>sfdr</w:t>
        </w:r>
      </w:hyperlink>
      <w:hyperlink r:id="rId40">
        <w:r>
          <w:rPr>
            <w:rStyle w:val="Hyperlink"/>
          </w:rPr>
          <w:t>https://finance.ec.europa.eu/regulation-and-supervision/consultations/finance-2023-sfdr-implementation_en</w:t>
        </w:r>
      </w:hyperlink>
      <w:hyperlink r:id="rId41">
        <w:r>
          <w:rPr>
            <w:color w:val="0000FF"/>
            <w:u w:val="single" w:color="0000FF"/>
          </w:rPr>
          <w:t>implementation_en</w:t>
        </w:r>
      </w:hyperlink>
      <w:hyperlink r:id="rId42">
        <w:r>
          <w:rPr>
            <w:color w:val="FF0000"/>
          </w:rPr>
          <w:t xml:space="preserve"> </w:t>
        </w:r>
      </w:hyperlink>
    </w:p>
    <w:p w14:paraId="60C97F59" w14:textId="77777777" w:rsidR="0045673A" w:rsidRDefault="00E17DF3">
      <w:pPr>
        <w:spacing w:after="229"/>
        <w:ind w:right="643"/>
      </w:pPr>
      <w:r>
        <w:t xml:space="preserve">Any question on this consultation or issue encountered with the online questionnaire can be raised via email at </w:t>
      </w:r>
      <w:r>
        <w:rPr>
          <w:color w:val="0000FF"/>
          <w:sz w:val="22"/>
          <w:u w:val="single" w:color="0000FF"/>
        </w:rPr>
        <w:t>fisma-sfdr@ec.europa.eu</w:t>
      </w:r>
      <w:r>
        <w:t xml:space="preserve">. </w:t>
      </w:r>
    </w:p>
    <w:p w14:paraId="10B11B18" w14:textId="78A42CE4" w:rsidR="0045673A" w:rsidRDefault="00E17DF3" w:rsidP="004B0512">
      <w:pPr>
        <w:spacing w:after="216" w:line="259" w:lineRule="auto"/>
        <w:ind w:left="0" w:firstLine="0"/>
        <w:jc w:val="left"/>
      </w:pPr>
      <w:r>
        <w:t xml:space="preserve"> </w:t>
      </w:r>
    </w:p>
    <w:p w14:paraId="7569272E" w14:textId="77777777" w:rsidR="0045673A" w:rsidRDefault="00E17DF3">
      <w:pPr>
        <w:pStyle w:val="Heading1"/>
      </w:pPr>
      <w:r>
        <w:rPr>
          <w:sz w:val="32"/>
        </w:rPr>
        <w:t>I</w:t>
      </w:r>
      <w:r>
        <w:t>NTRODUCTION</w:t>
      </w:r>
      <w:r>
        <w:rPr>
          <w:b w:val="0"/>
          <w:sz w:val="32"/>
        </w:rPr>
        <w:t xml:space="preserve"> </w:t>
      </w:r>
    </w:p>
    <w:p w14:paraId="5E110A24" w14:textId="77777777" w:rsidR="0045673A" w:rsidRDefault="00E17DF3">
      <w:pPr>
        <w:spacing w:after="188"/>
        <w:ind w:right="643"/>
      </w:pPr>
      <w:r>
        <w:t xml:space="preserve">The </w:t>
      </w:r>
      <w:hyperlink r:id="rId43">
        <w:r>
          <w:rPr>
            <w:color w:val="0000FF"/>
            <w:u w:val="single" w:color="0000FF"/>
          </w:rPr>
          <w:t>Sustainable Finance Disclosures Regulation (SFDR)</w:t>
        </w:r>
      </w:hyperlink>
      <w:hyperlink r:id="rId44">
        <w:r>
          <w:t xml:space="preserve"> </w:t>
        </w:r>
      </w:hyperlink>
      <w:r>
        <w:t xml:space="preserve">started applying in March 2021 and requires financial market participants and financial advisers to disclose how they integrate sustainability risks and principal adverse impacts in their processes at both entity and product levels. It also introduces additional product disclosures for financial products making sustainability claims. </w:t>
      </w:r>
    </w:p>
    <w:p w14:paraId="4EBEFFC9" w14:textId="77777777" w:rsidR="0045673A" w:rsidRDefault="00E17DF3">
      <w:pPr>
        <w:spacing w:after="230"/>
        <w:ind w:right="643"/>
      </w:pPr>
      <w:r>
        <w:t xml:space="preserve">This targeted consultation aims at gathering information from a wide range of stakeholders, including financial practitioners, non-governmental organisations, national competent authorities, as well as professional and retail investors, on their experiences with the implementation of the SFDR. The Commission is interested in understanding how the SFDR has been implemented and any potential shortcomings, including in its interaction with the other parts of the European framework for sustainable finance, and in exploring possible options to improve the framework. The main topics to be covered in this questionnaire are: </w:t>
      </w:r>
    </w:p>
    <w:p w14:paraId="1067B3C4" w14:textId="77777777" w:rsidR="0045673A" w:rsidRDefault="00E17DF3">
      <w:pPr>
        <w:numPr>
          <w:ilvl w:val="0"/>
          <w:numId w:val="1"/>
        </w:numPr>
        <w:spacing w:after="4" w:line="252" w:lineRule="auto"/>
        <w:ind w:hanging="720"/>
        <w:jc w:val="left"/>
      </w:pPr>
      <w:r>
        <w:rPr>
          <w:b/>
          <w:i/>
        </w:rPr>
        <w:t xml:space="preserve">Current requirements of the SFDR </w:t>
      </w:r>
    </w:p>
    <w:p w14:paraId="75680F56" w14:textId="77777777" w:rsidR="0045673A" w:rsidRDefault="00E17DF3">
      <w:pPr>
        <w:numPr>
          <w:ilvl w:val="0"/>
          <w:numId w:val="1"/>
        </w:numPr>
        <w:spacing w:after="4" w:line="252" w:lineRule="auto"/>
        <w:ind w:hanging="720"/>
        <w:jc w:val="left"/>
      </w:pPr>
      <w:r>
        <w:rPr>
          <w:b/>
          <w:i/>
        </w:rPr>
        <w:t xml:space="preserve">Interaction with other sustainable finance legislation  </w:t>
      </w:r>
    </w:p>
    <w:p w14:paraId="34214BBB" w14:textId="77777777" w:rsidR="0045673A" w:rsidRDefault="00E17DF3">
      <w:pPr>
        <w:numPr>
          <w:ilvl w:val="0"/>
          <w:numId w:val="1"/>
        </w:numPr>
        <w:spacing w:after="4" w:line="252" w:lineRule="auto"/>
        <w:ind w:hanging="720"/>
        <w:jc w:val="left"/>
      </w:pPr>
      <w:r>
        <w:rPr>
          <w:b/>
          <w:i/>
        </w:rPr>
        <w:t xml:space="preserve">Potential changes to the disclosure requirements for financial market participants </w:t>
      </w:r>
    </w:p>
    <w:p w14:paraId="7C631793" w14:textId="77777777" w:rsidR="0045673A" w:rsidRDefault="00E17DF3">
      <w:pPr>
        <w:numPr>
          <w:ilvl w:val="0"/>
          <w:numId w:val="1"/>
        </w:numPr>
        <w:spacing w:after="321" w:line="259" w:lineRule="auto"/>
        <w:ind w:hanging="720"/>
        <w:jc w:val="left"/>
      </w:pPr>
      <w:r>
        <w:rPr>
          <w:b/>
          <w:i/>
        </w:rPr>
        <w:t xml:space="preserve">Potential establishment of a categorisation system for financial products </w:t>
      </w:r>
    </w:p>
    <w:p w14:paraId="008C7005" w14:textId="77777777" w:rsidR="0045673A" w:rsidRDefault="00E17DF3">
      <w:pPr>
        <w:spacing w:after="190"/>
        <w:ind w:right="643"/>
      </w:pPr>
      <w:r>
        <w:t xml:space="preserve">Sections 1 and 2 cover the SFDR as it is today, exploring how the regulation is working in practice and the potential issues stakeholders might be facing in implementing it.  </w:t>
      </w:r>
    </w:p>
    <w:p w14:paraId="26B22EFC" w14:textId="77777777" w:rsidR="0045673A" w:rsidRDefault="00E17DF3">
      <w:pPr>
        <w:spacing w:after="87"/>
        <w:ind w:right="643"/>
      </w:pPr>
      <w:r>
        <w:t xml:space="preserve">Sections 3 and 4 look to the future, assessing possible options to address any potential shortcomings. As there are crosslinks between aspects covered in the different sections, respondents are encouraged to look at the questionnaire in its entirety and adjust their replies accordingly. </w:t>
      </w:r>
    </w:p>
    <w:p w14:paraId="1CC131BF" w14:textId="77777777" w:rsidR="0045673A" w:rsidRDefault="00E17DF3">
      <w:pPr>
        <w:spacing w:after="0" w:line="259" w:lineRule="auto"/>
        <w:ind w:left="0" w:firstLine="0"/>
        <w:jc w:val="left"/>
      </w:pPr>
      <w:r>
        <w:t xml:space="preserve"> </w:t>
      </w:r>
      <w:r>
        <w:tab/>
        <w:t xml:space="preserve"> </w:t>
      </w:r>
    </w:p>
    <w:p w14:paraId="3A9E3435" w14:textId="77777777" w:rsidR="0045673A" w:rsidRDefault="00E17DF3">
      <w:pPr>
        <w:spacing w:after="502" w:line="259" w:lineRule="auto"/>
        <w:ind w:left="0" w:right="655" w:firstLine="0"/>
        <w:jc w:val="center"/>
      </w:pPr>
      <w:r>
        <w:rPr>
          <w:b/>
        </w:rPr>
        <w:t>C</w:t>
      </w:r>
      <w:r>
        <w:rPr>
          <w:b/>
          <w:sz w:val="19"/>
        </w:rPr>
        <w:t>ONSULTATION QUESTIONS</w:t>
      </w:r>
      <w:r>
        <w:rPr>
          <w:b/>
        </w:rPr>
        <w:t xml:space="preserve"> </w:t>
      </w:r>
    </w:p>
    <w:p w14:paraId="62459FD8" w14:textId="77777777" w:rsidR="0045673A" w:rsidRDefault="00E17DF3">
      <w:pPr>
        <w:tabs>
          <w:tab w:val="center" w:pos="2493"/>
        </w:tabs>
        <w:spacing w:after="226" w:line="265" w:lineRule="auto"/>
        <w:ind w:left="0" w:firstLine="0"/>
        <w:jc w:val="left"/>
      </w:pPr>
      <w:r>
        <w:rPr>
          <w:b/>
        </w:rPr>
        <w:t>1.</w:t>
      </w:r>
      <w:r>
        <w:rPr>
          <w:rFonts w:ascii="Arial" w:eastAsia="Arial" w:hAnsi="Arial" w:cs="Arial"/>
          <w:b/>
        </w:rPr>
        <w:t xml:space="preserve"> </w:t>
      </w:r>
      <w:r>
        <w:rPr>
          <w:rFonts w:ascii="Arial" w:eastAsia="Arial" w:hAnsi="Arial" w:cs="Arial"/>
          <w:b/>
        </w:rPr>
        <w:tab/>
      </w:r>
      <w:r>
        <w:rPr>
          <w:b/>
        </w:rPr>
        <w:t>C</w:t>
      </w:r>
      <w:r>
        <w:rPr>
          <w:b/>
          <w:sz w:val="19"/>
        </w:rPr>
        <w:t xml:space="preserve">URRENT REQUIREMENTS OF THE </w:t>
      </w:r>
      <w:r>
        <w:rPr>
          <w:b/>
        </w:rPr>
        <w:t xml:space="preserve">SFDR </w:t>
      </w:r>
    </w:p>
    <w:p w14:paraId="241207AC" w14:textId="77777777" w:rsidR="0045673A" w:rsidRDefault="00E17DF3">
      <w:pPr>
        <w:spacing w:after="227"/>
        <w:ind w:right="643"/>
      </w:pPr>
      <w:r>
        <w:t xml:space="preserve">The EU’s sustainable finance policy is designed to attract private investment to support the transition to a sustainable, climate-neutral economy. The SFDR is designed to contribute to this objective by providing transparency to investors about the sustainability risks that can affect the value of and return on their investments (‘outside-in’ effect) and the adverse impacts that such investments have on the environment and society (‘insideout’). This is known as double materiality. This section of the questionnaire seeks to assess to what extent respondents consider that the SFDR is meeting its objectives in an effective and efficient manner and to identify their views about potential issues in the implementation of the regulation. </w:t>
      </w:r>
    </w:p>
    <w:p w14:paraId="62BD2208" w14:textId="77777777" w:rsidR="0045673A" w:rsidRDefault="00E17DF3">
      <w:pPr>
        <w:spacing w:after="229"/>
        <w:ind w:right="643"/>
      </w:pPr>
      <w:r>
        <w:t xml:space="preserve">We are seeking the views of respondents on how the SFDR works in practice. In particular, we would like to know more about potential issues stakeholders might have encountered regarding the concepts it establishes and the disclosures it requires. </w:t>
      </w:r>
    </w:p>
    <w:p w14:paraId="0CCF70DD" w14:textId="77777777" w:rsidR="0045673A" w:rsidRDefault="00E17DF3">
      <w:pPr>
        <w:ind w:right="643"/>
      </w:pPr>
      <w:r>
        <w:rPr>
          <w:b/>
          <w:u w:val="single" w:color="000000"/>
        </w:rPr>
        <w:t>Question 1.1</w:t>
      </w:r>
      <w:r>
        <w:rPr>
          <w:u w:val="single" w:color="000000"/>
        </w:rPr>
        <w:t>:</w:t>
      </w:r>
      <w:r>
        <w:t xml:space="preserve"> The SFDR seeks to strengthen transparency through sustainability-related disclosures in the financial services sector to support the EU’s shift to a sustainable, climate neutral economy. In your view, is this broad objective of the regulation still relevant?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4FF99079" w14:textId="77777777">
        <w:trPr>
          <w:trHeight w:val="531"/>
        </w:trPr>
        <w:tc>
          <w:tcPr>
            <w:tcW w:w="1111" w:type="dxa"/>
            <w:tcBorders>
              <w:top w:val="single" w:sz="6" w:space="0" w:color="000000"/>
              <w:left w:val="single" w:sz="6" w:space="0" w:color="000000"/>
              <w:bottom w:val="single" w:sz="6" w:space="0" w:color="000000"/>
              <w:right w:val="single" w:sz="6" w:space="0" w:color="000000"/>
            </w:tcBorders>
          </w:tcPr>
          <w:p w14:paraId="0D298D9A"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0E2A1315"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7F2AC0B3"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262F9C73"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0B91A05A"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6CC1557D" w14:textId="77777777" w:rsidR="0045673A" w:rsidRDefault="00E17DF3">
            <w:pPr>
              <w:spacing w:after="0" w:line="259" w:lineRule="auto"/>
              <w:ind w:left="0" w:right="3" w:firstLine="0"/>
              <w:jc w:val="center"/>
            </w:pPr>
            <w:r>
              <w:t xml:space="preserve">Don’t know </w:t>
            </w:r>
          </w:p>
        </w:tc>
      </w:tr>
      <w:tr w:rsidR="0045673A" w14:paraId="5F67CBE5"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342859BC"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0B074ABB" w14:textId="77777777" w:rsidR="0045673A" w:rsidRDefault="00E17DF3">
            <w:pPr>
              <w:spacing w:after="0" w:line="259" w:lineRule="auto"/>
              <w:ind w:left="59" w:firstLine="0"/>
              <w:jc w:val="center"/>
            </w:pPr>
            <w:r>
              <w:t xml:space="preserve"> </w:t>
            </w:r>
          </w:p>
        </w:tc>
        <w:tc>
          <w:tcPr>
            <w:tcW w:w="1094" w:type="dxa"/>
            <w:tcBorders>
              <w:top w:val="single" w:sz="6" w:space="0" w:color="000000"/>
              <w:left w:val="single" w:sz="6" w:space="0" w:color="000000"/>
              <w:bottom w:val="single" w:sz="6" w:space="0" w:color="000000"/>
              <w:right w:val="single" w:sz="6" w:space="0" w:color="000000"/>
            </w:tcBorders>
          </w:tcPr>
          <w:p w14:paraId="31CA9BB6" w14:textId="77777777" w:rsidR="0045673A" w:rsidRDefault="00E17DF3">
            <w:pPr>
              <w:spacing w:after="0" w:line="259" w:lineRule="auto"/>
              <w:ind w:left="60"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44C45C4D" w14:textId="0583D1F9" w:rsidR="0045673A" w:rsidRDefault="0045673A">
            <w:pPr>
              <w:spacing w:after="0" w:line="259" w:lineRule="auto"/>
              <w:ind w:left="60" w:firstLine="0"/>
              <w:jc w:val="center"/>
            </w:pPr>
          </w:p>
        </w:tc>
        <w:tc>
          <w:tcPr>
            <w:tcW w:w="1025" w:type="dxa"/>
            <w:tcBorders>
              <w:top w:val="single" w:sz="6" w:space="0" w:color="000000"/>
              <w:left w:val="single" w:sz="6" w:space="0" w:color="000000"/>
              <w:bottom w:val="single" w:sz="6" w:space="0" w:color="000000"/>
              <w:right w:val="single" w:sz="6" w:space="0" w:color="000000"/>
            </w:tcBorders>
          </w:tcPr>
          <w:p w14:paraId="3C15BEE1" w14:textId="30EBD016" w:rsidR="0045673A" w:rsidRDefault="00010390">
            <w:pPr>
              <w:spacing w:after="0" w:line="259" w:lineRule="auto"/>
              <w:ind w:left="62" w:firstLine="0"/>
              <w:jc w:val="center"/>
            </w:pPr>
            <w:r>
              <w:t>X</w:t>
            </w:r>
            <w:r w:rsidR="00E17DF3">
              <w:t xml:space="preserve"> </w:t>
            </w:r>
          </w:p>
        </w:tc>
        <w:tc>
          <w:tcPr>
            <w:tcW w:w="2552" w:type="dxa"/>
            <w:tcBorders>
              <w:top w:val="single" w:sz="6" w:space="0" w:color="000000"/>
              <w:left w:val="single" w:sz="6" w:space="0" w:color="000000"/>
              <w:bottom w:val="single" w:sz="6" w:space="0" w:color="000000"/>
              <w:right w:val="single" w:sz="6" w:space="0" w:color="000000"/>
            </w:tcBorders>
          </w:tcPr>
          <w:p w14:paraId="29488D77" w14:textId="77777777" w:rsidR="0045673A" w:rsidRDefault="00E17DF3">
            <w:pPr>
              <w:spacing w:after="0" w:line="259" w:lineRule="auto"/>
              <w:ind w:left="63" w:firstLine="0"/>
              <w:jc w:val="center"/>
            </w:pPr>
            <w:r>
              <w:t xml:space="preserve"> </w:t>
            </w:r>
          </w:p>
        </w:tc>
      </w:tr>
    </w:tbl>
    <w:p w14:paraId="2C05FCD7" w14:textId="77777777" w:rsidR="0045673A" w:rsidRDefault="00E17DF3">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7CC1861D" w14:textId="77777777" w:rsidR="0045673A" w:rsidRDefault="00E17DF3">
      <w:pPr>
        <w:ind w:right="643"/>
      </w:pPr>
      <w:r>
        <w:rPr>
          <w:b/>
          <w:u w:val="single" w:color="000000"/>
        </w:rPr>
        <w:t>Question 1.2</w:t>
      </w:r>
      <w:r>
        <w:rPr>
          <w:b/>
        </w:rPr>
        <w:t>:</w:t>
      </w:r>
      <w:r>
        <w:t xml:space="preserve"> Do you think the SFDR disclosure framework is effective</w:t>
      </w:r>
      <w:r>
        <w:rPr>
          <w:b/>
        </w:rPr>
        <w:t xml:space="preserve"> </w:t>
      </w:r>
      <w:r>
        <w:t xml:space="preserve">in achieving the following specific objectives (included in its </w:t>
      </w:r>
      <w:hyperlink r:id="rId45">
        <w:r>
          <w:rPr>
            <w:color w:val="0000FF"/>
            <w:u w:val="single" w:color="0000FF"/>
          </w:rPr>
          <w:t>Explanatory Memorandum</w:t>
        </w:r>
      </w:hyperlink>
      <w:hyperlink r:id="rId46">
        <w:r>
          <w:t xml:space="preserve"> </w:t>
        </w:r>
      </w:hyperlink>
      <w:r>
        <w:t>and mentioned in its recitals)</w:t>
      </w:r>
      <w:r>
        <w:rPr>
          <w:vertAlign w:val="superscript"/>
        </w:rPr>
        <w:t>1</w:t>
      </w:r>
      <w:r>
        <w:t xml:space="preserve">: </w:t>
      </w:r>
    </w:p>
    <w:tbl>
      <w:tblPr>
        <w:tblW w:w="8610" w:type="dxa"/>
        <w:tblCellMar>
          <w:top w:w="14" w:type="dxa"/>
          <w:right w:w="103" w:type="dxa"/>
        </w:tblCellMar>
        <w:tblLook w:val="04A0" w:firstRow="1" w:lastRow="0" w:firstColumn="1" w:lastColumn="0" w:noHBand="0" w:noVBand="1"/>
      </w:tblPr>
      <w:tblGrid>
        <w:gridCol w:w="5431"/>
        <w:gridCol w:w="431"/>
        <w:gridCol w:w="20"/>
        <w:gridCol w:w="451"/>
        <w:gridCol w:w="41"/>
        <w:gridCol w:w="411"/>
        <w:gridCol w:w="14"/>
        <w:gridCol w:w="426"/>
        <w:gridCol w:w="11"/>
        <w:gridCol w:w="452"/>
        <w:gridCol w:w="922"/>
      </w:tblGrid>
      <w:tr w:rsidR="0045673A" w14:paraId="381C261D" w14:textId="77777777" w:rsidTr="007620C0">
        <w:trPr>
          <w:trHeight w:val="802"/>
        </w:trPr>
        <w:tc>
          <w:tcPr>
            <w:tcW w:w="5431" w:type="dxa"/>
            <w:tcBorders>
              <w:top w:val="single" w:sz="4" w:space="0" w:color="000000"/>
              <w:left w:val="single" w:sz="4" w:space="0" w:color="000000"/>
              <w:bottom w:val="single" w:sz="4" w:space="0" w:color="000000"/>
              <w:right w:val="single" w:sz="4" w:space="0" w:color="000000"/>
            </w:tcBorders>
          </w:tcPr>
          <w:p w14:paraId="274307B7" w14:textId="77777777" w:rsidR="0045673A" w:rsidRDefault="00E17DF3">
            <w:pPr>
              <w:spacing w:after="0" w:line="259" w:lineRule="auto"/>
              <w:ind w:left="0" w:firstLine="0"/>
              <w:jc w:val="left"/>
            </w:pPr>
            <w:r>
              <w:t xml:space="preserve"> </w:t>
            </w:r>
          </w:p>
        </w:tc>
        <w:tc>
          <w:tcPr>
            <w:tcW w:w="451" w:type="dxa"/>
            <w:gridSpan w:val="2"/>
            <w:tcBorders>
              <w:top w:val="single" w:sz="4" w:space="0" w:color="000000"/>
              <w:left w:val="single" w:sz="4" w:space="0" w:color="000000"/>
              <w:bottom w:val="single" w:sz="4" w:space="0" w:color="000000"/>
              <w:right w:val="single" w:sz="4" w:space="0" w:color="000000"/>
            </w:tcBorders>
          </w:tcPr>
          <w:p w14:paraId="518BB0A6"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7704C0D8" w14:textId="77777777" w:rsidR="0045673A" w:rsidRDefault="00E17DF3">
            <w:pPr>
              <w:spacing w:after="0" w:line="259" w:lineRule="auto"/>
              <w:ind w:left="58" w:firstLine="0"/>
              <w:jc w:val="left"/>
            </w:pPr>
            <w:r>
              <w:t xml:space="preserve">2 </w:t>
            </w:r>
          </w:p>
        </w:tc>
        <w:tc>
          <w:tcPr>
            <w:tcW w:w="452" w:type="dxa"/>
            <w:gridSpan w:val="2"/>
            <w:tcBorders>
              <w:top w:val="single" w:sz="4" w:space="0" w:color="000000"/>
              <w:left w:val="single" w:sz="4" w:space="0" w:color="000000"/>
              <w:bottom w:val="single" w:sz="4" w:space="0" w:color="000000"/>
              <w:right w:val="single" w:sz="4" w:space="0" w:color="000000"/>
            </w:tcBorders>
          </w:tcPr>
          <w:p w14:paraId="0C6717EE" w14:textId="77777777" w:rsidR="0045673A" w:rsidRDefault="00E17DF3">
            <w:pPr>
              <w:spacing w:after="0" w:line="259" w:lineRule="auto"/>
              <w:ind w:left="58" w:firstLine="0"/>
              <w:jc w:val="left"/>
            </w:pPr>
            <w:r>
              <w:t xml:space="preserve">3 </w:t>
            </w:r>
          </w:p>
        </w:tc>
        <w:tc>
          <w:tcPr>
            <w:tcW w:w="451" w:type="dxa"/>
            <w:gridSpan w:val="3"/>
            <w:tcBorders>
              <w:top w:val="single" w:sz="4" w:space="0" w:color="000000"/>
              <w:left w:val="single" w:sz="4" w:space="0" w:color="000000"/>
              <w:bottom w:val="single" w:sz="4" w:space="0" w:color="000000"/>
              <w:right w:val="single" w:sz="4" w:space="0" w:color="000000"/>
            </w:tcBorders>
          </w:tcPr>
          <w:p w14:paraId="6A0DC9DE" w14:textId="77777777" w:rsidR="0045673A" w:rsidRDefault="00E17DF3">
            <w:pPr>
              <w:spacing w:after="0" w:line="259" w:lineRule="auto"/>
              <w:ind w:left="58" w:firstLine="0"/>
              <w:jc w:val="left"/>
            </w:pPr>
            <w:r>
              <w:t xml:space="preserve">4 </w:t>
            </w:r>
          </w:p>
        </w:tc>
        <w:tc>
          <w:tcPr>
            <w:tcW w:w="452" w:type="dxa"/>
            <w:tcBorders>
              <w:top w:val="single" w:sz="4" w:space="0" w:color="000000"/>
              <w:left w:val="single" w:sz="4" w:space="0" w:color="000000"/>
              <w:bottom w:val="single" w:sz="4" w:space="0" w:color="000000"/>
              <w:right w:val="single" w:sz="4" w:space="0" w:color="000000"/>
            </w:tcBorders>
          </w:tcPr>
          <w:p w14:paraId="2E0643A2"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415D6C9A" w14:textId="77777777" w:rsidR="0045673A" w:rsidRDefault="00E17DF3">
            <w:pPr>
              <w:spacing w:after="0" w:line="259" w:lineRule="auto"/>
              <w:ind w:left="0" w:firstLine="0"/>
              <w:jc w:val="center"/>
            </w:pPr>
            <w:r>
              <w:t xml:space="preserve">Don’t know </w:t>
            </w:r>
          </w:p>
        </w:tc>
      </w:tr>
      <w:tr w:rsidR="0045673A" w14:paraId="1D6211A2" w14:textId="77777777" w:rsidTr="007620C0">
        <w:trPr>
          <w:trHeight w:val="805"/>
        </w:trPr>
        <w:tc>
          <w:tcPr>
            <w:tcW w:w="5431" w:type="dxa"/>
            <w:tcBorders>
              <w:top w:val="single" w:sz="4" w:space="0" w:color="000000"/>
              <w:left w:val="single" w:sz="4" w:space="0" w:color="000000"/>
              <w:bottom w:val="single" w:sz="4" w:space="0" w:color="000000"/>
              <w:right w:val="single" w:sz="4" w:space="0" w:color="000000"/>
            </w:tcBorders>
          </w:tcPr>
          <w:p w14:paraId="2AEEFC08" w14:textId="77777777" w:rsidR="0045673A" w:rsidRDefault="00E17DF3">
            <w:pPr>
              <w:spacing w:after="0" w:line="259" w:lineRule="auto"/>
              <w:ind w:left="0" w:firstLine="0"/>
              <w:jc w:val="left"/>
            </w:pPr>
            <w:r>
              <w:t>Increasing transparency towards end investors with regard to the integration of sustainability risks</w:t>
            </w:r>
            <w:r>
              <w:rPr>
                <w:vertAlign w:val="superscript"/>
              </w:rPr>
              <w:t>2</w:t>
            </w:r>
            <w:r>
              <w:t xml:space="preserve"> </w:t>
            </w:r>
          </w:p>
        </w:tc>
        <w:tc>
          <w:tcPr>
            <w:tcW w:w="451" w:type="dxa"/>
            <w:gridSpan w:val="2"/>
            <w:tcBorders>
              <w:top w:val="single" w:sz="4" w:space="0" w:color="000000"/>
              <w:left w:val="single" w:sz="4" w:space="0" w:color="000000"/>
              <w:bottom w:val="single" w:sz="4" w:space="0" w:color="000000"/>
              <w:right w:val="single" w:sz="4" w:space="0" w:color="000000"/>
            </w:tcBorders>
          </w:tcPr>
          <w:p w14:paraId="2D477C0D"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2A6EBA98" w14:textId="77777777" w:rsidR="0045673A" w:rsidRDefault="00E17DF3">
            <w:pPr>
              <w:spacing w:after="0" w:line="259" w:lineRule="auto"/>
              <w:ind w:left="0" w:firstLine="0"/>
              <w:jc w:val="left"/>
            </w:pPr>
            <w:r>
              <w:t xml:space="preserve"> </w:t>
            </w:r>
          </w:p>
        </w:tc>
        <w:tc>
          <w:tcPr>
            <w:tcW w:w="452" w:type="dxa"/>
            <w:gridSpan w:val="2"/>
            <w:tcBorders>
              <w:top w:val="single" w:sz="4" w:space="0" w:color="000000"/>
              <w:left w:val="single" w:sz="4" w:space="0" w:color="000000"/>
              <w:bottom w:val="single" w:sz="4" w:space="0" w:color="000000"/>
              <w:right w:val="single" w:sz="4" w:space="0" w:color="000000"/>
            </w:tcBorders>
          </w:tcPr>
          <w:p w14:paraId="74F911B6" w14:textId="4C78E076" w:rsidR="0045673A" w:rsidRDefault="00E17DF3">
            <w:pPr>
              <w:spacing w:after="0" w:line="259" w:lineRule="auto"/>
              <w:ind w:left="1" w:firstLine="0"/>
              <w:jc w:val="left"/>
            </w:pPr>
            <w:r>
              <w:t xml:space="preserve"> </w:t>
            </w:r>
            <w:r w:rsidR="009E41B5">
              <w:t>X</w:t>
            </w:r>
          </w:p>
        </w:tc>
        <w:tc>
          <w:tcPr>
            <w:tcW w:w="451" w:type="dxa"/>
            <w:gridSpan w:val="3"/>
            <w:tcBorders>
              <w:top w:val="single" w:sz="4" w:space="0" w:color="000000"/>
              <w:left w:val="single" w:sz="4" w:space="0" w:color="000000"/>
              <w:bottom w:val="single" w:sz="4" w:space="0" w:color="000000"/>
              <w:right w:val="single" w:sz="4" w:space="0" w:color="000000"/>
            </w:tcBorders>
          </w:tcPr>
          <w:p w14:paraId="122971AD" w14:textId="09B1E64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5AFAA561"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5CA76888" w14:textId="77777777" w:rsidR="0045673A" w:rsidRDefault="00E17DF3">
            <w:pPr>
              <w:spacing w:after="0" w:line="259" w:lineRule="auto"/>
              <w:ind w:left="0" w:firstLine="0"/>
              <w:jc w:val="left"/>
            </w:pPr>
            <w:r>
              <w:t xml:space="preserve"> </w:t>
            </w:r>
          </w:p>
        </w:tc>
      </w:tr>
      <w:tr w:rsidR="0045673A" w14:paraId="7F8C2402" w14:textId="77777777" w:rsidTr="007620C0">
        <w:trPr>
          <w:trHeight w:val="1078"/>
        </w:trPr>
        <w:tc>
          <w:tcPr>
            <w:tcW w:w="5431" w:type="dxa"/>
            <w:tcBorders>
              <w:top w:val="single" w:sz="4" w:space="0" w:color="000000"/>
              <w:left w:val="single" w:sz="4" w:space="0" w:color="000000"/>
              <w:bottom w:val="single" w:sz="4" w:space="0" w:color="000000"/>
              <w:right w:val="single" w:sz="4" w:space="0" w:color="000000"/>
            </w:tcBorders>
          </w:tcPr>
          <w:p w14:paraId="564B40BA" w14:textId="77777777" w:rsidR="0045673A" w:rsidRDefault="00E17DF3">
            <w:pPr>
              <w:spacing w:after="0" w:line="259" w:lineRule="auto"/>
              <w:ind w:left="0" w:firstLine="0"/>
              <w:jc w:val="left"/>
            </w:pPr>
            <w:r>
              <w:t xml:space="preserve">Increasing transparency towards end investors with regard to the consideration of adverse sustainability impacts </w:t>
            </w:r>
          </w:p>
        </w:tc>
        <w:tc>
          <w:tcPr>
            <w:tcW w:w="451" w:type="dxa"/>
            <w:gridSpan w:val="2"/>
            <w:tcBorders>
              <w:top w:val="single" w:sz="4" w:space="0" w:color="000000"/>
              <w:left w:val="single" w:sz="4" w:space="0" w:color="000000"/>
              <w:bottom w:val="single" w:sz="4" w:space="0" w:color="000000"/>
              <w:right w:val="single" w:sz="4" w:space="0" w:color="000000"/>
            </w:tcBorders>
          </w:tcPr>
          <w:p w14:paraId="1FFF0759"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15C9AAC4" w14:textId="77777777" w:rsidR="0045673A" w:rsidRDefault="00E17DF3">
            <w:pPr>
              <w:spacing w:after="0" w:line="259" w:lineRule="auto"/>
              <w:ind w:left="0" w:firstLine="0"/>
              <w:jc w:val="left"/>
            </w:pPr>
            <w:r>
              <w:t xml:space="preserve"> </w:t>
            </w:r>
          </w:p>
        </w:tc>
        <w:tc>
          <w:tcPr>
            <w:tcW w:w="452" w:type="dxa"/>
            <w:gridSpan w:val="2"/>
            <w:tcBorders>
              <w:top w:val="single" w:sz="4" w:space="0" w:color="000000"/>
              <w:left w:val="single" w:sz="4" w:space="0" w:color="000000"/>
              <w:bottom w:val="single" w:sz="4" w:space="0" w:color="000000"/>
              <w:right w:val="single" w:sz="4" w:space="0" w:color="000000"/>
            </w:tcBorders>
          </w:tcPr>
          <w:p w14:paraId="74A8D4FA" w14:textId="407CBFF7" w:rsidR="0045673A" w:rsidRDefault="00E17DF3">
            <w:pPr>
              <w:spacing w:after="0" w:line="259" w:lineRule="auto"/>
              <w:ind w:left="1" w:firstLine="0"/>
              <w:jc w:val="left"/>
            </w:pPr>
            <w:r>
              <w:t xml:space="preserve"> </w:t>
            </w:r>
            <w:r w:rsidR="006414C7">
              <w:t>X</w:t>
            </w:r>
          </w:p>
        </w:tc>
        <w:tc>
          <w:tcPr>
            <w:tcW w:w="451" w:type="dxa"/>
            <w:gridSpan w:val="3"/>
            <w:tcBorders>
              <w:top w:val="single" w:sz="4" w:space="0" w:color="000000"/>
              <w:left w:val="single" w:sz="4" w:space="0" w:color="000000"/>
              <w:bottom w:val="single" w:sz="4" w:space="0" w:color="000000"/>
              <w:right w:val="single" w:sz="4" w:space="0" w:color="000000"/>
            </w:tcBorders>
          </w:tcPr>
          <w:p w14:paraId="0BFF685E" w14:textId="6367AD6D"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6053A734"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0442538E" w14:textId="77777777" w:rsidR="0045673A" w:rsidRDefault="00E17DF3">
            <w:pPr>
              <w:spacing w:after="0" w:line="259" w:lineRule="auto"/>
              <w:ind w:left="0" w:firstLine="0"/>
              <w:jc w:val="left"/>
            </w:pPr>
            <w:r>
              <w:t xml:space="preserve"> </w:t>
            </w:r>
          </w:p>
        </w:tc>
      </w:tr>
      <w:tr w:rsidR="0045673A" w14:paraId="26355783" w14:textId="77777777" w:rsidTr="007620C0">
        <w:trPr>
          <w:trHeight w:val="562"/>
        </w:trPr>
        <w:tc>
          <w:tcPr>
            <w:tcW w:w="5431" w:type="dxa"/>
            <w:tcBorders>
              <w:top w:val="single" w:sz="4" w:space="0" w:color="000000"/>
              <w:left w:val="single" w:sz="4" w:space="0" w:color="000000"/>
              <w:bottom w:val="single" w:sz="4" w:space="0" w:color="000000"/>
              <w:right w:val="single" w:sz="4" w:space="0" w:color="000000"/>
            </w:tcBorders>
          </w:tcPr>
          <w:p w14:paraId="3E4E4E1F" w14:textId="0D72F993" w:rsidR="0045673A" w:rsidRDefault="00E17DF3">
            <w:pPr>
              <w:spacing w:after="0" w:line="259" w:lineRule="auto"/>
              <w:ind w:left="0" w:firstLine="0"/>
              <w:jc w:val="left"/>
            </w:pPr>
            <w:r>
              <w:t>Strengthening protection of end investors and making it easier for them to benefit from and compare among</w:t>
            </w:r>
            <w:r w:rsidR="007620C0">
              <w:t xml:space="preserve"> a wide range of financial products and services, including those with sustainability claims</w:t>
            </w:r>
            <w:r>
              <w:t xml:space="preserve"> </w:t>
            </w:r>
          </w:p>
        </w:tc>
        <w:tc>
          <w:tcPr>
            <w:tcW w:w="451" w:type="dxa"/>
            <w:gridSpan w:val="2"/>
            <w:tcBorders>
              <w:top w:val="single" w:sz="4" w:space="0" w:color="000000"/>
              <w:left w:val="single" w:sz="4" w:space="0" w:color="000000"/>
              <w:bottom w:val="single" w:sz="4" w:space="0" w:color="000000"/>
              <w:right w:val="single" w:sz="4" w:space="0" w:color="000000"/>
            </w:tcBorders>
          </w:tcPr>
          <w:p w14:paraId="5D17DC98"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7768B2E" w14:textId="14F72639" w:rsidR="0045673A" w:rsidRDefault="00E17DF3">
            <w:pPr>
              <w:spacing w:after="0" w:line="259" w:lineRule="auto"/>
              <w:ind w:left="0" w:firstLine="0"/>
              <w:jc w:val="left"/>
            </w:pPr>
            <w:r>
              <w:t xml:space="preserve"> </w:t>
            </w:r>
            <w:r w:rsidR="006414C7">
              <w:t>X</w:t>
            </w:r>
          </w:p>
        </w:tc>
        <w:tc>
          <w:tcPr>
            <w:tcW w:w="452" w:type="dxa"/>
            <w:gridSpan w:val="2"/>
            <w:tcBorders>
              <w:top w:val="single" w:sz="4" w:space="0" w:color="000000"/>
              <w:left w:val="single" w:sz="4" w:space="0" w:color="000000"/>
              <w:bottom w:val="single" w:sz="4" w:space="0" w:color="000000"/>
              <w:right w:val="single" w:sz="4" w:space="0" w:color="000000"/>
            </w:tcBorders>
          </w:tcPr>
          <w:p w14:paraId="19C66D5B" w14:textId="6342F81B" w:rsidR="0045673A" w:rsidRDefault="00E17DF3">
            <w:pPr>
              <w:spacing w:after="0" w:line="259" w:lineRule="auto"/>
              <w:ind w:left="1" w:firstLine="0"/>
              <w:jc w:val="left"/>
            </w:pPr>
            <w:r>
              <w:t xml:space="preserve"> </w:t>
            </w:r>
          </w:p>
        </w:tc>
        <w:tc>
          <w:tcPr>
            <w:tcW w:w="451" w:type="dxa"/>
            <w:gridSpan w:val="3"/>
            <w:tcBorders>
              <w:top w:val="single" w:sz="4" w:space="0" w:color="000000"/>
              <w:left w:val="single" w:sz="4" w:space="0" w:color="000000"/>
              <w:bottom w:val="single" w:sz="4" w:space="0" w:color="000000"/>
              <w:right w:val="single" w:sz="4" w:space="0" w:color="000000"/>
            </w:tcBorders>
          </w:tcPr>
          <w:p w14:paraId="6C5E0975"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6E9DBFB1"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34CFE29C" w14:textId="77777777" w:rsidR="0045673A" w:rsidRDefault="00E17DF3">
            <w:pPr>
              <w:spacing w:after="0" w:line="259" w:lineRule="auto"/>
              <w:ind w:left="0" w:firstLine="0"/>
              <w:jc w:val="left"/>
            </w:pPr>
            <w:r>
              <w:t xml:space="preserve"> </w:t>
            </w:r>
          </w:p>
        </w:tc>
      </w:tr>
      <w:tr w:rsidR="0045673A" w14:paraId="4CB8297C" w14:textId="77777777" w:rsidTr="007620C0">
        <w:tblPrEx>
          <w:tblCellMar>
            <w:left w:w="88" w:type="dxa"/>
            <w:right w:w="115" w:type="dxa"/>
          </w:tblCellMar>
        </w:tblPrEx>
        <w:trPr>
          <w:trHeight w:val="1906"/>
        </w:trPr>
        <w:tc>
          <w:tcPr>
            <w:tcW w:w="5431" w:type="dxa"/>
            <w:tcBorders>
              <w:top w:val="single" w:sz="4" w:space="0" w:color="000000"/>
              <w:left w:val="single" w:sz="4" w:space="0" w:color="000000"/>
              <w:bottom w:val="single" w:sz="4" w:space="0" w:color="000000"/>
              <w:right w:val="single" w:sz="4" w:space="0" w:color="000000"/>
            </w:tcBorders>
          </w:tcPr>
          <w:p w14:paraId="7BC8C793" w14:textId="77777777" w:rsidR="0045673A" w:rsidRDefault="00E17DF3">
            <w:pPr>
              <w:spacing w:after="0" w:line="259" w:lineRule="auto"/>
              <w:ind w:left="20" w:firstLine="0"/>
              <w:jc w:val="left"/>
            </w:pPr>
            <w:r>
              <w:t xml:space="preserve">Channelling capital towards investments considered sustainable, including transitional investments (‘investments considered sustainable’ should be understood in a broad sense, not limited to the definition of sustainable investment set out in Article 2(17) of SFDR) </w:t>
            </w:r>
          </w:p>
        </w:tc>
        <w:tc>
          <w:tcPr>
            <w:tcW w:w="431" w:type="dxa"/>
            <w:tcBorders>
              <w:top w:val="single" w:sz="4" w:space="0" w:color="000000"/>
              <w:left w:val="single" w:sz="4" w:space="0" w:color="000000"/>
              <w:bottom w:val="single" w:sz="4" w:space="0" w:color="000000"/>
              <w:right w:val="single" w:sz="4" w:space="0" w:color="000000"/>
            </w:tcBorders>
          </w:tcPr>
          <w:p w14:paraId="609D4B09" w14:textId="77777777" w:rsidR="0045673A" w:rsidRDefault="00E17DF3">
            <w:pPr>
              <w:spacing w:after="0" w:line="259" w:lineRule="auto"/>
              <w:ind w:left="23" w:firstLine="0"/>
              <w:jc w:val="left"/>
            </w:pPr>
            <w:r>
              <w:t xml:space="preserve"> </w:t>
            </w:r>
          </w:p>
        </w:tc>
        <w:tc>
          <w:tcPr>
            <w:tcW w:w="512" w:type="dxa"/>
            <w:gridSpan w:val="3"/>
            <w:tcBorders>
              <w:top w:val="single" w:sz="4" w:space="0" w:color="000000"/>
              <w:left w:val="single" w:sz="4" w:space="0" w:color="000000"/>
              <w:bottom w:val="single" w:sz="4" w:space="0" w:color="000000"/>
              <w:right w:val="single" w:sz="4" w:space="0" w:color="000000"/>
            </w:tcBorders>
          </w:tcPr>
          <w:p w14:paraId="0D548332" w14:textId="440AEA1A" w:rsidR="0045673A" w:rsidRDefault="00E17DF3">
            <w:pPr>
              <w:spacing w:after="0" w:line="259" w:lineRule="auto"/>
              <w:ind w:left="0" w:firstLine="0"/>
              <w:jc w:val="left"/>
            </w:pPr>
            <w:r>
              <w:t xml:space="preserve"> </w:t>
            </w:r>
          </w:p>
        </w:tc>
        <w:tc>
          <w:tcPr>
            <w:tcW w:w="425" w:type="dxa"/>
            <w:gridSpan w:val="2"/>
            <w:tcBorders>
              <w:top w:val="single" w:sz="4" w:space="0" w:color="000000"/>
              <w:left w:val="single" w:sz="4" w:space="0" w:color="000000"/>
              <w:bottom w:val="single" w:sz="4" w:space="0" w:color="000000"/>
              <w:right w:val="single" w:sz="4" w:space="0" w:color="000000"/>
            </w:tcBorders>
          </w:tcPr>
          <w:p w14:paraId="7E39D05B" w14:textId="71C3B1B2" w:rsidR="0045673A" w:rsidRDefault="00E17DF3">
            <w:pPr>
              <w:spacing w:after="0" w:line="259" w:lineRule="auto"/>
              <w:ind w:left="21" w:firstLine="0"/>
              <w:jc w:val="left"/>
            </w:pPr>
            <w:r>
              <w:t xml:space="preserve"> </w:t>
            </w:r>
            <w:r w:rsidR="00EB77C2">
              <w:t>X</w:t>
            </w:r>
          </w:p>
        </w:tc>
        <w:tc>
          <w:tcPr>
            <w:tcW w:w="426" w:type="dxa"/>
            <w:tcBorders>
              <w:top w:val="single" w:sz="4" w:space="0" w:color="000000"/>
              <w:left w:val="single" w:sz="4" w:space="0" w:color="000000"/>
              <w:bottom w:val="single" w:sz="4" w:space="0" w:color="000000"/>
              <w:right w:val="single" w:sz="4" w:space="0" w:color="000000"/>
            </w:tcBorders>
          </w:tcPr>
          <w:p w14:paraId="0AFB1FEF" w14:textId="77777777" w:rsidR="0045673A" w:rsidRDefault="00E17DF3">
            <w:pPr>
              <w:spacing w:after="0" w:line="259" w:lineRule="auto"/>
              <w:ind w:left="20" w:firstLine="0"/>
              <w:jc w:val="left"/>
            </w:pPr>
            <w:r>
              <w:t xml:space="preserve"> </w:t>
            </w:r>
          </w:p>
        </w:tc>
        <w:tc>
          <w:tcPr>
            <w:tcW w:w="463" w:type="dxa"/>
            <w:gridSpan w:val="2"/>
            <w:tcBorders>
              <w:top w:val="single" w:sz="4" w:space="0" w:color="000000"/>
              <w:left w:val="single" w:sz="4" w:space="0" w:color="000000"/>
              <w:bottom w:val="single" w:sz="4" w:space="0" w:color="000000"/>
              <w:right w:val="single" w:sz="4" w:space="0" w:color="000000"/>
            </w:tcBorders>
          </w:tcPr>
          <w:p w14:paraId="5F04C473" w14:textId="77777777" w:rsidR="0045673A" w:rsidRDefault="00E17DF3">
            <w:pPr>
              <w:spacing w:after="0" w:line="259" w:lineRule="auto"/>
              <w:ind w:left="2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54F16B8F" w14:textId="77777777" w:rsidR="0045673A" w:rsidRDefault="00E17DF3">
            <w:pPr>
              <w:spacing w:after="0" w:line="259" w:lineRule="auto"/>
              <w:ind w:left="20" w:firstLine="0"/>
              <w:jc w:val="left"/>
            </w:pPr>
            <w:r>
              <w:t xml:space="preserve"> </w:t>
            </w:r>
          </w:p>
        </w:tc>
      </w:tr>
      <w:tr w:rsidR="0045673A" w14:paraId="4A6F9DD6" w14:textId="77777777" w:rsidTr="007620C0">
        <w:tblPrEx>
          <w:tblCellMar>
            <w:left w:w="88" w:type="dxa"/>
            <w:right w:w="115" w:type="dxa"/>
          </w:tblCellMar>
        </w:tblPrEx>
        <w:trPr>
          <w:trHeight w:val="1078"/>
        </w:trPr>
        <w:tc>
          <w:tcPr>
            <w:tcW w:w="5431" w:type="dxa"/>
            <w:tcBorders>
              <w:top w:val="single" w:sz="4" w:space="0" w:color="000000"/>
              <w:left w:val="single" w:sz="4" w:space="0" w:color="000000"/>
              <w:bottom w:val="single" w:sz="4" w:space="0" w:color="000000"/>
              <w:right w:val="single" w:sz="4" w:space="0" w:color="000000"/>
            </w:tcBorders>
          </w:tcPr>
          <w:p w14:paraId="501C6066" w14:textId="77777777" w:rsidR="0045673A" w:rsidRDefault="00E17DF3">
            <w:pPr>
              <w:spacing w:after="0" w:line="259" w:lineRule="auto"/>
              <w:ind w:left="20" w:firstLine="0"/>
              <w:jc w:val="left"/>
            </w:pPr>
            <w:r>
              <w:t xml:space="preserve">Ensuring that ESG considerations are integrated into the investment and advisory process in a consistent manner across the different financial services sectors </w:t>
            </w:r>
          </w:p>
        </w:tc>
        <w:tc>
          <w:tcPr>
            <w:tcW w:w="431" w:type="dxa"/>
            <w:tcBorders>
              <w:top w:val="single" w:sz="4" w:space="0" w:color="000000"/>
              <w:left w:val="single" w:sz="4" w:space="0" w:color="000000"/>
              <w:bottom w:val="single" w:sz="4" w:space="0" w:color="000000"/>
              <w:right w:val="single" w:sz="4" w:space="0" w:color="000000"/>
            </w:tcBorders>
          </w:tcPr>
          <w:p w14:paraId="6BAB0789" w14:textId="77777777" w:rsidR="0045673A" w:rsidRDefault="00E17DF3">
            <w:pPr>
              <w:spacing w:after="0" w:line="259" w:lineRule="auto"/>
              <w:ind w:left="23" w:firstLine="0"/>
              <w:jc w:val="left"/>
            </w:pPr>
            <w:r>
              <w:t xml:space="preserve"> </w:t>
            </w:r>
          </w:p>
        </w:tc>
        <w:tc>
          <w:tcPr>
            <w:tcW w:w="512" w:type="dxa"/>
            <w:gridSpan w:val="3"/>
            <w:tcBorders>
              <w:top w:val="single" w:sz="4" w:space="0" w:color="000000"/>
              <w:left w:val="single" w:sz="4" w:space="0" w:color="000000"/>
              <w:bottom w:val="single" w:sz="4" w:space="0" w:color="000000"/>
              <w:right w:val="single" w:sz="4" w:space="0" w:color="000000"/>
            </w:tcBorders>
          </w:tcPr>
          <w:p w14:paraId="1B4D14D9" w14:textId="6A96660A" w:rsidR="0045673A" w:rsidRDefault="00E17DF3">
            <w:pPr>
              <w:spacing w:after="0" w:line="259" w:lineRule="auto"/>
              <w:ind w:left="0" w:firstLine="0"/>
              <w:jc w:val="left"/>
            </w:pPr>
            <w:r>
              <w:t xml:space="preserve"> </w:t>
            </w:r>
          </w:p>
        </w:tc>
        <w:tc>
          <w:tcPr>
            <w:tcW w:w="425" w:type="dxa"/>
            <w:gridSpan w:val="2"/>
            <w:tcBorders>
              <w:top w:val="single" w:sz="4" w:space="0" w:color="000000"/>
              <w:left w:val="single" w:sz="4" w:space="0" w:color="000000"/>
              <w:bottom w:val="single" w:sz="4" w:space="0" w:color="000000"/>
              <w:right w:val="single" w:sz="4" w:space="0" w:color="000000"/>
            </w:tcBorders>
          </w:tcPr>
          <w:p w14:paraId="772588E5" w14:textId="70CB9689" w:rsidR="0045673A" w:rsidRDefault="00B1715C">
            <w:pPr>
              <w:spacing w:after="0" w:line="259" w:lineRule="auto"/>
              <w:ind w:left="21" w:firstLine="0"/>
              <w:jc w:val="left"/>
            </w:pPr>
            <w:r>
              <w:t>X</w:t>
            </w:r>
          </w:p>
        </w:tc>
        <w:tc>
          <w:tcPr>
            <w:tcW w:w="426" w:type="dxa"/>
            <w:tcBorders>
              <w:top w:val="single" w:sz="4" w:space="0" w:color="000000"/>
              <w:left w:val="single" w:sz="4" w:space="0" w:color="000000"/>
              <w:bottom w:val="single" w:sz="4" w:space="0" w:color="000000"/>
              <w:right w:val="single" w:sz="4" w:space="0" w:color="000000"/>
            </w:tcBorders>
          </w:tcPr>
          <w:p w14:paraId="76019EA4" w14:textId="77777777" w:rsidR="0045673A" w:rsidRDefault="00E17DF3">
            <w:pPr>
              <w:spacing w:after="0" w:line="259" w:lineRule="auto"/>
              <w:ind w:left="20" w:firstLine="0"/>
              <w:jc w:val="left"/>
            </w:pPr>
            <w:r>
              <w:t xml:space="preserve"> </w:t>
            </w:r>
          </w:p>
        </w:tc>
        <w:tc>
          <w:tcPr>
            <w:tcW w:w="463" w:type="dxa"/>
            <w:gridSpan w:val="2"/>
            <w:tcBorders>
              <w:top w:val="single" w:sz="4" w:space="0" w:color="000000"/>
              <w:left w:val="single" w:sz="4" w:space="0" w:color="000000"/>
              <w:bottom w:val="single" w:sz="4" w:space="0" w:color="000000"/>
              <w:right w:val="single" w:sz="4" w:space="0" w:color="000000"/>
            </w:tcBorders>
          </w:tcPr>
          <w:p w14:paraId="372FF7AF" w14:textId="77777777" w:rsidR="0045673A" w:rsidRDefault="00E17DF3">
            <w:pPr>
              <w:spacing w:after="0" w:line="259" w:lineRule="auto"/>
              <w:ind w:left="2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463DC306" w14:textId="77777777" w:rsidR="0045673A" w:rsidRDefault="00E17DF3">
            <w:pPr>
              <w:spacing w:after="0" w:line="259" w:lineRule="auto"/>
              <w:ind w:left="20" w:firstLine="0"/>
              <w:jc w:val="left"/>
            </w:pPr>
            <w:r>
              <w:t xml:space="preserve"> </w:t>
            </w:r>
          </w:p>
        </w:tc>
      </w:tr>
      <w:tr w:rsidR="0045673A" w14:paraId="2C1F7263" w14:textId="77777777" w:rsidTr="007620C0">
        <w:tblPrEx>
          <w:tblCellMar>
            <w:left w:w="88" w:type="dxa"/>
            <w:right w:w="115" w:type="dxa"/>
          </w:tblCellMar>
        </w:tblPrEx>
        <w:trPr>
          <w:trHeight w:val="1908"/>
        </w:trPr>
        <w:tc>
          <w:tcPr>
            <w:tcW w:w="5431" w:type="dxa"/>
            <w:tcBorders>
              <w:top w:val="single" w:sz="4" w:space="0" w:color="000000"/>
              <w:left w:val="single" w:sz="4" w:space="0" w:color="000000"/>
              <w:bottom w:val="single" w:sz="4" w:space="0" w:color="000000"/>
              <w:right w:val="single" w:sz="4" w:space="0" w:color="000000"/>
            </w:tcBorders>
          </w:tcPr>
          <w:p w14:paraId="370700B8" w14:textId="77777777" w:rsidR="0045673A" w:rsidRDefault="00E17DF3">
            <w:pPr>
              <w:spacing w:after="0" w:line="259" w:lineRule="auto"/>
              <w:ind w:left="20" w:firstLine="0"/>
              <w:jc w:val="left"/>
            </w:pPr>
            <w:r>
              <w:t xml:space="preserve">Ensuring that remuneration policies of financial market participants and financial advisors are consistent with the integration of sustainability risks and, where relevant, sustainable investment targets and designed to contribute to long-term sustainable growth </w:t>
            </w:r>
          </w:p>
        </w:tc>
        <w:tc>
          <w:tcPr>
            <w:tcW w:w="431" w:type="dxa"/>
            <w:tcBorders>
              <w:top w:val="single" w:sz="4" w:space="0" w:color="000000"/>
              <w:left w:val="single" w:sz="4" w:space="0" w:color="000000"/>
              <w:bottom w:val="single" w:sz="4" w:space="0" w:color="000000"/>
              <w:right w:val="single" w:sz="4" w:space="0" w:color="000000"/>
            </w:tcBorders>
          </w:tcPr>
          <w:p w14:paraId="22B374DA" w14:textId="77777777" w:rsidR="0045673A" w:rsidRDefault="00E17DF3">
            <w:pPr>
              <w:spacing w:after="0" w:line="259" w:lineRule="auto"/>
              <w:ind w:left="23" w:firstLine="0"/>
              <w:jc w:val="left"/>
            </w:pPr>
            <w:r>
              <w:t xml:space="preserve"> </w:t>
            </w:r>
          </w:p>
        </w:tc>
        <w:tc>
          <w:tcPr>
            <w:tcW w:w="512" w:type="dxa"/>
            <w:gridSpan w:val="3"/>
            <w:tcBorders>
              <w:top w:val="single" w:sz="4" w:space="0" w:color="000000"/>
              <w:left w:val="single" w:sz="4" w:space="0" w:color="000000"/>
              <w:bottom w:val="single" w:sz="4" w:space="0" w:color="000000"/>
              <w:right w:val="single" w:sz="4" w:space="0" w:color="000000"/>
            </w:tcBorders>
          </w:tcPr>
          <w:p w14:paraId="59969926" w14:textId="6DDB9256" w:rsidR="0045673A" w:rsidRDefault="00E17DF3">
            <w:pPr>
              <w:spacing w:after="0" w:line="259" w:lineRule="auto"/>
              <w:ind w:left="0" w:firstLine="0"/>
              <w:jc w:val="left"/>
            </w:pPr>
            <w:r>
              <w:t xml:space="preserve"> </w:t>
            </w:r>
            <w:r w:rsidR="008D56BE">
              <w:t>X</w:t>
            </w:r>
          </w:p>
        </w:tc>
        <w:tc>
          <w:tcPr>
            <w:tcW w:w="425" w:type="dxa"/>
            <w:gridSpan w:val="2"/>
            <w:tcBorders>
              <w:top w:val="single" w:sz="4" w:space="0" w:color="000000"/>
              <w:left w:val="single" w:sz="4" w:space="0" w:color="000000"/>
              <w:bottom w:val="single" w:sz="4" w:space="0" w:color="000000"/>
              <w:right w:val="single" w:sz="4" w:space="0" w:color="000000"/>
            </w:tcBorders>
          </w:tcPr>
          <w:p w14:paraId="017E2B5D" w14:textId="6AC797BB" w:rsidR="0045673A" w:rsidRDefault="00E17DF3">
            <w:pPr>
              <w:spacing w:after="0" w:line="259" w:lineRule="auto"/>
              <w:ind w:left="21" w:firstLine="0"/>
              <w:jc w:val="left"/>
            </w:pPr>
            <w:r>
              <w:t xml:space="preserve"> </w:t>
            </w:r>
          </w:p>
        </w:tc>
        <w:tc>
          <w:tcPr>
            <w:tcW w:w="426" w:type="dxa"/>
            <w:tcBorders>
              <w:top w:val="single" w:sz="4" w:space="0" w:color="000000"/>
              <w:left w:val="single" w:sz="4" w:space="0" w:color="000000"/>
              <w:bottom w:val="single" w:sz="4" w:space="0" w:color="000000"/>
              <w:right w:val="single" w:sz="4" w:space="0" w:color="000000"/>
            </w:tcBorders>
          </w:tcPr>
          <w:p w14:paraId="6052391E" w14:textId="77777777" w:rsidR="0045673A" w:rsidRDefault="00E17DF3">
            <w:pPr>
              <w:spacing w:after="0" w:line="259" w:lineRule="auto"/>
              <w:ind w:left="20" w:firstLine="0"/>
              <w:jc w:val="left"/>
            </w:pPr>
            <w:r>
              <w:t xml:space="preserve"> </w:t>
            </w:r>
          </w:p>
        </w:tc>
        <w:tc>
          <w:tcPr>
            <w:tcW w:w="463" w:type="dxa"/>
            <w:gridSpan w:val="2"/>
            <w:tcBorders>
              <w:top w:val="single" w:sz="4" w:space="0" w:color="000000"/>
              <w:left w:val="single" w:sz="4" w:space="0" w:color="000000"/>
              <w:bottom w:val="single" w:sz="4" w:space="0" w:color="000000"/>
              <w:right w:val="single" w:sz="4" w:space="0" w:color="000000"/>
            </w:tcBorders>
          </w:tcPr>
          <w:p w14:paraId="4D6625CA" w14:textId="77777777" w:rsidR="0045673A" w:rsidRDefault="00E17DF3">
            <w:pPr>
              <w:spacing w:after="0" w:line="259" w:lineRule="auto"/>
              <w:ind w:left="2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62C49F48" w14:textId="77777777" w:rsidR="0045673A" w:rsidRDefault="00E17DF3">
            <w:pPr>
              <w:spacing w:after="0" w:line="259" w:lineRule="auto"/>
              <w:ind w:left="20" w:firstLine="0"/>
              <w:jc w:val="left"/>
            </w:pPr>
            <w:r>
              <w:t xml:space="preserve"> </w:t>
            </w:r>
          </w:p>
        </w:tc>
      </w:tr>
    </w:tbl>
    <w:p w14:paraId="4D7402A7"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76968D77" w14:textId="77777777" w:rsidR="0045673A" w:rsidRDefault="00E17DF3">
      <w:pPr>
        <w:ind w:right="643"/>
      </w:pPr>
      <w:r>
        <w:rPr>
          <w:b/>
          <w:u w:val="single" w:color="000000"/>
        </w:rPr>
        <w:t>Question 1.3</w:t>
      </w:r>
      <w:r>
        <w:rPr>
          <w:b/>
        </w:rPr>
        <w:t xml:space="preserve">: </w:t>
      </w:r>
      <w:r>
        <w:t>Do you agree that opting for a disclosure framework at EU level was more effective and efficient in seeking to achieve the objectives mentioned in Question 1.2 than if national measures had been taken at Member State level?</w:t>
      </w:r>
      <w:r>
        <w:rPr>
          <w:i/>
        </w:rPr>
        <w:t xml:space="preserve">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265C8828" w14:textId="77777777">
        <w:trPr>
          <w:trHeight w:val="533"/>
        </w:trPr>
        <w:tc>
          <w:tcPr>
            <w:tcW w:w="1111" w:type="dxa"/>
            <w:tcBorders>
              <w:top w:val="single" w:sz="6" w:space="0" w:color="000000"/>
              <w:left w:val="single" w:sz="6" w:space="0" w:color="000000"/>
              <w:bottom w:val="single" w:sz="6" w:space="0" w:color="000000"/>
              <w:right w:val="single" w:sz="6" w:space="0" w:color="000000"/>
            </w:tcBorders>
          </w:tcPr>
          <w:p w14:paraId="08BE1568"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7F47DDF7"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031B4CDD"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49605EC6"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1120BD62"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300E0EDA" w14:textId="77777777" w:rsidR="0045673A" w:rsidRDefault="00E17DF3">
            <w:pPr>
              <w:spacing w:after="0" w:line="259" w:lineRule="auto"/>
              <w:ind w:left="0" w:right="3" w:firstLine="0"/>
              <w:jc w:val="center"/>
            </w:pPr>
            <w:r>
              <w:t xml:space="preserve">Don’t know </w:t>
            </w:r>
          </w:p>
        </w:tc>
      </w:tr>
      <w:tr w:rsidR="0045673A" w14:paraId="25783344"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46E01A88"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1E66AF7F" w14:textId="77777777" w:rsidR="0045673A" w:rsidRDefault="00E17DF3">
            <w:pPr>
              <w:spacing w:after="0" w:line="259" w:lineRule="auto"/>
              <w:ind w:left="59" w:firstLine="0"/>
              <w:jc w:val="center"/>
            </w:pPr>
            <w:r>
              <w:t xml:space="preserve"> </w:t>
            </w:r>
          </w:p>
        </w:tc>
        <w:tc>
          <w:tcPr>
            <w:tcW w:w="1094" w:type="dxa"/>
            <w:tcBorders>
              <w:top w:val="single" w:sz="6" w:space="0" w:color="000000"/>
              <w:left w:val="single" w:sz="6" w:space="0" w:color="000000"/>
              <w:bottom w:val="single" w:sz="6" w:space="0" w:color="000000"/>
              <w:right w:val="single" w:sz="6" w:space="0" w:color="000000"/>
            </w:tcBorders>
          </w:tcPr>
          <w:p w14:paraId="646757AD" w14:textId="77777777" w:rsidR="0045673A" w:rsidRDefault="00E17DF3">
            <w:pPr>
              <w:spacing w:after="0" w:line="259" w:lineRule="auto"/>
              <w:ind w:left="60"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6B9B7F0E" w14:textId="090D37E3" w:rsidR="0045673A" w:rsidRDefault="00E17DF3">
            <w:pPr>
              <w:spacing w:after="0" w:line="259" w:lineRule="auto"/>
              <w:ind w:left="60" w:firstLine="0"/>
              <w:jc w:val="center"/>
            </w:pPr>
            <w:r>
              <w:t xml:space="preserve"> </w:t>
            </w:r>
            <w:r w:rsidR="0006113E">
              <w:t>X</w:t>
            </w:r>
          </w:p>
        </w:tc>
        <w:tc>
          <w:tcPr>
            <w:tcW w:w="1025" w:type="dxa"/>
            <w:tcBorders>
              <w:top w:val="single" w:sz="6" w:space="0" w:color="000000"/>
              <w:left w:val="single" w:sz="6" w:space="0" w:color="000000"/>
              <w:bottom w:val="single" w:sz="6" w:space="0" w:color="000000"/>
              <w:right w:val="single" w:sz="6" w:space="0" w:color="000000"/>
            </w:tcBorders>
          </w:tcPr>
          <w:p w14:paraId="47663BEA" w14:textId="3132E879"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3815555A" w14:textId="77777777" w:rsidR="0045673A" w:rsidRDefault="00E17DF3">
            <w:pPr>
              <w:spacing w:after="0" w:line="259" w:lineRule="auto"/>
              <w:ind w:left="63" w:firstLine="0"/>
              <w:jc w:val="center"/>
            </w:pPr>
            <w:r>
              <w:t xml:space="preserve"> </w:t>
            </w:r>
          </w:p>
        </w:tc>
      </w:tr>
    </w:tbl>
    <w:p w14:paraId="0F537BD1"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10C1B8AD" w14:textId="77777777" w:rsidR="0045673A" w:rsidRDefault="00E17DF3">
      <w:pPr>
        <w:ind w:right="643"/>
      </w:pPr>
      <w:r>
        <w:rPr>
          <w:b/>
          <w:u w:val="single" w:color="000000"/>
        </w:rPr>
        <w:t>Question 1.4</w:t>
      </w:r>
      <w:r>
        <w:t xml:space="preserve">: Do you agree with the following statement?  </w:t>
      </w:r>
    </w:p>
    <w:tbl>
      <w:tblPr>
        <w:tblW w:w="8610" w:type="dxa"/>
        <w:tblCellMar>
          <w:top w:w="14" w:type="dxa"/>
          <w:right w:w="103" w:type="dxa"/>
        </w:tblCellMar>
        <w:tblLook w:val="04A0" w:firstRow="1" w:lastRow="0" w:firstColumn="1" w:lastColumn="0" w:noHBand="0" w:noVBand="1"/>
      </w:tblPr>
      <w:tblGrid>
        <w:gridCol w:w="5432"/>
        <w:gridCol w:w="451"/>
        <w:gridCol w:w="451"/>
        <w:gridCol w:w="452"/>
        <w:gridCol w:w="451"/>
        <w:gridCol w:w="451"/>
        <w:gridCol w:w="922"/>
      </w:tblGrid>
      <w:tr w:rsidR="0045673A" w14:paraId="165ED192"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72D67DB7"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29A1D084"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3FC91552"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2043BB90"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617F55CF"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6D0BBF83"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76BEF235" w14:textId="77777777" w:rsidR="0045673A" w:rsidRDefault="00E17DF3">
            <w:pPr>
              <w:spacing w:after="0" w:line="259" w:lineRule="auto"/>
              <w:ind w:left="0" w:firstLine="0"/>
              <w:jc w:val="center"/>
            </w:pPr>
            <w:r>
              <w:t xml:space="preserve">Don’t know </w:t>
            </w:r>
          </w:p>
        </w:tc>
      </w:tr>
      <w:tr w:rsidR="0045673A" w14:paraId="1A8E4BB9" w14:textId="77777777">
        <w:trPr>
          <w:trHeight w:val="1354"/>
        </w:trPr>
        <w:tc>
          <w:tcPr>
            <w:tcW w:w="5432" w:type="dxa"/>
            <w:tcBorders>
              <w:top w:val="single" w:sz="4" w:space="0" w:color="000000"/>
              <w:left w:val="single" w:sz="4" w:space="0" w:color="000000"/>
              <w:bottom w:val="single" w:sz="4" w:space="0" w:color="000000"/>
              <w:right w:val="single" w:sz="4" w:space="0" w:color="000000"/>
            </w:tcBorders>
          </w:tcPr>
          <w:p w14:paraId="4E9A7A52" w14:textId="77777777" w:rsidR="0045673A" w:rsidRDefault="00E17DF3">
            <w:pPr>
              <w:spacing w:after="0" w:line="238" w:lineRule="auto"/>
              <w:ind w:left="0" w:firstLine="0"/>
              <w:jc w:val="left"/>
            </w:pPr>
            <w:r>
              <w:t xml:space="preserve">The costs of disclosure under the SFDR framework are proportionate to the benefits it generates </w:t>
            </w:r>
          </w:p>
          <w:p w14:paraId="1753830B" w14:textId="77777777" w:rsidR="0045673A" w:rsidRDefault="00E17DF3">
            <w:pPr>
              <w:spacing w:after="0" w:line="259" w:lineRule="auto"/>
              <w:ind w:left="0" w:firstLine="0"/>
              <w:jc w:val="left"/>
            </w:pPr>
            <w:r>
              <w:t xml:space="preserve">(informing end investors, channelling capital towards sustainable investments) </w:t>
            </w:r>
            <w:r>
              <w:rPr>
                <w:color w:val="FF0000"/>
              </w:rP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9D6FC02" w14:textId="5B25AF58"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78ECFB6"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4CC3640A" w14:textId="7235EE34"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EE1B530" w14:textId="134D2FD1" w:rsidR="0045673A" w:rsidRDefault="00E17DF3">
            <w:pPr>
              <w:spacing w:after="0" w:line="259" w:lineRule="auto"/>
              <w:ind w:left="0" w:firstLine="0"/>
              <w:jc w:val="left"/>
            </w:pPr>
            <w:r>
              <w:t xml:space="preserve"> </w:t>
            </w:r>
            <w:r w:rsidR="00555F40">
              <w:t>X</w:t>
            </w:r>
          </w:p>
        </w:tc>
        <w:tc>
          <w:tcPr>
            <w:tcW w:w="451" w:type="dxa"/>
            <w:tcBorders>
              <w:top w:val="single" w:sz="4" w:space="0" w:color="000000"/>
              <w:left w:val="single" w:sz="4" w:space="0" w:color="000000"/>
              <w:bottom w:val="single" w:sz="4" w:space="0" w:color="000000"/>
              <w:right w:val="single" w:sz="4" w:space="0" w:color="000000"/>
            </w:tcBorders>
          </w:tcPr>
          <w:p w14:paraId="33F0DF4F"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3AB3B0B1" w14:textId="77777777" w:rsidR="0045673A" w:rsidRDefault="00E17DF3">
            <w:pPr>
              <w:spacing w:after="0" w:line="259" w:lineRule="auto"/>
              <w:ind w:left="0" w:firstLine="0"/>
              <w:jc w:val="left"/>
            </w:pPr>
            <w:r>
              <w:t xml:space="preserve"> </w:t>
            </w:r>
          </w:p>
        </w:tc>
      </w:tr>
    </w:tbl>
    <w:p w14:paraId="5FFBAE61"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555DA597" w14:textId="77777777" w:rsidR="0045673A" w:rsidRDefault="00E17DF3">
      <w:pPr>
        <w:spacing w:after="226"/>
        <w:ind w:right="643"/>
      </w:pPr>
      <w:r>
        <w:rPr>
          <w:b/>
          <w:u w:val="single" w:color="000000"/>
        </w:rPr>
        <w:t>Question 1.5</w:t>
      </w:r>
      <w:r>
        <w:t xml:space="preserve">: To what extent do you agree with the following statements? </w:t>
      </w:r>
    </w:p>
    <w:p w14:paraId="04A67058" w14:textId="77777777" w:rsidR="0045673A" w:rsidRDefault="00E17DF3">
      <w:pPr>
        <w:spacing w:after="0" w:line="259" w:lineRule="auto"/>
        <w:ind w:left="720" w:firstLine="0"/>
        <w:jc w:val="left"/>
      </w:pPr>
      <w:r>
        <w:t xml:space="preserve"> </w:t>
      </w:r>
    </w:p>
    <w:tbl>
      <w:tblPr>
        <w:tblW w:w="8342" w:type="dxa"/>
        <w:tblCellMar>
          <w:top w:w="14" w:type="dxa"/>
          <w:right w:w="79" w:type="dxa"/>
        </w:tblCellMar>
        <w:tblLook w:val="04A0" w:firstRow="1" w:lastRow="0" w:firstColumn="1" w:lastColumn="0" w:noHBand="0" w:noVBand="1"/>
      </w:tblPr>
      <w:tblGrid>
        <w:gridCol w:w="4623"/>
        <w:gridCol w:w="504"/>
        <w:gridCol w:w="506"/>
        <w:gridCol w:w="506"/>
        <w:gridCol w:w="507"/>
        <w:gridCol w:w="506"/>
        <w:gridCol w:w="1190"/>
      </w:tblGrid>
      <w:tr w:rsidR="0045673A" w14:paraId="2395DDAF" w14:textId="77777777">
        <w:trPr>
          <w:trHeight w:val="802"/>
        </w:trPr>
        <w:tc>
          <w:tcPr>
            <w:tcW w:w="4621" w:type="dxa"/>
            <w:tcBorders>
              <w:top w:val="single" w:sz="4" w:space="0" w:color="000000"/>
              <w:left w:val="single" w:sz="4" w:space="0" w:color="000000"/>
              <w:bottom w:val="single" w:sz="4" w:space="0" w:color="000000"/>
              <w:right w:val="single" w:sz="4" w:space="0" w:color="000000"/>
            </w:tcBorders>
          </w:tcPr>
          <w:p w14:paraId="00309552" w14:textId="77777777" w:rsidR="0045673A" w:rsidRDefault="00E17DF3">
            <w:pPr>
              <w:spacing w:after="0" w:line="259" w:lineRule="auto"/>
              <w:ind w:left="0" w:firstLine="0"/>
              <w:jc w:val="left"/>
            </w:pPr>
            <w:r>
              <w:rPr>
                <w:b/>
              </w:rPr>
              <w:t xml:space="preserve"> </w:t>
            </w:r>
          </w:p>
        </w:tc>
        <w:tc>
          <w:tcPr>
            <w:tcW w:w="504" w:type="dxa"/>
            <w:tcBorders>
              <w:top w:val="single" w:sz="4" w:space="0" w:color="000000"/>
              <w:left w:val="single" w:sz="4" w:space="0" w:color="000000"/>
              <w:bottom w:val="single" w:sz="4" w:space="0" w:color="000000"/>
              <w:right w:val="single" w:sz="4" w:space="0" w:color="000000"/>
            </w:tcBorders>
          </w:tcPr>
          <w:p w14:paraId="62DD2ADA" w14:textId="77777777" w:rsidR="0045673A" w:rsidRDefault="00E17DF3">
            <w:pPr>
              <w:spacing w:after="0" w:line="259" w:lineRule="auto"/>
              <w:ind w:left="0" w:right="29" w:firstLine="0"/>
              <w:jc w:val="center"/>
            </w:pPr>
            <w:r>
              <w:t xml:space="preserve">1 </w:t>
            </w:r>
          </w:p>
        </w:tc>
        <w:tc>
          <w:tcPr>
            <w:tcW w:w="506" w:type="dxa"/>
            <w:tcBorders>
              <w:top w:val="single" w:sz="4" w:space="0" w:color="000000"/>
              <w:left w:val="single" w:sz="4" w:space="0" w:color="000000"/>
              <w:bottom w:val="single" w:sz="4" w:space="0" w:color="000000"/>
              <w:right w:val="single" w:sz="4" w:space="0" w:color="000000"/>
            </w:tcBorders>
          </w:tcPr>
          <w:p w14:paraId="59C1D2A6" w14:textId="77777777" w:rsidR="0045673A" w:rsidRDefault="00E17DF3">
            <w:pPr>
              <w:spacing w:after="0" w:line="259" w:lineRule="auto"/>
              <w:ind w:left="0" w:right="27" w:firstLine="0"/>
              <w:jc w:val="center"/>
            </w:pPr>
            <w:r>
              <w:t xml:space="preserve">2 </w:t>
            </w:r>
          </w:p>
        </w:tc>
        <w:tc>
          <w:tcPr>
            <w:tcW w:w="506" w:type="dxa"/>
            <w:tcBorders>
              <w:top w:val="single" w:sz="4" w:space="0" w:color="000000"/>
              <w:left w:val="single" w:sz="4" w:space="0" w:color="000000"/>
              <w:bottom w:val="single" w:sz="4" w:space="0" w:color="000000"/>
              <w:right w:val="single" w:sz="4" w:space="0" w:color="000000"/>
            </w:tcBorders>
          </w:tcPr>
          <w:p w14:paraId="7BBB1047" w14:textId="77777777" w:rsidR="0045673A" w:rsidRDefault="00E17DF3">
            <w:pPr>
              <w:spacing w:after="0" w:line="259" w:lineRule="auto"/>
              <w:ind w:left="0" w:right="27" w:firstLine="0"/>
              <w:jc w:val="center"/>
            </w:pPr>
            <w:r>
              <w:t xml:space="preserve">3 </w:t>
            </w:r>
          </w:p>
        </w:tc>
        <w:tc>
          <w:tcPr>
            <w:tcW w:w="507" w:type="dxa"/>
            <w:tcBorders>
              <w:top w:val="single" w:sz="4" w:space="0" w:color="000000"/>
              <w:left w:val="single" w:sz="4" w:space="0" w:color="000000"/>
              <w:bottom w:val="single" w:sz="4" w:space="0" w:color="000000"/>
              <w:right w:val="single" w:sz="4" w:space="0" w:color="000000"/>
            </w:tcBorders>
          </w:tcPr>
          <w:p w14:paraId="526C7C29" w14:textId="77777777" w:rsidR="0045673A" w:rsidRDefault="00E17DF3">
            <w:pPr>
              <w:spacing w:after="0" w:line="259" w:lineRule="auto"/>
              <w:ind w:left="0" w:right="32" w:firstLine="0"/>
              <w:jc w:val="center"/>
            </w:pPr>
            <w:r>
              <w:t xml:space="preserve">4 </w:t>
            </w:r>
          </w:p>
        </w:tc>
        <w:tc>
          <w:tcPr>
            <w:tcW w:w="506" w:type="dxa"/>
            <w:tcBorders>
              <w:top w:val="single" w:sz="4" w:space="0" w:color="000000"/>
              <w:left w:val="single" w:sz="4" w:space="0" w:color="000000"/>
              <w:bottom w:val="single" w:sz="4" w:space="0" w:color="000000"/>
              <w:right w:val="single" w:sz="4" w:space="0" w:color="000000"/>
            </w:tcBorders>
          </w:tcPr>
          <w:p w14:paraId="26E42137" w14:textId="77777777" w:rsidR="0045673A" w:rsidRDefault="00E17DF3">
            <w:pPr>
              <w:spacing w:after="0" w:line="259" w:lineRule="auto"/>
              <w:ind w:left="0" w:right="32" w:firstLine="0"/>
              <w:jc w:val="center"/>
            </w:pPr>
            <w:r>
              <w:t xml:space="preserve">5 </w:t>
            </w:r>
          </w:p>
        </w:tc>
        <w:tc>
          <w:tcPr>
            <w:tcW w:w="1190" w:type="dxa"/>
            <w:tcBorders>
              <w:top w:val="single" w:sz="4" w:space="0" w:color="000000"/>
              <w:left w:val="single" w:sz="4" w:space="0" w:color="000000"/>
              <w:bottom w:val="single" w:sz="4" w:space="0" w:color="000000"/>
              <w:right w:val="single" w:sz="4" w:space="0" w:color="000000"/>
            </w:tcBorders>
          </w:tcPr>
          <w:p w14:paraId="18DAF92C" w14:textId="77777777" w:rsidR="0045673A" w:rsidRDefault="00E17DF3">
            <w:pPr>
              <w:spacing w:after="0" w:line="259" w:lineRule="auto"/>
              <w:ind w:left="0" w:firstLine="0"/>
              <w:jc w:val="center"/>
            </w:pPr>
            <w:r>
              <w:t xml:space="preserve">Don’t know </w:t>
            </w:r>
          </w:p>
        </w:tc>
      </w:tr>
      <w:tr w:rsidR="0045673A" w14:paraId="7A2873C9" w14:textId="77777777">
        <w:trPr>
          <w:trHeight w:val="1354"/>
        </w:trPr>
        <w:tc>
          <w:tcPr>
            <w:tcW w:w="4621" w:type="dxa"/>
            <w:tcBorders>
              <w:top w:val="single" w:sz="4" w:space="0" w:color="000000"/>
              <w:left w:val="single" w:sz="4" w:space="0" w:color="000000"/>
              <w:bottom w:val="single" w:sz="4" w:space="0" w:color="000000"/>
              <w:right w:val="single" w:sz="4" w:space="0" w:color="000000"/>
            </w:tcBorders>
          </w:tcPr>
          <w:p w14:paraId="47664E1A" w14:textId="77777777" w:rsidR="0045673A" w:rsidRDefault="00E17DF3">
            <w:pPr>
              <w:spacing w:after="0" w:line="259" w:lineRule="auto"/>
              <w:ind w:left="0" w:firstLine="0"/>
              <w:jc w:val="left"/>
            </w:pPr>
            <w:r>
              <w:t xml:space="preserve">The SFDR has raised awareness in the financial services sector of the potential negative impacts that investment decisions can have on the environment and/or people </w:t>
            </w:r>
          </w:p>
        </w:tc>
        <w:tc>
          <w:tcPr>
            <w:tcW w:w="504" w:type="dxa"/>
            <w:tcBorders>
              <w:top w:val="single" w:sz="4" w:space="0" w:color="000000"/>
              <w:left w:val="single" w:sz="4" w:space="0" w:color="000000"/>
              <w:bottom w:val="single" w:sz="4" w:space="0" w:color="000000"/>
              <w:right w:val="single" w:sz="4" w:space="0" w:color="000000"/>
            </w:tcBorders>
          </w:tcPr>
          <w:p w14:paraId="3ACF18E2"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35FA5CFC" w14:textId="77777777" w:rsidR="0045673A" w:rsidRDefault="00E17DF3">
            <w:pPr>
              <w:spacing w:after="0" w:line="259" w:lineRule="auto"/>
              <w:ind w:left="2"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60CE02F1" w14:textId="17DC2676" w:rsidR="0045673A" w:rsidRDefault="00E17DF3">
            <w:pPr>
              <w:spacing w:after="0" w:line="259" w:lineRule="auto"/>
              <w:ind w:left="2" w:firstLine="0"/>
              <w:jc w:val="left"/>
            </w:pPr>
            <w:r>
              <w:rPr>
                <w:b/>
              </w:rPr>
              <w:t xml:space="preserve"> </w:t>
            </w:r>
          </w:p>
        </w:tc>
        <w:tc>
          <w:tcPr>
            <w:tcW w:w="507" w:type="dxa"/>
            <w:tcBorders>
              <w:top w:val="single" w:sz="4" w:space="0" w:color="000000"/>
              <w:left w:val="single" w:sz="4" w:space="0" w:color="000000"/>
              <w:bottom w:val="single" w:sz="4" w:space="0" w:color="000000"/>
              <w:right w:val="single" w:sz="4" w:space="0" w:color="000000"/>
            </w:tcBorders>
          </w:tcPr>
          <w:p w14:paraId="5A53B7C2" w14:textId="73BC4386" w:rsidR="0045673A" w:rsidRDefault="00E17DF3">
            <w:pPr>
              <w:spacing w:after="0" w:line="259" w:lineRule="auto"/>
              <w:ind w:left="0" w:firstLine="0"/>
              <w:jc w:val="left"/>
            </w:pPr>
            <w:r>
              <w:rPr>
                <w:b/>
              </w:rPr>
              <w:t xml:space="preserve"> </w:t>
            </w:r>
            <w:r w:rsidR="006A7808">
              <w:t>X</w:t>
            </w:r>
          </w:p>
        </w:tc>
        <w:tc>
          <w:tcPr>
            <w:tcW w:w="506" w:type="dxa"/>
            <w:tcBorders>
              <w:top w:val="single" w:sz="4" w:space="0" w:color="000000"/>
              <w:left w:val="single" w:sz="4" w:space="0" w:color="000000"/>
              <w:bottom w:val="single" w:sz="4" w:space="0" w:color="000000"/>
              <w:right w:val="single" w:sz="4" w:space="0" w:color="000000"/>
            </w:tcBorders>
          </w:tcPr>
          <w:p w14:paraId="58BD7002" w14:textId="77777777" w:rsidR="0045673A" w:rsidRDefault="00E17DF3">
            <w:pPr>
              <w:spacing w:after="0" w:line="259" w:lineRule="auto"/>
              <w:ind w:left="0" w:firstLine="0"/>
              <w:jc w:val="left"/>
            </w:pPr>
            <w:r>
              <w:rPr>
                <w:b/>
              </w:rPr>
              <w:t xml:space="preserve"> </w:t>
            </w:r>
          </w:p>
        </w:tc>
        <w:tc>
          <w:tcPr>
            <w:tcW w:w="1190" w:type="dxa"/>
            <w:tcBorders>
              <w:top w:val="single" w:sz="4" w:space="0" w:color="000000"/>
              <w:left w:val="single" w:sz="4" w:space="0" w:color="000000"/>
              <w:bottom w:val="single" w:sz="4" w:space="0" w:color="000000"/>
              <w:right w:val="single" w:sz="4" w:space="0" w:color="000000"/>
            </w:tcBorders>
          </w:tcPr>
          <w:p w14:paraId="767ED118" w14:textId="77777777" w:rsidR="0045673A" w:rsidRDefault="00E17DF3">
            <w:pPr>
              <w:spacing w:after="0" w:line="259" w:lineRule="auto"/>
              <w:ind w:left="0" w:firstLine="0"/>
              <w:jc w:val="left"/>
            </w:pPr>
            <w:r>
              <w:rPr>
                <w:b/>
              </w:rPr>
              <w:t xml:space="preserve"> </w:t>
            </w:r>
          </w:p>
        </w:tc>
      </w:tr>
      <w:tr w:rsidR="0045673A" w14:paraId="22EC6A20" w14:textId="77777777">
        <w:trPr>
          <w:trHeight w:val="1906"/>
        </w:trPr>
        <w:tc>
          <w:tcPr>
            <w:tcW w:w="4621" w:type="dxa"/>
            <w:tcBorders>
              <w:top w:val="single" w:sz="4" w:space="0" w:color="000000"/>
              <w:left w:val="single" w:sz="4" w:space="0" w:color="000000"/>
              <w:bottom w:val="single" w:sz="4" w:space="0" w:color="000000"/>
              <w:right w:val="single" w:sz="4" w:space="0" w:color="000000"/>
            </w:tcBorders>
          </w:tcPr>
          <w:p w14:paraId="7CEEDFC6" w14:textId="77777777" w:rsidR="0045673A" w:rsidRDefault="00E17DF3">
            <w:pPr>
              <w:spacing w:after="0" w:line="259" w:lineRule="auto"/>
              <w:ind w:left="0" w:right="14" w:firstLine="0"/>
              <w:jc w:val="left"/>
            </w:pPr>
            <w:r>
              <w:t xml:space="preserve">Financial market participants have changed the way they make investment decisions and design products since they have been required to disclose sustainability risks and adverse impacts at entity and product level under the SFDR.  </w:t>
            </w:r>
          </w:p>
        </w:tc>
        <w:tc>
          <w:tcPr>
            <w:tcW w:w="504" w:type="dxa"/>
            <w:tcBorders>
              <w:top w:val="single" w:sz="4" w:space="0" w:color="000000"/>
              <w:left w:val="single" w:sz="4" w:space="0" w:color="000000"/>
              <w:bottom w:val="single" w:sz="4" w:space="0" w:color="000000"/>
              <w:right w:val="single" w:sz="4" w:space="0" w:color="000000"/>
            </w:tcBorders>
          </w:tcPr>
          <w:p w14:paraId="730BB593"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2341B1FA" w14:textId="77777777" w:rsidR="0045673A" w:rsidRDefault="00E17DF3">
            <w:pPr>
              <w:spacing w:after="0" w:line="259" w:lineRule="auto"/>
              <w:ind w:left="2"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2A559B1D" w14:textId="34595E21" w:rsidR="0045673A" w:rsidRDefault="00E17DF3">
            <w:pPr>
              <w:spacing w:after="0" w:line="259" w:lineRule="auto"/>
              <w:ind w:left="2" w:firstLine="0"/>
              <w:jc w:val="left"/>
            </w:pPr>
            <w:r>
              <w:rPr>
                <w:b/>
              </w:rPr>
              <w:t xml:space="preserve"> </w:t>
            </w:r>
            <w:r w:rsidR="006A7808">
              <w:t>X</w:t>
            </w:r>
          </w:p>
        </w:tc>
        <w:tc>
          <w:tcPr>
            <w:tcW w:w="507" w:type="dxa"/>
            <w:tcBorders>
              <w:top w:val="single" w:sz="4" w:space="0" w:color="000000"/>
              <w:left w:val="single" w:sz="4" w:space="0" w:color="000000"/>
              <w:bottom w:val="single" w:sz="4" w:space="0" w:color="000000"/>
              <w:right w:val="single" w:sz="4" w:space="0" w:color="000000"/>
            </w:tcBorders>
          </w:tcPr>
          <w:p w14:paraId="312C7277"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11300B49" w14:textId="77777777" w:rsidR="0045673A" w:rsidRDefault="00E17DF3">
            <w:pPr>
              <w:spacing w:after="0" w:line="259" w:lineRule="auto"/>
              <w:ind w:left="0" w:firstLine="0"/>
              <w:jc w:val="left"/>
            </w:pPr>
            <w:r>
              <w:rPr>
                <w:b/>
              </w:rPr>
              <w:t xml:space="preserve"> </w:t>
            </w:r>
          </w:p>
        </w:tc>
        <w:tc>
          <w:tcPr>
            <w:tcW w:w="1190" w:type="dxa"/>
            <w:tcBorders>
              <w:top w:val="single" w:sz="4" w:space="0" w:color="000000"/>
              <w:left w:val="single" w:sz="4" w:space="0" w:color="000000"/>
              <w:bottom w:val="single" w:sz="4" w:space="0" w:color="000000"/>
              <w:right w:val="single" w:sz="4" w:space="0" w:color="000000"/>
            </w:tcBorders>
          </w:tcPr>
          <w:p w14:paraId="7B2DB101" w14:textId="77777777" w:rsidR="0045673A" w:rsidRDefault="00E17DF3">
            <w:pPr>
              <w:spacing w:after="0" w:line="259" w:lineRule="auto"/>
              <w:ind w:left="0" w:firstLine="0"/>
              <w:jc w:val="left"/>
            </w:pPr>
            <w:r>
              <w:rPr>
                <w:b/>
              </w:rPr>
              <w:t xml:space="preserve"> </w:t>
            </w:r>
          </w:p>
        </w:tc>
      </w:tr>
      <w:tr w:rsidR="0045673A" w14:paraId="70015D16" w14:textId="77777777">
        <w:trPr>
          <w:trHeight w:val="1080"/>
        </w:trPr>
        <w:tc>
          <w:tcPr>
            <w:tcW w:w="4621" w:type="dxa"/>
            <w:tcBorders>
              <w:top w:val="single" w:sz="4" w:space="0" w:color="000000"/>
              <w:left w:val="single" w:sz="4" w:space="0" w:color="000000"/>
              <w:bottom w:val="single" w:sz="4" w:space="0" w:color="000000"/>
              <w:right w:val="single" w:sz="4" w:space="0" w:color="000000"/>
            </w:tcBorders>
          </w:tcPr>
          <w:p w14:paraId="62B023B7" w14:textId="77777777" w:rsidR="0045673A" w:rsidRDefault="00E17DF3">
            <w:pPr>
              <w:spacing w:after="0" w:line="259" w:lineRule="auto"/>
              <w:ind w:left="0" w:right="4" w:firstLine="0"/>
              <w:jc w:val="left"/>
            </w:pPr>
            <w:r>
              <w:t xml:space="preserve">The SFDR has had indirect positive effects by increasing pressure on investee companies to act in a more sustainable manner. </w:t>
            </w:r>
          </w:p>
        </w:tc>
        <w:tc>
          <w:tcPr>
            <w:tcW w:w="504" w:type="dxa"/>
            <w:tcBorders>
              <w:top w:val="single" w:sz="4" w:space="0" w:color="000000"/>
              <w:left w:val="single" w:sz="4" w:space="0" w:color="000000"/>
              <w:bottom w:val="single" w:sz="4" w:space="0" w:color="000000"/>
              <w:right w:val="single" w:sz="4" w:space="0" w:color="000000"/>
            </w:tcBorders>
          </w:tcPr>
          <w:p w14:paraId="1A57185F"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1A4EB5C7" w14:textId="77777777" w:rsidR="0045673A" w:rsidRDefault="00E17DF3">
            <w:pPr>
              <w:spacing w:after="0" w:line="259" w:lineRule="auto"/>
              <w:ind w:left="2"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58A04EC9" w14:textId="7405EC85" w:rsidR="0045673A" w:rsidRPr="006C2C8E" w:rsidRDefault="00E17DF3">
            <w:pPr>
              <w:spacing w:after="0" w:line="259" w:lineRule="auto"/>
              <w:ind w:left="2" w:firstLine="0"/>
              <w:jc w:val="left"/>
              <w:rPr>
                <w:bCs/>
              </w:rPr>
            </w:pPr>
            <w:r>
              <w:rPr>
                <w:b/>
              </w:rPr>
              <w:t xml:space="preserve"> </w:t>
            </w:r>
            <w:r w:rsidR="006C2C8E">
              <w:rPr>
                <w:bCs/>
              </w:rPr>
              <w:t>X</w:t>
            </w:r>
          </w:p>
        </w:tc>
        <w:tc>
          <w:tcPr>
            <w:tcW w:w="507" w:type="dxa"/>
            <w:tcBorders>
              <w:top w:val="single" w:sz="4" w:space="0" w:color="000000"/>
              <w:left w:val="single" w:sz="4" w:space="0" w:color="000000"/>
              <w:bottom w:val="single" w:sz="4" w:space="0" w:color="000000"/>
              <w:right w:val="single" w:sz="4" w:space="0" w:color="000000"/>
            </w:tcBorders>
          </w:tcPr>
          <w:p w14:paraId="18FB5767" w14:textId="52FFF05E"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7D54D0D9" w14:textId="4035171E" w:rsidR="0045673A" w:rsidRDefault="00E17DF3">
            <w:pPr>
              <w:spacing w:after="0" w:line="259" w:lineRule="auto"/>
              <w:ind w:left="0" w:firstLine="0"/>
              <w:jc w:val="left"/>
            </w:pPr>
            <w:r>
              <w:rPr>
                <w:b/>
              </w:rPr>
              <w:t xml:space="preserve"> </w:t>
            </w:r>
          </w:p>
        </w:tc>
        <w:tc>
          <w:tcPr>
            <w:tcW w:w="1190" w:type="dxa"/>
            <w:tcBorders>
              <w:top w:val="single" w:sz="4" w:space="0" w:color="000000"/>
              <w:left w:val="single" w:sz="4" w:space="0" w:color="000000"/>
              <w:bottom w:val="single" w:sz="4" w:space="0" w:color="000000"/>
              <w:right w:val="single" w:sz="4" w:space="0" w:color="000000"/>
            </w:tcBorders>
          </w:tcPr>
          <w:p w14:paraId="39DD0B25" w14:textId="77777777" w:rsidR="0045673A" w:rsidRDefault="00E17DF3">
            <w:pPr>
              <w:spacing w:after="0" w:line="259" w:lineRule="auto"/>
              <w:ind w:left="0" w:firstLine="0"/>
              <w:jc w:val="left"/>
            </w:pPr>
            <w:r>
              <w:rPr>
                <w:b/>
              </w:rPr>
              <w:t xml:space="preserve"> </w:t>
            </w:r>
          </w:p>
        </w:tc>
      </w:tr>
    </w:tbl>
    <w:p w14:paraId="7F5CFC3D"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2D45BC0E" w14:textId="77777777" w:rsidR="0045673A" w:rsidRDefault="00E17DF3">
      <w:pPr>
        <w:spacing w:after="223"/>
        <w:ind w:right="643"/>
      </w:pPr>
      <w:r>
        <w:t>We would also like to know more about potential issues stakeholders might have encountered regarding the concepts that the SFDR establishes and the disclosures it requires.</w:t>
      </w:r>
      <w:r>
        <w:rPr>
          <w:b/>
        </w:rPr>
        <w:t xml:space="preserve"> </w:t>
      </w:r>
    </w:p>
    <w:p w14:paraId="674C1D5B" w14:textId="77777777" w:rsidR="0045673A" w:rsidRDefault="00E17DF3">
      <w:pPr>
        <w:ind w:right="643"/>
      </w:pPr>
      <w:r>
        <w:rPr>
          <w:b/>
          <w:u w:val="single" w:color="000000"/>
        </w:rPr>
        <w:t>Question 1.6</w:t>
      </w:r>
      <w:r>
        <w:t xml:space="preserve">: To what extent do you agree or disagree with the following statements? </w:t>
      </w:r>
    </w:p>
    <w:tbl>
      <w:tblPr>
        <w:tblW w:w="8296" w:type="dxa"/>
        <w:tblCellMar>
          <w:top w:w="19" w:type="dxa"/>
          <w:right w:w="49" w:type="dxa"/>
        </w:tblCellMar>
        <w:tblLook w:val="04A0" w:firstRow="1" w:lastRow="0" w:firstColumn="1" w:lastColumn="0" w:noHBand="0" w:noVBand="1"/>
      </w:tblPr>
      <w:tblGrid>
        <w:gridCol w:w="4773"/>
        <w:gridCol w:w="554"/>
        <w:gridCol w:w="557"/>
        <w:gridCol w:w="557"/>
        <w:gridCol w:w="554"/>
        <w:gridCol w:w="557"/>
        <w:gridCol w:w="744"/>
      </w:tblGrid>
      <w:tr w:rsidR="0045673A" w14:paraId="4913B192" w14:textId="77777777" w:rsidTr="007620C0">
        <w:trPr>
          <w:trHeight w:val="1366"/>
        </w:trPr>
        <w:tc>
          <w:tcPr>
            <w:tcW w:w="4773" w:type="dxa"/>
            <w:tcBorders>
              <w:top w:val="single" w:sz="8" w:space="0" w:color="000000"/>
              <w:left w:val="single" w:sz="8" w:space="0" w:color="000000"/>
              <w:bottom w:val="single" w:sz="8" w:space="0" w:color="000000"/>
              <w:right w:val="single" w:sz="8" w:space="0" w:color="000000"/>
            </w:tcBorders>
          </w:tcPr>
          <w:p w14:paraId="6E0F15B4" w14:textId="77777777" w:rsidR="0045673A" w:rsidRDefault="00E17DF3">
            <w:pPr>
              <w:spacing w:after="0" w:line="259" w:lineRule="auto"/>
              <w:ind w:left="0" w:firstLine="0"/>
              <w:jc w:val="left"/>
            </w:pPr>
            <w:r>
              <w:t xml:space="preserve">   </w:t>
            </w:r>
          </w:p>
        </w:tc>
        <w:tc>
          <w:tcPr>
            <w:tcW w:w="554" w:type="dxa"/>
            <w:tcBorders>
              <w:top w:val="single" w:sz="8" w:space="0" w:color="000000"/>
              <w:left w:val="single" w:sz="8" w:space="0" w:color="000000"/>
              <w:bottom w:val="single" w:sz="8" w:space="0" w:color="000000"/>
              <w:right w:val="single" w:sz="8" w:space="0" w:color="000000"/>
            </w:tcBorders>
          </w:tcPr>
          <w:p w14:paraId="53C09EF0" w14:textId="77777777" w:rsidR="0045673A" w:rsidRDefault="00E17DF3">
            <w:pPr>
              <w:spacing w:after="0" w:line="259" w:lineRule="auto"/>
              <w:ind w:left="0" w:right="61" w:firstLine="0"/>
              <w:jc w:val="center"/>
            </w:pPr>
            <w:r>
              <w:t xml:space="preserve">1 </w:t>
            </w:r>
          </w:p>
        </w:tc>
        <w:tc>
          <w:tcPr>
            <w:tcW w:w="557" w:type="dxa"/>
            <w:tcBorders>
              <w:top w:val="single" w:sz="8" w:space="0" w:color="000000"/>
              <w:left w:val="single" w:sz="8" w:space="0" w:color="000000"/>
              <w:bottom w:val="single" w:sz="8" w:space="0" w:color="000000"/>
              <w:right w:val="single" w:sz="8" w:space="0" w:color="000000"/>
            </w:tcBorders>
          </w:tcPr>
          <w:p w14:paraId="1F9E4378" w14:textId="77777777" w:rsidR="0045673A" w:rsidRDefault="00E17DF3">
            <w:pPr>
              <w:spacing w:after="0" w:line="259" w:lineRule="auto"/>
              <w:ind w:left="0" w:right="59" w:firstLine="0"/>
              <w:jc w:val="center"/>
            </w:pPr>
            <w:r>
              <w:t xml:space="preserve">2 </w:t>
            </w:r>
          </w:p>
        </w:tc>
        <w:tc>
          <w:tcPr>
            <w:tcW w:w="557" w:type="dxa"/>
            <w:tcBorders>
              <w:top w:val="single" w:sz="8" w:space="0" w:color="000000"/>
              <w:left w:val="single" w:sz="8" w:space="0" w:color="000000"/>
              <w:bottom w:val="single" w:sz="8" w:space="0" w:color="000000"/>
              <w:right w:val="single" w:sz="8" w:space="0" w:color="000000"/>
            </w:tcBorders>
          </w:tcPr>
          <w:p w14:paraId="158F03C0" w14:textId="77777777" w:rsidR="0045673A" w:rsidRDefault="00E17DF3">
            <w:pPr>
              <w:spacing w:after="0" w:line="259" w:lineRule="auto"/>
              <w:ind w:left="0" w:right="59" w:firstLine="0"/>
              <w:jc w:val="center"/>
            </w:pPr>
            <w:r>
              <w:t xml:space="preserve">3 </w:t>
            </w:r>
          </w:p>
        </w:tc>
        <w:tc>
          <w:tcPr>
            <w:tcW w:w="554" w:type="dxa"/>
            <w:tcBorders>
              <w:top w:val="single" w:sz="8" w:space="0" w:color="000000"/>
              <w:left w:val="single" w:sz="8" w:space="0" w:color="000000"/>
              <w:bottom w:val="single" w:sz="8" w:space="0" w:color="000000"/>
              <w:right w:val="single" w:sz="8" w:space="0" w:color="000000"/>
            </w:tcBorders>
          </w:tcPr>
          <w:p w14:paraId="2A8F9639" w14:textId="77777777" w:rsidR="0045673A" w:rsidRDefault="00E17DF3">
            <w:pPr>
              <w:spacing w:after="0" w:line="259" w:lineRule="auto"/>
              <w:ind w:left="0" w:right="56" w:firstLine="0"/>
              <w:jc w:val="center"/>
            </w:pPr>
            <w:r>
              <w:t xml:space="preserve">4 </w:t>
            </w:r>
          </w:p>
        </w:tc>
        <w:tc>
          <w:tcPr>
            <w:tcW w:w="557" w:type="dxa"/>
            <w:tcBorders>
              <w:top w:val="single" w:sz="8" w:space="0" w:color="000000"/>
              <w:left w:val="single" w:sz="8" w:space="0" w:color="000000"/>
              <w:bottom w:val="single" w:sz="8" w:space="0" w:color="000000"/>
              <w:right w:val="single" w:sz="8" w:space="0" w:color="000000"/>
            </w:tcBorders>
          </w:tcPr>
          <w:p w14:paraId="6182C865" w14:textId="77777777" w:rsidR="0045673A" w:rsidRDefault="00E17DF3">
            <w:pPr>
              <w:spacing w:after="0" w:line="259" w:lineRule="auto"/>
              <w:ind w:left="0" w:right="59" w:firstLine="0"/>
              <w:jc w:val="center"/>
            </w:pPr>
            <w:r>
              <w:t xml:space="preserve">5 </w:t>
            </w:r>
          </w:p>
        </w:tc>
        <w:tc>
          <w:tcPr>
            <w:tcW w:w="744" w:type="dxa"/>
            <w:tcBorders>
              <w:top w:val="single" w:sz="8" w:space="0" w:color="000000"/>
              <w:left w:val="single" w:sz="8" w:space="0" w:color="000000"/>
              <w:bottom w:val="single" w:sz="8" w:space="0" w:color="000000"/>
              <w:right w:val="single" w:sz="8" w:space="0" w:color="000000"/>
            </w:tcBorders>
          </w:tcPr>
          <w:p w14:paraId="714EB3AA" w14:textId="77777777" w:rsidR="0045673A" w:rsidRDefault="00E17DF3">
            <w:pPr>
              <w:spacing w:after="0" w:line="238" w:lineRule="auto"/>
              <w:ind w:left="0" w:right="44" w:firstLine="0"/>
              <w:jc w:val="center"/>
            </w:pPr>
            <w:r>
              <w:t xml:space="preserve">Don’ t </w:t>
            </w:r>
          </w:p>
          <w:p w14:paraId="734F6CF4" w14:textId="77777777" w:rsidR="0045673A" w:rsidRDefault="00E17DF3">
            <w:pPr>
              <w:spacing w:after="0" w:line="259" w:lineRule="auto"/>
              <w:ind w:left="0" w:right="56" w:firstLine="0"/>
              <w:jc w:val="center"/>
            </w:pPr>
            <w:r>
              <w:t xml:space="preserve">kno w </w:t>
            </w:r>
          </w:p>
        </w:tc>
      </w:tr>
      <w:tr w:rsidR="0045673A" w14:paraId="1E65C6C9" w14:textId="77777777" w:rsidTr="007620C0">
        <w:trPr>
          <w:trHeight w:val="811"/>
        </w:trPr>
        <w:tc>
          <w:tcPr>
            <w:tcW w:w="4773" w:type="dxa"/>
            <w:tcBorders>
              <w:top w:val="single" w:sz="8" w:space="0" w:color="000000"/>
              <w:left w:val="single" w:sz="8" w:space="0" w:color="000000"/>
              <w:bottom w:val="single" w:sz="8" w:space="0" w:color="000000"/>
              <w:right w:val="single" w:sz="8" w:space="0" w:color="000000"/>
            </w:tcBorders>
          </w:tcPr>
          <w:p w14:paraId="138FFB4B" w14:textId="77777777" w:rsidR="0045673A" w:rsidRDefault="00E17DF3">
            <w:pPr>
              <w:spacing w:after="0" w:line="259" w:lineRule="auto"/>
              <w:ind w:left="0" w:firstLine="0"/>
            </w:pPr>
            <w:r>
              <w:t xml:space="preserve">Some disclosures required by the SFDR are not sufficiently useful to investors </w:t>
            </w:r>
          </w:p>
        </w:tc>
        <w:tc>
          <w:tcPr>
            <w:tcW w:w="554" w:type="dxa"/>
            <w:tcBorders>
              <w:top w:val="single" w:sz="8" w:space="0" w:color="000000"/>
              <w:left w:val="single" w:sz="8" w:space="0" w:color="000000"/>
              <w:bottom w:val="single" w:sz="8" w:space="0" w:color="000000"/>
              <w:right w:val="single" w:sz="8" w:space="0" w:color="000000"/>
            </w:tcBorders>
          </w:tcPr>
          <w:p w14:paraId="15A82A24" w14:textId="77777777" w:rsidR="0045673A" w:rsidRDefault="00E17DF3">
            <w:pPr>
              <w:spacing w:after="0" w:line="259" w:lineRule="auto"/>
              <w:ind w:left="0" w:right="1"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6F655BE6" w14:textId="77777777" w:rsidR="0045673A" w:rsidRDefault="00E17DF3">
            <w:pPr>
              <w:spacing w:after="0" w:line="259" w:lineRule="auto"/>
              <w:ind w:left="1"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1E8388EF" w14:textId="77777777" w:rsidR="0045673A" w:rsidRDefault="00E17DF3">
            <w:pPr>
              <w:spacing w:after="0" w:line="259" w:lineRule="auto"/>
              <w:ind w:left="1" w:firstLine="0"/>
              <w:jc w:val="center"/>
            </w:pPr>
            <w:r>
              <w:t xml:space="preserve"> </w:t>
            </w:r>
          </w:p>
        </w:tc>
        <w:tc>
          <w:tcPr>
            <w:tcW w:w="554" w:type="dxa"/>
            <w:tcBorders>
              <w:top w:val="single" w:sz="8" w:space="0" w:color="000000"/>
              <w:left w:val="single" w:sz="8" w:space="0" w:color="000000"/>
              <w:bottom w:val="single" w:sz="8" w:space="0" w:color="000000"/>
              <w:right w:val="single" w:sz="8" w:space="0" w:color="000000"/>
            </w:tcBorders>
          </w:tcPr>
          <w:p w14:paraId="3728EE66" w14:textId="64A3925F" w:rsidR="0045673A" w:rsidRDefault="004B51FA">
            <w:pPr>
              <w:spacing w:after="0" w:line="259" w:lineRule="auto"/>
              <w:ind w:left="4" w:firstLine="0"/>
              <w:jc w:val="center"/>
            </w:pPr>
            <w:r>
              <w:t>X</w:t>
            </w:r>
            <w:r w:rsidR="00E17DF3">
              <w:t xml:space="preserve"> </w:t>
            </w:r>
          </w:p>
        </w:tc>
        <w:tc>
          <w:tcPr>
            <w:tcW w:w="557" w:type="dxa"/>
            <w:tcBorders>
              <w:top w:val="single" w:sz="8" w:space="0" w:color="000000"/>
              <w:left w:val="single" w:sz="8" w:space="0" w:color="000000"/>
              <w:bottom w:val="single" w:sz="8" w:space="0" w:color="000000"/>
              <w:right w:val="single" w:sz="8" w:space="0" w:color="000000"/>
            </w:tcBorders>
          </w:tcPr>
          <w:p w14:paraId="384E9406" w14:textId="40B7C23E" w:rsidR="0045673A" w:rsidRDefault="00E17DF3">
            <w:pPr>
              <w:spacing w:after="0" w:line="259" w:lineRule="auto"/>
              <w:ind w:left="1" w:firstLine="0"/>
              <w:jc w:val="center"/>
            </w:pPr>
            <w:r>
              <w:t xml:space="preserve"> </w:t>
            </w:r>
          </w:p>
        </w:tc>
        <w:tc>
          <w:tcPr>
            <w:tcW w:w="744" w:type="dxa"/>
            <w:tcBorders>
              <w:top w:val="single" w:sz="8" w:space="0" w:color="000000"/>
              <w:left w:val="single" w:sz="8" w:space="0" w:color="000000"/>
              <w:bottom w:val="single" w:sz="8" w:space="0" w:color="000000"/>
              <w:right w:val="single" w:sz="8" w:space="0" w:color="000000"/>
            </w:tcBorders>
          </w:tcPr>
          <w:p w14:paraId="39918345" w14:textId="77777777" w:rsidR="0045673A" w:rsidRDefault="00E17DF3">
            <w:pPr>
              <w:spacing w:after="0" w:line="259" w:lineRule="auto"/>
              <w:ind w:left="1" w:firstLine="0"/>
              <w:jc w:val="center"/>
            </w:pPr>
            <w:r>
              <w:t xml:space="preserve"> </w:t>
            </w:r>
          </w:p>
        </w:tc>
      </w:tr>
      <w:tr w:rsidR="0045673A" w14:paraId="16EFC65E" w14:textId="77777777" w:rsidTr="007620C0">
        <w:trPr>
          <w:trHeight w:val="1088"/>
        </w:trPr>
        <w:tc>
          <w:tcPr>
            <w:tcW w:w="4773" w:type="dxa"/>
            <w:tcBorders>
              <w:top w:val="single" w:sz="8" w:space="0" w:color="000000"/>
              <w:left w:val="single" w:sz="8" w:space="0" w:color="000000"/>
              <w:bottom w:val="single" w:sz="8" w:space="0" w:color="000000"/>
              <w:right w:val="single" w:sz="8" w:space="0" w:color="000000"/>
            </w:tcBorders>
          </w:tcPr>
          <w:p w14:paraId="4187C2E5" w14:textId="77777777" w:rsidR="0045673A" w:rsidRDefault="00E17DF3">
            <w:pPr>
              <w:spacing w:after="0" w:line="259" w:lineRule="auto"/>
              <w:ind w:left="0" w:right="59" w:firstLine="0"/>
            </w:pPr>
            <w:r>
              <w:t xml:space="preserve">Some legal requirements and concepts in the SFDR, such as ‘sustainable investment’, are not sufficiently clear </w:t>
            </w:r>
          </w:p>
        </w:tc>
        <w:tc>
          <w:tcPr>
            <w:tcW w:w="554" w:type="dxa"/>
            <w:tcBorders>
              <w:top w:val="single" w:sz="8" w:space="0" w:color="000000"/>
              <w:left w:val="single" w:sz="8" w:space="0" w:color="000000"/>
              <w:bottom w:val="single" w:sz="8" w:space="0" w:color="000000"/>
              <w:right w:val="single" w:sz="8" w:space="0" w:color="000000"/>
            </w:tcBorders>
          </w:tcPr>
          <w:p w14:paraId="104C95AC" w14:textId="77777777" w:rsidR="0045673A" w:rsidRDefault="00E17DF3">
            <w:pPr>
              <w:spacing w:after="0" w:line="259" w:lineRule="auto"/>
              <w:ind w:left="0" w:right="1"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6516B017" w14:textId="77777777" w:rsidR="0045673A" w:rsidRDefault="00E17DF3">
            <w:pPr>
              <w:spacing w:after="0" w:line="259" w:lineRule="auto"/>
              <w:ind w:left="1"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326E3C92" w14:textId="72333C25" w:rsidR="0045673A" w:rsidRDefault="00C16A75">
            <w:pPr>
              <w:spacing w:after="0" w:line="259" w:lineRule="auto"/>
              <w:ind w:left="1" w:firstLine="0"/>
              <w:jc w:val="center"/>
            </w:pPr>
            <w:r>
              <w:t xml:space="preserve"> </w:t>
            </w:r>
            <w:r w:rsidR="00E17DF3">
              <w:t xml:space="preserve"> </w:t>
            </w:r>
          </w:p>
        </w:tc>
        <w:tc>
          <w:tcPr>
            <w:tcW w:w="554" w:type="dxa"/>
            <w:tcBorders>
              <w:top w:val="single" w:sz="8" w:space="0" w:color="000000"/>
              <w:left w:val="single" w:sz="8" w:space="0" w:color="000000"/>
              <w:bottom w:val="single" w:sz="8" w:space="0" w:color="000000"/>
              <w:right w:val="single" w:sz="8" w:space="0" w:color="000000"/>
            </w:tcBorders>
          </w:tcPr>
          <w:p w14:paraId="4A167B30" w14:textId="77842793" w:rsidR="0045673A" w:rsidRDefault="0045673A">
            <w:pPr>
              <w:spacing w:after="0" w:line="259" w:lineRule="auto"/>
              <w:ind w:left="4" w:firstLine="0"/>
              <w:jc w:val="center"/>
            </w:pPr>
          </w:p>
        </w:tc>
        <w:tc>
          <w:tcPr>
            <w:tcW w:w="557" w:type="dxa"/>
            <w:tcBorders>
              <w:top w:val="single" w:sz="8" w:space="0" w:color="000000"/>
              <w:left w:val="single" w:sz="8" w:space="0" w:color="000000"/>
              <w:bottom w:val="single" w:sz="8" w:space="0" w:color="000000"/>
              <w:right w:val="single" w:sz="8" w:space="0" w:color="000000"/>
            </w:tcBorders>
          </w:tcPr>
          <w:p w14:paraId="5B80CB95" w14:textId="2605F3C6" w:rsidR="0045673A" w:rsidRDefault="004B51FA">
            <w:pPr>
              <w:spacing w:after="0" w:line="259" w:lineRule="auto"/>
              <w:ind w:left="1" w:firstLine="0"/>
              <w:jc w:val="center"/>
            </w:pPr>
            <w:r>
              <w:t>X</w:t>
            </w:r>
            <w:r w:rsidR="00E17DF3">
              <w:t xml:space="preserve"> </w:t>
            </w:r>
          </w:p>
        </w:tc>
        <w:tc>
          <w:tcPr>
            <w:tcW w:w="744" w:type="dxa"/>
            <w:tcBorders>
              <w:top w:val="single" w:sz="8" w:space="0" w:color="000000"/>
              <w:left w:val="single" w:sz="8" w:space="0" w:color="000000"/>
              <w:bottom w:val="single" w:sz="8" w:space="0" w:color="000000"/>
              <w:right w:val="single" w:sz="8" w:space="0" w:color="000000"/>
            </w:tcBorders>
          </w:tcPr>
          <w:p w14:paraId="770F0996" w14:textId="77777777" w:rsidR="0045673A" w:rsidRDefault="00E17DF3">
            <w:pPr>
              <w:spacing w:after="0" w:line="259" w:lineRule="auto"/>
              <w:ind w:left="1" w:firstLine="0"/>
              <w:jc w:val="center"/>
            </w:pPr>
            <w:r>
              <w:t xml:space="preserve"> </w:t>
            </w:r>
          </w:p>
        </w:tc>
      </w:tr>
      <w:tr w:rsidR="0045673A" w14:paraId="4FBE6773" w14:textId="77777777" w:rsidTr="007620C0">
        <w:trPr>
          <w:trHeight w:val="1090"/>
        </w:trPr>
        <w:tc>
          <w:tcPr>
            <w:tcW w:w="4773" w:type="dxa"/>
            <w:tcBorders>
              <w:top w:val="single" w:sz="8" w:space="0" w:color="000000"/>
              <w:left w:val="single" w:sz="8" w:space="0" w:color="000000"/>
              <w:bottom w:val="single" w:sz="8" w:space="0" w:color="000000"/>
              <w:right w:val="single" w:sz="8" w:space="0" w:color="000000"/>
            </w:tcBorders>
          </w:tcPr>
          <w:p w14:paraId="0799B5D4" w14:textId="77777777" w:rsidR="0045673A" w:rsidRDefault="00E17DF3">
            <w:pPr>
              <w:spacing w:after="0" w:line="259" w:lineRule="auto"/>
              <w:ind w:left="0" w:right="62" w:firstLine="0"/>
            </w:pPr>
            <w:r>
              <w:t xml:space="preserve">The SFDR is not used as a disclosure framework as intended, but as a labelling and marketing tool (in particular Articles 8 and 9)  </w:t>
            </w:r>
          </w:p>
        </w:tc>
        <w:tc>
          <w:tcPr>
            <w:tcW w:w="554" w:type="dxa"/>
            <w:tcBorders>
              <w:top w:val="single" w:sz="8" w:space="0" w:color="000000"/>
              <w:left w:val="single" w:sz="8" w:space="0" w:color="000000"/>
              <w:bottom w:val="single" w:sz="8" w:space="0" w:color="000000"/>
              <w:right w:val="single" w:sz="8" w:space="0" w:color="000000"/>
            </w:tcBorders>
          </w:tcPr>
          <w:p w14:paraId="2EE149E7" w14:textId="77777777" w:rsidR="0045673A" w:rsidRDefault="00E17DF3">
            <w:pPr>
              <w:spacing w:after="0" w:line="259" w:lineRule="auto"/>
              <w:ind w:left="0" w:right="1"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13DCEC20" w14:textId="77777777" w:rsidR="0045673A" w:rsidRDefault="00E17DF3">
            <w:pPr>
              <w:spacing w:after="0" w:line="259" w:lineRule="auto"/>
              <w:ind w:left="1"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1D5B4CDC" w14:textId="740CDB0C" w:rsidR="0045673A" w:rsidRDefault="00E17DF3">
            <w:pPr>
              <w:spacing w:after="0" w:line="259" w:lineRule="auto"/>
              <w:ind w:left="1" w:firstLine="0"/>
              <w:jc w:val="center"/>
            </w:pPr>
            <w:r>
              <w:t xml:space="preserve"> </w:t>
            </w:r>
          </w:p>
        </w:tc>
        <w:tc>
          <w:tcPr>
            <w:tcW w:w="554" w:type="dxa"/>
            <w:tcBorders>
              <w:top w:val="single" w:sz="8" w:space="0" w:color="000000"/>
              <w:left w:val="single" w:sz="8" w:space="0" w:color="000000"/>
              <w:bottom w:val="single" w:sz="8" w:space="0" w:color="000000"/>
              <w:right w:val="single" w:sz="8" w:space="0" w:color="000000"/>
            </w:tcBorders>
          </w:tcPr>
          <w:p w14:paraId="52A06777" w14:textId="69F53FBD" w:rsidR="0045673A" w:rsidRDefault="00E17DF3">
            <w:pPr>
              <w:spacing w:after="0" w:line="259" w:lineRule="auto"/>
              <w:ind w:left="4"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6EAE2E5F" w14:textId="502751A1" w:rsidR="0045673A" w:rsidRDefault="004B51FA">
            <w:pPr>
              <w:spacing w:after="0" w:line="259" w:lineRule="auto"/>
              <w:ind w:left="1" w:firstLine="0"/>
              <w:jc w:val="center"/>
            </w:pPr>
            <w:r>
              <w:t>X</w:t>
            </w:r>
            <w:r w:rsidR="00E17DF3">
              <w:t xml:space="preserve"> </w:t>
            </w:r>
          </w:p>
        </w:tc>
        <w:tc>
          <w:tcPr>
            <w:tcW w:w="744" w:type="dxa"/>
            <w:tcBorders>
              <w:top w:val="single" w:sz="8" w:space="0" w:color="000000"/>
              <w:left w:val="single" w:sz="8" w:space="0" w:color="000000"/>
              <w:bottom w:val="single" w:sz="8" w:space="0" w:color="000000"/>
              <w:right w:val="single" w:sz="8" w:space="0" w:color="000000"/>
            </w:tcBorders>
          </w:tcPr>
          <w:p w14:paraId="2B35F32A" w14:textId="77777777" w:rsidR="0045673A" w:rsidRDefault="00E17DF3">
            <w:pPr>
              <w:spacing w:after="0" w:line="259" w:lineRule="auto"/>
              <w:ind w:left="1" w:firstLine="0"/>
              <w:jc w:val="center"/>
            </w:pPr>
            <w:r>
              <w:t xml:space="preserve"> </w:t>
            </w:r>
          </w:p>
        </w:tc>
      </w:tr>
      <w:tr w:rsidR="0045673A" w14:paraId="0274DF6C" w14:textId="77777777" w:rsidTr="007620C0">
        <w:trPr>
          <w:trHeight w:val="1087"/>
        </w:trPr>
        <w:tc>
          <w:tcPr>
            <w:tcW w:w="4773" w:type="dxa"/>
            <w:tcBorders>
              <w:top w:val="single" w:sz="8" w:space="0" w:color="000000"/>
              <w:left w:val="single" w:sz="8" w:space="0" w:color="000000"/>
              <w:bottom w:val="single" w:sz="8" w:space="0" w:color="000000"/>
              <w:right w:val="single" w:sz="8" w:space="0" w:color="000000"/>
            </w:tcBorders>
          </w:tcPr>
          <w:p w14:paraId="569394C5" w14:textId="77777777" w:rsidR="0045673A" w:rsidRDefault="00E17DF3">
            <w:pPr>
              <w:spacing w:after="0" w:line="259" w:lineRule="auto"/>
              <w:ind w:left="0" w:right="61" w:firstLine="0"/>
            </w:pPr>
            <w:r>
              <w:t xml:space="preserve">Data gaps make it challenging for market participants to disclose fully in line with the legal requirements under the SFDR  </w:t>
            </w:r>
          </w:p>
        </w:tc>
        <w:tc>
          <w:tcPr>
            <w:tcW w:w="554" w:type="dxa"/>
            <w:tcBorders>
              <w:top w:val="single" w:sz="8" w:space="0" w:color="000000"/>
              <w:left w:val="single" w:sz="8" w:space="0" w:color="000000"/>
              <w:bottom w:val="single" w:sz="8" w:space="0" w:color="000000"/>
              <w:right w:val="single" w:sz="8" w:space="0" w:color="000000"/>
            </w:tcBorders>
          </w:tcPr>
          <w:p w14:paraId="76BF3C47" w14:textId="619916FF" w:rsidR="0045673A" w:rsidRDefault="00E17DF3">
            <w:pPr>
              <w:spacing w:after="0" w:line="259" w:lineRule="auto"/>
              <w:ind w:left="0" w:right="1"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21787385" w14:textId="77777777" w:rsidR="0045673A" w:rsidRDefault="00E17DF3">
            <w:pPr>
              <w:spacing w:after="0" w:line="259" w:lineRule="auto"/>
              <w:ind w:left="1"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24F47562" w14:textId="77777777" w:rsidR="0045673A" w:rsidRDefault="00E17DF3">
            <w:pPr>
              <w:spacing w:after="0" w:line="259" w:lineRule="auto"/>
              <w:ind w:left="1" w:firstLine="0"/>
              <w:jc w:val="center"/>
            </w:pPr>
            <w:r>
              <w:t xml:space="preserve"> </w:t>
            </w:r>
          </w:p>
        </w:tc>
        <w:tc>
          <w:tcPr>
            <w:tcW w:w="554" w:type="dxa"/>
            <w:tcBorders>
              <w:top w:val="single" w:sz="8" w:space="0" w:color="000000"/>
              <w:left w:val="single" w:sz="8" w:space="0" w:color="000000"/>
              <w:bottom w:val="single" w:sz="8" w:space="0" w:color="000000"/>
              <w:right w:val="single" w:sz="8" w:space="0" w:color="000000"/>
            </w:tcBorders>
          </w:tcPr>
          <w:p w14:paraId="5147EFB1" w14:textId="77777777" w:rsidR="0045673A" w:rsidRDefault="00E17DF3">
            <w:pPr>
              <w:spacing w:after="0" w:line="259" w:lineRule="auto"/>
              <w:ind w:left="4"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4FC330E4" w14:textId="691E46D1" w:rsidR="0045673A" w:rsidRDefault="00697708">
            <w:pPr>
              <w:spacing w:after="0" w:line="259" w:lineRule="auto"/>
              <w:ind w:left="1" w:firstLine="0"/>
              <w:jc w:val="center"/>
            </w:pPr>
            <w:r>
              <w:t>X</w:t>
            </w:r>
            <w:r w:rsidR="00E17DF3">
              <w:t xml:space="preserve"> </w:t>
            </w:r>
          </w:p>
        </w:tc>
        <w:tc>
          <w:tcPr>
            <w:tcW w:w="744" w:type="dxa"/>
            <w:tcBorders>
              <w:top w:val="single" w:sz="8" w:space="0" w:color="000000"/>
              <w:left w:val="single" w:sz="8" w:space="0" w:color="000000"/>
              <w:bottom w:val="single" w:sz="8" w:space="0" w:color="000000"/>
              <w:right w:val="single" w:sz="8" w:space="0" w:color="000000"/>
            </w:tcBorders>
          </w:tcPr>
          <w:p w14:paraId="0E3781A2" w14:textId="77777777" w:rsidR="0045673A" w:rsidRDefault="00E17DF3">
            <w:pPr>
              <w:spacing w:after="0" w:line="259" w:lineRule="auto"/>
              <w:ind w:left="1" w:firstLine="0"/>
              <w:jc w:val="center"/>
            </w:pPr>
            <w:r>
              <w:t xml:space="preserve"> </w:t>
            </w:r>
          </w:p>
        </w:tc>
      </w:tr>
      <w:tr w:rsidR="0045673A" w14:paraId="37D4DF1A" w14:textId="77777777" w:rsidTr="007620C0">
        <w:trPr>
          <w:trHeight w:val="850"/>
        </w:trPr>
        <w:tc>
          <w:tcPr>
            <w:tcW w:w="4773" w:type="dxa"/>
            <w:tcBorders>
              <w:top w:val="single" w:sz="8" w:space="0" w:color="000000"/>
              <w:left w:val="single" w:sz="8" w:space="0" w:color="000000"/>
              <w:bottom w:val="single" w:sz="8" w:space="0" w:color="000000"/>
              <w:right w:val="single" w:sz="8" w:space="0" w:color="000000"/>
            </w:tcBorders>
          </w:tcPr>
          <w:p w14:paraId="58ABF538" w14:textId="40A1DEBA" w:rsidR="0045673A" w:rsidRDefault="00E17DF3">
            <w:pPr>
              <w:spacing w:after="0" w:line="259" w:lineRule="auto"/>
              <w:ind w:left="0" w:right="61" w:firstLine="0"/>
            </w:pPr>
            <w:r>
              <w:t xml:space="preserve">Re-use of data for disclosures is hampered by a lack of a common machine-readable format that presents data in a way that makes it easy </w:t>
            </w:r>
            <w:r w:rsidR="007620C0">
              <w:t>to extract</w:t>
            </w:r>
          </w:p>
        </w:tc>
        <w:tc>
          <w:tcPr>
            <w:tcW w:w="554" w:type="dxa"/>
            <w:tcBorders>
              <w:top w:val="single" w:sz="8" w:space="0" w:color="000000"/>
              <w:left w:val="single" w:sz="8" w:space="0" w:color="000000"/>
              <w:bottom w:val="single" w:sz="8" w:space="0" w:color="000000"/>
              <w:right w:val="single" w:sz="8" w:space="0" w:color="000000"/>
            </w:tcBorders>
          </w:tcPr>
          <w:p w14:paraId="57EB4E05" w14:textId="77777777" w:rsidR="0045673A" w:rsidRDefault="00E17DF3">
            <w:pPr>
              <w:spacing w:after="0" w:line="259" w:lineRule="auto"/>
              <w:ind w:left="0" w:right="1"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791CFD24" w14:textId="77777777" w:rsidR="0045673A" w:rsidRDefault="00E17DF3">
            <w:pPr>
              <w:spacing w:after="0" w:line="259" w:lineRule="auto"/>
              <w:ind w:left="1"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68283A6C" w14:textId="77777777" w:rsidR="0045673A" w:rsidRDefault="00E17DF3">
            <w:pPr>
              <w:spacing w:after="0" w:line="259" w:lineRule="auto"/>
              <w:ind w:left="1" w:firstLine="0"/>
              <w:jc w:val="center"/>
            </w:pPr>
            <w:r>
              <w:t xml:space="preserve"> </w:t>
            </w:r>
          </w:p>
        </w:tc>
        <w:tc>
          <w:tcPr>
            <w:tcW w:w="554" w:type="dxa"/>
            <w:tcBorders>
              <w:top w:val="single" w:sz="8" w:space="0" w:color="000000"/>
              <w:left w:val="single" w:sz="8" w:space="0" w:color="000000"/>
              <w:bottom w:val="single" w:sz="8" w:space="0" w:color="000000"/>
              <w:right w:val="single" w:sz="8" w:space="0" w:color="000000"/>
            </w:tcBorders>
          </w:tcPr>
          <w:p w14:paraId="6A56343F" w14:textId="263B782B" w:rsidR="0045673A" w:rsidRDefault="00697708">
            <w:pPr>
              <w:spacing w:after="0" w:line="259" w:lineRule="auto"/>
              <w:ind w:left="4" w:firstLine="0"/>
              <w:jc w:val="center"/>
            </w:pPr>
            <w:r>
              <w:t>X</w:t>
            </w:r>
            <w:r w:rsidR="00E17DF3">
              <w:t xml:space="preserve"> </w:t>
            </w:r>
          </w:p>
        </w:tc>
        <w:tc>
          <w:tcPr>
            <w:tcW w:w="557" w:type="dxa"/>
            <w:tcBorders>
              <w:top w:val="single" w:sz="8" w:space="0" w:color="000000"/>
              <w:left w:val="single" w:sz="8" w:space="0" w:color="000000"/>
              <w:bottom w:val="single" w:sz="8" w:space="0" w:color="000000"/>
              <w:right w:val="single" w:sz="8" w:space="0" w:color="000000"/>
            </w:tcBorders>
          </w:tcPr>
          <w:p w14:paraId="081F4E20" w14:textId="77777777" w:rsidR="0045673A" w:rsidRDefault="00E17DF3">
            <w:pPr>
              <w:spacing w:after="0" w:line="259" w:lineRule="auto"/>
              <w:ind w:left="1" w:firstLine="0"/>
              <w:jc w:val="center"/>
            </w:pPr>
            <w:r>
              <w:t xml:space="preserve"> </w:t>
            </w:r>
          </w:p>
        </w:tc>
        <w:tc>
          <w:tcPr>
            <w:tcW w:w="744" w:type="dxa"/>
            <w:tcBorders>
              <w:top w:val="single" w:sz="8" w:space="0" w:color="000000"/>
              <w:left w:val="single" w:sz="8" w:space="0" w:color="000000"/>
              <w:bottom w:val="single" w:sz="8" w:space="0" w:color="000000"/>
              <w:right w:val="single" w:sz="8" w:space="0" w:color="000000"/>
            </w:tcBorders>
          </w:tcPr>
          <w:p w14:paraId="3404D10E" w14:textId="77777777" w:rsidR="0045673A" w:rsidRDefault="00E17DF3">
            <w:pPr>
              <w:spacing w:after="0" w:line="259" w:lineRule="auto"/>
              <w:ind w:left="1" w:firstLine="0"/>
              <w:jc w:val="center"/>
            </w:pPr>
            <w:r>
              <w:t xml:space="preserve"> </w:t>
            </w:r>
          </w:p>
        </w:tc>
      </w:tr>
      <w:tr w:rsidR="0045673A" w14:paraId="2FE3C0B7" w14:textId="77777777" w:rsidTr="007620C0">
        <w:trPr>
          <w:trHeight w:val="1090"/>
        </w:trPr>
        <w:tc>
          <w:tcPr>
            <w:tcW w:w="4773" w:type="dxa"/>
            <w:tcBorders>
              <w:top w:val="single" w:sz="8" w:space="0" w:color="000000"/>
              <w:left w:val="single" w:sz="8" w:space="0" w:color="000000"/>
              <w:bottom w:val="single" w:sz="8" w:space="0" w:color="000000"/>
              <w:right w:val="single" w:sz="8" w:space="0" w:color="000000"/>
            </w:tcBorders>
          </w:tcPr>
          <w:p w14:paraId="1B1D36C4" w14:textId="77777777" w:rsidR="0045673A" w:rsidRDefault="00E17DF3">
            <w:pPr>
              <w:spacing w:after="0" w:line="259" w:lineRule="auto"/>
              <w:ind w:left="0" w:right="58" w:firstLine="0"/>
            </w:pPr>
            <w:r>
              <w:t xml:space="preserve">There are other deficiencies with the SFDR rules (please specify in text box following question 1.7) </w:t>
            </w:r>
          </w:p>
        </w:tc>
        <w:tc>
          <w:tcPr>
            <w:tcW w:w="554" w:type="dxa"/>
            <w:tcBorders>
              <w:top w:val="single" w:sz="8" w:space="0" w:color="000000"/>
              <w:left w:val="single" w:sz="8" w:space="0" w:color="000000"/>
              <w:bottom w:val="single" w:sz="8" w:space="0" w:color="000000"/>
              <w:right w:val="single" w:sz="8" w:space="0" w:color="000000"/>
            </w:tcBorders>
          </w:tcPr>
          <w:p w14:paraId="4ACABC11" w14:textId="77777777" w:rsidR="0045673A" w:rsidRDefault="00E17DF3">
            <w:pPr>
              <w:spacing w:after="0" w:line="259" w:lineRule="auto"/>
              <w:ind w:left="0" w:right="1"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5E9DC139" w14:textId="77777777" w:rsidR="0045673A" w:rsidRDefault="00E17DF3">
            <w:pPr>
              <w:spacing w:after="0" w:line="259" w:lineRule="auto"/>
              <w:ind w:left="2"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650A9ADF" w14:textId="77777777" w:rsidR="0045673A" w:rsidRDefault="00E17DF3">
            <w:pPr>
              <w:spacing w:after="0" w:line="259" w:lineRule="auto"/>
              <w:ind w:left="1" w:firstLine="0"/>
              <w:jc w:val="center"/>
            </w:pPr>
            <w:r>
              <w:t xml:space="preserve"> </w:t>
            </w:r>
          </w:p>
        </w:tc>
        <w:tc>
          <w:tcPr>
            <w:tcW w:w="554" w:type="dxa"/>
            <w:tcBorders>
              <w:top w:val="single" w:sz="8" w:space="0" w:color="000000"/>
              <w:left w:val="single" w:sz="8" w:space="0" w:color="000000"/>
              <w:bottom w:val="single" w:sz="8" w:space="0" w:color="000000"/>
              <w:right w:val="single" w:sz="8" w:space="0" w:color="000000"/>
            </w:tcBorders>
          </w:tcPr>
          <w:p w14:paraId="62E43DD1" w14:textId="47F773C6" w:rsidR="0045673A" w:rsidRDefault="00E17DF3">
            <w:pPr>
              <w:spacing w:after="0" w:line="259" w:lineRule="auto"/>
              <w:ind w:left="4" w:firstLine="0"/>
              <w:jc w:val="center"/>
            </w:pPr>
            <w:r>
              <w:t xml:space="preserve"> </w:t>
            </w:r>
          </w:p>
        </w:tc>
        <w:tc>
          <w:tcPr>
            <w:tcW w:w="557" w:type="dxa"/>
            <w:tcBorders>
              <w:top w:val="single" w:sz="8" w:space="0" w:color="000000"/>
              <w:left w:val="single" w:sz="8" w:space="0" w:color="000000"/>
              <w:bottom w:val="single" w:sz="8" w:space="0" w:color="000000"/>
              <w:right w:val="single" w:sz="8" w:space="0" w:color="000000"/>
            </w:tcBorders>
          </w:tcPr>
          <w:p w14:paraId="69246ED6" w14:textId="7B2142E0" w:rsidR="0045673A" w:rsidRDefault="00697708">
            <w:pPr>
              <w:spacing w:after="0" w:line="259" w:lineRule="auto"/>
              <w:ind w:left="2" w:firstLine="0"/>
              <w:jc w:val="center"/>
            </w:pPr>
            <w:r>
              <w:t>X</w:t>
            </w:r>
          </w:p>
        </w:tc>
        <w:tc>
          <w:tcPr>
            <w:tcW w:w="744" w:type="dxa"/>
            <w:tcBorders>
              <w:top w:val="single" w:sz="8" w:space="0" w:color="000000"/>
              <w:left w:val="single" w:sz="8" w:space="0" w:color="000000"/>
              <w:bottom w:val="single" w:sz="8" w:space="0" w:color="000000"/>
              <w:right w:val="single" w:sz="8" w:space="0" w:color="000000"/>
            </w:tcBorders>
          </w:tcPr>
          <w:p w14:paraId="35BD07DF" w14:textId="77777777" w:rsidR="0045673A" w:rsidRDefault="00E17DF3">
            <w:pPr>
              <w:spacing w:after="0" w:line="259" w:lineRule="auto"/>
              <w:ind w:left="2" w:firstLine="0"/>
              <w:jc w:val="center"/>
            </w:pPr>
            <w:r>
              <w:t xml:space="preserve"> </w:t>
            </w:r>
          </w:p>
        </w:tc>
      </w:tr>
    </w:tbl>
    <w:p w14:paraId="4F6509FE" w14:textId="77777777" w:rsidR="0045673A" w:rsidRDefault="00E17DF3">
      <w:pPr>
        <w:spacing w:after="186" w:line="259" w:lineRule="auto"/>
        <w:ind w:left="108"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723D231F"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2E7951E7" w14:textId="77777777" w:rsidR="0045673A" w:rsidRDefault="00E17DF3">
      <w:pPr>
        <w:spacing w:after="226"/>
        <w:ind w:right="643"/>
      </w:pPr>
      <w:r>
        <w:rPr>
          <w:b/>
          <w:u w:val="single" w:color="000000"/>
        </w:rPr>
        <w:t>Question 1.7</w:t>
      </w:r>
      <w:r>
        <w:t xml:space="preserve">: To what extent do you agree or disagree with the following statements? </w:t>
      </w:r>
    </w:p>
    <w:p w14:paraId="7F47C549" w14:textId="77777777" w:rsidR="0045673A" w:rsidRDefault="00E17DF3">
      <w:pPr>
        <w:spacing w:after="0" w:line="259" w:lineRule="auto"/>
        <w:ind w:left="720" w:firstLine="0"/>
        <w:jc w:val="left"/>
      </w:pPr>
      <w:r>
        <w:t xml:space="preserve"> </w:t>
      </w:r>
    </w:p>
    <w:tbl>
      <w:tblPr>
        <w:tblW w:w="7910" w:type="dxa"/>
        <w:tblCellMar>
          <w:top w:w="19" w:type="dxa"/>
          <w:right w:w="115" w:type="dxa"/>
        </w:tblCellMar>
        <w:tblLook w:val="04A0" w:firstRow="1" w:lastRow="0" w:firstColumn="1" w:lastColumn="0" w:noHBand="0" w:noVBand="1"/>
      </w:tblPr>
      <w:tblGrid>
        <w:gridCol w:w="4383"/>
        <w:gridCol w:w="506"/>
        <w:gridCol w:w="506"/>
        <w:gridCol w:w="506"/>
        <w:gridCol w:w="507"/>
        <w:gridCol w:w="506"/>
        <w:gridCol w:w="996"/>
      </w:tblGrid>
      <w:tr w:rsidR="0045673A" w14:paraId="6EDE128F" w14:textId="77777777" w:rsidTr="7CDF400A">
        <w:trPr>
          <w:trHeight w:val="811"/>
        </w:trPr>
        <w:tc>
          <w:tcPr>
            <w:tcW w:w="438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686E76" w14:textId="77777777" w:rsidR="0045673A" w:rsidRDefault="00E17DF3">
            <w:pPr>
              <w:spacing w:after="0" w:line="259" w:lineRule="auto"/>
              <w:ind w:left="0" w:firstLine="0"/>
              <w:jc w:val="left"/>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62A943" w14:textId="77777777" w:rsidR="0045673A" w:rsidRDefault="00E17DF3">
            <w:pPr>
              <w:spacing w:after="0" w:line="259" w:lineRule="auto"/>
              <w:ind w:left="5" w:firstLine="0"/>
              <w:jc w:val="center"/>
            </w:pPr>
            <w:r>
              <w:t xml:space="preserve">1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046E0B" w14:textId="77777777" w:rsidR="0045673A" w:rsidRDefault="00E17DF3">
            <w:pPr>
              <w:spacing w:after="0" w:line="259" w:lineRule="auto"/>
              <w:ind w:left="5" w:firstLine="0"/>
              <w:jc w:val="center"/>
            </w:pPr>
            <w:r>
              <w:t xml:space="preserve">2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FE7BC2" w14:textId="77777777" w:rsidR="0045673A" w:rsidRDefault="00E17DF3">
            <w:pPr>
              <w:spacing w:after="0" w:line="259" w:lineRule="auto"/>
              <w:ind w:left="5" w:firstLine="0"/>
              <w:jc w:val="center"/>
            </w:pPr>
            <w:r>
              <w:t xml:space="preserve">3 </w:t>
            </w:r>
          </w:p>
        </w:tc>
        <w:tc>
          <w:tcPr>
            <w:tcW w:w="50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DE7A32" w14:textId="77777777" w:rsidR="0045673A" w:rsidRDefault="00E17DF3">
            <w:pPr>
              <w:spacing w:after="0" w:line="259" w:lineRule="auto"/>
              <w:ind w:left="4" w:firstLine="0"/>
              <w:jc w:val="center"/>
            </w:pPr>
            <w:r>
              <w:t xml:space="preserve">4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02BD43" w14:textId="77777777" w:rsidR="0045673A" w:rsidRDefault="00E17DF3">
            <w:pPr>
              <w:spacing w:after="0" w:line="259" w:lineRule="auto"/>
              <w:ind w:left="5" w:firstLine="0"/>
              <w:jc w:val="center"/>
            </w:pPr>
            <w:r>
              <w:t xml:space="preserve">5 </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2378CC" w14:textId="77777777" w:rsidR="0045673A" w:rsidRDefault="00E17DF3">
            <w:pPr>
              <w:spacing w:after="0" w:line="259" w:lineRule="auto"/>
              <w:ind w:left="0" w:firstLine="0"/>
              <w:jc w:val="center"/>
            </w:pPr>
            <w:r>
              <w:t xml:space="preserve">Don’t know </w:t>
            </w:r>
          </w:p>
        </w:tc>
      </w:tr>
      <w:tr w:rsidR="0045673A" w14:paraId="515312FB" w14:textId="77777777" w:rsidTr="7CDF400A">
        <w:trPr>
          <w:trHeight w:val="1087"/>
        </w:trPr>
        <w:tc>
          <w:tcPr>
            <w:tcW w:w="438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87AD9BB" w14:textId="77777777" w:rsidR="0045673A" w:rsidRDefault="00E17DF3">
            <w:pPr>
              <w:spacing w:after="0" w:line="259" w:lineRule="auto"/>
              <w:ind w:left="0" w:firstLine="0"/>
              <w:jc w:val="left"/>
            </w:pPr>
            <w:r>
              <w:t xml:space="preserve">The issues raised in question 1.6 create legal uncertainty for financial market participants and financial advisers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FFB66B"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061EC2"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D6C3EE" w14:textId="77777777" w:rsidR="0045673A" w:rsidRDefault="00E17DF3">
            <w:pPr>
              <w:spacing w:after="0" w:line="259" w:lineRule="auto"/>
              <w:ind w:left="65" w:firstLine="0"/>
              <w:jc w:val="center"/>
            </w:pPr>
            <w:r>
              <w:t xml:space="preserve"> </w:t>
            </w:r>
          </w:p>
        </w:tc>
        <w:tc>
          <w:tcPr>
            <w:tcW w:w="50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2757EE" w14:textId="460F844F" w:rsidR="0045673A" w:rsidRDefault="00E17DF3">
            <w:pPr>
              <w:spacing w:after="0" w:line="259" w:lineRule="auto"/>
              <w:ind w:left="64"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651076" w14:textId="5C53AB21" w:rsidR="0045673A" w:rsidRDefault="00697708">
            <w:pPr>
              <w:spacing w:after="0" w:line="259" w:lineRule="auto"/>
              <w:ind w:left="65" w:firstLine="0"/>
              <w:jc w:val="center"/>
            </w:pPr>
            <w:r>
              <w:t>X</w:t>
            </w:r>
            <w:r w:rsidR="00E17DF3">
              <w:t xml:space="preserve"> </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357840" w14:textId="77777777" w:rsidR="0045673A" w:rsidRDefault="00E17DF3">
            <w:pPr>
              <w:spacing w:after="0" w:line="259" w:lineRule="auto"/>
              <w:ind w:left="70" w:firstLine="0"/>
              <w:jc w:val="center"/>
            </w:pPr>
            <w:r>
              <w:t xml:space="preserve"> </w:t>
            </w:r>
          </w:p>
        </w:tc>
      </w:tr>
      <w:tr w:rsidR="0045673A" w14:paraId="6D3AA41B" w14:textId="77777777" w:rsidTr="7CDF400A">
        <w:trPr>
          <w:trHeight w:val="1088"/>
        </w:trPr>
        <w:tc>
          <w:tcPr>
            <w:tcW w:w="438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0BF7F4" w14:textId="77777777" w:rsidR="0045673A" w:rsidRDefault="00E17DF3">
            <w:pPr>
              <w:spacing w:after="0" w:line="259" w:lineRule="auto"/>
              <w:ind w:left="0" w:firstLine="0"/>
              <w:jc w:val="left"/>
            </w:pPr>
            <w:r>
              <w:t xml:space="preserve">The issues raised in question 1.6 create reputational risks for financial market participants and financial advisers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344481"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34BBE5"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18E80E" w14:textId="77777777" w:rsidR="0045673A" w:rsidRDefault="00E17DF3">
            <w:pPr>
              <w:spacing w:after="0" w:line="259" w:lineRule="auto"/>
              <w:ind w:left="65" w:firstLine="0"/>
              <w:jc w:val="center"/>
            </w:pPr>
            <w:r>
              <w:t xml:space="preserve"> </w:t>
            </w:r>
          </w:p>
        </w:tc>
        <w:tc>
          <w:tcPr>
            <w:tcW w:w="50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8B2CD6" w14:textId="60F4F174" w:rsidR="0045673A" w:rsidRDefault="0045673A">
            <w:pPr>
              <w:spacing w:after="0" w:line="259" w:lineRule="auto"/>
              <w:ind w:left="64" w:firstLine="0"/>
              <w:jc w:val="center"/>
            </w:pP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440016" w14:textId="10D9086D" w:rsidR="0045673A" w:rsidRDefault="00697708">
            <w:pPr>
              <w:spacing w:after="0" w:line="259" w:lineRule="auto"/>
              <w:ind w:left="65" w:firstLine="0"/>
              <w:jc w:val="center"/>
            </w:pPr>
            <w:r>
              <w:t>X</w:t>
            </w:r>
            <w:r w:rsidR="00E17DF3">
              <w:t xml:space="preserve"> </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C40684" w14:textId="77777777" w:rsidR="0045673A" w:rsidRDefault="00E17DF3">
            <w:pPr>
              <w:spacing w:after="0" w:line="259" w:lineRule="auto"/>
              <w:ind w:left="70" w:firstLine="0"/>
              <w:jc w:val="center"/>
            </w:pPr>
            <w:r>
              <w:t xml:space="preserve"> </w:t>
            </w:r>
          </w:p>
        </w:tc>
      </w:tr>
      <w:tr w:rsidR="0045673A" w14:paraId="59D96A05" w14:textId="77777777" w:rsidTr="7CDF400A">
        <w:trPr>
          <w:trHeight w:val="1642"/>
        </w:trPr>
        <w:tc>
          <w:tcPr>
            <w:tcW w:w="438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B69BD0" w14:textId="77777777" w:rsidR="0045673A" w:rsidRDefault="00E17DF3">
            <w:pPr>
              <w:spacing w:after="0" w:line="259" w:lineRule="auto"/>
              <w:ind w:left="0" w:firstLine="0"/>
              <w:jc w:val="left"/>
            </w:pPr>
            <w:r>
              <w:t xml:space="preserve">The issues raised in question 1.6 do not allow distributors to have a sufficient or robust enough knowledge of the sustainability profile of the products they distribute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846C14"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331C4D"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D17211" w14:textId="77777777" w:rsidR="0045673A" w:rsidRDefault="00E17DF3">
            <w:pPr>
              <w:spacing w:after="0" w:line="259" w:lineRule="auto"/>
              <w:ind w:left="65" w:firstLine="0"/>
              <w:jc w:val="center"/>
            </w:pPr>
            <w:r>
              <w:t xml:space="preserve"> </w:t>
            </w:r>
          </w:p>
        </w:tc>
        <w:tc>
          <w:tcPr>
            <w:tcW w:w="50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11C395" w14:textId="3454D424" w:rsidR="0045673A" w:rsidRDefault="00697708">
            <w:pPr>
              <w:spacing w:after="0" w:line="259" w:lineRule="auto"/>
              <w:ind w:left="64" w:firstLine="0"/>
              <w:jc w:val="center"/>
            </w:pPr>
            <w:r>
              <w:t>X</w:t>
            </w:r>
            <w:r w:rsidR="00E17DF3">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88D099" w14:textId="77777777" w:rsidR="0045673A" w:rsidRDefault="00E17DF3">
            <w:pPr>
              <w:spacing w:after="0" w:line="259" w:lineRule="auto"/>
              <w:ind w:left="65" w:firstLine="0"/>
              <w:jc w:val="center"/>
            </w:pPr>
            <w:r>
              <w:t xml:space="preserve"> </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B72A2A" w14:textId="68824750" w:rsidR="0045673A" w:rsidRDefault="0045673A">
            <w:pPr>
              <w:spacing w:after="0" w:line="259" w:lineRule="auto"/>
              <w:ind w:left="70" w:firstLine="0"/>
              <w:jc w:val="center"/>
            </w:pPr>
          </w:p>
        </w:tc>
      </w:tr>
      <w:tr w:rsidR="0045673A" w14:paraId="7399B542" w14:textId="77777777" w:rsidTr="7CDF400A">
        <w:trPr>
          <w:trHeight w:val="811"/>
        </w:trPr>
        <w:tc>
          <w:tcPr>
            <w:tcW w:w="438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C516B7" w14:textId="77777777" w:rsidR="0045673A" w:rsidRDefault="00E17DF3">
            <w:pPr>
              <w:spacing w:after="0" w:line="259" w:lineRule="auto"/>
              <w:ind w:left="0" w:firstLine="0"/>
              <w:jc w:val="left"/>
            </w:pPr>
            <w:r>
              <w:t xml:space="preserve">The issues raised in question 1.6 create a risk of greenwashing and mis-selling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05163E"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32FF00"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6D5880" w14:textId="73A3E5E4" w:rsidR="0045673A" w:rsidRDefault="0045673A">
            <w:pPr>
              <w:spacing w:after="0" w:line="259" w:lineRule="auto"/>
              <w:ind w:left="65" w:firstLine="0"/>
              <w:jc w:val="center"/>
            </w:pPr>
          </w:p>
        </w:tc>
        <w:tc>
          <w:tcPr>
            <w:tcW w:w="50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E8F481" w14:textId="4BF52C14" w:rsidR="0045673A" w:rsidRDefault="0045673A">
            <w:pPr>
              <w:spacing w:after="0" w:line="259" w:lineRule="auto"/>
              <w:ind w:left="64" w:firstLine="0"/>
              <w:jc w:val="center"/>
            </w:pP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F8AFB6" w14:textId="498E1BF9" w:rsidR="0045673A" w:rsidRDefault="00B05276">
            <w:pPr>
              <w:spacing w:after="0" w:line="259" w:lineRule="auto"/>
              <w:ind w:left="65" w:firstLine="0"/>
              <w:jc w:val="center"/>
            </w:pPr>
            <w:r>
              <w:t>X</w:t>
            </w:r>
            <w:r w:rsidR="00E17DF3">
              <w:t xml:space="preserve"> </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C79B175" w14:textId="77777777" w:rsidR="0045673A" w:rsidRDefault="00E17DF3">
            <w:pPr>
              <w:spacing w:after="0" w:line="259" w:lineRule="auto"/>
              <w:ind w:left="70" w:firstLine="0"/>
              <w:jc w:val="center"/>
            </w:pPr>
            <w:r>
              <w:t xml:space="preserve"> </w:t>
            </w:r>
          </w:p>
        </w:tc>
      </w:tr>
      <w:tr w:rsidR="0045673A" w14:paraId="336237DC" w14:textId="77777777" w:rsidTr="7CDF400A">
        <w:trPr>
          <w:trHeight w:val="1088"/>
        </w:trPr>
        <w:tc>
          <w:tcPr>
            <w:tcW w:w="438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ACBAA6C" w14:textId="77777777" w:rsidR="0045673A" w:rsidRDefault="00E17DF3">
            <w:pPr>
              <w:spacing w:after="0" w:line="259" w:lineRule="auto"/>
              <w:ind w:left="0" w:firstLine="0"/>
              <w:jc w:val="left"/>
            </w:pPr>
            <w:r>
              <w:t xml:space="preserve">The issues raised in question 1.6 prevent capital from being allocated to sustainable investments as effectively as it could be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55DE68"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420848"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449D75" w14:textId="77777777" w:rsidR="0045673A" w:rsidRDefault="00E17DF3">
            <w:pPr>
              <w:spacing w:after="0" w:line="259" w:lineRule="auto"/>
              <w:ind w:left="65" w:firstLine="0"/>
              <w:jc w:val="center"/>
            </w:pPr>
            <w:r>
              <w:t xml:space="preserve"> </w:t>
            </w:r>
          </w:p>
        </w:tc>
        <w:tc>
          <w:tcPr>
            <w:tcW w:w="50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59492E" w14:textId="229D2D4B" w:rsidR="0045673A" w:rsidRDefault="00E17DF3">
            <w:pPr>
              <w:spacing w:after="0" w:line="259" w:lineRule="auto"/>
              <w:ind w:left="64" w:firstLine="0"/>
              <w:jc w:val="center"/>
            </w:pPr>
            <w:r>
              <w:t xml:space="preserve"> </w:t>
            </w:r>
            <w:r w:rsidR="00697708">
              <w:t>X</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591B9E" w14:textId="71B75DFA" w:rsidR="0045673A" w:rsidRDefault="00E17DF3">
            <w:pPr>
              <w:spacing w:after="0" w:line="259" w:lineRule="auto"/>
              <w:ind w:left="65" w:firstLine="0"/>
              <w:jc w:val="center"/>
            </w:pPr>
            <w:r>
              <w:t xml:space="preserve"> </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852ED2" w14:textId="77777777" w:rsidR="0045673A" w:rsidRDefault="00E17DF3">
            <w:pPr>
              <w:spacing w:after="0" w:line="259" w:lineRule="auto"/>
              <w:ind w:left="70" w:firstLine="0"/>
              <w:jc w:val="center"/>
            </w:pPr>
            <w:r>
              <w:t xml:space="preserve"> </w:t>
            </w:r>
          </w:p>
        </w:tc>
      </w:tr>
      <w:tr w:rsidR="0045673A" w14:paraId="67344622" w14:textId="77777777" w:rsidTr="7CDF400A">
        <w:trPr>
          <w:trHeight w:val="1090"/>
        </w:trPr>
        <w:tc>
          <w:tcPr>
            <w:tcW w:w="438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05B947" w14:textId="77777777" w:rsidR="0045673A" w:rsidRDefault="00E17DF3">
            <w:pPr>
              <w:spacing w:after="0" w:line="259" w:lineRule="auto"/>
              <w:ind w:left="0" w:firstLine="0"/>
              <w:jc w:val="left"/>
            </w:pPr>
            <w:r>
              <w:t xml:space="preserve">The current framework does not effectively capture investments in transition assets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8A1C823"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87BD68"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7A1EB1" w14:textId="77777777" w:rsidR="0045673A" w:rsidRDefault="00E17DF3">
            <w:pPr>
              <w:spacing w:after="0" w:line="259" w:lineRule="auto"/>
              <w:ind w:left="65" w:firstLine="0"/>
              <w:jc w:val="center"/>
            </w:pPr>
            <w:r>
              <w:t xml:space="preserve"> </w:t>
            </w:r>
          </w:p>
        </w:tc>
        <w:tc>
          <w:tcPr>
            <w:tcW w:w="50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F832F4" w14:textId="77777777" w:rsidR="0045673A" w:rsidRDefault="00E17DF3">
            <w:pPr>
              <w:spacing w:after="0" w:line="259" w:lineRule="auto"/>
              <w:ind w:left="64"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C7C5DC" w14:textId="443E9B9D" w:rsidR="0045673A" w:rsidRDefault="00697708">
            <w:pPr>
              <w:spacing w:after="0" w:line="259" w:lineRule="auto"/>
              <w:ind w:left="65" w:firstLine="0"/>
              <w:jc w:val="center"/>
            </w:pPr>
            <w:r>
              <w:t>X</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FE4F47" w14:textId="77777777" w:rsidR="0045673A" w:rsidRDefault="00E17DF3">
            <w:pPr>
              <w:spacing w:after="0" w:line="259" w:lineRule="auto"/>
              <w:ind w:left="70" w:firstLine="0"/>
              <w:jc w:val="center"/>
            </w:pPr>
            <w:r>
              <w:t xml:space="preserve"> </w:t>
            </w:r>
          </w:p>
        </w:tc>
      </w:tr>
      <w:tr w:rsidR="0045673A" w14:paraId="521DDBA6" w14:textId="77777777" w:rsidTr="7CDF400A">
        <w:trPr>
          <w:trHeight w:val="1363"/>
        </w:trPr>
        <w:tc>
          <w:tcPr>
            <w:tcW w:w="438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73838E" w14:textId="77777777" w:rsidR="0045673A" w:rsidRDefault="00E17DF3">
            <w:pPr>
              <w:spacing w:after="0" w:line="259" w:lineRule="auto"/>
              <w:ind w:left="0" w:firstLine="0"/>
              <w:jc w:val="left"/>
            </w:pPr>
            <w:r>
              <w:t xml:space="preserve">The current framework does not effectively support a robust enough use of shareholder engagement as a means to support the transition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8ACC6D"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D17CBD"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AB4456" w14:textId="77777777" w:rsidR="0045673A" w:rsidRDefault="00E17DF3">
            <w:pPr>
              <w:spacing w:after="0" w:line="259" w:lineRule="auto"/>
              <w:ind w:left="65" w:firstLine="0"/>
              <w:jc w:val="center"/>
            </w:pPr>
            <w:r>
              <w:t xml:space="preserve"> </w:t>
            </w:r>
          </w:p>
        </w:tc>
        <w:tc>
          <w:tcPr>
            <w:tcW w:w="50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6983BE" w14:textId="232C3DF5" w:rsidR="0045673A" w:rsidRDefault="00E17DF3">
            <w:pPr>
              <w:spacing w:after="0" w:line="259" w:lineRule="auto"/>
              <w:ind w:left="64"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EFC418" w14:textId="13AD4486" w:rsidR="0045673A" w:rsidRDefault="00B05276">
            <w:pPr>
              <w:spacing w:after="0" w:line="259" w:lineRule="auto"/>
              <w:ind w:left="65" w:firstLine="0"/>
              <w:jc w:val="center"/>
            </w:pPr>
            <w:r>
              <w:t>X</w:t>
            </w:r>
            <w:r w:rsidR="00E17DF3">
              <w:t xml:space="preserve"> </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42D623" w14:textId="77777777" w:rsidR="0045673A" w:rsidRDefault="00E17DF3">
            <w:pPr>
              <w:spacing w:after="0" w:line="259" w:lineRule="auto"/>
              <w:ind w:left="70" w:firstLine="0"/>
              <w:jc w:val="center"/>
            </w:pPr>
            <w:r>
              <w:t xml:space="preserve"> </w:t>
            </w:r>
          </w:p>
        </w:tc>
      </w:tr>
      <w:tr w:rsidR="0045673A" w14:paraId="01E18DFC" w14:textId="77777777" w:rsidTr="7CDF400A">
        <w:trPr>
          <w:trHeight w:val="538"/>
        </w:trPr>
        <w:tc>
          <w:tcPr>
            <w:tcW w:w="438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804E76" w14:textId="77777777" w:rsidR="0045673A" w:rsidRDefault="00E17DF3">
            <w:pPr>
              <w:spacing w:after="0" w:line="259" w:lineRule="auto"/>
              <w:ind w:left="0" w:firstLine="0"/>
              <w:jc w:val="left"/>
            </w:pPr>
            <w:r>
              <w:t xml:space="preserve">Others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4EF8EE"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B0AA2A" w14:textId="77777777" w:rsidR="0045673A" w:rsidRDefault="00E17DF3">
            <w:pPr>
              <w:spacing w:after="0" w:line="259" w:lineRule="auto"/>
              <w:ind w:left="65"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77CCFB8" w14:textId="77777777" w:rsidR="0045673A" w:rsidRDefault="00E17DF3">
            <w:pPr>
              <w:spacing w:after="0" w:line="259" w:lineRule="auto"/>
              <w:ind w:left="65" w:firstLine="0"/>
              <w:jc w:val="center"/>
            </w:pPr>
            <w:r>
              <w:t xml:space="preserve"> </w:t>
            </w:r>
          </w:p>
        </w:tc>
        <w:tc>
          <w:tcPr>
            <w:tcW w:w="50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A39A41A" w14:textId="77777777" w:rsidR="0045673A" w:rsidRDefault="00E17DF3">
            <w:pPr>
              <w:spacing w:after="0" w:line="259" w:lineRule="auto"/>
              <w:ind w:left="64" w:firstLine="0"/>
              <w:jc w:val="center"/>
            </w:pPr>
            <w:r>
              <w:t xml:space="preserve"> </w:t>
            </w:r>
          </w:p>
        </w:tc>
        <w:tc>
          <w:tcPr>
            <w:tcW w:w="50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59669E" w14:textId="77777777" w:rsidR="0045673A" w:rsidRDefault="00E17DF3">
            <w:pPr>
              <w:spacing w:after="0" w:line="259" w:lineRule="auto"/>
              <w:ind w:left="65" w:firstLine="0"/>
              <w:jc w:val="center"/>
            </w:pPr>
            <w:r>
              <w:t xml:space="preserve"> </w:t>
            </w:r>
          </w:p>
        </w:tc>
        <w:tc>
          <w:tcPr>
            <w:tcW w:w="99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C287D3" w14:textId="22CE5394" w:rsidR="0045673A" w:rsidRDefault="00E17DF3">
            <w:pPr>
              <w:spacing w:after="0" w:line="259" w:lineRule="auto"/>
              <w:ind w:left="70" w:firstLine="0"/>
              <w:jc w:val="center"/>
            </w:pPr>
            <w:r>
              <w:t xml:space="preserve"> </w:t>
            </w:r>
          </w:p>
        </w:tc>
      </w:tr>
    </w:tbl>
    <w:p w14:paraId="4510B857"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2D7CB980" w14:textId="77777777" w:rsidR="0045673A" w:rsidRDefault="00E17DF3">
      <w:pPr>
        <w:ind w:right="643"/>
      </w:pPr>
      <w:r w:rsidRPr="00172C4D">
        <w:t>Please provide any additional explanations as necessary for questions 1.5, 1.6 and 1.7:</w:t>
      </w:r>
      <w:r>
        <w:t xml:space="preserve"> </w:t>
      </w:r>
    </w:p>
    <w:tbl>
      <w:tblPr>
        <w:tblW w:w="8702" w:type="dxa"/>
        <w:tblCellMar>
          <w:top w:w="19" w:type="dxa"/>
          <w:left w:w="115" w:type="dxa"/>
          <w:right w:w="115" w:type="dxa"/>
        </w:tblCellMar>
        <w:tblLook w:val="04A0" w:firstRow="1" w:lastRow="0" w:firstColumn="1" w:lastColumn="0" w:noHBand="0" w:noVBand="1"/>
      </w:tblPr>
      <w:tblGrid>
        <w:gridCol w:w="8702"/>
      </w:tblGrid>
      <w:tr w:rsidR="0045673A" w14:paraId="07809A86" w14:textId="77777777" w:rsidTr="7CDF400A">
        <w:trPr>
          <w:trHeight w:val="578"/>
        </w:trPr>
        <w:tc>
          <w:tcPr>
            <w:tcW w:w="87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2FF246" w14:textId="77777777" w:rsidR="00864192" w:rsidRDefault="00864192" w:rsidP="18371A5D">
            <w:pPr>
              <w:spacing w:after="0" w:line="259" w:lineRule="auto"/>
              <w:ind w:left="0" w:firstLine="0"/>
              <w:rPr>
                <w:sz w:val="20"/>
                <w:szCs w:val="20"/>
              </w:rPr>
            </w:pPr>
          </w:p>
          <w:p w14:paraId="341BBD82" w14:textId="21ECEC3F" w:rsidR="00B5576E" w:rsidRDefault="00492288" w:rsidP="18371A5D">
            <w:pPr>
              <w:spacing w:after="0" w:line="259" w:lineRule="auto"/>
              <w:ind w:left="0" w:firstLine="0"/>
              <w:rPr>
                <w:sz w:val="20"/>
                <w:szCs w:val="20"/>
              </w:rPr>
            </w:pPr>
            <w:r>
              <w:rPr>
                <w:sz w:val="20"/>
                <w:szCs w:val="20"/>
              </w:rPr>
              <w:t xml:space="preserve">Broadly speaking, we believe that the SFDR </w:t>
            </w:r>
            <w:r w:rsidRPr="008753FB">
              <w:rPr>
                <w:sz w:val="20"/>
                <w:szCs w:val="20"/>
              </w:rPr>
              <w:t>framework has</w:t>
            </w:r>
            <w:r w:rsidR="008753FB" w:rsidRPr="008753FB">
              <w:rPr>
                <w:sz w:val="20"/>
                <w:szCs w:val="20"/>
              </w:rPr>
              <w:t>-</w:t>
            </w:r>
            <w:r w:rsidRPr="008753FB">
              <w:rPr>
                <w:sz w:val="20"/>
                <w:szCs w:val="20"/>
              </w:rPr>
              <w:t>to a large extent</w:t>
            </w:r>
            <w:r w:rsidR="00BD61F2" w:rsidRPr="008753FB">
              <w:rPr>
                <w:sz w:val="20"/>
                <w:szCs w:val="20"/>
              </w:rPr>
              <w:t>- i</w:t>
            </w:r>
            <w:r w:rsidRPr="008753FB">
              <w:rPr>
                <w:sz w:val="20"/>
                <w:szCs w:val="20"/>
              </w:rPr>
              <w:t>ncreased</w:t>
            </w:r>
            <w:r>
              <w:rPr>
                <w:sz w:val="20"/>
                <w:szCs w:val="20"/>
              </w:rPr>
              <w:t xml:space="preserve"> awareness among our members and financial market participants </w:t>
            </w:r>
            <w:r w:rsidR="00BD61F2">
              <w:rPr>
                <w:sz w:val="20"/>
                <w:szCs w:val="20"/>
              </w:rPr>
              <w:t>on the importance of embedding sustainability risks and opportunities into investment decision-making and strategies</w:t>
            </w:r>
            <w:r w:rsidR="00B5576E">
              <w:rPr>
                <w:sz w:val="20"/>
                <w:szCs w:val="20"/>
              </w:rPr>
              <w:t>, while also helping facilitate capital towards sustainable investments.</w:t>
            </w:r>
          </w:p>
          <w:p w14:paraId="2716425F" w14:textId="77777777" w:rsidR="00B5576E" w:rsidRDefault="00B5576E" w:rsidP="18371A5D">
            <w:pPr>
              <w:spacing w:after="0" w:line="259" w:lineRule="auto"/>
              <w:ind w:left="0" w:firstLine="0"/>
              <w:rPr>
                <w:sz w:val="20"/>
                <w:szCs w:val="20"/>
              </w:rPr>
            </w:pPr>
          </w:p>
          <w:p w14:paraId="645A6C7D" w14:textId="2741EC62" w:rsidR="00697708" w:rsidRDefault="00873EE4" w:rsidP="18371A5D">
            <w:pPr>
              <w:spacing w:after="0" w:line="259" w:lineRule="auto"/>
              <w:ind w:left="0" w:firstLine="0"/>
              <w:rPr>
                <w:sz w:val="20"/>
                <w:szCs w:val="20"/>
              </w:rPr>
            </w:pPr>
            <w:r>
              <w:rPr>
                <w:sz w:val="20"/>
                <w:szCs w:val="20"/>
              </w:rPr>
              <w:t>There has</w:t>
            </w:r>
            <w:r w:rsidR="1DC54445" w:rsidRPr="18371A5D">
              <w:rPr>
                <w:sz w:val="20"/>
                <w:szCs w:val="20"/>
              </w:rPr>
              <w:t xml:space="preserve"> </w:t>
            </w:r>
            <w:r w:rsidR="7522C37B" w:rsidRPr="18371A5D">
              <w:rPr>
                <w:sz w:val="20"/>
                <w:szCs w:val="20"/>
              </w:rPr>
              <w:t>also</w:t>
            </w:r>
            <w:r>
              <w:rPr>
                <w:sz w:val="20"/>
                <w:szCs w:val="20"/>
              </w:rPr>
              <w:t xml:space="preserve"> been some success in terms of enhancing transparency across financial markets in Europe, and helping to encourage regulatory authorities in other international jurisdictions</w:t>
            </w:r>
            <w:r w:rsidR="008753FB">
              <w:rPr>
                <w:sz w:val="20"/>
                <w:szCs w:val="20"/>
              </w:rPr>
              <w:t>, such as the UK and elsewhere,</w:t>
            </w:r>
            <w:r>
              <w:rPr>
                <w:sz w:val="20"/>
                <w:szCs w:val="20"/>
              </w:rPr>
              <w:t xml:space="preserve"> to consider ambitious approaches to sustainability disclosures and fund labelling. </w:t>
            </w:r>
          </w:p>
          <w:p w14:paraId="304E147A" w14:textId="5E5E9187" w:rsidR="00697708" w:rsidRDefault="00697708" w:rsidP="18371A5D">
            <w:pPr>
              <w:spacing w:after="0" w:line="259" w:lineRule="auto"/>
              <w:ind w:left="0" w:firstLine="0"/>
              <w:rPr>
                <w:sz w:val="20"/>
                <w:szCs w:val="20"/>
              </w:rPr>
            </w:pPr>
          </w:p>
          <w:p w14:paraId="5FB28E86" w14:textId="45E67E5D" w:rsidR="00697708" w:rsidRDefault="00D36100" w:rsidP="00B23F75">
            <w:pPr>
              <w:spacing w:after="0" w:line="259" w:lineRule="auto"/>
              <w:ind w:left="0" w:firstLine="0"/>
              <w:rPr>
                <w:sz w:val="20"/>
                <w:szCs w:val="20"/>
              </w:rPr>
            </w:pPr>
            <w:r>
              <w:rPr>
                <w:sz w:val="20"/>
                <w:szCs w:val="20"/>
              </w:rPr>
              <w:t>While the SFDR has, in some respects, fulfilled its</w:t>
            </w:r>
            <w:r w:rsidR="008753FB">
              <w:rPr>
                <w:sz w:val="20"/>
                <w:szCs w:val="20"/>
              </w:rPr>
              <w:t xml:space="preserve"> original</w:t>
            </w:r>
            <w:r>
              <w:rPr>
                <w:sz w:val="20"/>
                <w:szCs w:val="20"/>
              </w:rPr>
              <w:t xml:space="preserve"> objectives as a sustainability disclosures framework and elevated sustainability considerations more</w:t>
            </w:r>
            <w:r w:rsidR="00D77758">
              <w:rPr>
                <w:sz w:val="20"/>
                <w:szCs w:val="20"/>
              </w:rPr>
              <w:t xml:space="preserve"> directly</w:t>
            </w:r>
            <w:r>
              <w:rPr>
                <w:sz w:val="20"/>
                <w:szCs w:val="20"/>
              </w:rPr>
              <w:t xml:space="preserve"> into the mainstream of firms’ decision-making, </w:t>
            </w:r>
            <w:r w:rsidR="00A2776E">
              <w:rPr>
                <w:sz w:val="20"/>
                <w:szCs w:val="20"/>
              </w:rPr>
              <w:t>the framework has experienced a number of implementation challenges</w:t>
            </w:r>
            <w:r w:rsidR="00643D43">
              <w:rPr>
                <w:sz w:val="20"/>
                <w:szCs w:val="20"/>
              </w:rPr>
              <w:t xml:space="preserve"> since its application in June 2021</w:t>
            </w:r>
            <w:r w:rsidR="00022C07">
              <w:rPr>
                <w:sz w:val="20"/>
                <w:szCs w:val="20"/>
              </w:rPr>
              <w:t>. This includes</w:t>
            </w:r>
            <w:r w:rsidR="00643D43">
              <w:rPr>
                <w:sz w:val="20"/>
                <w:szCs w:val="20"/>
              </w:rPr>
              <w:t xml:space="preserve"> its interpretation and</w:t>
            </w:r>
            <w:r w:rsidR="00022C07">
              <w:rPr>
                <w:sz w:val="20"/>
                <w:szCs w:val="20"/>
              </w:rPr>
              <w:t xml:space="preserve"> common</w:t>
            </w:r>
            <w:r w:rsidR="00643D43">
              <w:rPr>
                <w:sz w:val="20"/>
                <w:szCs w:val="20"/>
              </w:rPr>
              <w:t xml:space="preserve"> use by market participants as a de-facto fund labelling regime.</w:t>
            </w:r>
          </w:p>
          <w:p w14:paraId="43251D65" w14:textId="77777777" w:rsidR="00BD61F2" w:rsidRDefault="00BD61F2" w:rsidP="00B23F75">
            <w:pPr>
              <w:spacing w:after="0" w:line="259" w:lineRule="auto"/>
              <w:ind w:left="0" w:firstLine="0"/>
              <w:rPr>
                <w:sz w:val="20"/>
                <w:szCs w:val="20"/>
              </w:rPr>
            </w:pPr>
          </w:p>
          <w:p w14:paraId="4843887E" w14:textId="114B5CAC" w:rsidR="009A35F5" w:rsidRDefault="00E82283" w:rsidP="00B23F75">
            <w:pPr>
              <w:spacing w:after="0" w:line="259" w:lineRule="auto"/>
              <w:ind w:left="0" w:firstLine="0"/>
              <w:rPr>
                <w:sz w:val="20"/>
                <w:szCs w:val="20"/>
              </w:rPr>
            </w:pPr>
            <w:r>
              <w:rPr>
                <w:sz w:val="20"/>
                <w:szCs w:val="20"/>
              </w:rPr>
              <w:t xml:space="preserve">Linked to this, there </w:t>
            </w:r>
            <w:r w:rsidR="00EE51A2">
              <w:rPr>
                <w:sz w:val="20"/>
                <w:szCs w:val="20"/>
              </w:rPr>
              <w:t xml:space="preserve">is an ongoing </w:t>
            </w:r>
            <w:r>
              <w:rPr>
                <w:sz w:val="20"/>
                <w:szCs w:val="20"/>
              </w:rPr>
              <w:t>lack of clarity over a number of important concepts underpinning the SFDR</w:t>
            </w:r>
            <w:r w:rsidR="00022C07">
              <w:rPr>
                <w:sz w:val="20"/>
                <w:szCs w:val="20"/>
              </w:rPr>
              <w:t>,</w:t>
            </w:r>
            <w:r>
              <w:rPr>
                <w:sz w:val="20"/>
                <w:szCs w:val="20"/>
              </w:rPr>
              <w:t xml:space="preserve"> and mixed signals from policymakers over the objectives and purpose of these. </w:t>
            </w:r>
            <w:r w:rsidR="009A35F5">
              <w:rPr>
                <w:sz w:val="20"/>
                <w:szCs w:val="20"/>
              </w:rPr>
              <w:t xml:space="preserve">The uncertainty over many of these concepts and notions of the framework </w:t>
            </w:r>
            <w:r w:rsidR="009A0ED3">
              <w:rPr>
                <w:sz w:val="20"/>
                <w:szCs w:val="20"/>
              </w:rPr>
              <w:t>had led to regulatory authorities, financial market participants, legal advisers, and other groups continually changing their views and guidance in these areas, leading to confusion for many firms.</w:t>
            </w:r>
          </w:p>
          <w:p w14:paraId="1B73B88E" w14:textId="77777777" w:rsidR="009A0ED3" w:rsidRDefault="009A0ED3" w:rsidP="00B23F75">
            <w:pPr>
              <w:spacing w:after="0" w:line="259" w:lineRule="auto"/>
              <w:ind w:left="0" w:firstLine="0"/>
              <w:rPr>
                <w:sz w:val="20"/>
                <w:szCs w:val="20"/>
              </w:rPr>
            </w:pPr>
          </w:p>
          <w:p w14:paraId="5DFE3B8B" w14:textId="3635C7EC" w:rsidR="00BD61F2" w:rsidRDefault="00E82283" w:rsidP="00B23F75">
            <w:pPr>
              <w:spacing w:after="0" w:line="259" w:lineRule="auto"/>
              <w:ind w:left="0" w:firstLine="0"/>
              <w:rPr>
                <w:sz w:val="20"/>
                <w:szCs w:val="20"/>
              </w:rPr>
            </w:pPr>
            <w:r>
              <w:rPr>
                <w:sz w:val="20"/>
                <w:szCs w:val="20"/>
              </w:rPr>
              <w:t xml:space="preserve">This includes the definition of ‘sustainable investments’, </w:t>
            </w:r>
            <w:r w:rsidR="22B9B442" w:rsidRPr="33DA7763">
              <w:rPr>
                <w:sz w:val="20"/>
                <w:szCs w:val="20"/>
              </w:rPr>
              <w:t xml:space="preserve">and </w:t>
            </w:r>
            <w:r>
              <w:rPr>
                <w:sz w:val="20"/>
                <w:szCs w:val="20"/>
              </w:rPr>
              <w:t>‘Do No Significant Harm (DNSH), as well as</w:t>
            </w:r>
            <w:r w:rsidR="00107906">
              <w:rPr>
                <w:sz w:val="20"/>
                <w:szCs w:val="20"/>
              </w:rPr>
              <w:t xml:space="preserve"> </w:t>
            </w:r>
            <w:r w:rsidR="005648AB">
              <w:rPr>
                <w:sz w:val="20"/>
                <w:szCs w:val="20"/>
              </w:rPr>
              <w:t>promoting ‘environmental or social characteristics</w:t>
            </w:r>
            <w:r w:rsidR="002F6984">
              <w:rPr>
                <w:sz w:val="20"/>
                <w:szCs w:val="20"/>
              </w:rPr>
              <w:t>’ and other key underlying concepts within the</w:t>
            </w:r>
            <w:r w:rsidR="008753FB">
              <w:rPr>
                <w:sz w:val="20"/>
                <w:szCs w:val="20"/>
              </w:rPr>
              <w:t xml:space="preserve"> SFDR</w:t>
            </w:r>
            <w:r w:rsidR="002F6984">
              <w:rPr>
                <w:sz w:val="20"/>
                <w:szCs w:val="20"/>
              </w:rPr>
              <w:t xml:space="preserve"> framework. </w:t>
            </w:r>
          </w:p>
          <w:p w14:paraId="18AF158C" w14:textId="77777777" w:rsidR="002F6984" w:rsidRDefault="002F6984" w:rsidP="00B23F75">
            <w:pPr>
              <w:spacing w:after="0" w:line="259" w:lineRule="auto"/>
              <w:ind w:left="0" w:firstLine="0"/>
              <w:rPr>
                <w:sz w:val="20"/>
                <w:szCs w:val="20"/>
              </w:rPr>
            </w:pPr>
          </w:p>
          <w:p w14:paraId="46C8F4E7" w14:textId="1923FC96" w:rsidR="002F6984" w:rsidRDefault="00FD6D05" w:rsidP="00B23F75">
            <w:pPr>
              <w:spacing w:after="0" w:line="259" w:lineRule="auto"/>
              <w:ind w:left="0" w:firstLine="0"/>
              <w:rPr>
                <w:sz w:val="20"/>
                <w:szCs w:val="20"/>
              </w:rPr>
            </w:pPr>
            <w:r>
              <w:rPr>
                <w:sz w:val="20"/>
                <w:szCs w:val="20"/>
              </w:rPr>
              <w:t xml:space="preserve">These implementation challenges, among others, have unfortunately led to </w:t>
            </w:r>
            <w:r w:rsidR="00F24783">
              <w:rPr>
                <w:sz w:val="20"/>
                <w:szCs w:val="20"/>
              </w:rPr>
              <w:t xml:space="preserve">heightened </w:t>
            </w:r>
            <w:r>
              <w:rPr>
                <w:sz w:val="20"/>
                <w:szCs w:val="20"/>
              </w:rPr>
              <w:t xml:space="preserve">greenwashing risks </w:t>
            </w:r>
            <w:r w:rsidR="4624AC5B" w:rsidRPr="7FDBA242">
              <w:rPr>
                <w:sz w:val="20"/>
                <w:szCs w:val="20"/>
              </w:rPr>
              <w:t>and concerns</w:t>
            </w:r>
            <w:r w:rsidRPr="18042E00">
              <w:rPr>
                <w:sz w:val="20"/>
                <w:szCs w:val="20"/>
              </w:rPr>
              <w:t xml:space="preserve"> </w:t>
            </w:r>
            <w:r>
              <w:rPr>
                <w:sz w:val="20"/>
                <w:szCs w:val="20"/>
              </w:rPr>
              <w:t>in the market for investors, and reputational risks for those</w:t>
            </w:r>
            <w:r w:rsidR="00E613F3">
              <w:rPr>
                <w:sz w:val="20"/>
                <w:szCs w:val="20"/>
              </w:rPr>
              <w:t xml:space="preserve"> firms</w:t>
            </w:r>
            <w:r>
              <w:rPr>
                <w:sz w:val="20"/>
                <w:szCs w:val="20"/>
              </w:rPr>
              <w:t xml:space="preserve"> reporting against the framework. There have been question marks, in our view, on the extent to which the SFDR is truly fulfilling its ultimate objectives of incentivising capital flows towards more sustainable investments, including importantly those transitioning activities that will </w:t>
            </w:r>
            <w:r w:rsidR="00884927">
              <w:rPr>
                <w:sz w:val="20"/>
                <w:szCs w:val="20"/>
              </w:rPr>
              <w:t xml:space="preserve">be necessary to address in order for financial markets to support the global transition to net-zero </w:t>
            </w:r>
            <w:r w:rsidR="00E40CC4">
              <w:rPr>
                <w:sz w:val="20"/>
                <w:szCs w:val="20"/>
              </w:rPr>
              <w:t xml:space="preserve">carbon </w:t>
            </w:r>
            <w:r w:rsidR="00884927">
              <w:rPr>
                <w:sz w:val="20"/>
                <w:szCs w:val="20"/>
              </w:rPr>
              <w:t xml:space="preserve">emissions. </w:t>
            </w:r>
          </w:p>
          <w:p w14:paraId="4B724D54" w14:textId="77777777" w:rsidR="002B626C" w:rsidRDefault="002B626C" w:rsidP="00B23F75">
            <w:pPr>
              <w:spacing w:after="0" w:line="259" w:lineRule="auto"/>
              <w:ind w:left="0" w:firstLine="0"/>
              <w:rPr>
                <w:sz w:val="20"/>
                <w:szCs w:val="20"/>
              </w:rPr>
            </w:pPr>
          </w:p>
          <w:p w14:paraId="24E53074" w14:textId="3B847572" w:rsidR="00E349F4" w:rsidRPr="00F24783" w:rsidRDefault="007575AF" w:rsidP="001A12ED">
            <w:pPr>
              <w:spacing w:after="0" w:line="259" w:lineRule="auto"/>
              <w:ind w:left="0" w:firstLine="0"/>
              <w:rPr>
                <w:sz w:val="20"/>
                <w:szCs w:val="20"/>
              </w:rPr>
            </w:pPr>
            <w:r>
              <w:rPr>
                <w:sz w:val="20"/>
                <w:szCs w:val="20"/>
              </w:rPr>
              <w:t xml:space="preserve">We very much welcome the Commission’s review of the SFDR, and </w:t>
            </w:r>
            <w:r w:rsidR="009F1F06">
              <w:rPr>
                <w:sz w:val="20"/>
                <w:szCs w:val="20"/>
              </w:rPr>
              <w:t xml:space="preserve">we </w:t>
            </w:r>
            <w:r>
              <w:rPr>
                <w:sz w:val="20"/>
                <w:szCs w:val="20"/>
              </w:rPr>
              <w:t>would recommend that policymakers use this opportunity to reconsider how a new framework could better fulfil the original envisaged objectives</w:t>
            </w:r>
            <w:r w:rsidR="00F24783">
              <w:rPr>
                <w:sz w:val="20"/>
                <w:szCs w:val="20"/>
              </w:rPr>
              <w:t>,</w:t>
            </w:r>
            <w:r>
              <w:rPr>
                <w:sz w:val="20"/>
                <w:szCs w:val="20"/>
              </w:rPr>
              <w:t xml:space="preserve"> </w:t>
            </w:r>
            <w:r w:rsidR="008122A0">
              <w:rPr>
                <w:sz w:val="20"/>
                <w:szCs w:val="20"/>
              </w:rPr>
              <w:t>and promote much greater transparency over sustainable investments in the market.</w:t>
            </w:r>
          </w:p>
        </w:tc>
      </w:tr>
    </w:tbl>
    <w:p w14:paraId="6BB4CBFC" w14:textId="63B50E7E" w:rsidR="0045673A" w:rsidRDefault="0045673A">
      <w:pPr>
        <w:spacing w:after="219" w:line="259" w:lineRule="auto"/>
        <w:ind w:left="0" w:firstLine="0"/>
        <w:jc w:val="left"/>
      </w:pPr>
    </w:p>
    <w:p w14:paraId="1202836D" w14:textId="77777777" w:rsidR="0045673A" w:rsidRDefault="00E17DF3">
      <w:pPr>
        <w:pStyle w:val="Heading2"/>
        <w:ind w:left="490" w:right="636"/>
      </w:pPr>
      <w:r>
        <w:t>1.1.</w:t>
      </w:r>
      <w:r>
        <w:rPr>
          <w:rFonts w:ascii="Arial" w:eastAsia="Arial" w:hAnsi="Arial" w:cs="Arial"/>
        </w:rPr>
        <w:t xml:space="preserve"> </w:t>
      </w:r>
      <w:r>
        <w:t xml:space="preserve">Disclosures of principal adverse impacts (PAIs) </w:t>
      </w:r>
    </w:p>
    <w:p w14:paraId="0578B043" w14:textId="77777777" w:rsidR="0045673A" w:rsidRDefault="00E17DF3">
      <w:pPr>
        <w:ind w:right="643"/>
      </w:pPr>
      <w:r>
        <w:t xml:space="preserve">There are several disclosures concerning PAIs in the SFDR. As a general rule, the SFDR requires financial market participants who consider PAIs to disclose them at entity level on their website. It also includes a mandatory requirement for financial market participants to provide such disclosures when they have more than 500 employees (Article 4). The </w:t>
      </w:r>
      <w:hyperlink r:id="rId47">
        <w:r>
          <w:rPr>
            <w:color w:val="0000FF"/>
            <w:u w:val="single" w:color="0000FF"/>
          </w:rPr>
          <w:t>Delegated Regulation</w:t>
        </w:r>
      </w:hyperlink>
      <w:r>
        <w:rPr>
          <w:vertAlign w:val="superscript"/>
        </w:rPr>
        <w:footnoteReference w:id="7"/>
      </w:r>
      <w:r>
        <w:rPr>
          <w:vertAlign w:val="superscript"/>
        </w:rPr>
        <w:t xml:space="preserve"> </w:t>
      </w:r>
      <w:r>
        <w:t xml:space="preserve">of the SFDR includes a list of these PAI indicators. These entity level PAI indicators are divided into three tables in the Delegated Regulation. Indicators listed in table 1 are mandatory for all participants, and indicators in tables 2 and 3 are subject to a materiality assessment by the financial market participant (at least one indicator from table 2 and one from table 3 must be included in every PAI statement). </w:t>
      </w:r>
    </w:p>
    <w:p w14:paraId="020EAEA5" w14:textId="77777777" w:rsidR="0045673A" w:rsidRDefault="00E17DF3">
      <w:pPr>
        <w:spacing w:after="0" w:line="259" w:lineRule="auto"/>
        <w:ind w:left="0" w:firstLine="0"/>
        <w:jc w:val="left"/>
      </w:pPr>
      <w:r>
        <w:t xml:space="preserve"> </w:t>
      </w:r>
    </w:p>
    <w:p w14:paraId="084E9B2E" w14:textId="77777777" w:rsidR="0045673A" w:rsidRDefault="00E17DF3">
      <w:pPr>
        <w:ind w:right="643"/>
      </w:pPr>
      <w:r>
        <w:t xml:space="preserve">Second, the SFDR requires financial market participants who consider PAIs at entity level to indicate in the pre-contractual documentation whether their financial products consider PAIs (Article 7) and to report the impacts in the corresponding periodic disclosures (Article 11). When reporting these impacts, financial market participants may rely on the PAI indicators defined at entity level in the Delegated Regulation. </w:t>
      </w:r>
    </w:p>
    <w:p w14:paraId="4AA3DFC5" w14:textId="77777777" w:rsidR="0045673A" w:rsidRDefault="00E17DF3">
      <w:pPr>
        <w:spacing w:after="0" w:line="259" w:lineRule="auto"/>
        <w:ind w:left="0" w:firstLine="0"/>
        <w:jc w:val="left"/>
      </w:pPr>
      <w:r>
        <w:t xml:space="preserve"> </w:t>
      </w:r>
    </w:p>
    <w:p w14:paraId="0BCC71E9" w14:textId="77777777" w:rsidR="0045673A" w:rsidRDefault="00E17DF3">
      <w:pPr>
        <w:ind w:right="643"/>
      </w:pPr>
      <w:r>
        <w:t xml:space="preserve">Finally, in accordance with the empowerment given in Article 2a of SFDR, the Delegated Regulation requires that the do no significant harm (DNSH) assessment of the sustainable investment definition is carried out by taking into account the PAI indicators defined at entity level in Annex I of the Delegated Regulation. </w:t>
      </w:r>
    </w:p>
    <w:p w14:paraId="3D3AAAAC" w14:textId="77777777" w:rsidR="0045673A" w:rsidRDefault="00E17DF3">
      <w:pPr>
        <w:spacing w:after="0" w:line="259" w:lineRule="auto"/>
        <w:ind w:left="0" w:firstLine="0"/>
        <w:jc w:val="left"/>
      </w:pPr>
      <w:r>
        <w:t xml:space="preserve"> </w:t>
      </w:r>
    </w:p>
    <w:p w14:paraId="0EB256B6" w14:textId="77777777" w:rsidR="0045673A" w:rsidRDefault="00E17DF3">
      <w:pPr>
        <w:ind w:right="643"/>
      </w:pPr>
      <w:r>
        <w:t xml:space="preserve">In this context: </w:t>
      </w:r>
    </w:p>
    <w:p w14:paraId="6AB54FDE" w14:textId="77777777" w:rsidR="0045673A" w:rsidRDefault="00E17DF3">
      <w:pPr>
        <w:spacing w:after="0" w:line="259" w:lineRule="auto"/>
        <w:ind w:left="0" w:firstLine="0"/>
        <w:jc w:val="left"/>
      </w:pPr>
      <w:r>
        <w:t xml:space="preserve"> </w:t>
      </w:r>
    </w:p>
    <w:p w14:paraId="48C5E9FD" w14:textId="77777777" w:rsidR="0045673A" w:rsidRDefault="00E17DF3">
      <w:pPr>
        <w:ind w:right="643"/>
      </w:pPr>
      <w:r>
        <w:rPr>
          <w:b/>
          <w:u w:val="single" w:color="000000"/>
        </w:rPr>
        <w:t>Question 1.8</w:t>
      </w:r>
      <w:r>
        <w:t xml:space="preserve">: To what extent do you agree with the following statements about entity level disclosures? </w:t>
      </w:r>
    </w:p>
    <w:tbl>
      <w:tblPr>
        <w:tblW w:w="8661" w:type="dxa"/>
        <w:tblCellMar>
          <w:top w:w="20" w:type="dxa"/>
          <w:right w:w="49" w:type="dxa"/>
        </w:tblCellMar>
        <w:tblLook w:val="04A0" w:firstRow="1" w:lastRow="0" w:firstColumn="1" w:lastColumn="0" w:noHBand="0" w:noVBand="1"/>
      </w:tblPr>
      <w:tblGrid>
        <w:gridCol w:w="5671"/>
        <w:gridCol w:w="442"/>
        <w:gridCol w:w="442"/>
        <w:gridCol w:w="442"/>
        <w:gridCol w:w="442"/>
        <w:gridCol w:w="442"/>
        <w:gridCol w:w="780"/>
      </w:tblGrid>
      <w:tr w:rsidR="0045673A" w14:paraId="315383EE" w14:textId="77777777">
        <w:trPr>
          <w:trHeight w:val="812"/>
        </w:trPr>
        <w:tc>
          <w:tcPr>
            <w:tcW w:w="5672" w:type="dxa"/>
            <w:tcBorders>
              <w:top w:val="single" w:sz="8" w:space="0" w:color="000000"/>
              <w:left w:val="single" w:sz="8" w:space="0" w:color="000000"/>
              <w:bottom w:val="single" w:sz="8" w:space="0" w:color="000000"/>
              <w:right w:val="single" w:sz="4" w:space="0" w:color="000000"/>
            </w:tcBorders>
          </w:tcPr>
          <w:p w14:paraId="6BAE6FCA" w14:textId="77777777" w:rsidR="0045673A" w:rsidRDefault="00E17DF3">
            <w:pPr>
              <w:spacing w:after="0" w:line="259" w:lineRule="auto"/>
              <w:ind w:left="0" w:firstLine="0"/>
              <w:jc w:val="left"/>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1E039345" w14:textId="77777777" w:rsidR="0045673A" w:rsidRDefault="00E17DF3">
            <w:pPr>
              <w:spacing w:after="0" w:line="259" w:lineRule="auto"/>
              <w:ind w:left="53" w:firstLine="0"/>
              <w:jc w:val="left"/>
            </w:pPr>
            <w:r>
              <w:t xml:space="preserve">1 </w:t>
            </w:r>
          </w:p>
        </w:tc>
        <w:tc>
          <w:tcPr>
            <w:tcW w:w="442" w:type="dxa"/>
            <w:tcBorders>
              <w:top w:val="single" w:sz="4" w:space="0" w:color="000000"/>
              <w:left w:val="single" w:sz="4" w:space="0" w:color="000000"/>
              <w:bottom w:val="single" w:sz="4" w:space="0" w:color="000000"/>
              <w:right w:val="single" w:sz="4" w:space="0" w:color="000000"/>
            </w:tcBorders>
          </w:tcPr>
          <w:p w14:paraId="0A356D5A" w14:textId="77777777" w:rsidR="0045673A" w:rsidRDefault="00E17DF3">
            <w:pPr>
              <w:spacing w:after="0" w:line="259" w:lineRule="auto"/>
              <w:ind w:left="53" w:firstLine="0"/>
              <w:jc w:val="left"/>
            </w:pPr>
            <w:r>
              <w:t xml:space="preserve">2 </w:t>
            </w:r>
          </w:p>
        </w:tc>
        <w:tc>
          <w:tcPr>
            <w:tcW w:w="442" w:type="dxa"/>
            <w:tcBorders>
              <w:top w:val="single" w:sz="4" w:space="0" w:color="000000"/>
              <w:left w:val="single" w:sz="4" w:space="0" w:color="000000"/>
              <w:bottom w:val="single" w:sz="4" w:space="0" w:color="000000"/>
              <w:right w:val="single" w:sz="4" w:space="0" w:color="000000"/>
            </w:tcBorders>
          </w:tcPr>
          <w:p w14:paraId="3EB0BA69" w14:textId="77777777" w:rsidR="0045673A" w:rsidRDefault="00E17DF3">
            <w:pPr>
              <w:spacing w:after="0" w:line="259" w:lineRule="auto"/>
              <w:ind w:left="53" w:firstLine="0"/>
              <w:jc w:val="left"/>
            </w:pPr>
            <w:r>
              <w:t xml:space="preserve">3 </w:t>
            </w:r>
          </w:p>
        </w:tc>
        <w:tc>
          <w:tcPr>
            <w:tcW w:w="442" w:type="dxa"/>
            <w:tcBorders>
              <w:top w:val="single" w:sz="4" w:space="0" w:color="000000"/>
              <w:left w:val="single" w:sz="4" w:space="0" w:color="000000"/>
              <w:bottom w:val="single" w:sz="4" w:space="0" w:color="000000"/>
              <w:right w:val="single" w:sz="4" w:space="0" w:color="000000"/>
            </w:tcBorders>
          </w:tcPr>
          <w:p w14:paraId="1CEC2823" w14:textId="77777777" w:rsidR="0045673A" w:rsidRDefault="00E17DF3">
            <w:pPr>
              <w:spacing w:after="0" w:line="259" w:lineRule="auto"/>
              <w:ind w:left="53" w:firstLine="0"/>
              <w:jc w:val="left"/>
            </w:pPr>
            <w:r>
              <w:t xml:space="preserve">4 </w:t>
            </w:r>
          </w:p>
        </w:tc>
        <w:tc>
          <w:tcPr>
            <w:tcW w:w="442" w:type="dxa"/>
            <w:tcBorders>
              <w:top w:val="single" w:sz="4" w:space="0" w:color="000000"/>
              <w:left w:val="single" w:sz="4" w:space="0" w:color="000000"/>
              <w:bottom w:val="single" w:sz="4" w:space="0" w:color="000000"/>
              <w:right w:val="single" w:sz="4" w:space="0" w:color="000000"/>
            </w:tcBorders>
          </w:tcPr>
          <w:p w14:paraId="2ACC7FF6" w14:textId="77777777" w:rsidR="0045673A" w:rsidRDefault="00E17DF3">
            <w:pPr>
              <w:spacing w:after="0" w:line="259" w:lineRule="auto"/>
              <w:ind w:left="55" w:firstLine="0"/>
              <w:jc w:val="left"/>
            </w:pPr>
            <w:r>
              <w:t xml:space="preserve">5 </w:t>
            </w:r>
          </w:p>
        </w:tc>
        <w:tc>
          <w:tcPr>
            <w:tcW w:w="780" w:type="dxa"/>
            <w:tcBorders>
              <w:top w:val="single" w:sz="4" w:space="0" w:color="000000"/>
              <w:left w:val="single" w:sz="4" w:space="0" w:color="000000"/>
              <w:bottom w:val="single" w:sz="4" w:space="0" w:color="000000"/>
              <w:right w:val="single" w:sz="4" w:space="0" w:color="000000"/>
            </w:tcBorders>
          </w:tcPr>
          <w:p w14:paraId="0255D185" w14:textId="77777777" w:rsidR="0045673A" w:rsidRDefault="00E17DF3">
            <w:pPr>
              <w:spacing w:after="0" w:line="259" w:lineRule="auto"/>
              <w:ind w:left="0" w:firstLine="0"/>
              <w:jc w:val="center"/>
            </w:pPr>
            <w:r>
              <w:t xml:space="preserve">Don’t know </w:t>
            </w:r>
          </w:p>
        </w:tc>
      </w:tr>
      <w:tr w:rsidR="0045673A" w14:paraId="49E90423" w14:textId="77777777">
        <w:trPr>
          <w:trHeight w:val="1915"/>
        </w:trPr>
        <w:tc>
          <w:tcPr>
            <w:tcW w:w="5672" w:type="dxa"/>
            <w:tcBorders>
              <w:top w:val="single" w:sz="8" w:space="0" w:color="000000"/>
              <w:left w:val="single" w:sz="8" w:space="0" w:color="000000"/>
              <w:bottom w:val="single" w:sz="8" w:space="0" w:color="000000"/>
              <w:right w:val="single" w:sz="4" w:space="0" w:color="000000"/>
            </w:tcBorders>
          </w:tcPr>
          <w:p w14:paraId="6BF9062C" w14:textId="77777777" w:rsidR="0045673A" w:rsidRDefault="00E17DF3">
            <w:pPr>
              <w:spacing w:after="0" w:line="259" w:lineRule="auto"/>
              <w:ind w:left="0" w:right="64" w:firstLine="0"/>
            </w:pPr>
            <w:r>
              <w:t xml:space="preserve">I find it appropriate that certain indicators are always considered material (i.e. “principal”) to the financial market participant for its entity level disclosures, while having other indicators subject to a materiality assessment by the financial market participant(approach taken in Annex I of the SFDR Delegated Regulation). </w:t>
            </w:r>
          </w:p>
        </w:tc>
        <w:tc>
          <w:tcPr>
            <w:tcW w:w="442" w:type="dxa"/>
            <w:tcBorders>
              <w:top w:val="single" w:sz="4" w:space="0" w:color="000000"/>
              <w:left w:val="single" w:sz="4" w:space="0" w:color="000000"/>
              <w:bottom w:val="single" w:sz="4" w:space="0" w:color="000000"/>
              <w:right w:val="single" w:sz="4" w:space="0" w:color="000000"/>
            </w:tcBorders>
          </w:tcPr>
          <w:p w14:paraId="4B6EA61E" w14:textId="4FE61C3B"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6EE7A888" w14:textId="39588C94" w:rsidR="0045673A" w:rsidRDefault="00E17DF3">
            <w:pPr>
              <w:spacing w:after="0" w:line="259" w:lineRule="auto"/>
              <w:ind w:left="0"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48396F3A" w14:textId="41C6526E" w:rsidR="0045673A" w:rsidRDefault="00081EC1">
            <w:pPr>
              <w:spacing w:after="0" w:line="259" w:lineRule="auto"/>
              <w:ind w:left="1" w:firstLine="0"/>
              <w:jc w:val="center"/>
            </w:pPr>
            <w:r>
              <w:t>X</w:t>
            </w:r>
            <w:r w:rsidR="00E17DF3">
              <w:t xml:space="preserve"> </w:t>
            </w:r>
          </w:p>
        </w:tc>
        <w:tc>
          <w:tcPr>
            <w:tcW w:w="442" w:type="dxa"/>
            <w:tcBorders>
              <w:top w:val="single" w:sz="4" w:space="0" w:color="000000"/>
              <w:left w:val="single" w:sz="4" w:space="0" w:color="000000"/>
              <w:bottom w:val="single" w:sz="4" w:space="0" w:color="000000"/>
              <w:right w:val="single" w:sz="4" w:space="0" w:color="000000"/>
            </w:tcBorders>
          </w:tcPr>
          <w:p w14:paraId="5E6CEDCB" w14:textId="08DC7596"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13EB69E7" w14:textId="77777777" w:rsidR="0045673A" w:rsidRDefault="00E17DF3">
            <w:pPr>
              <w:spacing w:after="0" w:line="259" w:lineRule="auto"/>
              <w:ind w:left="6"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494A7EA3" w14:textId="40F9117D" w:rsidR="0045673A" w:rsidRDefault="0045673A">
            <w:pPr>
              <w:spacing w:after="0" w:line="259" w:lineRule="auto"/>
              <w:ind w:left="3" w:firstLine="0"/>
              <w:jc w:val="center"/>
            </w:pPr>
          </w:p>
        </w:tc>
      </w:tr>
      <w:tr w:rsidR="0045673A" w14:paraId="754EF85C" w14:textId="77777777">
        <w:trPr>
          <w:trHeight w:val="1090"/>
        </w:trPr>
        <w:tc>
          <w:tcPr>
            <w:tcW w:w="5672" w:type="dxa"/>
            <w:tcBorders>
              <w:top w:val="single" w:sz="8" w:space="0" w:color="000000"/>
              <w:left w:val="single" w:sz="8" w:space="0" w:color="000000"/>
              <w:bottom w:val="single" w:sz="8" w:space="0" w:color="000000"/>
              <w:right w:val="single" w:sz="4" w:space="0" w:color="000000"/>
            </w:tcBorders>
          </w:tcPr>
          <w:p w14:paraId="0B509327" w14:textId="77777777" w:rsidR="0045673A" w:rsidRDefault="00E17DF3">
            <w:pPr>
              <w:spacing w:after="0" w:line="259" w:lineRule="auto"/>
              <w:ind w:left="0" w:right="65" w:firstLine="0"/>
            </w:pPr>
            <w:r>
              <w:t xml:space="preserve">I would find it appropriate that all indicators are always considered material (i.e. “principal”) to the financial market participant for its entity level disclosures. </w:t>
            </w:r>
          </w:p>
        </w:tc>
        <w:tc>
          <w:tcPr>
            <w:tcW w:w="442" w:type="dxa"/>
            <w:tcBorders>
              <w:top w:val="single" w:sz="4" w:space="0" w:color="000000"/>
              <w:left w:val="single" w:sz="4" w:space="0" w:color="000000"/>
              <w:bottom w:val="single" w:sz="4" w:space="0" w:color="000000"/>
              <w:right w:val="single" w:sz="4" w:space="0" w:color="000000"/>
            </w:tcBorders>
          </w:tcPr>
          <w:p w14:paraId="2D29E9E1" w14:textId="0E275C70" w:rsidR="0045673A" w:rsidRDefault="000E7D67">
            <w:pPr>
              <w:spacing w:after="0" w:line="259" w:lineRule="auto"/>
              <w:ind w:left="1" w:firstLine="0"/>
              <w:jc w:val="center"/>
            </w:pPr>
            <w:r>
              <w:t>X</w:t>
            </w:r>
            <w:r w:rsidR="00E17DF3">
              <w:t xml:space="preserve"> </w:t>
            </w:r>
          </w:p>
        </w:tc>
        <w:tc>
          <w:tcPr>
            <w:tcW w:w="442" w:type="dxa"/>
            <w:tcBorders>
              <w:top w:val="single" w:sz="4" w:space="0" w:color="000000"/>
              <w:left w:val="single" w:sz="4" w:space="0" w:color="000000"/>
              <w:bottom w:val="single" w:sz="4" w:space="0" w:color="000000"/>
              <w:right w:val="single" w:sz="4" w:space="0" w:color="000000"/>
            </w:tcBorders>
          </w:tcPr>
          <w:p w14:paraId="3BFE24BF" w14:textId="5054CE5A" w:rsidR="0045673A" w:rsidRDefault="00E17DF3">
            <w:pPr>
              <w:spacing w:after="0" w:line="259" w:lineRule="auto"/>
              <w:ind w:left="0"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1FD47C38" w14:textId="77777777"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35AE391A" w14:textId="77777777"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77D15C3B" w14:textId="77777777" w:rsidR="0045673A" w:rsidRDefault="00E17DF3">
            <w:pPr>
              <w:spacing w:after="0" w:line="259" w:lineRule="auto"/>
              <w:ind w:left="6"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35CC2FB5" w14:textId="2E20B97C" w:rsidR="0045673A" w:rsidRDefault="00E17DF3">
            <w:pPr>
              <w:spacing w:after="0" w:line="259" w:lineRule="auto"/>
              <w:ind w:left="3" w:firstLine="0"/>
              <w:jc w:val="center"/>
            </w:pPr>
            <w:r>
              <w:t xml:space="preserve"> </w:t>
            </w:r>
          </w:p>
        </w:tc>
      </w:tr>
    </w:tbl>
    <w:p w14:paraId="719AD7CE" w14:textId="694F8470" w:rsidR="0045673A" w:rsidRDefault="0045673A">
      <w:pPr>
        <w:spacing w:after="0" w:line="259" w:lineRule="auto"/>
        <w:ind w:left="0" w:firstLine="0"/>
        <w:jc w:val="left"/>
      </w:pPr>
    </w:p>
    <w:tbl>
      <w:tblPr>
        <w:tblW w:w="8661" w:type="dxa"/>
        <w:tblCellMar>
          <w:top w:w="21" w:type="dxa"/>
          <w:right w:w="53" w:type="dxa"/>
        </w:tblCellMar>
        <w:tblLook w:val="04A0" w:firstRow="1" w:lastRow="0" w:firstColumn="1" w:lastColumn="0" w:noHBand="0" w:noVBand="1"/>
      </w:tblPr>
      <w:tblGrid>
        <w:gridCol w:w="5671"/>
        <w:gridCol w:w="442"/>
        <w:gridCol w:w="442"/>
        <w:gridCol w:w="442"/>
        <w:gridCol w:w="442"/>
        <w:gridCol w:w="442"/>
        <w:gridCol w:w="780"/>
      </w:tblGrid>
      <w:tr w:rsidR="0045673A" w14:paraId="62FCD2B0" w14:textId="77777777">
        <w:trPr>
          <w:trHeight w:val="1090"/>
        </w:trPr>
        <w:tc>
          <w:tcPr>
            <w:tcW w:w="5672" w:type="dxa"/>
            <w:tcBorders>
              <w:top w:val="single" w:sz="8" w:space="0" w:color="000000"/>
              <w:left w:val="single" w:sz="8" w:space="0" w:color="000000"/>
              <w:bottom w:val="single" w:sz="8" w:space="0" w:color="000000"/>
              <w:right w:val="single" w:sz="4" w:space="0" w:color="000000"/>
            </w:tcBorders>
          </w:tcPr>
          <w:p w14:paraId="5C55F9BD" w14:textId="77777777" w:rsidR="0045673A" w:rsidRDefault="00E17DF3">
            <w:pPr>
              <w:spacing w:after="0" w:line="259" w:lineRule="auto"/>
              <w:ind w:left="0" w:right="60" w:firstLine="0"/>
            </w:pPr>
            <w:r>
              <w:t xml:space="preserve">I would find it appropriate that all indicators are always subject to a materiality assessment by the financial market participant for its entity level disclosures. </w:t>
            </w:r>
          </w:p>
        </w:tc>
        <w:tc>
          <w:tcPr>
            <w:tcW w:w="442" w:type="dxa"/>
            <w:tcBorders>
              <w:top w:val="single" w:sz="4" w:space="0" w:color="000000"/>
              <w:left w:val="single" w:sz="4" w:space="0" w:color="000000"/>
              <w:bottom w:val="single" w:sz="4" w:space="0" w:color="000000"/>
              <w:right w:val="single" w:sz="4" w:space="0" w:color="000000"/>
            </w:tcBorders>
          </w:tcPr>
          <w:p w14:paraId="695AA3E5" w14:textId="22A90788" w:rsidR="0045673A" w:rsidRDefault="000E7D67">
            <w:pPr>
              <w:spacing w:after="0" w:line="259" w:lineRule="auto"/>
              <w:ind w:left="5" w:firstLine="0"/>
              <w:jc w:val="center"/>
            </w:pPr>
            <w:r>
              <w:t>X</w:t>
            </w:r>
            <w:r w:rsidR="00E17DF3">
              <w:t xml:space="preserve"> </w:t>
            </w:r>
          </w:p>
        </w:tc>
        <w:tc>
          <w:tcPr>
            <w:tcW w:w="442" w:type="dxa"/>
            <w:tcBorders>
              <w:top w:val="single" w:sz="4" w:space="0" w:color="000000"/>
              <w:left w:val="single" w:sz="4" w:space="0" w:color="000000"/>
              <w:bottom w:val="single" w:sz="4" w:space="0" w:color="000000"/>
              <w:right w:val="single" w:sz="4" w:space="0" w:color="000000"/>
            </w:tcBorders>
          </w:tcPr>
          <w:p w14:paraId="554E7908" w14:textId="624EF8A1" w:rsidR="0045673A" w:rsidRDefault="00E17DF3">
            <w:pPr>
              <w:spacing w:after="0" w:line="259" w:lineRule="auto"/>
              <w:ind w:left="5"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3E8616E0" w14:textId="77777777" w:rsidR="0045673A" w:rsidRDefault="00E17DF3">
            <w:pPr>
              <w:spacing w:after="0" w:line="259" w:lineRule="auto"/>
              <w:ind w:left="5"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39286997" w14:textId="77777777" w:rsidR="0045673A" w:rsidRDefault="00E17DF3">
            <w:pPr>
              <w:spacing w:after="0" w:line="259" w:lineRule="auto"/>
              <w:ind w:left="5"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5E679401" w14:textId="77777777" w:rsidR="0045673A" w:rsidRDefault="00E17DF3">
            <w:pPr>
              <w:spacing w:after="0" w:line="259" w:lineRule="auto"/>
              <w:ind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46A5D583" w14:textId="3878920E" w:rsidR="0045673A" w:rsidRDefault="00E17DF3">
            <w:pPr>
              <w:spacing w:after="0" w:line="259" w:lineRule="auto"/>
              <w:ind w:left="7" w:firstLine="0"/>
              <w:jc w:val="center"/>
            </w:pPr>
            <w:r>
              <w:t xml:space="preserve"> </w:t>
            </w:r>
          </w:p>
        </w:tc>
      </w:tr>
    </w:tbl>
    <w:p w14:paraId="182B8A73"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596B0F74" w14:textId="77777777" w:rsidR="0045673A" w:rsidRDefault="00E17DF3">
      <w:pPr>
        <w:ind w:right="643"/>
      </w:pPr>
      <w:r>
        <w:rPr>
          <w:b/>
          <w:u w:val="single" w:color="000000"/>
        </w:rPr>
        <w:t>Question 1.8.1</w:t>
      </w:r>
      <w:r>
        <w:t>: When following the approach described in the first statement of question 1.8 above, do you agree that the areas covered by the current indicators listed in table 1 of the Delegated Regulation are the right ones to be considered material in all cases?</w:t>
      </w:r>
      <w:r>
        <w:rPr>
          <w:sz w:val="20"/>
        </w:rPr>
        <w:t xml:space="preserve">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40B727D3" w14:textId="77777777">
        <w:trPr>
          <w:trHeight w:val="531"/>
        </w:trPr>
        <w:tc>
          <w:tcPr>
            <w:tcW w:w="1111" w:type="dxa"/>
            <w:tcBorders>
              <w:top w:val="single" w:sz="6" w:space="0" w:color="000000"/>
              <w:left w:val="single" w:sz="6" w:space="0" w:color="000000"/>
              <w:bottom w:val="single" w:sz="6" w:space="0" w:color="000000"/>
              <w:right w:val="single" w:sz="6" w:space="0" w:color="000000"/>
            </w:tcBorders>
          </w:tcPr>
          <w:p w14:paraId="7B3CBF63"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64872888"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302AD514"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763D3AC7"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2604CE52"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216BD42B" w14:textId="77777777" w:rsidR="0045673A" w:rsidRDefault="00E17DF3">
            <w:pPr>
              <w:spacing w:after="0" w:line="259" w:lineRule="auto"/>
              <w:ind w:left="0" w:right="3" w:firstLine="0"/>
              <w:jc w:val="center"/>
            </w:pPr>
            <w:r>
              <w:t xml:space="preserve">Don’t know </w:t>
            </w:r>
          </w:p>
        </w:tc>
      </w:tr>
      <w:tr w:rsidR="0045673A" w14:paraId="401AC7C4" w14:textId="77777777">
        <w:trPr>
          <w:trHeight w:val="533"/>
        </w:trPr>
        <w:tc>
          <w:tcPr>
            <w:tcW w:w="1111" w:type="dxa"/>
            <w:tcBorders>
              <w:top w:val="single" w:sz="6" w:space="0" w:color="000000"/>
              <w:left w:val="single" w:sz="6" w:space="0" w:color="000000"/>
              <w:bottom w:val="single" w:sz="6" w:space="0" w:color="000000"/>
              <w:right w:val="single" w:sz="6" w:space="0" w:color="000000"/>
            </w:tcBorders>
          </w:tcPr>
          <w:p w14:paraId="4D7F97F4"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32F53E5D" w14:textId="155FEEBC" w:rsidR="0045673A" w:rsidRDefault="00E17DF3">
            <w:pPr>
              <w:spacing w:after="0" w:line="259" w:lineRule="auto"/>
              <w:ind w:left="59" w:firstLine="0"/>
              <w:jc w:val="center"/>
            </w:pPr>
            <w:r>
              <w:t xml:space="preserve"> </w:t>
            </w:r>
          </w:p>
        </w:tc>
        <w:tc>
          <w:tcPr>
            <w:tcW w:w="1094" w:type="dxa"/>
            <w:tcBorders>
              <w:top w:val="single" w:sz="6" w:space="0" w:color="000000"/>
              <w:left w:val="single" w:sz="6" w:space="0" w:color="000000"/>
              <w:bottom w:val="single" w:sz="6" w:space="0" w:color="000000"/>
              <w:right w:val="single" w:sz="6" w:space="0" w:color="000000"/>
            </w:tcBorders>
          </w:tcPr>
          <w:p w14:paraId="05663DA5" w14:textId="77777777" w:rsidR="0045673A" w:rsidRDefault="00E17DF3">
            <w:pPr>
              <w:spacing w:after="0" w:line="259" w:lineRule="auto"/>
              <w:ind w:left="60"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3E579DD6" w14:textId="77706C1B" w:rsidR="0045673A" w:rsidRDefault="00E17DF3">
            <w:pPr>
              <w:spacing w:after="0" w:line="259" w:lineRule="auto"/>
              <w:ind w:left="60" w:firstLine="0"/>
              <w:jc w:val="center"/>
            </w:pPr>
            <w:r>
              <w:t xml:space="preserve"> </w:t>
            </w:r>
            <w:r w:rsidR="0073635B">
              <w:t>X</w:t>
            </w:r>
          </w:p>
        </w:tc>
        <w:tc>
          <w:tcPr>
            <w:tcW w:w="1025" w:type="dxa"/>
            <w:tcBorders>
              <w:top w:val="single" w:sz="6" w:space="0" w:color="000000"/>
              <w:left w:val="single" w:sz="6" w:space="0" w:color="000000"/>
              <w:bottom w:val="single" w:sz="6" w:space="0" w:color="000000"/>
              <w:right w:val="single" w:sz="6" w:space="0" w:color="000000"/>
            </w:tcBorders>
          </w:tcPr>
          <w:p w14:paraId="424EEBBD"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68B6990F" w14:textId="6D725F20" w:rsidR="0045673A" w:rsidRDefault="0045673A">
            <w:pPr>
              <w:spacing w:after="0" w:line="259" w:lineRule="auto"/>
              <w:ind w:left="63" w:firstLine="0"/>
              <w:jc w:val="center"/>
            </w:pPr>
          </w:p>
        </w:tc>
      </w:tr>
    </w:tbl>
    <w:p w14:paraId="5E6E7295"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4E2EA9CD" w14:textId="77777777" w:rsidR="0045673A" w:rsidRDefault="00E17DF3">
      <w:pPr>
        <w:ind w:right="643"/>
      </w:pPr>
      <w:r>
        <w:rPr>
          <w:b/>
          <w:u w:val="single" w:color="000000"/>
        </w:rPr>
        <w:t>Question 1.9</w:t>
      </w:r>
      <w:r>
        <w:t xml:space="preserve">: To what extent do you agree with the following statements about product level disclosures? </w:t>
      </w:r>
    </w:p>
    <w:tbl>
      <w:tblPr>
        <w:tblW w:w="8661" w:type="dxa"/>
        <w:tblCellMar>
          <w:top w:w="20" w:type="dxa"/>
          <w:right w:w="49" w:type="dxa"/>
        </w:tblCellMar>
        <w:tblLook w:val="04A0" w:firstRow="1" w:lastRow="0" w:firstColumn="1" w:lastColumn="0" w:noHBand="0" w:noVBand="1"/>
      </w:tblPr>
      <w:tblGrid>
        <w:gridCol w:w="5671"/>
        <w:gridCol w:w="442"/>
        <w:gridCol w:w="442"/>
        <w:gridCol w:w="442"/>
        <w:gridCol w:w="442"/>
        <w:gridCol w:w="442"/>
        <w:gridCol w:w="780"/>
      </w:tblGrid>
      <w:tr w:rsidR="0045673A" w14:paraId="358D7E2F" w14:textId="77777777">
        <w:trPr>
          <w:trHeight w:val="811"/>
        </w:trPr>
        <w:tc>
          <w:tcPr>
            <w:tcW w:w="5672" w:type="dxa"/>
            <w:tcBorders>
              <w:top w:val="single" w:sz="8" w:space="0" w:color="000000"/>
              <w:left w:val="single" w:sz="8" w:space="0" w:color="000000"/>
              <w:bottom w:val="single" w:sz="8" w:space="0" w:color="000000"/>
              <w:right w:val="single" w:sz="4" w:space="0" w:color="000000"/>
            </w:tcBorders>
          </w:tcPr>
          <w:p w14:paraId="6F34F7FC" w14:textId="77777777" w:rsidR="0045673A" w:rsidRDefault="00E17DF3">
            <w:pPr>
              <w:spacing w:after="0" w:line="259" w:lineRule="auto"/>
              <w:ind w:left="0" w:firstLine="0"/>
              <w:jc w:val="left"/>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5E1A6892" w14:textId="77777777" w:rsidR="0045673A" w:rsidRDefault="00E17DF3">
            <w:pPr>
              <w:spacing w:after="0" w:line="259" w:lineRule="auto"/>
              <w:ind w:left="53" w:firstLine="0"/>
              <w:jc w:val="left"/>
            </w:pPr>
            <w:r>
              <w:t xml:space="preserve">1 </w:t>
            </w:r>
          </w:p>
        </w:tc>
        <w:tc>
          <w:tcPr>
            <w:tcW w:w="442" w:type="dxa"/>
            <w:tcBorders>
              <w:top w:val="single" w:sz="4" w:space="0" w:color="000000"/>
              <w:left w:val="single" w:sz="4" w:space="0" w:color="000000"/>
              <w:bottom w:val="single" w:sz="4" w:space="0" w:color="000000"/>
              <w:right w:val="single" w:sz="4" w:space="0" w:color="000000"/>
            </w:tcBorders>
          </w:tcPr>
          <w:p w14:paraId="362A83C7" w14:textId="77777777" w:rsidR="0045673A" w:rsidRDefault="00E17DF3">
            <w:pPr>
              <w:spacing w:after="0" w:line="259" w:lineRule="auto"/>
              <w:ind w:left="53" w:firstLine="0"/>
              <w:jc w:val="left"/>
            </w:pPr>
            <w:r>
              <w:t xml:space="preserve">2 </w:t>
            </w:r>
          </w:p>
        </w:tc>
        <w:tc>
          <w:tcPr>
            <w:tcW w:w="442" w:type="dxa"/>
            <w:tcBorders>
              <w:top w:val="single" w:sz="4" w:space="0" w:color="000000"/>
              <w:left w:val="single" w:sz="4" w:space="0" w:color="000000"/>
              <w:bottom w:val="single" w:sz="4" w:space="0" w:color="000000"/>
              <w:right w:val="single" w:sz="4" w:space="0" w:color="000000"/>
            </w:tcBorders>
          </w:tcPr>
          <w:p w14:paraId="180E41DC" w14:textId="77777777" w:rsidR="0045673A" w:rsidRDefault="00E17DF3">
            <w:pPr>
              <w:spacing w:after="0" w:line="259" w:lineRule="auto"/>
              <w:ind w:left="53" w:firstLine="0"/>
              <w:jc w:val="left"/>
            </w:pPr>
            <w:r>
              <w:t xml:space="preserve">3 </w:t>
            </w:r>
          </w:p>
        </w:tc>
        <w:tc>
          <w:tcPr>
            <w:tcW w:w="442" w:type="dxa"/>
            <w:tcBorders>
              <w:top w:val="single" w:sz="4" w:space="0" w:color="000000"/>
              <w:left w:val="single" w:sz="4" w:space="0" w:color="000000"/>
              <w:bottom w:val="single" w:sz="4" w:space="0" w:color="000000"/>
              <w:right w:val="single" w:sz="4" w:space="0" w:color="000000"/>
            </w:tcBorders>
          </w:tcPr>
          <w:p w14:paraId="76016338" w14:textId="77777777" w:rsidR="0045673A" w:rsidRDefault="00E17DF3">
            <w:pPr>
              <w:spacing w:after="0" w:line="259" w:lineRule="auto"/>
              <w:ind w:left="53" w:firstLine="0"/>
              <w:jc w:val="left"/>
            </w:pPr>
            <w:r>
              <w:t xml:space="preserve">4 </w:t>
            </w:r>
          </w:p>
        </w:tc>
        <w:tc>
          <w:tcPr>
            <w:tcW w:w="442" w:type="dxa"/>
            <w:tcBorders>
              <w:top w:val="single" w:sz="4" w:space="0" w:color="000000"/>
              <w:left w:val="single" w:sz="4" w:space="0" w:color="000000"/>
              <w:bottom w:val="single" w:sz="4" w:space="0" w:color="000000"/>
              <w:right w:val="single" w:sz="4" w:space="0" w:color="000000"/>
            </w:tcBorders>
          </w:tcPr>
          <w:p w14:paraId="2E48546E" w14:textId="77777777" w:rsidR="0045673A" w:rsidRDefault="00E17DF3">
            <w:pPr>
              <w:spacing w:after="0" w:line="259" w:lineRule="auto"/>
              <w:ind w:left="55" w:firstLine="0"/>
              <w:jc w:val="left"/>
            </w:pPr>
            <w:r>
              <w:t xml:space="preserve">5 </w:t>
            </w:r>
          </w:p>
        </w:tc>
        <w:tc>
          <w:tcPr>
            <w:tcW w:w="780" w:type="dxa"/>
            <w:tcBorders>
              <w:top w:val="single" w:sz="4" w:space="0" w:color="000000"/>
              <w:left w:val="single" w:sz="4" w:space="0" w:color="000000"/>
              <w:bottom w:val="single" w:sz="4" w:space="0" w:color="000000"/>
              <w:right w:val="single" w:sz="4" w:space="0" w:color="000000"/>
            </w:tcBorders>
          </w:tcPr>
          <w:p w14:paraId="27DBC7D2" w14:textId="77777777" w:rsidR="0045673A" w:rsidRDefault="00E17DF3">
            <w:pPr>
              <w:spacing w:after="0" w:line="259" w:lineRule="auto"/>
              <w:ind w:left="0" w:firstLine="0"/>
              <w:jc w:val="center"/>
            </w:pPr>
            <w:r>
              <w:t xml:space="preserve">Don’t know </w:t>
            </w:r>
          </w:p>
        </w:tc>
      </w:tr>
      <w:tr w:rsidR="0045673A" w14:paraId="588F1D90" w14:textId="77777777">
        <w:trPr>
          <w:trHeight w:val="1364"/>
        </w:trPr>
        <w:tc>
          <w:tcPr>
            <w:tcW w:w="5672" w:type="dxa"/>
            <w:tcBorders>
              <w:top w:val="single" w:sz="8" w:space="0" w:color="000000"/>
              <w:left w:val="single" w:sz="8" w:space="0" w:color="000000"/>
              <w:bottom w:val="single" w:sz="8" w:space="0" w:color="000000"/>
              <w:right w:val="single" w:sz="4" w:space="0" w:color="000000"/>
            </w:tcBorders>
          </w:tcPr>
          <w:p w14:paraId="102EA213" w14:textId="77777777" w:rsidR="0045673A" w:rsidRDefault="00E17DF3">
            <w:pPr>
              <w:spacing w:after="0" w:line="259" w:lineRule="auto"/>
              <w:ind w:left="0" w:right="65" w:firstLine="0"/>
            </w:pPr>
            <w:r>
              <w:t xml:space="preserve">The requirement to ‘take account of’ PAI indicators listed in Annex I of the Delegated Regulation for the DNSH assessment, does not create methodological challenges. </w:t>
            </w:r>
          </w:p>
        </w:tc>
        <w:tc>
          <w:tcPr>
            <w:tcW w:w="442" w:type="dxa"/>
            <w:tcBorders>
              <w:top w:val="single" w:sz="4" w:space="0" w:color="000000"/>
              <w:left w:val="single" w:sz="4" w:space="0" w:color="000000"/>
              <w:bottom w:val="single" w:sz="4" w:space="0" w:color="000000"/>
              <w:right w:val="single" w:sz="4" w:space="0" w:color="000000"/>
            </w:tcBorders>
          </w:tcPr>
          <w:p w14:paraId="680C73F0" w14:textId="3795FAF7" w:rsidR="0045673A" w:rsidRDefault="00837E5D">
            <w:pPr>
              <w:spacing w:after="0" w:line="259" w:lineRule="auto"/>
              <w:ind w:left="1" w:firstLine="0"/>
              <w:jc w:val="center"/>
            </w:pPr>
            <w:r>
              <w:t>X</w:t>
            </w:r>
            <w:r w:rsidR="00E17DF3">
              <w:t xml:space="preserve"> </w:t>
            </w:r>
          </w:p>
        </w:tc>
        <w:tc>
          <w:tcPr>
            <w:tcW w:w="442" w:type="dxa"/>
            <w:tcBorders>
              <w:top w:val="single" w:sz="4" w:space="0" w:color="000000"/>
              <w:left w:val="single" w:sz="4" w:space="0" w:color="000000"/>
              <w:bottom w:val="single" w:sz="4" w:space="0" w:color="000000"/>
              <w:right w:val="single" w:sz="4" w:space="0" w:color="000000"/>
            </w:tcBorders>
          </w:tcPr>
          <w:p w14:paraId="40C8B181" w14:textId="77777777" w:rsidR="0045673A" w:rsidRDefault="00E17DF3">
            <w:pPr>
              <w:spacing w:after="0" w:line="259" w:lineRule="auto"/>
              <w:ind w:left="0"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6E4E6A3E" w14:textId="77777777"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514EB832" w14:textId="77777777"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53FD30C0" w14:textId="77777777" w:rsidR="0045673A" w:rsidRDefault="00E17DF3">
            <w:pPr>
              <w:spacing w:after="0" w:line="259" w:lineRule="auto"/>
              <w:ind w:left="6"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334426BE" w14:textId="77777777" w:rsidR="0045673A" w:rsidRDefault="00E17DF3">
            <w:pPr>
              <w:spacing w:after="0" w:line="259" w:lineRule="auto"/>
              <w:ind w:left="3" w:firstLine="0"/>
              <w:jc w:val="center"/>
            </w:pPr>
            <w:r>
              <w:t xml:space="preserve"> </w:t>
            </w:r>
          </w:p>
        </w:tc>
      </w:tr>
      <w:tr w:rsidR="0045673A" w14:paraId="63A9482D" w14:textId="77777777">
        <w:trPr>
          <w:trHeight w:val="1642"/>
        </w:trPr>
        <w:tc>
          <w:tcPr>
            <w:tcW w:w="5672" w:type="dxa"/>
            <w:tcBorders>
              <w:top w:val="single" w:sz="8" w:space="0" w:color="000000"/>
              <w:left w:val="single" w:sz="8" w:space="0" w:color="000000"/>
              <w:bottom w:val="single" w:sz="8" w:space="0" w:color="000000"/>
              <w:right w:val="single" w:sz="4" w:space="0" w:color="000000"/>
            </w:tcBorders>
          </w:tcPr>
          <w:p w14:paraId="056E15A7" w14:textId="77777777" w:rsidR="0045673A" w:rsidRDefault="00E17DF3">
            <w:pPr>
              <w:spacing w:after="0" w:line="259" w:lineRule="auto"/>
              <w:ind w:left="0" w:right="62" w:firstLine="0"/>
            </w:pPr>
            <w:r>
              <w:t xml:space="preserve">In the context of product disclosures for the do no significant harm (DNSH) assessment, it is clear how materiality of principal adverse impact (PAI) indicators listed in Annex I of the Delegated Regulation should be applied  </w:t>
            </w:r>
          </w:p>
        </w:tc>
        <w:tc>
          <w:tcPr>
            <w:tcW w:w="442" w:type="dxa"/>
            <w:tcBorders>
              <w:top w:val="single" w:sz="4" w:space="0" w:color="000000"/>
              <w:left w:val="single" w:sz="4" w:space="0" w:color="000000"/>
              <w:bottom w:val="single" w:sz="4" w:space="0" w:color="000000"/>
              <w:right w:val="single" w:sz="4" w:space="0" w:color="000000"/>
            </w:tcBorders>
          </w:tcPr>
          <w:p w14:paraId="6B415034" w14:textId="77777777"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43AEBEFF" w14:textId="43C68F39" w:rsidR="0045673A" w:rsidRDefault="00E17DF3">
            <w:pPr>
              <w:spacing w:after="0" w:line="259" w:lineRule="auto"/>
              <w:ind w:left="0" w:firstLine="0"/>
              <w:jc w:val="center"/>
            </w:pPr>
            <w:r>
              <w:t xml:space="preserve"> </w:t>
            </w:r>
            <w:r w:rsidR="00837E5D">
              <w:t>X</w:t>
            </w:r>
          </w:p>
        </w:tc>
        <w:tc>
          <w:tcPr>
            <w:tcW w:w="442" w:type="dxa"/>
            <w:tcBorders>
              <w:top w:val="single" w:sz="4" w:space="0" w:color="000000"/>
              <w:left w:val="single" w:sz="4" w:space="0" w:color="000000"/>
              <w:bottom w:val="single" w:sz="4" w:space="0" w:color="000000"/>
              <w:right w:val="single" w:sz="4" w:space="0" w:color="000000"/>
            </w:tcBorders>
          </w:tcPr>
          <w:p w14:paraId="21E209E4" w14:textId="77777777"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77A22DB7" w14:textId="77777777"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23C0C709" w14:textId="77777777" w:rsidR="0045673A" w:rsidRDefault="00E17DF3">
            <w:pPr>
              <w:spacing w:after="0" w:line="259" w:lineRule="auto"/>
              <w:ind w:left="6"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35A059FE" w14:textId="77777777" w:rsidR="0045673A" w:rsidRDefault="00E17DF3">
            <w:pPr>
              <w:spacing w:after="0" w:line="259" w:lineRule="auto"/>
              <w:ind w:left="3" w:firstLine="0"/>
              <w:jc w:val="center"/>
            </w:pPr>
            <w:r>
              <w:t xml:space="preserve"> </w:t>
            </w:r>
          </w:p>
        </w:tc>
      </w:tr>
      <w:tr w:rsidR="0045673A" w14:paraId="781EB16A" w14:textId="77777777">
        <w:trPr>
          <w:trHeight w:val="1364"/>
        </w:trPr>
        <w:tc>
          <w:tcPr>
            <w:tcW w:w="5672" w:type="dxa"/>
            <w:tcBorders>
              <w:top w:val="single" w:sz="8" w:space="0" w:color="000000"/>
              <w:left w:val="single" w:sz="8" w:space="0" w:color="000000"/>
              <w:bottom w:val="single" w:sz="8" w:space="0" w:color="000000"/>
              <w:right w:val="single" w:sz="4" w:space="0" w:color="000000"/>
            </w:tcBorders>
          </w:tcPr>
          <w:p w14:paraId="7042DD8E" w14:textId="77777777" w:rsidR="0045673A" w:rsidRDefault="00E17DF3">
            <w:pPr>
              <w:spacing w:after="0" w:line="259" w:lineRule="auto"/>
              <w:ind w:left="0" w:right="62" w:firstLine="0"/>
            </w:pPr>
            <w:r w:rsidRPr="00990181">
              <w:t>The possibility to consider the PAI indicators listed in Annex I of the Delegated Regulation for product level disclosures of Article 7 do not create methodological challenges.</w:t>
            </w: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503A906A" w14:textId="3371699B" w:rsidR="0045673A" w:rsidRDefault="00837E5D">
            <w:pPr>
              <w:spacing w:after="0" w:line="259" w:lineRule="auto"/>
              <w:ind w:left="1" w:firstLine="0"/>
              <w:jc w:val="center"/>
            </w:pPr>
            <w:r>
              <w:t>X</w:t>
            </w:r>
            <w:r w:rsidR="00E17DF3">
              <w:t xml:space="preserve"> </w:t>
            </w:r>
          </w:p>
        </w:tc>
        <w:tc>
          <w:tcPr>
            <w:tcW w:w="442" w:type="dxa"/>
            <w:tcBorders>
              <w:top w:val="single" w:sz="4" w:space="0" w:color="000000"/>
              <w:left w:val="single" w:sz="4" w:space="0" w:color="000000"/>
              <w:bottom w:val="single" w:sz="4" w:space="0" w:color="000000"/>
              <w:right w:val="single" w:sz="4" w:space="0" w:color="000000"/>
            </w:tcBorders>
          </w:tcPr>
          <w:p w14:paraId="71C307D9" w14:textId="77777777" w:rsidR="0045673A" w:rsidRDefault="00E17DF3">
            <w:pPr>
              <w:spacing w:after="0" w:line="259" w:lineRule="auto"/>
              <w:ind w:left="0"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62110BC3" w14:textId="77777777"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42FD2277" w14:textId="77777777"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041FF4EB" w14:textId="77777777" w:rsidR="0045673A" w:rsidRDefault="00E17DF3">
            <w:pPr>
              <w:spacing w:after="0" w:line="259" w:lineRule="auto"/>
              <w:ind w:left="6"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59038C00" w14:textId="77777777" w:rsidR="0045673A" w:rsidRDefault="00E17DF3">
            <w:pPr>
              <w:spacing w:after="0" w:line="259" w:lineRule="auto"/>
              <w:ind w:left="3" w:firstLine="0"/>
              <w:jc w:val="center"/>
            </w:pPr>
            <w:r>
              <w:t xml:space="preserve"> </w:t>
            </w:r>
          </w:p>
        </w:tc>
      </w:tr>
      <w:tr w:rsidR="0045673A" w14:paraId="013352BA" w14:textId="77777777">
        <w:trPr>
          <w:trHeight w:val="2191"/>
        </w:trPr>
        <w:tc>
          <w:tcPr>
            <w:tcW w:w="5672" w:type="dxa"/>
            <w:tcBorders>
              <w:top w:val="single" w:sz="8" w:space="0" w:color="000000"/>
              <w:left w:val="single" w:sz="8" w:space="0" w:color="000000"/>
              <w:bottom w:val="single" w:sz="8" w:space="0" w:color="000000"/>
              <w:right w:val="single" w:sz="4" w:space="0" w:color="000000"/>
            </w:tcBorders>
          </w:tcPr>
          <w:p w14:paraId="4C893268" w14:textId="77777777" w:rsidR="0045673A" w:rsidRDefault="00E17DF3">
            <w:pPr>
              <w:spacing w:after="0" w:line="259" w:lineRule="auto"/>
              <w:ind w:left="0" w:right="63" w:firstLine="0"/>
            </w:pPr>
            <w:r>
              <w:t xml:space="preserve">It is clear how the disclosure requirements of Article 7 as regards principal adverse impacts interact with the requirement to disclose information according to Article 8 when the product promotes environmental and/or social characteristics and with the requirement to disclose information according to Article 9 when the product has sustainable investment as its objective. </w:t>
            </w:r>
          </w:p>
        </w:tc>
        <w:tc>
          <w:tcPr>
            <w:tcW w:w="442" w:type="dxa"/>
            <w:tcBorders>
              <w:top w:val="single" w:sz="4" w:space="0" w:color="000000"/>
              <w:left w:val="single" w:sz="4" w:space="0" w:color="000000"/>
              <w:bottom w:val="single" w:sz="4" w:space="0" w:color="000000"/>
              <w:right w:val="single" w:sz="4" w:space="0" w:color="000000"/>
            </w:tcBorders>
          </w:tcPr>
          <w:p w14:paraId="465FA635" w14:textId="77777777" w:rsidR="0045673A" w:rsidRDefault="00E17DF3">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5E7824B5" w14:textId="3EFFA18A" w:rsidR="0045673A" w:rsidRDefault="005D13F4">
            <w:pPr>
              <w:spacing w:after="0" w:line="259" w:lineRule="auto"/>
              <w:ind w:left="0" w:firstLine="0"/>
              <w:jc w:val="center"/>
            </w:pPr>
            <w:r>
              <w:t>X</w:t>
            </w:r>
            <w:r w:rsidR="00E17DF3">
              <w:t xml:space="preserve"> </w:t>
            </w:r>
          </w:p>
        </w:tc>
        <w:tc>
          <w:tcPr>
            <w:tcW w:w="442" w:type="dxa"/>
            <w:tcBorders>
              <w:top w:val="single" w:sz="4" w:space="0" w:color="000000"/>
              <w:left w:val="single" w:sz="4" w:space="0" w:color="000000"/>
              <w:bottom w:val="single" w:sz="4" w:space="0" w:color="000000"/>
              <w:right w:val="single" w:sz="4" w:space="0" w:color="000000"/>
            </w:tcBorders>
          </w:tcPr>
          <w:p w14:paraId="42250B58" w14:textId="681C3AAA" w:rsidR="0045673A" w:rsidRDefault="0045673A">
            <w:pPr>
              <w:spacing w:after="0" w:line="259" w:lineRule="auto"/>
              <w:ind w:left="1"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223115C6" w14:textId="13BEE9F9" w:rsidR="0045673A" w:rsidRDefault="0045673A">
            <w:pPr>
              <w:spacing w:after="0" w:line="259" w:lineRule="auto"/>
              <w:ind w:left="1"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501D087F" w14:textId="77777777" w:rsidR="0045673A" w:rsidRDefault="00E17DF3">
            <w:pPr>
              <w:spacing w:after="0" w:line="259" w:lineRule="auto"/>
              <w:ind w:left="6"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04DBD97D" w14:textId="77777777" w:rsidR="0045673A" w:rsidRDefault="00E17DF3">
            <w:pPr>
              <w:spacing w:after="0" w:line="259" w:lineRule="auto"/>
              <w:ind w:left="3" w:firstLine="0"/>
              <w:jc w:val="center"/>
            </w:pPr>
            <w:r>
              <w:t xml:space="preserve"> </w:t>
            </w:r>
          </w:p>
        </w:tc>
      </w:tr>
    </w:tbl>
    <w:p w14:paraId="28F95388"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00065776" w14:textId="2F2F0ACF" w:rsidR="0045673A" w:rsidRDefault="00E17DF3">
      <w:pPr>
        <w:ind w:right="643"/>
      </w:pPr>
      <w:r w:rsidRPr="00172C4D">
        <w:t>Please provide any additional explanations as necessary for questions 1.8, 1.8.1 and 1.9:</w:t>
      </w:r>
      <w:r>
        <w:t xml:space="preserve">  </w:t>
      </w:r>
    </w:p>
    <w:tbl>
      <w:tblPr>
        <w:tblW w:w="8702" w:type="dxa"/>
        <w:tblCellMar>
          <w:top w:w="19" w:type="dxa"/>
          <w:left w:w="115" w:type="dxa"/>
          <w:right w:w="115" w:type="dxa"/>
        </w:tblCellMar>
        <w:tblLook w:val="04A0" w:firstRow="1" w:lastRow="0" w:firstColumn="1" w:lastColumn="0" w:noHBand="0" w:noVBand="1"/>
      </w:tblPr>
      <w:tblGrid>
        <w:gridCol w:w="8702"/>
      </w:tblGrid>
      <w:tr w:rsidR="0045673A" w14:paraId="137EDF3C" w14:textId="77777777" w:rsidTr="74269111">
        <w:trPr>
          <w:trHeight w:val="579"/>
        </w:trPr>
        <w:tc>
          <w:tcPr>
            <w:tcW w:w="87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DF0C6F" w14:textId="77777777" w:rsidR="00864192" w:rsidRDefault="00864192" w:rsidP="00B23C3C">
            <w:pPr>
              <w:spacing w:after="0" w:line="259" w:lineRule="auto"/>
              <w:ind w:left="0" w:firstLine="0"/>
              <w:jc w:val="left"/>
              <w:rPr>
                <w:rStyle w:val="ui-provider"/>
                <w:sz w:val="20"/>
                <w:szCs w:val="20"/>
              </w:rPr>
            </w:pPr>
          </w:p>
          <w:p w14:paraId="21C33C65" w14:textId="3A337367" w:rsidR="00847CCF" w:rsidRDefault="00B23C3C" w:rsidP="00B23C3C">
            <w:pPr>
              <w:spacing w:after="0" w:line="259" w:lineRule="auto"/>
              <w:ind w:left="0" w:firstLine="0"/>
              <w:jc w:val="left"/>
              <w:rPr>
                <w:rStyle w:val="ui-provider"/>
                <w:sz w:val="20"/>
                <w:szCs w:val="20"/>
              </w:rPr>
            </w:pPr>
            <w:r>
              <w:rPr>
                <w:rStyle w:val="ui-provider"/>
                <w:sz w:val="20"/>
                <w:szCs w:val="20"/>
              </w:rPr>
              <w:t xml:space="preserve">We would very much welcome </w:t>
            </w:r>
            <w:r w:rsidR="00B33D12">
              <w:rPr>
                <w:rStyle w:val="ui-provider"/>
                <w:sz w:val="20"/>
                <w:szCs w:val="20"/>
              </w:rPr>
              <w:t>much f</w:t>
            </w:r>
            <w:r w:rsidR="00864CE2">
              <w:rPr>
                <w:rStyle w:val="ui-provider"/>
                <w:sz w:val="20"/>
                <w:szCs w:val="20"/>
              </w:rPr>
              <w:t>urther</w:t>
            </w:r>
            <w:r w:rsidR="00B33D12">
              <w:rPr>
                <w:rStyle w:val="ui-provider"/>
                <w:sz w:val="20"/>
                <w:szCs w:val="20"/>
              </w:rPr>
              <w:t xml:space="preserve"> c</w:t>
            </w:r>
            <w:r>
              <w:rPr>
                <w:rStyle w:val="ui-provider"/>
                <w:sz w:val="20"/>
                <w:szCs w:val="20"/>
              </w:rPr>
              <w:t xml:space="preserve">onsideration by the Commission of a number of changes to the </w:t>
            </w:r>
            <w:r w:rsidR="00AC27B4" w:rsidRPr="00AC27B4">
              <w:rPr>
                <w:rStyle w:val="ui-provider"/>
                <w:sz w:val="20"/>
                <w:szCs w:val="20"/>
              </w:rPr>
              <w:t>Principal Adverse Impact</w:t>
            </w:r>
            <w:r w:rsidR="00AC27B4">
              <w:rPr>
                <w:rStyle w:val="ui-provider"/>
                <w:sz w:val="20"/>
                <w:szCs w:val="20"/>
              </w:rPr>
              <w:t xml:space="preserve"> (PAI) indicators</w:t>
            </w:r>
            <w:r w:rsidR="00820509">
              <w:rPr>
                <w:rStyle w:val="ui-provider"/>
                <w:sz w:val="20"/>
                <w:szCs w:val="20"/>
              </w:rPr>
              <w:t>, in particular at the entity-level</w:t>
            </w:r>
            <w:r w:rsidR="005A6596">
              <w:rPr>
                <w:rStyle w:val="ui-provider"/>
                <w:sz w:val="20"/>
                <w:szCs w:val="20"/>
              </w:rPr>
              <w:t xml:space="preserve">, to ensure these can be </w:t>
            </w:r>
            <w:r w:rsidR="005810D8">
              <w:rPr>
                <w:rStyle w:val="ui-provider"/>
                <w:sz w:val="20"/>
                <w:szCs w:val="20"/>
              </w:rPr>
              <w:t xml:space="preserve">as </w:t>
            </w:r>
            <w:r w:rsidR="005A6596">
              <w:rPr>
                <w:rStyle w:val="ui-provider"/>
                <w:sz w:val="20"/>
                <w:szCs w:val="20"/>
              </w:rPr>
              <w:t>meaningful and decision-useful</w:t>
            </w:r>
            <w:r w:rsidR="005810D8">
              <w:rPr>
                <w:rStyle w:val="ui-provider"/>
                <w:sz w:val="20"/>
                <w:szCs w:val="20"/>
              </w:rPr>
              <w:t xml:space="preserve"> as possible</w:t>
            </w:r>
            <w:r w:rsidR="005A6596">
              <w:rPr>
                <w:rStyle w:val="ui-provider"/>
                <w:sz w:val="20"/>
                <w:szCs w:val="20"/>
              </w:rPr>
              <w:t xml:space="preserve"> to </w:t>
            </w:r>
            <w:r w:rsidR="00EE7DA2">
              <w:rPr>
                <w:rStyle w:val="ui-provider"/>
                <w:sz w:val="20"/>
                <w:szCs w:val="20"/>
              </w:rPr>
              <w:t xml:space="preserve">investors and wider stakeholders. </w:t>
            </w:r>
          </w:p>
          <w:p w14:paraId="003C5547" w14:textId="77777777" w:rsidR="00847CCF" w:rsidRDefault="00847CCF" w:rsidP="00B23C3C">
            <w:pPr>
              <w:spacing w:after="0" w:line="259" w:lineRule="auto"/>
              <w:ind w:left="0" w:firstLine="0"/>
              <w:jc w:val="left"/>
              <w:rPr>
                <w:rStyle w:val="ui-provider"/>
                <w:sz w:val="20"/>
                <w:szCs w:val="20"/>
              </w:rPr>
            </w:pPr>
          </w:p>
          <w:p w14:paraId="27E9157E" w14:textId="10EAA3CE" w:rsidR="00D65A15" w:rsidRDefault="00EE7DA2" w:rsidP="00454676">
            <w:pPr>
              <w:spacing w:after="0" w:line="259" w:lineRule="auto"/>
              <w:ind w:left="0" w:firstLine="0"/>
              <w:jc w:val="left"/>
              <w:rPr>
                <w:rStyle w:val="ui-provider"/>
                <w:sz w:val="20"/>
                <w:szCs w:val="20"/>
              </w:rPr>
            </w:pPr>
            <w:r>
              <w:rPr>
                <w:rStyle w:val="ui-provider"/>
                <w:sz w:val="20"/>
                <w:szCs w:val="20"/>
              </w:rPr>
              <w:t>The ongoing lack of comparability across the entity-level PAI disclosures</w:t>
            </w:r>
            <w:r w:rsidR="002F6DC5">
              <w:rPr>
                <w:rStyle w:val="ui-provider"/>
                <w:sz w:val="20"/>
                <w:szCs w:val="20"/>
              </w:rPr>
              <w:t xml:space="preserve">, due to </w:t>
            </w:r>
            <w:r w:rsidR="00847CCF">
              <w:rPr>
                <w:rStyle w:val="ui-provider"/>
                <w:sz w:val="20"/>
                <w:szCs w:val="20"/>
              </w:rPr>
              <w:t>the differing calculations of the indicators</w:t>
            </w:r>
            <w:r w:rsidR="009F749F">
              <w:rPr>
                <w:rStyle w:val="ui-provider"/>
                <w:sz w:val="20"/>
                <w:szCs w:val="20"/>
              </w:rPr>
              <w:t xml:space="preserve"> by firms</w:t>
            </w:r>
            <w:r w:rsidR="00847CCF">
              <w:rPr>
                <w:rStyle w:val="ui-provider"/>
                <w:sz w:val="20"/>
                <w:szCs w:val="20"/>
              </w:rPr>
              <w:t xml:space="preserve"> and data availability issues, necessitates, in our view, a review</w:t>
            </w:r>
            <w:r w:rsidR="4DB69EC4" w:rsidRPr="74269111">
              <w:rPr>
                <w:rStyle w:val="ui-provider"/>
                <w:sz w:val="20"/>
                <w:szCs w:val="20"/>
              </w:rPr>
              <w:t xml:space="preserve"> </w:t>
            </w:r>
            <w:r w:rsidR="4DB69EC4" w:rsidRPr="4CF5C8F9">
              <w:rPr>
                <w:rStyle w:val="ui-provider"/>
                <w:sz w:val="20"/>
                <w:szCs w:val="20"/>
              </w:rPr>
              <w:t>of th</w:t>
            </w:r>
            <w:r w:rsidR="00110E04">
              <w:rPr>
                <w:rStyle w:val="ui-provider"/>
                <w:sz w:val="20"/>
                <w:szCs w:val="20"/>
              </w:rPr>
              <w:t>is</w:t>
            </w:r>
            <w:r w:rsidR="4DB69EC4" w:rsidRPr="4CF5C8F9">
              <w:rPr>
                <w:rStyle w:val="ui-provider"/>
                <w:sz w:val="20"/>
                <w:szCs w:val="20"/>
              </w:rPr>
              <w:t xml:space="preserve"> regime</w:t>
            </w:r>
            <w:r w:rsidR="44906FD7" w:rsidRPr="4CF5C8F9">
              <w:rPr>
                <w:rStyle w:val="ui-provider"/>
                <w:sz w:val="20"/>
                <w:szCs w:val="20"/>
              </w:rPr>
              <w:t>.</w:t>
            </w:r>
            <w:r w:rsidR="00454676">
              <w:rPr>
                <w:rStyle w:val="ui-provider"/>
                <w:sz w:val="20"/>
                <w:szCs w:val="20"/>
              </w:rPr>
              <w:t xml:space="preserve"> </w:t>
            </w:r>
          </w:p>
          <w:p w14:paraId="3B75E017" w14:textId="77777777" w:rsidR="00110E04" w:rsidRDefault="00110E04" w:rsidP="00454676">
            <w:pPr>
              <w:spacing w:after="0" w:line="259" w:lineRule="auto"/>
              <w:ind w:left="0" w:firstLine="0"/>
              <w:jc w:val="left"/>
              <w:rPr>
                <w:rStyle w:val="ui-provider"/>
                <w:sz w:val="20"/>
                <w:szCs w:val="20"/>
              </w:rPr>
            </w:pPr>
          </w:p>
          <w:p w14:paraId="62F151A8" w14:textId="661653B8" w:rsidR="00562C1E" w:rsidRDefault="00562C1E" w:rsidP="00454676">
            <w:pPr>
              <w:spacing w:after="0" w:line="259" w:lineRule="auto"/>
              <w:ind w:left="0" w:firstLine="0"/>
              <w:jc w:val="left"/>
              <w:rPr>
                <w:rStyle w:val="ui-provider"/>
                <w:sz w:val="20"/>
                <w:szCs w:val="20"/>
              </w:rPr>
            </w:pPr>
            <w:r>
              <w:rPr>
                <w:rStyle w:val="ui-provider"/>
                <w:sz w:val="20"/>
                <w:szCs w:val="20"/>
              </w:rPr>
              <w:t>In regards to data availability,</w:t>
            </w:r>
            <w:r w:rsidR="00A76CBE">
              <w:rPr>
                <w:rStyle w:val="ui-provider"/>
                <w:sz w:val="20"/>
                <w:szCs w:val="20"/>
              </w:rPr>
              <w:t xml:space="preserve"> there has been reliance on the use of proxy data and data estimates that</w:t>
            </w:r>
            <w:r w:rsidR="00321DA4">
              <w:rPr>
                <w:rStyle w:val="ui-provider"/>
                <w:sz w:val="20"/>
                <w:szCs w:val="20"/>
              </w:rPr>
              <w:t xml:space="preserve"> can cause </w:t>
            </w:r>
            <w:r w:rsidR="00BA64CC">
              <w:rPr>
                <w:rStyle w:val="ui-provider"/>
                <w:sz w:val="20"/>
                <w:szCs w:val="20"/>
              </w:rPr>
              <w:t xml:space="preserve">some </w:t>
            </w:r>
            <w:r w:rsidR="00321DA4">
              <w:rPr>
                <w:rStyle w:val="ui-provider"/>
                <w:sz w:val="20"/>
                <w:szCs w:val="20"/>
              </w:rPr>
              <w:t>challenges in terms of</w:t>
            </w:r>
            <w:r w:rsidR="00A76CBE">
              <w:rPr>
                <w:rStyle w:val="ui-provider"/>
                <w:sz w:val="20"/>
                <w:szCs w:val="20"/>
              </w:rPr>
              <w:t xml:space="preserve"> comparability of data in the market</w:t>
            </w:r>
            <w:r w:rsidR="00885C1F">
              <w:rPr>
                <w:rStyle w:val="ui-provider"/>
                <w:sz w:val="20"/>
                <w:szCs w:val="20"/>
              </w:rPr>
              <w:t xml:space="preserve">, and more broadly there continues to be a </w:t>
            </w:r>
            <w:r w:rsidR="00DA45FA">
              <w:rPr>
                <w:rStyle w:val="ui-provider"/>
                <w:sz w:val="20"/>
                <w:szCs w:val="20"/>
              </w:rPr>
              <w:t xml:space="preserve">need for high-quality, objective, and evidence-based data estimates. </w:t>
            </w:r>
            <w:r w:rsidR="00C708B7">
              <w:rPr>
                <w:rStyle w:val="ui-provider"/>
                <w:sz w:val="20"/>
                <w:szCs w:val="20"/>
              </w:rPr>
              <w:t>The ongoing shift of PAI data from one year to another, driven</w:t>
            </w:r>
            <w:r w:rsidR="00110E04">
              <w:rPr>
                <w:rStyle w:val="ui-provider"/>
                <w:sz w:val="20"/>
                <w:szCs w:val="20"/>
              </w:rPr>
              <w:t xml:space="preserve"> partially</w:t>
            </w:r>
            <w:r w:rsidR="00C708B7">
              <w:rPr>
                <w:rStyle w:val="ui-provider"/>
                <w:sz w:val="20"/>
                <w:szCs w:val="20"/>
              </w:rPr>
              <w:t xml:space="preserve"> by shifts in financial markets and the preferences of clients, has made comparability of this data very difficult. </w:t>
            </w:r>
          </w:p>
          <w:p w14:paraId="652D97EA" w14:textId="77777777" w:rsidR="00562C1E" w:rsidRDefault="00562C1E" w:rsidP="00454676">
            <w:pPr>
              <w:spacing w:after="0" w:line="259" w:lineRule="auto"/>
              <w:ind w:left="0" w:firstLine="0"/>
              <w:jc w:val="left"/>
              <w:rPr>
                <w:rStyle w:val="ui-provider"/>
                <w:sz w:val="20"/>
                <w:szCs w:val="20"/>
              </w:rPr>
            </w:pPr>
          </w:p>
          <w:p w14:paraId="249A5130" w14:textId="75E56F39" w:rsidR="00316BF6" w:rsidRDefault="00562C1E" w:rsidP="00454676">
            <w:pPr>
              <w:spacing w:after="0" w:line="259" w:lineRule="auto"/>
              <w:ind w:left="0" w:firstLine="0"/>
              <w:jc w:val="left"/>
              <w:rPr>
                <w:rStyle w:val="ui-provider"/>
                <w:sz w:val="20"/>
                <w:szCs w:val="20"/>
              </w:rPr>
            </w:pPr>
            <w:r>
              <w:rPr>
                <w:rStyle w:val="ui-provider"/>
                <w:sz w:val="20"/>
                <w:szCs w:val="20"/>
              </w:rPr>
              <w:t>W</w:t>
            </w:r>
            <w:r w:rsidR="00454676">
              <w:rPr>
                <w:rStyle w:val="ui-provider"/>
                <w:sz w:val="20"/>
                <w:szCs w:val="20"/>
              </w:rPr>
              <w:t>e would recommend the</w:t>
            </w:r>
            <w:r w:rsidR="00340FC2">
              <w:rPr>
                <w:rStyle w:val="ui-provider"/>
                <w:sz w:val="20"/>
                <w:szCs w:val="20"/>
              </w:rPr>
              <w:t xml:space="preserve"> entity-level PAI </w:t>
            </w:r>
            <w:r w:rsidR="00454676">
              <w:rPr>
                <w:rStyle w:val="ui-provider"/>
                <w:sz w:val="20"/>
                <w:szCs w:val="20"/>
              </w:rPr>
              <w:t>indicators are</w:t>
            </w:r>
            <w:r w:rsidR="00340FC2">
              <w:rPr>
                <w:rStyle w:val="ui-provider"/>
                <w:sz w:val="20"/>
                <w:szCs w:val="20"/>
              </w:rPr>
              <w:t xml:space="preserve">, </w:t>
            </w:r>
            <w:r w:rsidR="00454676">
              <w:rPr>
                <w:rStyle w:val="ui-provider"/>
                <w:sz w:val="20"/>
                <w:szCs w:val="20"/>
              </w:rPr>
              <w:t>at a minimum</w:t>
            </w:r>
            <w:r w:rsidR="767BF10F" w:rsidRPr="02E37D8A">
              <w:rPr>
                <w:rStyle w:val="ui-provider"/>
                <w:sz w:val="20"/>
                <w:szCs w:val="20"/>
              </w:rPr>
              <w:t>,</w:t>
            </w:r>
            <w:r w:rsidR="00454676">
              <w:rPr>
                <w:rStyle w:val="ui-provider"/>
                <w:sz w:val="20"/>
                <w:szCs w:val="20"/>
              </w:rPr>
              <w:t xml:space="preserve"> streamlined further to make sure that these disclosures are relevant to </w:t>
            </w:r>
            <w:r w:rsidR="00F96CDD">
              <w:rPr>
                <w:rStyle w:val="ui-provider"/>
                <w:sz w:val="20"/>
                <w:szCs w:val="20"/>
              </w:rPr>
              <w:t>the business mod</w:t>
            </w:r>
            <w:r w:rsidR="001439C2">
              <w:rPr>
                <w:rStyle w:val="ui-provider"/>
                <w:sz w:val="20"/>
                <w:szCs w:val="20"/>
              </w:rPr>
              <w:t>els and activities of underlying investments of a firm’s portfolio</w:t>
            </w:r>
            <w:r w:rsidR="00316BF6">
              <w:rPr>
                <w:rStyle w:val="ui-provider"/>
                <w:sz w:val="20"/>
                <w:szCs w:val="20"/>
              </w:rPr>
              <w:t xml:space="preserve">, as well as </w:t>
            </w:r>
            <w:r w:rsidR="00220369">
              <w:rPr>
                <w:rStyle w:val="ui-provider"/>
                <w:sz w:val="20"/>
                <w:szCs w:val="20"/>
              </w:rPr>
              <w:t>being accessible and relevant to retail investors.</w:t>
            </w:r>
            <w:r w:rsidR="00FB33D6">
              <w:rPr>
                <w:rStyle w:val="ui-provider"/>
                <w:sz w:val="20"/>
                <w:szCs w:val="20"/>
              </w:rPr>
              <w:t xml:space="preserve"> Entity-level disclosures under the SFDR and CSRD should be more closely aligned, and policymakers will need to take steps to minimise risks of duplicative reporting across both regimes</w:t>
            </w:r>
            <w:r w:rsidR="000848E6">
              <w:rPr>
                <w:rStyle w:val="ui-provider"/>
                <w:sz w:val="20"/>
                <w:szCs w:val="20"/>
              </w:rPr>
              <w:t xml:space="preserve">. </w:t>
            </w:r>
          </w:p>
          <w:p w14:paraId="732FE94C" w14:textId="77777777" w:rsidR="00220369" w:rsidRDefault="00220369" w:rsidP="00454676">
            <w:pPr>
              <w:spacing w:after="0" w:line="259" w:lineRule="auto"/>
              <w:ind w:left="0" w:firstLine="0"/>
              <w:jc w:val="left"/>
              <w:rPr>
                <w:rStyle w:val="ui-provider"/>
                <w:sz w:val="20"/>
                <w:szCs w:val="20"/>
              </w:rPr>
            </w:pPr>
          </w:p>
          <w:p w14:paraId="22B501C0" w14:textId="5246625E" w:rsidR="002C07B1" w:rsidRDefault="00220369" w:rsidP="00454676">
            <w:pPr>
              <w:spacing w:after="0" w:line="259" w:lineRule="auto"/>
              <w:ind w:left="0" w:firstLine="0"/>
              <w:jc w:val="left"/>
              <w:rPr>
                <w:rStyle w:val="ui-provider"/>
                <w:sz w:val="20"/>
                <w:szCs w:val="20"/>
              </w:rPr>
            </w:pPr>
            <w:r>
              <w:rPr>
                <w:rStyle w:val="ui-provider"/>
                <w:sz w:val="20"/>
                <w:szCs w:val="20"/>
              </w:rPr>
              <w:t xml:space="preserve">A </w:t>
            </w:r>
            <w:r w:rsidR="004B0AB0">
              <w:rPr>
                <w:rStyle w:val="ui-provider"/>
                <w:sz w:val="20"/>
                <w:szCs w:val="20"/>
              </w:rPr>
              <w:t xml:space="preserve">‘comply or explain’ approach could </w:t>
            </w:r>
            <w:r w:rsidR="005D088F">
              <w:rPr>
                <w:rStyle w:val="ui-provider"/>
                <w:sz w:val="20"/>
                <w:szCs w:val="20"/>
              </w:rPr>
              <w:t xml:space="preserve">potentially </w:t>
            </w:r>
            <w:r w:rsidR="004B0AB0">
              <w:rPr>
                <w:rStyle w:val="ui-provider"/>
                <w:sz w:val="20"/>
                <w:szCs w:val="20"/>
              </w:rPr>
              <w:t>be implemented to a narrower set of entity-level PAIs, providing an opportunity for firms to disclose why some of the indicators are not necessarily relevant to their investments.</w:t>
            </w:r>
            <w:r w:rsidR="00491600">
              <w:rPr>
                <w:rStyle w:val="ui-provider"/>
                <w:sz w:val="20"/>
                <w:szCs w:val="20"/>
              </w:rPr>
              <w:t xml:space="preserve"> </w:t>
            </w:r>
            <w:r w:rsidR="001128D6">
              <w:rPr>
                <w:rStyle w:val="ui-provider"/>
                <w:sz w:val="20"/>
                <w:szCs w:val="20"/>
              </w:rPr>
              <w:t xml:space="preserve">This approach </w:t>
            </w:r>
            <w:r w:rsidR="006B7891">
              <w:rPr>
                <w:rStyle w:val="ui-provider"/>
                <w:sz w:val="20"/>
                <w:szCs w:val="20"/>
              </w:rPr>
              <w:t>may</w:t>
            </w:r>
            <w:r w:rsidR="001128D6">
              <w:rPr>
                <w:rStyle w:val="ui-provider"/>
                <w:sz w:val="20"/>
                <w:szCs w:val="20"/>
              </w:rPr>
              <w:t xml:space="preserve"> however lead to less comparability among firms’ reporting of entity-level PAI</w:t>
            </w:r>
            <w:r w:rsidR="002335F7">
              <w:rPr>
                <w:rStyle w:val="ui-provider"/>
                <w:sz w:val="20"/>
                <w:szCs w:val="20"/>
              </w:rPr>
              <w:t>s</w:t>
            </w:r>
            <w:r w:rsidR="006B7891">
              <w:rPr>
                <w:rStyle w:val="ui-provider"/>
                <w:sz w:val="20"/>
                <w:szCs w:val="20"/>
              </w:rPr>
              <w:t>, and this should be taken into account.</w:t>
            </w:r>
            <w:r w:rsidR="00971F20">
              <w:rPr>
                <w:rStyle w:val="ui-provider"/>
                <w:sz w:val="20"/>
                <w:szCs w:val="20"/>
              </w:rPr>
              <w:t xml:space="preserve"> </w:t>
            </w:r>
          </w:p>
          <w:p w14:paraId="3B4B42ED" w14:textId="77777777" w:rsidR="00795DFA" w:rsidRDefault="00795DFA" w:rsidP="00454676">
            <w:pPr>
              <w:spacing w:after="0" w:line="259" w:lineRule="auto"/>
              <w:ind w:left="0" w:firstLine="0"/>
              <w:jc w:val="left"/>
              <w:rPr>
                <w:rStyle w:val="ui-provider"/>
                <w:sz w:val="20"/>
                <w:szCs w:val="20"/>
              </w:rPr>
            </w:pPr>
          </w:p>
          <w:p w14:paraId="7720F924" w14:textId="77777777" w:rsidR="00FF23E1" w:rsidRDefault="00795DFA" w:rsidP="00454676">
            <w:pPr>
              <w:spacing w:after="0" w:line="259" w:lineRule="auto"/>
              <w:ind w:left="0" w:firstLine="0"/>
              <w:jc w:val="left"/>
              <w:rPr>
                <w:rStyle w:val="ui-provider"/>
                <w:sz w:val="20"/>
                <w:szCs w:val="20"/>
              </w:rPr>
            </w:pPr>
            <w:r>
              <w:rPr>
                <w:rStyle w:val="ui-provider"/>
                <w:sz w:val="20"/>
                <w:szCs w:val="20"/>
              </w:rPr>
              <w:t>There have been</w:t>
            </w:r>
            <w:r w:rsidR="00B455D5">
              <w:rPr>
                <w:rStyle w:val="ui-provider"/>
                <w:sz w:val="20"/>
                <w:szCs w:val="20"/>
              </w:rPr>
              <w:t xml:space="preserve"> particular</w:t>
            </w:r>
            <w:r>
              <w:rPr>
                <w:rStyle w:val="ui-provider"/>
                <w:sz w:val="20"/>
                <w:szCs w:val="20"/>
              </w:rPr>
              <w:t xml:space="preserve"> challenges with the entity-level PAI disclosures for funds and investment strategies covering various different asset types and geographies</w:t>
            </w:r>
            <w:r w:rsidR="00B455D5">
              <w:rPr>
                <w:rStyle w:val="ui-provider"/>
                <w:sz w:val="20"/>
                <w:szCs w:val="20"/>
              </w:rPr>
              <w:t>, including multi-asset funds and fund of funds</w:t>
            </w:r>
            <w:r w:rsidR="00D82DF5">
              <w:rPr>
                <w:rStyle w:val="ui-provider"/>
                <w:sz w:val="20"/>
                <w:szCs w:val="20"/>
              </w:rPr>
              <w:t>. For these</w:t>
            </w:r>
            <w:r w:rsidR="00305D65">
              <w:rPr>
                <w:rStyle w:val="ui-provider"/>
                <w:sz w:val="20"/>
                <w:szCs w:val="20"/>
              </w:rPr>
              <w:t xml:space="preserve"> type of</w:t>
            </w:r>
            <w:r w:rsidR="00D82DF5">
              <w:rPr>
                <w:rStyle w:val="ui-provider"/>
                <w:sz w:val="20"/>
                <w:szCs w:val="20"/>
              </w:rPr>
              <w:t xml:space="preserve"> funds, these disclosures have not been</w:t>
            </w:r>
            <w:r w:rsidR="006B7891">
              <w:rPr>
                <w:rStyle w:val="ui-provider"/>
                <w:sz w:val="20"/>
                <w:szCs w:val="20"/>
              </w:rPr>
              <w:t xml:space="preserve"> fully</w:t>
            </w:r>
            <w:r w:rsidR="00D82DF5">
              <w:rPr>
                <w:rStyle w:val="ui-provider"/>
                <w:sz w:val="20"/>
                <w:szCs w:val="20"/>
              </w:rPr>
              <w:t xml:space="preserve"> transparent and beneficial for investors</w:t>
            </w:r>
            <w:r w:rsidR="00305D65">
              <w:rPr>
                <w:rStyle w:val="ui-provider"/>
                <w:sz w:val="20"/>
                <w:szCs w:val="20"/>
              </w:rPr>
              <w:t>,</w:t>
            </w:r>
            <w:r w:rsidR="00E246E9">
              <w:rPr>
                <w:rStyle w:val="ui-provider"/>
                <w:sz w:val="20"/>
                <w:szCs w:val="20"/>
              </w:rPr>
              <w:t xml:space="preserve"> which have</w:t>
            </w:r>
            <w:r w:rsidR="00305D65">
              <w:rPr>
                <w:rStyle w:val="ui-provider"/>
                <w:sz w:val="20"/>
                <w:szCs w:val="20"/>
              </w:rPr>
              <w:t xml:space="preserve"> generally</w:t>
            </w:r>
            <w:r w:rsidR="00E246E9">
              <w:rPr>
                <w:rStyle w:val="ui-provider"/>
                <w:sz w:val="20"/>
                <w:szCs w:val="20"/>
              </w:rPr>
              <w:t xml:space="preserve"> operated</w:t>
            </w:r>
            <w:r w:rsidR="00FF23E1">
              <w:rPr>
                <w:rStyle w:val="ui-provider"/>
                <w:sz w:val="20"/>
                <w:szCs w:val="20"/>
              </w:rPr>
              <w:t xml:space="preserve"> </w:t>
            </w:r>
            <w:r w:rsidR="00E246E9">
              <w:rPr>
                <w:rStyle w:val="ui-provider"/>
                <w:sz w:val="20"/>
                <w:szCs w:val="20"/>
              </w:rPr>
              <w:t xml:space="preserve">more effectively for single asset funds. </w:t>
            </w:r>
          </w:p>
          <w:p w14:paraId="07C33BB0" w14:textId="77777777" w:rsidR="00FF23E1" w:rsidRDefault="00FF23E1" w:rsidP="00454676">
            <w:pPr>
              <w:spacing w:after="0" w:line="259" w:lineRule="auto"/>
              <w:ind w:left="0" w:firstLine="0"/>
              <w:jc w:val="left"/>
              <w:rPr>
                <w:rStyle w:val="ui-provider"/>
                <w:sz w:val="20"/>
                <w:szCs w:val="20"/>
              </w:rPr>
            </w:pPr>
          </w:p>
          <w:p w14:paraId="55D12671" w14:textId="22DF403E" w:rsidR="00697DA5" w:rsidRDefault="00A02CBE" w:rsidP="00454676">
            <w:pPr>
              <w:spacing w:after="0" w:line="259" w:lineRule="auto"/>
              <w:ind w:left="0" w:firstLine="0"/>
              <w:jc w:val="left"/>
              <w:rPr>
                <w:rStyle w:val="ui-provider"/>
                <w:sz w:val="20"/>
                <w:szCs w:val="20"/>
              </w:rPr>
            </w:pPr>
            <w:r>
              <w:rPr>
                <w:rStyle w:val="ui-provider"/>
                <w:sz w:val="20"/>
                <w:szCs w:val="20"/>
              </w:rPr>
              <w:t>There have also been challenges relating to real</w:t>
            </w:r>
            <w:r w:rsidR="00697DA5">
              <w:rPr>
                <w:rStyle w:val="ui-provider"/>
                <w:sz w:val="20"/>
                <w:szCs w:val="20"/>
              </w:rPr>
              <w:t>-</w:t>
            </w:r>
            <w:r>
              <w:rPr>
                <w:rStyle w:val="ui-provider"/>
                <w:sz w:val="20"/>
                <w:szCs w:val="20"/>
              </w:rPr>
              <w:t>estate focused funds</w:t>
            </w:r>
            <w:r w:rsidR="00A47FBF">
              <w:rPr>
                <w:rStyle w:val="ui-provider"/>
                <w:sz w:val="20"/>
                <w:szCs w:val="20"/>
              </w:rPr>
              <w:t xml:space="preserve">; for example, </w:t>
            </w:r>
            <w:r w:rsidR="00136A2F">
              <w:rPr>
                <w:rStyle w:val="ui-provider"/>
                <w:sz w:val="20"/>
                <w:szCs w:val="20"/>
              </w:rPr>
              <w:t>indicator 18 on</w:t>
            </w:r>
            <w:r w:rsidR="00FF23E1">
              <w:rPr>
                <w:rStyle w:val="ui-provider"/>
                <w:sz w:val="20"/>
                <w:szCs w:val="20"/>
              </w:rPr>
              <w:t xml:space="preserve"> </w:t>
            </w:r>
            <w:r w:rsidR="00136A2F">
              <w:rPr>
                <w:rStyle w:val="ui-provider"/>
                <w:sz w:val="20"/>
                <w:szCs w:val="20"/>
              </w:rPr>
              <w:t>‘E</w:t>
            </w:r>
            <w:r w:rsidR="00136A2F" w:rsidRPr="00136A2F">
              <w:rPr>
                <w:rStyle w:val="ui-provider"/>
                <w:sz w:val="20"/>
                <w:szCs w:val="20"/>
              </w:rPr>
              <w:t>xposure to energy-inefficient real estate assets</w:t>
            </w:r>
            <w:r w:rsidR="00136A2F">
              <w:rPr>
                <w:rStyle w:val="ui-provider"/>
                <w:sz w:val="20"/>
                <w:szCs w:val="20"/>
              </w:rPr>
              <w:t xml:space="preserve">’ directly applies EU building directives which means it is difficult to apply this indicator to real estate assets located outside of the EU. In this instance, it can be complex for firms to determine whether they can disclose a local alternative indicator where possible, though this could undermine the comparability aspects of the PAI. </w:t>
            </w:r>
          </w:p>
          <w:p w14:paraId="51E43DBC" w14:textId="77777777" w:rsidR="001E21C2" w:rsidRDefault="001E21C2" w:rsidP="00454676">
            <w:pPr>
              <w:spacing w:after="0" w:line="259" w:lineRule="auto"/>
              <w:ind w:left="0" w:firstLine="0"/>
              <w:jc w:val="left"/>
              <w:rPr>
                <w:rStyle w:val="ui-provider"/>
                <w:sz w:val="20"/>
                <w:szCs w:val="20"/>
              </w:rPr>
            </w:pPr>
          </w:p>
          <w:p w14:paraId="5988B95D" w14:textId="7F8B3750" w:rsidR="00B27BB1" w:rsidRDefault="001E21C2" w:rsidP="00454676">
            <w:pPr>
              <w:spacing w:after="0" w:line="259" w:lineRule="auto"/>
              <w:ind w:left="0" w:firstLine="0"/>
              <w:jc w:val="left"/>
              <w:rPr>
                <w:rStyle w:val="ui-provider"/>
                <w:sz w:val="20"/>
                <w:szCs w:val="20"/>
              </w:rPr>
            </w:pPr>
            <w:r>
              <w:rPr>
                <w:rStyle w:val="ui-provider"/>
                <w:sz w:val="20"/>
                <w:szCs w:val="20"/>
              </w:rPr>
              <w:t>In regards to product-level PAI disclosures, we think that these are more decision-useful at the product-level and</w:t>
            </w:r>
            <w:r w:rsidR="00864400">
              <w:rPr>
                <w:rStyle w:val="ui-provider"/>
                <w:sz w:val="20"/>
                <w:szCs w:val="20"/>
              </w:rPr>
              <w:t xml:space="preserve"> we</w:t>
            </w:r>
            <w:r>
              <w:rPr>
                <w:rStyle w:val="ui-provider"/>
                <w:sz w:val="20"/>
                <w:szCs w:val="20"/>
              </w:rPr>
              <w:t xml:space="preserve"> would recommend that some of th</w:t>
            </w:r>
            <w:r w:rsidR="00245D3E">
              <w:rPr>
                <w:rStyle w:val="ui-provider"/>
                <w:sz w:val="20"/>
                <w:szCs w:val="20"/>
              </w:rPr>
              <w:t>ose most essential</w:t>
            </w:r>
            <w:r w:rsidR="00FF7B03">
              <w:rPr>
                <w:rStyle w:val="ui-provider"/>
                <w:sz w:val="20"/>
                <w:szCs w:val="20"/>
              </w:rPr>
              <w:t>, financially material</w:t>
            </w:r>
            <w:r>
              <w:rPr>
                <w:rStyle w:val="ui-provider"/>
                <w:sz w:val="20"/>
                <w:szCs w:val="20"/>
              </w:rPr>
              <w:t xml:space="preserve"> indicators are maintained by the Commission</w:t>
            </w:r>
            <w:r w:rsidR="00245D3E">
              <w:rPr>
                <w:rStyle w:val="ui-provider"/>
                <w:sz w:val="20"/>
                <w:szCs w:val="20"/>
              </w:rPr>
              <w:t xml:space="preserve"> and remain mandatory for all funds</w:t>
            </w:r>
            <w:r w:rsidR="00E63ED4">
              <w:rPr>
                <w:rStyle w:val="ui-provider"/>
                <w:sz w:val="20"/>
                <w:szCs w:val="20"/>
              </w:rPr>
              <w:t>,</w:t>
            </w:r>
            <w:r w:rsidR="00E35B16">
              <w:rPr>
                <w:rStyle w:val="ui-provider"/>
                <w:sz w:val="20"/>
                <w:szCs w:val="20"/>
              </w:rPr>
              <w:t xml:space="preserve"> with other indicators remaining </w:t>
            </w:r>
            <w:r w:rsidR="00697DA5">
              <w:rPr>
                <w:rStyle w:val="ui-provider"/>
                <w:sz w:val="20"/>
                <w:szCs w:val="20"/>
              </w:rPr>
              <w:t xml:space="preserve">voluntary </w:t>
            </w:r>
            <w:r w:rsidR="00E35B16">
              <w:rPr>
                <w:rStyle w:val="ui-provider"/>
                <w:sz w:val="20"/>
                <w:szCs w:val="20"/>
              </w:rPr>
              <w:t>for f</w:t>
            </w:r>
            <w:r w:rsidR="00252537">
              <w:rPr>
                <w:rStyle w:val="ui-provider"/>
                <w:sz w:val="20"/>
                <w:szCs w:val="20"/>
              </w:rPr>
              <w:t>unds that are most relevant</w:t>
            </w:r>
            <w:r w:rsidR="00245D3E">
              <w:rPr>
                <w:rStyle w:val="ui-provider"/>
                <w:sz w:val="20"/>
                <w:szCs w:val="20"/>
              </w:rPr>
              <w:t>.</w:t>
            </w:r>
          </w:p>
          <w:p w14:paraId="483170FE" w14:textId="77777777" w:rsidR="0069175A" w:rsidRDefault="0069175A" w:rsidP="00454676">
            <w:pPr>
              <w:spacing w:after="0" w:line="259" w:lineRule="auto"/>
              <w:ind w:left="0" w:firstLine="0"/>
              <w:jc w:val="left"/>
              <w:rPr>
                <w:rStyle w:val="ui-provider"/>
                <w:sz w:val="20"/>
                <w:szCs w:val="20"/>
              </w:rPr>
            </w:pPr>
          </w:p>
          <w:p w14:paraId="56E9B492" w14:textId="46E7ABCE" w:rsidR="00D939B9" w:rsidRDefault="00781B2D" w:rsidP="00454676">
            <w:pPr>
              <w:spacing w:after="0" w:line="259" w:lineRule="auto"/>
              <w:ind w:left="0" w:firstLine="0"/>
              <w:jc w:val="left"/>
              <w:rPr>
                <w:rStyle w:val="ui-provider"/>
                <w:sz w:val="20"/>
                <w:szCs w:val="20"/>
              </w:rPr>
            </w:pPr>
            <w:r>
              <w:rPr>
                <w:rStyle w:val="ui-provider"/>
                <w:sz w:val="20"/>
                <w:szCs w:val="20"/>
              </w:rPr>
              <w:t xml:space="preserve">Those mandatory indicators </w:t>
            </w:r>
            <w:r w:rsidR="00F104B0">
              <w:rPr>
                <w:rStyle w:val="ui-provider"/>
                <w:sz w:val="20"/>
                <w:szCs w:val="20"/>
              </w:rPr>
              <w:t>sho</w:t>
            </w:r>
            <w:r>
              <w:rPr>
                <w:rStyle w:val="ui-provider"/>
                <w:sz w:val="20"/>
                <w:szCs w:val="20"/>
              </w:rPr>
              <w:t>uld</w:t>
            </w:r>
            <w:r w:rsidR="00245D3E">
              <w:rPr>
                <w:rStyle w:val="ui-provider"/>
                <w:sz w:val="20"/>
                <w:szCs w:val="20"/>
              </w:rPr>
              <w:t xml:space="preserve"> include </w:t>
            </w:r>
            <w:r w:rsidR="00700E06">
              <w:rPr>
                <w:rStyle w:val="ui-provider"/>
                <w:sz w:val="20"/>
                <w:szCs w:val="20"/>
              </w:rPr>
              <w:t>indicators on greenhouse gas (GHG) emissions-scope 1, 2, and 3-</w:t>
            </w:r>
            <w:r w:rsidR="001236BB">
              <w:rPr>
                <w:rStyle w:val="ui-provider"/>
                <w:sz w:val="20"/>
                <w:szCs w:val="20"/>
              </w:rPr>
              <w:t xml:space="preserve"> </w:t>
            </w:r>
            <w:r w:rsidR="001E1598">
              <w:rPr>
                <w:rStyle w:val="ui-provider"/>
                <w:sz w:val="20"/>
                <w:szCs w:val="20"/>
              </w:rPr>
              <w:t xml:space="preserve">carbon </w:t>
            </w:r>
            <w:r w:rsidR="000C2D2B">
              <w:rPr>
                <w:rStyle w:val="ui-provider"/>
                <w:sz w:val="20"/>
                <w:szCs w:val="20"/>
              </w:rPr>
              <w:t xml:space="preserve">footprint and </w:t>
            </w:r>
            <w:r w:rsidR="001E1598">
              <w:rPr>
                <w:rStyle w:val="ui-provider"/>
                <w:sz w:val="20"/>
                <w:szCs w:val="20"/>
              </w:rPr>
              <w:t xml:space="preserve">intensity, </w:t>
            </w:r>
            <w:r w:rsidR="001236BB">
              <w:rPr>
                <w:rStyle w:val="ui-provider"/>
                <w:sz w:val="20"/>
                <w:szCs w:val="20"/>
              </w:rPr>
              <w:t xml:space="preserve">as well as on human rights violations, e.g. compliance with </w:t>
            </w:r>
            <w:r w:rsidR="00131686">
              <w:rPr>
                <w:rStyle w:val="ui-provider"/>
                <w:sz w:val="20"/>
                <w:szCs w:val="20"/>
              </w:rPr>
              <w:t>the UN Global Compact</w:t>
            </w:r>
            <w:r w:rsidR="00B6209C">
              <w:rPr>
                <w:rStyle w:val="ui-provider"/>
                <w:sz w:val="20"/>
                <w:szCs w:val="20"/>
              </w:rPr>
              <w:t>’s principles,</w:t>
            </w:r>
            <w:r w:rsidR="00131686">
              <w:rPr>
                <w:rStyle w:val="ui-provider"/>
                <w:sz w:val="20"/>
                <w:szCs w:val="20"/>
              </w:rPr>
              <w:t xml:space="preserve"> and</w:t>
            </w:r>
            <w:r w:rsidR="00F24134">
              <w:rPr>
                <w:rStyle w:val="ui-provider"/>
                <w:sz w:val="20"/>
                <w:szCs w:val="20"/>
              </w:rPr>
              <w:t xml:space="preserve"> OECD’s due diligence guidelines</w:t>
            </w:r>
            <w:r w:rsidR="00572DFD">
              <w:rPr>
                <w:rStyle w:val="ui-provider"/>
                <w:sz w:val="20"/>
                <w:szCs w:val="20"/>
              </w:rPr>
              <w:t xml:space="preserve"> violations</w:t>
            </w:r>
            <w:r w:rsidR="00131B46">
              <w:rPr>
                <w:rStyle w:val="ui-provider"/>
                <w:sz w:val="20"/>
                <w:szCs w:val="20"/>
              </w:rPr>
              <w:t>, board diversity</w:t>
            </w:r>
            <w:r>
              <w:rPr>
                <w:rStyle w:val="ui-provider"/>
                <w:sz w:val="20"/>
                <w:szCs w:val="20"/>
              </w:rPr>
              <w:t>,</w:t>
            </w:r>
            <w:r w:rsidR="00131B46">
              <w:rPr>
                <w:rStyle w:val="ui-provider"/>
                <w:sz w:val="20"/>
                <w:szCs w:val="20"/>
              </w:rPr>
              <w:t xml:space="preserve"> and the gender pay gap.</w:t>
            </w:r>
            <w:r w:rsidR="009B53EA">
              <w:rPr>
                <w:rStyle w:val="ui-provider"/>
                <w:sz w:val="20"/>
                <w:szCs w:val="20"/>
              </w:rPr>
              <w:t xml:space="preserve"> This </w:t>
            </w:r>
            <w:r w:rsidR="00904E24">
              <w:rPr>
                <w:rStyle w:val="ui-provider"/>
                <w:sz w:val="20"/>
                <w:szCs w:val="20"/>
              </w:rPr>
              <w:t>recommended</w:t>
            </w:r>
            <w:r w:rsidR="009B53EA">
              <w:rPr>
                <w:rStyle w:val="ui-provider"/>
                <w:sz w:val="20"/>
                <w:szCs w:val="20"/>
              </w:rPr>
              <w:t xml:space="preserve"> list of mandatory indicators</w:t>
            </w:r>
            <w:r w:rsidR="00D939B9">
              <w:rPr>
                <w:rStyle w:val="ui-provider"/>
                <w:sz w:val="20"/>
                <w:szCs w:val="20"/>
              </w:rPr>
              <w:t xml:space="preserve"> on climate change and human rights violations predominantly</w:t>
            </w:r>
            <w:r w:rsidR="009B53EA">
              <w:rPr>
                <w:rStyle w:val="ui-provider"/>
                <w:sz w:val="20"/>
                <w:szCs w:val="20"/>
              </w:rPr>
              <w:t xml:space="preserve"> should be disclosed by all </w:t>
            </w:r>
            <w:r w:rsidR="00A12C17">
              <w:rPr>
                <w:rStyle w:val="ui-provider"/>
                <w:sz w:val="20"/>
                <w:szCs w:val="20"/>
              </w:rPr>
              <w:t>funds, regardless of their sustainability claims and characteristics,</w:t>
            </w:r>
            <w:r w:rsidR="00904E24">
              <w:rPr>
                <w:rStyle w:val="ui-provider"/>
                <w:sz w:val="20"/>
                <w:szCs w:val="20"/>
              </w:rPr>
              <w:t xml:space="preserve"> to promote comparability of PAI reporting</w:t>
            </w:r>
            <w:r w:rsidR="003C53EC">
              <w:rPr>
                <w:rStyle w:val="ui-provider"/>
                <w:sz w:val="20"/>
                <w:szCs w:val="20"/>
              </w:rPr>
              <w:t xml:space="preserve">. </w:t>
            </w:r>
          </w:p>
          <w:p w14:paraId="3134F623" w14:textId="77777777" w:rsidR="00D939B9" w:rsidRDefault="00D939B9" w:rsidP="00454676">
            <w:pPr>
              <w:spacing w:after="0" w:line="259" w:lineRule="auto"/>
              <w:ind w:left="0" w:firstLine="0"/>
              <w:jc w:val="left"/>
              <w:rPr>
                <w:rStyle w:val="ui-provider"/>
                <w:sz w:val="20"/>
                <w:szCs w:val="20"/>
              </w:rPr>
            </w:pPr>
          </w:p>
          <w:p w14:paraId="4C000FF5" w14:textId="7A83B888" w:rsidR="000217A5" w:rsidRDefault="0069175A" w:rsidP="00454676">
            <w:pPr>
              <w:spacing w:after="0" w:line="259" w:lineRule="auto"/>
              <w:ind w:left="0" w:firstLine="0"/>
              <w:jc w:val="left"/>
              <w:rPr>
                <w:rStyle w:val="ui-provider"/>
                <w:sz w:val="20"/>
                <w:szCs w:val="20"/>
              </w:rPr>
            </w:pPr>
            <w:r>
              <w:rPr>
                <w:rStyle w:val="ui-provider"/>
                <w:sz w:val="20"/>
                <w:szCs w:val="20"/>
              </w:rPr>
              <w:t>In terms of additional PAI</w:t>
            </w:r>
            <w:r w:rsidR="00ED7B09">
              <w:rPr>
                <w:rStyle w:val="ui-provider"/>
                <w:sz w:val="20"/>
                <w:szCs w:val="20"/>
              </w:rPr>
              <w:t>s, as highlighted th</w:t>
            </w:r>
            <w:r w:rsidR="00BF549C">
              <w:rPr>
                <w:rStyle w:val="ui-provider"/>
                <w:sz w:val="20"/>
                <w:szCs w:val="20"/>
              </w:rPr>
              <w:t xml:space="preserve">ese </w:t>
            </w:r>
            <w:r w:rsidR="00ED7B09">
              <w:rPr>
                <w:rStyle w:val="ui-provider"/>
                <w:sz w:val="20"/>
                <w:szCs w:val="20"/>
              </w:rPr>
              <w:t xml:space="preserve">could be included on a ‘comply or explain’ basis or </w:t>
            </w:r>
            <w:r w:rsidR="00015A9F">
              <w:rPr>
                <w:rStyle w:val="ui-provider"/>
                <w:sz w:val="20"/>
                <w:szCs w:val="20"/>
              </w:rPr>
              <w:t>be voluntary</w:t>
            </w:r>
            <w:r w:rsidR="00ED7B09">
              <w:rPr>
                <w:rStyle w:val="ui-provider"/>
                <w:sz w:val="20"/>
                <w:szCs w:val="20"/>
              </w:rPr>
              <w:t xml:space="preserve"> for funds,</w:t>
            </w:r>
            <w:r w:rsidR="00BF549C">
              <w:rPr>
                <w:rStyle w:val="ui-provider"/>
                <w:sz w:val="20"/>
                <w:szCs w:val="20"/>
              </w:rPr>
              <w:t xml:space="preserve"> with some PAIs </w:t>
            </w:r>
            <w:r w:rsidR="001111E7">
              <w:rPr>
                <w:rStyle w:val="ui-provider"/>
                <w:sz w:val="20"/>
                <w:szCs w:val="20"/>
              </w:rPr>
              <w:t xml:space="preserve">then </w:t>
            </w:r>
            <w:r w:rsidR="00BF549C">
              <w:rPr>
                <w:rStyle w:val="ui-provider"/>
                <w:sz w:val="20"/>
                <w:szCs w:val="20"/>
              </w:rPr>
              <w:t>made mandatory over time</w:t>
            </w:r>
            <w:r w:rsidR="00015A9F">
              <w:rPr>
                <w:rStyle w:val="ui-provider"/>
                <w:sz w:val="20"/>
                <w:szCs w:val="20"/>
              </w:rPr>
              <w:t>, potentially,</w:t>
            </w:r>
            <w:r w:rsidR="00B3705D">
              <w:rPr>
                <w:rStyle w:val="ui-provider"/>
                <w:sz w:val="20"/>
                <w:szCs w:val="20"/>
              </w:rPr>
              <w:t xml:space="preserve"> </w:t>
            </w:r>
            <w:r w:rsidR="00BF549C">
              <w:rPr>
                <w:rStyle w:val="ui-provider"/>
                <w:sz w:val="20"/>
                <w:szCs w:val="20"/>
              </w:rPr>
              <w:t>as data availability improves</w:t>
            </w:r>
            <w:r w:rsidR="00A503C6">
              <w:rPr>
                <w:rStyle w:val="ui-provider"/>
                <w:sz w:val="20"/>
                <w:szCs w:val="20"/>
              </w:rPr>
              <w:t xml:space="preserve"> (e.g. environmental PAI indicators relating to emission</w:t>
            </w:r>
            <w:r w:rsidR="00FC0A8D">
              <w:rPr>
                <w:rStyle w:val="ui-provider"/>
                <w:sz w:val="20"/>
                <w:szCs w:val="20"/>
              </w:rPr>
              <w:t>s</w:t>
            </w:r>
            <w:r w:rsidR="00A503C6">
              <w:rPr>
                <w:rStyle w:val="ui-provider"/>
                <w:sz w:val="20"/>
                <w:szCs w:val="20"/>
              </w:rPr>
              <w:t xml:space="preserve"> to water, hazardous waste, and activities negatively impacting biodiversity).</w:t>
            </w:r>
          </w:p>
          <w:p w14:paraId="4E12326C" w14:textId="77777777" w:rsidR="00781B2D" w:rsidRDefault="00781B2D" w:rsidP="00454676">
            <w:pPr>
              <w:spacing w:after="0" w:line="259" w:lineRule="auto"/>
              <w:ind w:left="0" w:firstLine="0"/>
              <w:jc w:val="left"/>
              <w:rPr>
                <w:rStyle w:val="ui-provider"/>
                <w:sz w:val="20"/>
                <w:szCs w:val="20"/>
              </w:rPr>
            </w:pPr>
          </w:p>
          <w:p w14:paraId="6F522B28" w14:textId="52092827" w:rsidR="00E63ED4" w:rsidRDefault="00F93F39" w:rsidP="00BC743A">
            <w:pPr>
              <w:spacing w:after="0" w:line="259" w:lineRule="auto"/>
              <w:ind w:left="0" w:firstLine="0"/>
              <w:jc w:val="left"/>
              <w:rPr>
                <w:rStyle w:val="ui-provider"/>
                <w:sz w:val="20"/>
                <w:szCs w:val="20"/>
              </w:rPr>
            </w:pPr>
            <w:r>
              <w:rPr>
                <w:rStyle w:val="ui-provider"/>
                <w:sz w:val="20"/>
                <w:szCs w:val="20"/>
              </w:rPr>
              <w:t>Finally, data availability issues will need to be comprehensively addressed by policymakers in order to fully resolve ongoing challenges of reporting on the PAI indicators</w:t>
            </w:r>
            <w:r w:rsidR="00861F47">
              <w:rPr>
                <w:rStyle w:val="ui-provider"/>
                <w:sz w:val="20"/>
                <w:szCs w:val="20"/>
              </w:rPr>
              <w:t xml:space="preserve">. </w:t>
            </w:r>
          </w:p>
          <w:p w14:paraId="66A1C2AA" w14:textId="77777777" w:rsidR="00E63ED4" w:rsidRDefault="00E63ED4" w:rsidP="00BC743A">
            <w:pPr>
              <w:spacing w:after="0" w:line="259" w:lineRule="auto"/>
              <w:ind w:left="0" w:firstLine="0"/>
              <w:jc w:val="left"/>
              <w:rPr>
                <w:rStyle w:val="ui-provider"/>
                <w:sz w:val="20"/>
                <w:szCs w:val="20"/>
              </w:rPr>
            </w:pPr>
          </w:p>
          <w:p w14:paraId="3A6DA52D" w14:textId="02F0C852" w:rsidR="000B2F3B" w:rsidRDefault="00861F47" w:rsidP="00172C4D">
            <w:pPr>
              <w:spacing w:after="0" w:line="259" w:lineRule="auto"/>
              <w:ind w:left="0" w:firstLine="0"/>
              <w:jc w:val="left"/>
              <w:rPr>
                <w:rStyle w:val="ui-provider"/>
                <w:sz w:val="20"/>
                <w:szCs w:val="20"/>
              </w:rPr>
            </w:pPr>
            <w:r>
              <w:rPr>
                <w:rStyle w:val="ui-provider"/>
                <w:sz w:val="20"/>
                <w:szCs w:val="20"/>
              </w:rPr>
              <w:t>This is particularly relevant in light of the recent decision from the Commission confirming that disclosure of all data points under the final ESRS will be subject to materiality assessments, which will make the availability of high-quality corporate data more challengin</w:t>
            </w:r>
            <w:r w:rsidR="00315D13">
              <w:rPr>
                <w:rStyle w:val="ui-provider"/>
                <w:sz w:val="20"/>
                <w:szCs w:val="20"/>
              </w:rPr>
              <w:t>g.</w:t>
            </w:r>
            <w:r w:rsidR="003C3018">
              <w:rPr>
                <w:rStyle w:val="ui-provider"/>
                <w:sz w:val="20"/>
                <w:szCs w:val="20"/>
              </w:rPr>
              <w:t xml:space="preserve"> </w:t>
            </w:r>
            <w:r w:rsidR="00315D13">
              <w:rPr>
                <w:rStyle w:val="ui-provider"/>
                <w:sz w:val="20"/>
                <w:szCs w:val="20"/>
              </w:rPr>
              <w:t xml:space="preserve">Further guidance </w:t>
            </w:r>
            <w:r w:rsidR="00FC0A8D">
              <w:rPr>
                <w:rStyle w:val="ui-provider"/>
                <w:sz w:val="20"/>
                <w:szCs w:val="20"/>
              </w:rPr>
              <w:t xml:space="preserve">and support </w:t>
            </w:r>
            <w:r w:rsidR="00315D13">
              <w:rPr>
                <w:rStyle w:val="ui-provider"/>
                <w:sz w:val="20"/>
                <w:szCs w:val="20"/>
              </w:rPr>
              <w:t>will be required for financial market participants to address data gaps under the SFDR</w:t>
            </w:r>
            <w:r w:rsidR="006E165D">
              <w:rPr>
                <w:rStyle w:val="ui-provider"/>
                <w:sz w:val="20"/>
                <w:szCs w:val="20"/>
              </w:rPr>
              <w:t xml:space="preserve"> and these sequencing issues</w:t>
            </w:r>
            <w:r w:rsidR="00DC232A">
              <w:rPr>
                <w:rStyle w:val="ui-provider"/>
                <w:sz w:val="20"/>
                <w:szCs w:val="20"/>
              </w:rPr>
              <w:t>,</w:t>
            </w:r>
            <w:r w:rsidR="00243CB7">
              <w:rPr>
                <w:rStyle w:val="ui-provider"/>
                <w:sz w:val="20"/>
                <w:szCs w:val="20"/>
              </w:rPr>
              <w:t xml:space="preserve"> </w:t>
            </w:r>
            <w:r w:rsidR="6832F3DF" w:rsidRPr="79E6A75C">
              <w:rPr>
                <w:rStyle w:val="ui-provider"/>
                <w:sz w:val="20"/>
                <w:szCs w:val="20"/>
              </w:rPr>
              <w:t>including</w:t>
            </w:r>
            <w:r w:rsidR="00DC232A">
              <w:rPr>
                <w:rStyle w:val="ui-provider"/>
                <w:sz w:val="20"/>
                <w:szCs w:val="20"/>
              </w:rPr>
              <w:t xml:space="preserve"> how PAI indicators could be calculated in the absence of good-quality underlying disclosures from investee companies. </w:t>
            </w:r>
            <w:r w:rsidR="0043765D">
              <w:rPr>
                <w:rStyle w:val="ui-provider"/>
                <w:sz w:val="20"/>
                <w:szCs w:val="20"/>
              </w:rPr>
              <w:t xml:space="preserve">Even as the ESRS are implemented across the market in the coming years on a mandatory basis, we would expect that some data gaps would remain, </w:t>
            </w:r>
            <w:r w:rsidR="004D438B">
              <w:rPr>
                <w:rStyle w:val="ui-provider"/>
                <w:sz w:val="20"/>
                <w:szCs w:val="20"/>
              </w:rPr>
              <w:t xml:space="preserve">for example among non-EU companies not captured by the CSRD, which should remain a consideration for the Commission in future. </w:t>
            </w:r>
          </w:p>
          <w:p w14:paraId="0E55FAB0" w14:textId="0B0A4052" w:rsidR="00F74387" w:rsidRPr="00781B2D" w:rsidRDefault="00F74387" w:rsidP="00172C4D">
            <w:pPr>
              <w:spacing w:after="0" w:line="259" w:lineRule="auto"/>
              <w:ind w:left="0" w:firstLine="0"/>
              <w:jc w:val="left"/>
              <w:rPr>
                <w:sz w:val="20"/>
                <w:szCs w:val="20"/>
              </w:rPr>
            </w:pPr>
          </w:p>
        </w:tc>
      </w:tr>
    </w:tbl>
    <w:p w14:paraId="0546CD82" w14:textId="77777777" w:rsidR="0045673A" w:rsidRDefault="00E17DF3">
      <w:pPr>
        <w:spacing w:after="216" w:line="259" w:lineRule="auto"/>
        <w:ind w:left="0" w:firstLine="0"/>
        <w:jc w:val="left"/>
      </w:pPr>
      <w:r>
        <w:rPr>
          <w:b/>
        </w:rPr>
        <w:t xml:space="preserve"> </w:t>
      </w:r>
    </w:p>
    <w:p w14:paraId="0846AF8E" w14:textId="77777777" w:rsidR="0045673A" w:rsidRDefault="00E17DF3">
      <w:pPr>
        <w:spacing w:after="228" w:line="249" w:lineRule="auto"/>
        <w:ind w:left="-5" w:right="636"/>
      </w:pPr>
      <w:r>
        <w:rPr>
          <w:b/>
        </w:rPr>
        <w:t xml:space="preserve">Questions 1.10, 1.10.1 and 1.11 are intended for financial market participants and financial advisors subject to the SFDR. </w:t>
      </w:r>
    </w:p>
    <w:p w14:paraId="1AC99085" w14:textId="77777777" w:rsidR="0045673A" w:rsidRDefault="00E17DF3">
      <w:pPr>
        <w:spacing w:after="0" w:line="259" w:lineRule="auto"/>
        <w:ind w:left="708" w:firstLine="0"/>
        <w:jc w:val="left"/>
      </w:pPr>
      <w:r>
        <w:t xml:space="preserve"> </w:t>
      </w:r>
    </w:p>
    <w:p w14:paraId="41B9F140" w14:textId="77777777" w:rsidR="0045673A" w:rsidRDefault="00E17DF3">
      <w:pPr>
        <w:pStyle w:val="Heading2"/>
        <w:ind w:left="490" w:right="636"/>
      </w:pPr>
      <w:r>
        <w:t>1.2.</w:t>
      </w:r>
      <w:r>
        <w:rPr>
          <w:rFonts w:ascii="Arial" w:eastAsia="Arial" w:hAnsi="Arial" w:cs="Arial"/>
        </w:rPr>
        <w:t xml:space="preserve"> </w:t>
      </w:r>
      <w:r>
        <w:t xml:space="preserve">The cost of disclosures under the SFDR today  </w:t>
      </w:r>
    </w:p>
    <w:p w14:paraId="1568F361" w14:textId="77777777" w:rsidR="0045673A" w:rsidRDefault="00E17DF3">
      <w:pPr>
        <w:ind w:right="643"/>
      </w:pPr>
      <w:r>
        <w:t xml:space="preserve">The following two questions aim to assess the costs of the SFDR disclosure requirements distinguishing between one-off and recurring costs. One-off costs are incurred only once to implement a new reporting requirement, e.g. getting familiarised with the legal act and the associated regulatory or implementing technical standards, setting-up data collection processes or adjusting IT-systems. Recurring costs occur repeatedly every year once the new reporting is in place, e.g. costs of annual data collection and report preparation. In the specific case of precontractual disclosures for example, there are one-off costs to set up the process of publishing precontractual disclosures when a new product is launched, and recurring annual costs to repeat the process of publishing pre-contractual disclosures each time a new product is launched (depends on the number of products launched on average each year). These two questions apply both to entity and product level disclosures.  </w:t>
      </w:r>
    </w:p>
    <w:p w14:paraId="764D7C85" w14:textId="77777777" w:rsidR="0045673A" w:rsidRDefault="00E17DF3">
      <w:pPr>
        <w:spacing w:after="0" w:line="259" w:lineRule="auto"/>
        <w:ind w:left="12" w:firstLine="0"/>
        <w:jc w:val="left"/>
      </w:pPr>
      <w:r>
        <w:rPr>
          <w:i/>
        </w:rPr>
        <w:t xml:space="preserve"> </w:t>
      </w:r>
    </w:p>
    <w:p w14:paraId="15AEE192" w14:textId="77777777" w:rsidR="0045673A" w:rsidRDefault="00E17DF3">
      <w:pPr>
        <w:ind w:right="643"/>
      </w:pPr>
      <w:r>
        <w:rPr>
          <w:b/>
          <w:u w:val="single" w:color="000000"/>
        </w:rPr>
        <w:t>Question 1.10</w:t>
      </w:r>
      <w:r>
        <w:t xml:space="preserve">: Could you provide estimates of the one-off and recurring annual costs associated with complying with the SFDR disclosure requirements (EUR)? Please split these estimates between internal costs incurred by the financial market participant and any external services contracted to assist in complying with the requirements (services from third-party data providers, advisory services …). If such a breakdown is not possible, please provide the total figures. </w:t>
      </w:r>
    </w:p>
    <w:tbl>
      <w:tblPr>
        <w:tblW w:w="8253" w:type="dxa"/>
        <w:tblCellMar>
          <w:top w:w="19" w:type="dxa"/>
          <w:left w:w="115" w:type="dxa"/>
          <w:right w:w="68" w:type="dxa"/>
        </w:tblCellMar>
        <w:tblLook w:val="04A0" w:firstRow="1" w:lastRow="0" w:firstColumn="1" w:lastColumn="0" w:noHBand="0" w:noVBand="1"/>
      </w:tblPr>
      <w:tblGrid>
        <w:gridCol w:w="3121"/>
        <w:gridCol w:w="1620"/>
        <w:gridCol w:w="1678"/>
        <w:gridCol w:w="1834"/>
      </w:tblGrid>
      <w:tr w:rsidR="0045673A" w14:paraId="15F5C205" w14:textId="77777777">
        <w:trPr>
          <w:trHeight w:val="1087"/>
        </w:trPr>
        <w:tc>
          <w:tcPr>
            <w:tcW w:w="3121" w:type="dxa"/>
            <w:tcBorders>
              <w:top w:val="single" w:sz="8" w:space="0" w:color="000000"/>
              <w:left w:val="single" w:sz="8" w:space="0" w:color="000000"/>
              <w:bottom w:val="single" w:sz="8" w:space="0" w:color="000000"/>
              <w:right w:val="single" w:sz="8" w:space="0" w:color="000000"/>
            </w:tcBorders>
          </w:tcPr>
          <w:p w14:paraId="71105D33" w14:textId="77777777" w:rsidR="0045673A" w:rsidRDefault="00E17DF3">
            <w:pPr>
              <w:spacing w:after="0" w:line="259" w:lineRule="auto"/>
              <w:ind w:left="0" w:right="49" w:firstLine="0"/>
              <w:jc w:val="center"/>
            </w:pPr>
            <w:r>
              <w:t xml:space="preserve">EUR </w:t>
            </w:r>
          </w:p>
        </w:tc>
        <w:tc>
          <w:tcPr>
            <w:tcW w:w="1620" w:type="dxa"/>
            <w:tcBorders>
              <w:top w:val="single" w:sz="8" w:space="0" w:color="000000"/>
              <w:left w:val="single" w:sz="8" w:space="0" w:color="000000"/>
              <w:bottom w:val="single" w:sz="8" w:space="0" w:color="000000"/>
              <w:right w:val="single" w:sz="8" w:space="0" w:color="000000"/>
            </w:tcBorders>
          </w:tcPr>
          <w:p w14:paraId="1BD47274" w14:textId="77777777" w:rsidR="0045673A" w:rsidRDefault="00E17DF3">
            <w:pPr>
              <w:spacing w:after="0" w:line="259" w:lineRule="auto"/>
              <w:ind w:left="0" w:firstLine="0"/>
              <w:jc w:val="center"/>
            </w:pPr>
            <w:r>
              <w:t xml:space="preserve">Estimated one off costs </w:t>
            </w:r>
          </w:p>
        </w:tc>
        <w:tc>
          <w:tcPr>
            <w:tcW w:w="1678" w:type="dxa"/>
            <w:tcBorders>
              <w:top w:val="single" w:sz="8" w:space="0" w:color="000000"/>
              <w:left w:val="single" w:sz="8" w:space="0" w:color="000000"/>
              <w:bottom w:val="single" w:sz="8" w:space="0" w:color="000000"/>
              <w:right w:val="single" w:sz="8" w:space="0" w:color="000000"/>
            </w:tcBorders>
          </w:tcPr>
          <w:p w14:paraId="4037889C" w14:textId="77777777" w:rsidR="0045673A" w:rsidRDefault="00E17DF3">
            <w:pPr>
              <w:spacing w:after="0" w:line="259" w:lineRule="auto"/>
              <w:ind w:left="0" w:right="51" w:firstLine="0"/>
              <w:jc w:val="center"/>
            </w:pPr>
            <w:r>
              <w:t xml:space="preserve">Estimated </w:t>
            </w:r>
          </w:p>
          <w:p w14:paraId="2D80928D" w14:textId="77777777" w:rsidR="0045673A" w:rsidRDefault="00E17DF3">
            <w:pPr>
              <w:spacing w:after="0" w:line="259" w:lineRule="auto"/>
              <w:ind w:left="0" w:firstLine="0"/>
              <w:jc w:val="center"/>
            </w:pPr>
            <w:r>
              <w:t xml:space="preserve">recurring annual costs </w:t>
            </w:r>
          </w:p>
        </w:tc>
        <w:tc>
          <w:tcPr>
            <w:tcW w:w="1834" w:type="dxa"/>
            <w:tcBorders>
              <w:top w:val="single" w:sz="8" w:space="0" w:color="000000"/>
              <w:left w:val="single" w:sz="8" w:space="0" w:color="000000"/>
              <w:bottom w:val="single" w:sz="8" w:space="0" w:color="000000"/>
              <w:right w:val="single" w:sz="8" w:space="0" w:color="000000"/>
            </w:tcBorders>
          </w:tcPr>
          <w:p w14:paraId="388308CF" w14:textId="77777777" w:rsidR="0045673A" w:rsidRDefault="00E17DF3">
            <w:pPr>
              <w:spacing w:after="0" w:line="259" w:lineRule="auto"/>
              <w:ind w:left="0" w:right="52" w:firstLine="0"/>
              <w:jc w:val="center"/>
            </w:pPr>
            <w:r>
              <w:t xml:space="preserve">Don’t know </w:t>
            </w:r>
          </w:p>
        </w:tc>
      </w:tr>
      <w:tr w:rsidR="0045673A" w14:paraId="10190E89" w14:textId="77777777">
        <w:trPr>
          <w:trHeight w:val="535"/>
        </w:trPr>
        <w:tc>
          <w:tcPr>
            <w:tcW w:w="3121" w:type="dxa"/>
            <w:tcBorders>
              <w:top w:val="single" w:sz="8" w:space="0" w:color="000000"/>
              <w:left w:val="single" w:sz="8" w:space="0" w:color="000000"/>
              <w:bottom w:val="single" w:sz="8" w:space="0" w:color="000000"/>
              <w:right w:val="single" w:sz="8" w:space="0" w:color="000000"/>
            </w:tcBorders>
          </w:tcPr>
          <w:p w14:paraId="102104F9" w14:textId="77777777" w:rsidR="0045673A" w:rsidRDefault="00E17DF3">
            <w:pPr>
              <w:spacing w:after="0" w:line="259" w:lineRule="auto"/>
              <w:ind w:left="0" w:right="51" w:firstLine="0"/>
              <w:jc w:val="center"/>
            </w:pPr>
            <w:r>
              <w:t xml:space="preserve">Internal costs </w:t>
            </w:r>
          </w:p>
        </w:tc>
        <w:tc>
          <w:tcPr>
            <w:tcW w:w="1620" w:type="dxa"/>
            <w:tcBorders>
              <w:top w:val="single" w:sz="8" w:space="0" w:color="000000"/>
              <w:left w:val="single" w:sz="8" w:space="0" w:color="000000"/>
              <w:bottom w:val="single" w:sz="8" w:space="0" w:color="000000"/>
              <w:right w:val="single" w:sz="8" w:space="0" w:color="000000"/>
            </w:tcBorders>
          </w:tcPr>
          <w:p w14:paraId="5DC87F0D" w14:textId="77777777" w:rsidR="0045673A" w:rsidRDefault="00E17DF3">
            <w:pPr>
              <w:spacing w:after="0" w:line="259" w:lineRule="auto"/>
              <w:ind w:firstLine="0"/>
              <w:jc w:val="center"/>
            </w:pPr>
            <w:r>
              <w:t xml:space="preserve"> </w:t>
            </w:r>
          </w:p>
        </w:tc>
        <w:tc>
          <w:tcPr>
            <w:tcW w:w="1678" w:type="dxa"/>
            <w:tcBorders>
              <w:top w:val="single" w:sz="8" w:space="0" w:color="000000"/>
              <w:left w:val="single" w:sz="8" w:space="0" w:color="000000"/>
              <w:bottom w:val="single" w:sz="8" w:space="0" w:color="000000"/>
              <w:right w:val="single" w:sz="8" w:space="0" w:color="000000"/>
            </w:tcBorders>
          </w:tcPr>
          <w:p w14:paraId="6FBEF135" w14:textId="77777777" w:rsidR="0045673A" w:rsidRDefault="00E17DF3">
            <w:pPr>
              <w:spacing w:after="0" w:line="259" w:lineRule="auto"/>
              <w:ind w:firstLine="0"/>
              <w:jc w:val="center"/>
            </w:pPr>
            <w:r>
              <w:t xml:space="preserve"> </w:t>
            </w:r>
          </w:p>
        </w:tc>
        <w:tc>
          <w:tcPr>
            <w:tcW w:w="1834" w:type="dxa"/>
            <w:tcBorders>
              <w:top w:val="single" w:sz="8" w:space="0" w:color="000000"/>
              <w:left w:val="single" w:sz="8" w:space="0" w:color="000000"/>
              <w:bottom w:val="single" w:sz="8" w:space="0" w:color="000000"/>
              <w:right w:val="single" w:sz="8" w:space="0" w:color="000000"/>
            </w:tcBorders>
          </w:tcPr>
          <w:p w14:paraId="0B387625" w14:textId="77777777" w:rsidR="0045673A" w:rsidRDefault="00E17DF3">
            <w:pPr>
              <w:spacing w:after="0" w:line="259" w:lineRule="auto"/>
              <w:ind w:left="13" w:firstLine="0"/>
              <w:jc w:val="center"/>
            </w:pPr>
            <w:r>
              <w:t xml:space="preserve"> </w:t>
            </w:r>
          </w:p>
        </w:tc>
      </w:tr>
      <w:tr w:rsidR="0045673A" w14:paraId="3BE02087" w14:textId="77777777">
        <w:trPr>
          <w:trHeight w:val="538"/>
        </w:trPr>
        <w:tc>
          <w:tcPr>
            <w:tcW w:w="3121" w:type="dxa"/>
            <w:tcBorders>
              <w:top w:val="single" w:sz="8" w:space="0" w:color="000000"/>
              <w:left w:val="single" w:sz="8" w:space="0" w:color="000000"/>
              <w:bottom w:val="single" w:sz="8" w:space="0" w:color="000000"/>
              <w:right w:val="single" w:sz="8" w:space="0" w:color="000000"/>
            </w:tcBorders>
          </w:tcPr>
          <w:p w14:paraId="2C4F4DE0" w14:textId="77777777" w:rsidR="0045673A" w:rsidRDefault="00E17DF3">
            <w:pPr>
              <w:spacing w:after="0" w:line="259" w:lineRule="auto"/>
              <w:ind w:left="0" w:right="52" w:firstLine="0"/>
              <w:jc w:val="center"/>
            </w:pPr>
            <w:r>
              <w:t xml:space="preserve">Thereof personnel costs </w:t>
            </w:r>
          </w:p>
        </w:tc>
        <w:tc>
          <w:tcPr>
            <w:tcW w:w="1620" w:type="dxa"/>
            <w:tcBorders>
              <w:top w:val="single" w:sz="8" w:space="0" w:color="000000"/>
              <w:left w:val="single" w:sz="8" w:space="0" w:color="000000"/>
              <w:bottom w:val="single" w:sz="8" w:space="0" w:color="000000"/>
              <w:right w:val="single" w:sz="8" w:space="0" w:color="000000"/>
            </w:tcBorders>
          </w:tcPr>
          <w:p w14:paraId="796B5560" w14:textId="77777777" w:rsidR="0045673A" w:rsidRDefault="00E17DF3">
            <w:pPr>
              <w:spacing w:after="0" w:line="259" w:lineRule="auto"/>
              <w:ind w:firstLine="0"/>
              <w:jc w:val="center"/>
            </w:pPr>
            <w:r>
              <w:t xml:space="preserve"> </w:t>
            </w:r>
          </w:p>
        </w:tc>
        <w:tc>
          <w:tcPr>
            <w:tcW w:w="1678" w:type="dxa"/>
            <w:tcBorders>
              <w:top w:val="single" w:sz="8" w:space="0" w:color="000000"/>
              <w:left w:val="single" w:sz="8" w:space="0" w:color="000000"/>
              <w:bottom w:val="single" w:sz="8" w:space="0" w:color="000000"/>
              <w:right w:val="single" w:sz="8" w:space="0" w:color="000000"/>
            </w:tcBorders>
          </w:tcPr>
          <w:p w14:paraId="25B73D43" w14:textId="77777777" w:rsidR="0045673A" w:rsidRDefault="00E17DF3">
            <w:pPr>
              <w:spacing w:after="0" w:line="259" w:lineRule="auto"/>
              <w:ind w:firstLine="0"/>
              <w:jc w:val="center"/>
            </w:pPr>
            <w:r>
              <w:t xml:space="preserve"> </w:t>
            </w:r>
          </w:p>
        </w:tc>
        <w:tc>
          <w:tcPr>
            <w:tcW w:w="1834" w:type="dxa"/>
            <w:tcBorders>
              <w:top w:val="single" w:sz="8" w:space="0" w:color="000000"/>
              <w:left w:val="single" w:sz="8" w:space="0" w:color="000000"/>
              <w:bottom w:val="single" w:sz="8" w:space="0" w:color="000000"/>
              <w:right w:val="single" w:sz="8" w:space="0" w:color="000000"/>
            </w:tcBorders>
          </w:tcPr>
          <w:p w14:paraId="01B5F0B6" w14:textId="77777777" w:rsidR="0045673A" w:rsidRDefault="00E17DF3">
            <w:pPr>
              <w:spacing w:after="0" w:line="259" w:lineRule="auto"/>
              <w:ind w:left="13" w:firstLine="0"/>
              <w:jc w:val="center"/>
            </w:pPr>
            <w:r>
              <w:t xml:space="preserve"> </w:t>
            </w:r>
          </w:p>
        </w:tc>
      </w:tr>
      <w:tr w:rsidR="0045673A" w14:paraId="03ECA55F" w14:textId="77777777">
        <w:trPr>
          <w:trHeight w:val="535"/>
        </w:trPr>
        <w:tc>
          <w:tcPr>
            <w:tcW w:w="3121" w:type="dxa"/>
            <w:tcBorders>
              <w:top w:val="single" w:sz="8" w:space="0" w:color="000000"/>
              <w:left w:val="single" w:sz="8" w:space="0" w:color="000000"/>
              <w:bottom w:val="single" w:sz="8" w:space="0" w:color="000000"/>
              <w:right w:val="single" w:sz="8" w:space="0" w:color="000000"/>
            </w:tcBorders>
          </w:tcPr>
          <w:p w14:paraId="204CAD8B" w14:textId="77777777" w:rsidR="0045673A" w:rsidRDefault="00E17DF3">
            <w:pPr>
              <w:spacing w:after="0" w:line="259" w:lineRule="auto"/>
              <w:ind w:left="0" w:right="54" w:firstLine="0"/>
              <w:jc w:val="center"/>
            </w:pPr>
            <w:r>
              <w:t xml:space="preserve">Thereof IT costs </w:t>
            </w:r>
          </w:p>
        </w:tc>
        <w:tc>
          <w:tcPr>
            <w:tcW w:w="1620" w:type="dxa"/>
            <w:tcBorders>
              <w:top w:val="single" w:sz="8" w:space="0" w:color="000000"/>
              <w:left w:val="single" w:sz="8" w:space="0" w:color="000000"/>
              <w:bottom w:val="single" w:sz="8" w:space="0" w:color="000000"/>
              <w:right w:val="single" w:sz="8" w:space="0" w:color="000000"/>
            </w:tcBorders>
          </w:tcPr>
          <w:p w14:paraId="38AA7773" w14:textId="77777777" w:rsidR="0045673A" w:rsidRDefault="00E17DF3">
            <w:pPr>
              <w:spacing w:after="0" w:line="259" w:lineRule="auto"/>
              <w:ind w:firstLine="0"/>
              <w:jc w:val="center"/>
            </w:pPr>
            <w:r>
              <w:t xml:space="preserve"> </w:t>
            </w:r>
          </w:p>
        </w:tc>
        <w:tc>
          <w:tcPr>
            <w:tcW w:w="1678" w:type="dxa"/>
            <w:tcBorders>
              <w:top w:val="single" w:sz="8" w:space="0" w:color="000000"/>
              <w:left w:val="single" w:sz="8" w:space="0" w:color="000000"/>
              <w:bottom w:val="single" w:sz="8" w:space="0" w:color="000000"/>
              <w:right w:val="single" w:sz="8" w:space="0" w:color="000000"/>
            </w:tcBorders>
          </w:tcPr>
          <w:p w14:paraId="7EB55B54" w14:textId="77777777" w:rsidR="0045673A" w:rsidRDefault="00E17DF3">
            <w:pPr>
              <w:spacing w:after="0" w:line="259" w:lineRule="auto"/>
              <w:ind w:firstLine="0"/>
              <w:jc w:val="center"/>
            </w:pPr>
            <w:r>
              <w:t xml:space="preserve"> </w:t>
            </w:r>
          </w:p>
        </w:tc>
        <w:tc>
          <w:tcPr>
            <w:tcW w:w="1834" w:type="dxa"/>
            <w:tcBorders>
              <w:top w:val="single" w:sz="8" w:space="0" w:color="000000"/>
              <w:left w:val="single" w:sz="8" w:space="0" w:color="000000"/>
              <w:bottom w:val="single" w:sz="8" w:space="0" w:color="000000"/>
              <w:right w:val="single" w:sz="8" w:space="0" w:color="000000"/>
            </w:tcBorders>
          </w:tcPr>
          <w:p w14:paraId="0E7D9C94" w14:textId="77777777" w:rsidR="0045673A" w:rsidRDefault="00E17DF3">
            <w:pPr>
              <w:spacing w:after="0" w:line="259" w:lineRule="auto"/>
              <w:ind w:left="13" w:firstLine="0"/>
              <w:jc w:val="center"/>
            </w:pPr>
            <w:r>
              <w:t xml:space="preserve"> </w:t>
            </w:r>
          </w:p>
        </w:tc>
      </w:tr>
      <w:tr w:rsidR="0045673A" w14:paraId="05D86748" w14:textId="77777777">
        <w:trPr>
          <w:trHeight w:val="535"/>
        </w:trPr>
        <w:tc>
          <w:tcPr>
            <w:tcW w:w="3121" w:type="dxa"/>
            <w:tcBorders>
              <w:top w:val="single" w:sz="8" w:space="0" w:color="000000"/>
              <w:left w:val="single" w:sz="8" w:space="0" w:color="000000"/>
              <w:bottom w:val="single" w:sz="8" w:space="0" w:color="000000"/>
              <w:right w:val="single" w:sz="8" w:space="0" w:color="000000"/>
            </w:tcBorders>
          </w:tcPr>
          <w:p w14:paraId="2890EB8E" w14:textId="77777777" w:rsidR="0045673A" w:rsidRDefault="00E17DF3">
            <w:pPr>
              <w:spacing w:after="0" w:line="259" w:lineRule="auto"/>
              <w:ind w:left="0" w:right="51" w:firstLine="0"/>
              <w:jc w:val="center"/>
            </w:pPr>
            <w:r>
              <w:t xml:space="preserve">External costs </w:t>
            </w:r>
          </w:p>
        </w:tc>
        <w:tc>
          <w:tcPr>
            <w:tcW w:w="1620" w:type="dxa"/>
            <w:tcBorders>
              <w:top w:val="single" w:sz="8" w:space="0" w:color="000000"/>
              <w:left w:val="single" w:sz="8" w:space="0" w:color="000000"/>
              <w:bottom w:val="single" w:sz="8" w:space="0" w:color="000000"/>
              <w:right w:val="single" w:sz="8" w:space="0" w:color="000000"/>
            </w:tcBorders>
          </w:tcPr>
          <w:p w14:paraId="5AA96959" w14:textId="77777777" w:rsidR="0045673A" w:rsidRDefault="00E17DF3">
            <w:pPr>
              <w:spacing w:after="0" w:line="259" w:lineRule="auto"/>
              <w:ind w:firstLine="0"/>
              <w:jc w:val="center"/>
            </w:pPr>
            <w:r>
              <w:t xml:space="preserve"> </w:t>
            </w:r>
          </w:p>
        </w:tc>
        <w:tc>
          <w:tcPr>
            <w:tcW w:w="1678" w:type="dxa"/>
            <w:tcBorders>
              <w:top w:val="single" w:sz="8" w:space="0" w:color="000000"/>
              <w:left w:val="single" w:sz="8" w:space="0" w:color="000000"/>
              <w:bottom w:val="single" w:sz="8" w:space="0" w:color="000000"/>
              <w:right w:val="single" w:sz="8" w:space="0" w:color="000000"/>
            </w:tcBorders>
          </w:tcPr>
          <w:p w14:paraId="303B4F1A" w14:textId="77777777" w:rsidR="0045673A" w:rsidRDefault="00E17DF3">
            <w:pPr>
              <w:spacing w:after="0" w:line="259" w:lineRule="auto"/>
              <w:ind w:firstLine="0"/>
              <w:jc w:val="center"/>
            </w:pPr>
            <w:r>
              <w:t xml:space="preserve"> </w:t>
            </w:r>
          </w:p>
        </w:tc>
        <w:tc>
          <w:tcPr>
            <w:tcW w:w="1834" w:type="dxa"/>
            <w:tcBorders>
              <w:top w:val="single" w:sz="8" w:space="0" w:color="000000"/>
              <w:left w:val="single" w:sz="8" w:space="0" w:color="000000"/>
              <w:bottom w:val="single" w:sz="8" w:space="0" w:color="000000"/>
              <w:right w:val="single" w:sz="8" w:space="0" w:color="000000"/>
            </w:tcBorders>
          </w:tcPr>
          <w:p w14:paraId="6E567521" w14:textId="77777777" w:rsidR="0045673A" w:rsidRDefault="00E17DF3">
            <w:pPr>
              <w:spacing w:after="0" w:line="259" w:lineRule="auto"/>
              <w:ind w:left="13" w:firstLine="0"/>
              <w:jc w:val="center"/>
            </w:pPr>
            <w:r>
              <w:t xml:space="preserve"> </w:t>
            </w:r>
          </w:p>
        </w:tc>
      </w:tr>
      <w:tr w:rsidR="0045673A" w14:paraId="00210740" w14:textId="77777777">
        <w:trPr>
          <w:trHeight w:val="538"/>
        </w:trPr>
        <w:tc>
          <w:tcPr>
            <w:tcW w:w="3121" w:type="dxa"/>
            <w:tcBorders>
              <w:top w:val="single" w:sz="8" w:space="0" w:color="000000"/>
              <w:left w:val="single" w:sz="8" w:space="0" w:color="000000"/>
              <w:bottom w:val="single" w:sz="8" w:space="0" w:color="000000"/>
              <w:right w:val="single" w:sz="8" w:space="0" w:color="000000"/>
            </w:tcBorders>
          </w:tcPr>
          <w:p w14:paraId="59FEE509" w14:textId="77777777" w:rsidR="0045673A" w:rsidRDefault="00E17DF3">
            <w:pPr>
              <w:spacing w:after="0" w:line="259" w:lineRule="auto"/>
              <w:ind w:left="0" w:right="53" w:firstLine="0"/>
              <w:jc w:val="center"/>
            </w:pPr>
            <w:r>
              <w:t xml:space="preserve">Thereof data providers </w:t>
            </w:r>
          </w:p>
        </w:tc>
        <w:tc>
          <w:tcPr>
            <w:tcW w:w="1620" w:type="dxa"/>
            <w:tcBorders>
              <w:top w:val="single" w:sz="8" w:space="0" w:color="000000"/>
              <w:left w:val="single" w:sz="8" w:space="0" w:color="000000"/>
              <w:bottom w:val="single" w:sz="8" w:space="0" w:color="000000"/>
              <w:right w:val="single" w:sz="8" w:space="0" w:color="000000"/>
            </w:tcBorders>
          </w:tcPr>
          <w:p w14:paraId="22A566BC" w14:textId="77777777" w:rsidR="0045673A" w:rsidRDefault="00E17DF3">
            <w:pPr>
              <w:spacing w:after="0" w:line="259" w:lineRule="auto"/>
              <w:ind w:firstLine="0"/>
              <w:jc w:val="center"/>
            </w:pPr>
            <w:r>
              <w:t xml:space="preserve"> </w:t>
            </w:r>
          </w:p>
        </w:tc>
        <w:tc>
          <w:tcPr>
            <w:tcW w:w="1678" w:type="dxa"/>
            <w:tcBorders>
              <w:top w:val="single" w:sz="8" w:space="0" w:color="000000"/>
              <w:left w:val="single" w:sz="8" w:space="0" w:color="000000"/>
              <w:bottom w:val="single" w:sz="8" w:space="0" w:color="000000"/>
              <w:right w:val="single" w:sz="8" w:space="0" w:color="000000"/>
            </w:tcBorders>
          </w:tcPr>
          <w:p w14:paraId="3E62F351" w14:textId="77777777" w:rsidR="0045673A" w:rsidRDefault="00E17DF3">
            <w:pPr>
              <w:spacing w:after="0" w:line="259" w:lineRule="auto"/>
              <w:ind w:firstLine="0"/>
              <w:jc w:val="center"/>
            </w:pPr>
            <w:r>
              <w:t xml:space="preserve"> </w:t>
            </w:r>
          </w:p>
        </w:tc>
        <w:tc>
          <w:tcPr>
            <w:tcW w:w="1834" w:type="dxa"/>
            <w:tcBorders>
              <w:top w:val="single" w:sz="8" w:space="0" w:color="000000"/>
              <w:left w:val="single" w:sz="8" w:space="0" w:color="000000"/>
              <w:bottom w:val="single" w:sz="8" w:space="0" w:color="000000"/>
              <w:right w:val="single" w:sz="8" w:space="0" w:color="000000"/>
            </w:tcBorders>
          </w:tcPr>
          <w:p w14:paraId="751D4D07" w14:textId="77777777" w:rsidR="0045673A" w:rsidRDefault="00E17DF3">
            <w:pPr>
              <w:spacing w:after="0" w:line="259" w:lineRule="auto"/>
              <w:ind w:left="13" w:firstLine="0"/>
              <w:jc w:val="center"/>
            </w:pPr>
            <w:r>
              <w:t xml:space="preserve"> </w:t>
            </w:r>
          </w:p>
        </w:tc>
      </w:tr>
      <w:tr w:rsidR="0045673A" w14:paraId="6AD524D4" w14:textId="77777777">
        <w:trPr>
          <w:trHeight w:val="535"/>
        </w:trPr>
        <w:tc>
          <w:tcPr>
            <w:tcW w:w="3121" w:type="dxa"/>
            <w:tcBorders>
              <w:top w:val="single" w:sz="8" w:space="0" w:color="000000"/>
              <w:left w:val="single" w:sz="8" w:space="0" w:color="000000"/>
              <w:bottom w:val="single" w:sz="8" w:space="0" w:color="000000"/>
              <w:right w:val="single" w:sz="8" w:space="0" w:color="000000"/>
            </w:tcBorders>
          </w:tcPr>
          <w:p w14:paraId="0E1FBF8D" w14:textId="77777777" w:rsidR="0045673A" w:rsidRDefault="00E17DF3">
            <w:pPr>
              <w:spacing w:after="0" w:line="259" w:lineRule="auto"/>
              <w:ind w:left="0" w:right="51" w:firstLine="0"/>
              <w:jc w:val="center"/>
            </w:pPr>
            <w:r>
              <w:t xml:space="preserve">Thereof advisory services </w:t>
            </w:r>
          </w:p>
        </w:tc>
        <w:tc>
          <w:tcPr>
            <w:tcW w:w="1620" w:type="dxa"/>
            <w:tcBorders>
              <w:top w:val="single" w:sz="8" w:space="0" w:color="000000"/>
              <w:left w:val="single" w:sz="8" w:space="0" w:color="000000"/>
              <w:bottom w:val="single" w:sz="8" w:space="0" w:color="000000"/>
              <w:right w:val="single" w:sz="8" w:space="0" w:color="000000"/>
            </w:tcBorders>
          </w:tcPr>
          <w:p w14:paraId="73043885" w14:textId="77777777" w:rsidR="0045673A" w:rsidRDefault="00E17DF3">
            <w:pPr>
              <w:spacing w:after="0" w:line="259" w:lineRule="auto"/>
              <w:ind w:firstLine="0"/>
              <w:jc w:val="center"/>
            </w:pPr>
            <w:r>
              <w:t xml:space="preserve"> </w:t>
            </w:r>
          </w:p>
        </w:tc>
        <w:tc>
          <w:tcPr>
            <w:tcW w:w="1678" w:type="dxa"/>
            <w:tcBorders>
              <w:top w:val="single" w:sz="8" w:space="0" w:color="000000"/>
              <w:left w:val="single" w:sz="8" w:space="0" w:color="000000"/>
              <w:bottom w:val="single" w:sz="8" w:space="0" w:color="000000"/>
              <w:right w:val="single" w:sz="8" w:space="0" w:color="000000"/>
            </w:tcBorders>
          </w:tcPr>
          <w:p w14:paraId="03F94CA6" w14:textId="77777777" w:rsidR="0045673A" w:rsidRDefault="00E17DF3">
            <w:pPr>
              <w:spacing w:after="0" w:line="259" w:lineRule="auto"/>
              <w:ind w:firstLine="0"/>
              <w:jc w:val="center"/>
            </w:pPr>
            <w:r>
              <w:t xml:space="preserve"> </w:t>
            </w:r>
          </w:p>
        </w:tc>
        <w:tc>
          <w:tcPr>
            <w:tcW w:w="1834" w:type="dxa"/>
            <w:tcBorders>
              <w:top w:val="single" w:sz="8" w:space="0" w:color="000000"/>
              <w:left w:val="single" w:sz="8" w:space="0" w:color="000000"/>
              <w:bottom w:val="single" w:sz="8" w:space="0" w:color="000000"/>
              <w:right w:val="single" w:sz="8" w:space="0" w:color="000000"/>
            </w:tcBorders>
          </w:tcPr>
          <w:p w14:paraId="0DFE2B70" w14:textId="77777777" w:rsidR="0045673A" w:rsidRDefault="00E17DF3">
            <w:pPr>
              <w:spacing w:after="0" w:line="259" w:lineRule="auto"/>
              <w:ind w:left="13" w:firstLine="0"/>
              <w:jc w:val="center"/>
            </w:pPr>
            <w:r>
              <w:t xml:space="preserve"> </w:t>
            </w:r>
          </w:p>
        </w:tc>
      </w:tr>
      <w:tr w:rsidR="0045673A" w14:paraId="63F8FA18" w14:textId="77777777">
        <w:trPr>
          <w:trHeight w:val="812"/>
        </w:trPr>
        <w:tc>
          <w:tcPr>
            <w:tcW w:w="3121" w:type="dxa"/>
            <w:tcBorders>
              <w:top w:val="single" w:sz="8" w:space="0" w:color="000000"/>
              <w:left w:val="single" w:sz="8" w:space="0" w:color="000000"/>
              <w:bottom w:val="single" w:sz="8" w:space="0" w:color="000000"/>
              <w:right w:val="single" w:sz="8" w:space="0" w:color="000000"/>
            </w:tcBorders>
          </w:tcPr>
          <w:p w14:paraId="0DF2BB40" w14:textId="77777777" w:rsidR="0045673A" w:rsidRDefault="00E17DF3">
            <w:pPr>
              <w:spacing w:after="0" w:line="259" w:lineRule="auto"/>
              <w:ind w:left="0" w:firstLine="0"/>
              <w:jc w:val="center"/>
            </w:pPr>
            <w:r>
              <w:t xml:space="preserve">Total costs of SFDR disclosure requirements </w:t>
            </w:r>
          </w:p>
        </w:tc>
        <w:tc>
          <w:tcPr>
            <w:tcW w:w="1620" w:type="dxa"/>
            <w:tcBorders>
              <w:top w:val="single" w:sz="8" w:space="0" w:color="000000"/>
              <w:left w:val="single" w:sz="8" w:space="0" w:color="000000"/>
              <w:bottom w:val="single" w:sz="8" w:space="0" w:color="000000"/>
              <w:right w:val="single" w:sz="8" w:space="0" w:color="000000"/>
            </w:tcBorders>
          </w:tcPr>
          <w:p w14:paraId="34063ED2" w14:textId="77777777" w:rsidR="0045673A" w:rsidRDefault="00E17DF3">
            <w:pPr>
              <w:spacing w:after="0" w:line="259" w:lineRule="auto"/>
              <w:ind w:firstLine="0"/>
              <w:jc w:val="center"/>
            </w:pPr>
            <w:r>
              <w:t xml:space="preserve"> </w:t>
            </w:r>
          </w:p>
        </w:tc>
        <w:tc>
          <w:tcPr>
            <w:tcW w:w="1678" w:type="dxa"/>
            <w:tcBorders>
              <w:top w:val="single" w:sz="8" w:space="0" w:color="000000"/>
              <w:left w:val="single" w:sz="8" w:space="0" w:color="000000"/>
              <w:bottom w:val="single" w:sz="8" w:space="0" w:color="000000"/>
              <w:right w:val="single" w:sz="8" w:space="0" w:color="000000"/>
            </w:tcBorders>
          </w:tcPr>
          <w:p w14:paraId="6EA4DD72" w14:textId="77777777" w:rsidR="0045673A" w:rsidRDefault="00E17DF3">
            <w:pPr>
              <w:spacing w:after="0" w:line="259" w:lineRule="auto"/>
              <w:ind w:firstLine="0"/>
              <w:jc w:val="center"/>
            </w:pPr>
            <w:r>
              <w:t xml:space="preserve"> </w:t>
            </w:r>
          </w:p>
        </w:tc>
        <w:tc>
          <w:tcPr>
            <w:tcW w:w="1834" w:type="dxa"/>
            <w:tcBorders>
              <w:top w:val="single" w:sz="8" w:space="0" w:color="000000"/>
              <w:left w:val="single" w:sz="8" w:space="0" w:color="000000"/>
              <w:bottom w:val="single" w:sz="8" w:space="0" w:color="000000"/>
              <w:right w:val="single" w:sz="8" w:space="0" w:color="000000"/>
            </w:tcBorders>
          </w:tcPr>
          <w:p w14:paraId="45D0527A" w14:textId="77777777" w:rsidR="0045673A" w:rsidRDefault="00E17DF3">
            <w:pPr>
              <w:spacing w:after="0" w:line="259" w:lineRule="auto"/>
              <w:ind w:left="13" w:firstLine="0"/>
              <w:jc w:val="center"/>
            </w:pPr>
            <w:r>
              <w:t xml:space="preserve"> </w:t>
            </w:r>
          </w:p>
        </w:tc>
      </w:tr>
    </w:tbl>
    <w:p w14:paraId="619F5A83" w14:textId="77777777" w:rsidR="0045673A" w:rsidRDefault="00E17DF3">
      <w:pPr>
        <w:spacing w:after="0" w:line="259" w:lineRule="auto"/>
        <w:ind w:left="0" w:firstLine="0"/>
        <w:jc w:val="left"/>
      </w:pPr>
      <w:r>
        <w:rPr>
          <w:b/>
        </w:rPr>
        <w:t xml:space="preserve"> </w:t>
      </w:r>
    </w:p>
    <w:p w14:paraId="39602DBB" w14:textId="77777777" w:rsidR="0045673A" w:rsidRDefault="00E17DF3">
      <w:pPr>
        <w:spacing w:after="229"/>
        <w:ind w:right="643"/>
      </w:pPr>
      <w:r>
        <w:rPr>
          <w:b/>
          <w:u w:val="single" w:color="000000"/>
        </w:rPr>
        <w:t>Question 1.10.1</w:t>
      </w:r>
      <w:r>
        <w:t xml:space="preserve">: Could you split the total costs between product level and entity level disclosures? </w:t>
      </w:r>
    </w:p>
    <w:p w14:paraId="39C7261E" w14:textId="77777777" w:rsidR="0045673A" w:rsidRDefault="00E17DF3">
      <w:pPr>
        <w:spacing w:after="0" w:line="259" w:lineRule="auto"/>
        <w:ind w:left="720" w:firstLine="0"/>
        <w:jc w:val="left"/>
      </w:pPr>
      <w:r>
        <w:t xml:space="preserve"> </w:t>
      </w:r>
    </w:p>
    <w:tbl>
      <w:tblPr>
        <w:tblW w:w="8351" w:type="dxa"/>
        <w:tblCellMar>
          <w:top w:w="14" w:type="dxa"/>
          <w:right w:w="115" w:type="dxa"/>
        </w:tblCellMar>
        <w:tblLook w:val="04A0" w:firstRow="1" w:lastRow="0" w:firstColumn="1" w:lastColumn="0" w:noHBand="0" w:noVBand="1"/>
      </w:tblPr>
      <w:tblGrid>
        <w:gridCol w:w="3180"/>
        <w:gridCol w:w="1724"/>
        <w:gridCol w:w="1724"/>
        <w:gridCol w:w="1723"/>
      </w:tblGrid>
      <w:tr w:rsidR="0045673A" w14:paraId="1999D8C2" w14:textId="77777777">
        <w:trPr>
          <w:trHeight w:val="802"/>
        </w:trPr>
        <w:tc>
          <w:tcPr>
            <w:tcW w:w="3181" w:type="dxa"/>
            <w:tcBorders>
              <w:top w:val="single" w:sz="4" w:space="0" w:color="000000"/>
              <w:left w:val="single" w:sz="4" w:space="0" w:color="000000"/>
              <w:bottom w:val="single" w:sz="4" w:space="0" w:color="000000"/>
              <w:right w:val="single" w:sz="4" w:space="0" w:color="000000"/>
            </w:tcBorders>
          </w:tcPr>
          <w:p w14:paraId="280E15CE" w14:textId="77777777" w:rsidR="0045673A" w:rsidRDefault="00E17DF3">
            <w:pPr>
              <w:spacing w:after="0" w:line="259" w:lineRule="auto"/>
              <w:ind w:left="0" w:firstLine="0"/>
              <w:jc w:val="left"/>
            </w:pPr>
            <w:r>
              <w:t xml:space="preserve">% </w:t>
            </w:r>
          </w:p>
        </w:tc>
        <w:tc>
          <w:tcPr>
            <w:tcW w:w="1724" w:type="dxa"/>
            <w:tcBorders>
              <w:top w:val="single" w:sz="4" w:space="0" w:color="000000"/>
              <w:left w:val="single" w:sz="4" w:space="0" w:color="000000"/>
              <w:bottom w:val="single" w:sz="4" w:space="0" w:color="000000"/>
              <w:right w:val="single" w:sz="4" w:space="0" w:color="000000"/>
            </w:tcBorders>
          </w:tcPr>
          <w:p w14:paraId="3F674F8F" w14:textId="77777777" w:rsidR="0045673A" w:rsidRDefault="00E17DF3">
            <w:pPr>
              <w:spacing w:after="0" w:line="259" w:lineRule="auto"/>
              <w:ind w:left="0" w:firstLine="0"/>
              <w:jc w:val="left"/>
            </w:pPr>
            <w:r>
              <w:t xml:space="preserve">Product-level disclosures </w:t>
            </w:r>
          </w:p>
        </w:tc>
        <w:tc>
          <w:tcPr>
            <w:tcW w:w="1724" w:type="dxa"/>
            <w:tcBorders>
              <w:top w:val="single" w:sz="4" w:space="0" w:color="000000"/>
              <w:left w:val="single" w:sz="4" w:space="0" w:color="000000"/>
              <w:bottom w:val="single" w:sz="4" w:space="0" w:color="000000"/>
              <w:right w:val="single" w:sz="4" w:space="0" w:color="000000"/>
            </w:tcBorders>
          </w:tcPr>
          <w:p w14:paraId="796404FA" w14:textId="77777777" w:rsidR="0045673A" w:rsidRDefault="00E17DF3">
            <w:pPr>
              <w:spacing w:after="0" w:line="259" w:lineRule="auto"/>
              <w:ind w:left="0" w:firstLine="0"/>
              <w:jc w:val="left"/>
            </w:pPr>
            <w:r>
              <w:t xml:space="preserve">Entity-level disclosures </w:t>
            </w:r>
          </w:p>
        </w:tc>
        <w:tc>
          <w:tcPr>
            <w:tcW w:w="1723" w:type="dxa"/>
            <w:tcBorders>
              <w:top w:val="single" w:sz="4" w:space="0" w:color="000000"/>
              <w:left w:val="single" w:sz="4" w:space="0" w:color="000000"/>
              <w:bottom w:val="single" w:sz="4" w:space="0" w:color="000000"/>
              <w:right w:val="single" w:sz="4" w:space="0" w:color="000000"/>
            </w:tcBorders>
          </w:tcPr>
          <w:p w14:paraId="0D1FD778" w14:textId="77777777" w:rsidR="0045673A" w:rsidRDefault="00E17DF3">
            <w:pPr>
              <w:spacing w:after="0" w:line="259" w:lineRule="auto"/>
              <w:ind w:left="0" w:firstLine="0"/>
              <w:jc w:val="left"/>
            </w:pPr>
            <w:r>
              <w:t xml:space="preserve">Don’t know </w:t>
            </w:r>
          </w:p>
        </w:tc>
      </w:tr>
      <w:tr w:rsidR="0045673A" w14:paraId="59A87954" w14:textId="77777777">
        <w:trPr>
          <w:trHeight w:val="526"/>
        </w:trPr>
        <w:tc>
          <w:tcPr>
            <w:tcW w:w="3181" w:type="dxa"/>
            <w:tcBorders>
              <w:top w:val="single" w:sz="4" w:space="0" w:color="000000"/>
              <w:left w:val="single" w:sz="4" w:space="0" w:color="000000"/>
              <w:bottom w:val="single" w:sz="4" w:space="0" w:color="000000"/>
              <w:right w:val="single" w:sz="4" w:space="0" w:color="000000"/>
            </w:tcBorders>
          </w:tcPr>
          <w:p w14:paraId="3E1D4CDD" w14:textId="77777777" w:rsidR="0045673A" w:rsidRDefault="00E17DF3">
            <w:pPr>
              <w:spacing w:after="0" w:line="259" w:lineRule="auto"/>
              <w:ind w:left="0" w:firstLine="0"/>
              <w:jc w:val="left"/>
            </w:pPr>
            <w:r>
              <w:t xml:space="preserve">Estimated percentage of costs </w:t>
            </w:r>
          </w:p>
        </w:tc>
        <w:tc>
          <w:tcPr>
            <w:tcW w:w="1724" w:type="dxa"/>
            <w:tcBorders>
              <w:top w:val="single" w:sz="4" w:space="0" w:color="000000"/>
              <w:left w:val="single" w:sz="4" w:space="0" w:color="000000"/>
              <w:bottom w:val="single" w:sz="4" w:space="0" w:color="000000"/>
              <w:right w:val="single" w:sz="4" w:space="0" w:color="000000"/>
            </w:tcBorders>
          </w:tcPr>
          <w:p w14:paraId="051A9195" w14:textId="77777777" w:rsidR="0045673A" w:rsidRDefault="00E17DF3">
            <w:pPr>
              <w:spacing w:after="0" w:line="259" w:lineRule="auto"/>
              <w:ind w:left="0" w:firstLine="0"/>
              <w:jc w:val="left"/>
            </w:pPr>
            <w:r>
              <w:t xml:space="preserve"> </w:t>
            </w:r>
          </w:p>
        </w:tc>
        <w:tc>
          <w:tcPr>
            <w:tcW w:w="1724" w:type="dxa"/>
            <w:tcBorders>
              <w:top w:val="single" w:sz="4" w:space="0" w:color="000000"/>
              <w:left w:val="single" w:sz="4" w:space="0" w:color="000000"/>
              <w:bottom w:val="single" w:sz="4" w:space="0" w:color="000000"/>
              <w:right w:val="single" w:sz="4" w:space="0" w:color="000000"/>
            </w:tcBorders>
          </w:tcPr>
          <w:p w14:paraId="674FA5B1" w14:textId="77777777" w:rsidR="0045673A" w:rsidRDefault="00E17DF3">
            <w:pPr>
              <w:spacing w:after="0" w:line="259" w:lineRule="auto"/>
              <w:ind w:left="0" w:firstLine="0"/>
              <w:jc w:val="left"/>
            </w:pPr>
            <w:r>
              <w:t xml:space="preserve"> </w:t>
            </w:r>
          </w:p>
        </w:tc>
        <w:tc>
          <w:tcPr>
            <w:tcW w:w="1723" w:type="dxa"/>
            <w:tcBorders>
              <w:top w:val="single" w:sz="4" w:space="0" w:color="000000"/>
              <w:left w:val="single" w:sz="4" w:space="0" w:color="000000"/>
              <w:bottom w:val="single" w:sz="4" w:space="0" w:color="000000"/>
              <w:right w:val="single" w:sz="4" w:space="0" w:color="000000"/>
            </w:tcBorders>
          </w:tcPr>
          <w:p w14:paraId="759469B7" w14:textId="77777777" w:rsidR="0045673A" w:rsidRDefault="00E17DF3">
            <w:pPr>
              <w:spacing w:after="0" w:line="259" w:lineRule="auto"/>
              <w:ind w:left="0" w:firstLine="0"/>
              <w:jc w:val="left"/>
            </w:pPr>
            <w:r>
              <w:t xml:space="preserve"> </w:t>
            </w:r>
          </w:p>
        </w:tc>
      </w:tr>
    </w:tbl>
    <w:p w14:paraId="2F43826E" w14:textId="77777777" w:rsidR="0045673A" w:rsidRDefault="00E17DF3">
      <w:pPr>
        <w:spacing w:after="216" w:line="259" w:lineRule="auto"/>
        <w:ind w:left="0" w:firstLine="0"/>
        <w:jc w:val="left"/>
      </w:pPr>
      <w:r>
        <w:t xml:space="preserve"> </w:t>
      </w:r>
    </w:p>
    <w:p w14:paraId="4BEF738D" w14:textId="77777777" w:rsidR="0045673A" w:rsidRDefault="00E17DF3">
      <w:pPr>
        <w:ind w:right="643"/>
      </w:pPr>
      <w:r>
        <w:t xml:space="preserve">If you wish to provide additional details, please use the box below:  </w:t>
      </w:r>
    </w:p>
    <w:tbl>
      <w:tblPr>
        <w:tblW w:w="9062" w:type="dxa"/>
        <w:tblCellMar>
          <w:top w:w="21" w:type="dxa"/>
          <w:right w:w="115" w:type="dxa"/>
        </w:tblCellMar>
        <w:tblLook w:val="04A0" w:firstRow="1" w:lastRow="0" w:firstColumn="1" w:lastColumn="0" w:noHBand="0" w:noVBand="1"/>
      </w:tblPr>
      <w:tblGrid>
        <w:gridCol w:w="9062"/>
      </w:tblGrid>
      <w:tr w:rsidR="0045673A" w14:paraId="40C81629" w14:textId="77777777">
        <w:trPr>
          <w:trHeight w:val="1054"/>
        </w:trPr>
        <w:tc>
          <w:tcPr>
            <w:tcW w:w="9062" w:type="dxa"/>
            <w:tcBorders>
              <w:top w:val="single" w:sz="8" w:space="0" w:color="000000"/>
              <w:left w:val="single" w:sz="8" w:space="0" w:color="000000"/>
              <w:bottom w:val="single" w:sz="8" w:space="0" w:color="000000"/>
              <w:right w:val="single" w:sz="8" w:space="0" w:color="000000"/>
            </w:tcBorders>
          </w:tcPr>
          <w:p w14:paraId="3757DD0D" w14:textId="411D5FF1" w:rsidR="0045673A" w:rsidRDefault="00004A80" w:rsidP="00004A80">
            <w:pPr>
              <w:spacing w:after="216" w:line="259" w:lineRule="auto"/>
              <w:ind w:left="0" w:firstLine="0"/>
              <w:jc w:val="left"/>
            </w:pPr>
            <w:r>
              <w:t>No comments from UKSIF.</w:t>
            </w:r>
          </w:p>
        </w:tc>
      </w:tr>
    </w:tbl>
    <w:p w14:paraId="570705F3" w14:textId="77777777" w:rsidR="0045673A" w:rsidRDefault="00E17DF3">
      <w:pPr>
        <w:spacing w:after="216" w:line="259" w:lineRule="auto"/>
        <w:ind w:left="0" w:firstLine="0"/>
        <w:jc w:val="left"/>
      </w:pPr>
      <w:r>
        <w:t xml:space="preserve"> </w:t>
      </w:r>
    </w:p>
    <w:p w14:paraId="437C1A10" w14:textId="77777777" w:rsidR="0045673A" w:rsidRDefault="00E17DF3">
      <w:pPr>
        <w:ind w:right="643"/>
      </w:pPr>
      <w:r>
        <w:rPr>
          <w:b/>
          <w:u w:val="single" w:color="000000"/>
        </w:rPr>
        <w:t>Question 1.11</w:t>
      </w:r>
      <w:r>
        <w:t xml:space="preserve">: In order to have a better understanding of internal costs, could you provide an estimate of how many full-time-equivalents (FTEs - FTEs - 1 FTE corresponds to 1 employee working full-time the whole year) are involved in preparing SFDR disclosures? </w:t>
      </w:r>
    </w:p>
    <w:tbl>
      <w:tblPr>
        <w:tblW w:w="8342" w:type="dxa"/>
        <w:tblCellMar>
          <w:top w:w="14" w:type="dxa"/>
          <w:right w:w="115" w:type="dxa"/>
        </w:tblCellMar>
        <w:tblLook w:val="04A0" w:firstRow="1" w:lastRow="0" w:firstColumn="1" w:lastColumn="0" w:noHBand="0" w:noVBand="1"/>
      </w:tblPr>
      <w:tblGrid>
        <w:gridCol w:w="8342"/>
      </w:tblGrid>
      <w:tr w:rsidR="0045673A" w14:paraId="33619437" w14:textId="77777777">
        <w:trPr>
          <w:trHeight w:val="528"/>
        </w:trPr>
        <w:tc>
          <w:tcPr>
            <w:tcW w:w="8342" w:type="dxa"/>
            <w:tcBorders>
              <w:top w:val="single" w:sz="4" w:space="0" w:color="000000"/>
              <w:left w:val="single" w:sz="4" w:space="0" w:color="000000"/>
              <w:bottom w:val="single" w:sz="4" w:space="0" w:color="000000"/>
              <w:right w:val="single" w:sz="4" w:space="0" w:color="000000"/>
            </w:tcBorders>
          </w:tcPr>
          <w:p w14:paraId="0B00A90A" w14:textId="77777777" w:rsidR="0045673A" w:rsidRDefault="00E17DF3">
            <w:pPr>
              <w:spacing w:after="0" w:line="259" w:lineRule="auto"/>
              <w:ind w:left="0" w:firstLine="0"/>
              <w:jc w:val="left"/>
            </w:pPr>
            <w:r>
              <w:t xml:space="preserve"> </w:t>
            </w:r>
          </w:p>
        </w:tc>
      </w:tr>
    </w:tbl>
    <w:p w14:paraId="417FC292" w14:textId="77777777" w:rsidR="0045673A" w:rsidRDefault="00E17DF3">
      <w:pPr>
        <w:spacing w:after="216" w:line="259" w:lineRule="auto"/>
        <w:ind w:left="0" w:firstLine="0"/>
        <w:jc w:val="left"/>
      </w:pPr>
      <w:r>
        <w:t xml:space="preserve"> </w:t>
      </w:r>
    </w:p>
    <w:p w14:paraId="5D58248B" w14:textId="77777777" w:rsidR="0045673A" w:rsidRDefault="00E17DF3">
      <w:pPr>
        <w:ind w:right="643"/>
      </w:pPr>
      <w:r>
        <w:t xml:space="preserve">Could you please provide a split between:  </w:t>
      </w:r>
    </w:p>
    <w:tbl>
      <w:tblPr>
        <w:tblW w:w="8342" w:type="dxa"/>
        <w:tblCellMar>
          <w:top w:w="14" w:type="dxa"/>
          <w:right w:w="67" w:type="dxa"/>
        </w:tblCellMar>
        <w:tblLook w:val="04A0" w:firstRow="1" w:lastRow="0" w:firstColumn="1" w:lastColumn="0" w:noHBand="0" w:noVBand="1"/>
      </w:tblPr>
      <w:tblGrid>
        <w:gridCol w:w="1390"/>
        <w:gridCol w:w="1390"/>
        <w:gridCol w:w="1392"/>
        <w:gridCol w:w="1390"/>
        <w:gridCol w:w="1390"/>
        <w:gridCol w:w="1390"/>
      </w:tblGrid>
      <w:tr w:rsidR="0045673A" w14:paraId="71420DDF" w14:textId="77777777">
        <w:trPr>
          <w:trHeight w:val="1078"/>
        </w:trPr>
        <w:tc>
          <w:tcPr>
            <w:tcW w:w="1390" w:type="dxa"/>
            <w:tcBorders>
              <w:top w:val="single" w:sz="4" w:space="0" w:color="000000"/>
              <w:left w:val="single" w:sz="4" w:space="0" w:color="000000"/>
              <w:bottom w:val="single" w:sz="4" w:space="0" w:color="000000"/>
              <w:right w:val="single" w:sz="4" w:space="0" w:color="000000"/>
            </w:tcBorders>
          </w:tcPr>
          <w:p w14:paraId="197EC99B" w14:textId="77777777" w:rsidR="0045673A" w:rsidRDefault="00E17DF3">
            <w:pPr>
              <w:spacing w:after="0" w:line="259" w:lineRule="auto"/>
              <w:ind w:left="0" w:firstLine="0"/>
              <w:jc w:val="left"/>
            </w:pPr>
            <w:r>
              <w:t xml:space="preserve">% </w:t>
            </w:r>
          </w:p>
        </w:tc>
        <w:tc>
          <w:tcPr>
            <w:tcW w:w="1390" w:type="dxa"/>
            <w:tcBorders>
              <w:top w:val="single" w:sz="4" w:space="0" w:color="000000"/>
              <w:left w:val="single" w:sz="4" w:space="0" w:color="000000"/>
              <w:bottom w:val="single" w:sz="4" w:space="0" w:color="000000"/>
              <w:right w:val="single" w:sz="4" w:space="0" w:color="000000"/>
            </w:tcBorders>
          </w:tcPr>
          <w:p w14:paraId="3009025F" w14:textId="77777777" w:rsidR="0045673A" w:rsidRDefault="00E17DF3">
            <w:pPr>
              <w:spacing w:after="0" w:line="259" w:lineRule="auto"/>
              <w:ind w:left="0" w:firstLine="0"/>
              <w:jc w:val="left"/>
            </w:pPr>
            <w:r>
              <w:t xml:space="preserve">Retrieving the data </w:t>
            </w:r>
          </w:p>
        </w:tc>
        <w:tc>
          <w:tcPr>
            <w:tcW w:w="1392" w:type="dxa"/>
            <w:tcBorders>
              <w:top w:val="single" w:sz="4" w:space="0" w:color="000000"/>
              <w:left w:val="single" w:sz="4" w:space="0" w:color="000000"/>
              <w:bottom w:val="single" w:sz="4" w:space="0" w:color="000000"/>
              <w:right w:val="single" w:sz="4" w:space="0" w:color="000000"/>
            </w:tcBorders>
          </w:tcPr>
          <w:p w14:paraId="64ACBFCA" w14:textId="77777777" w:rsidR="0045673A" w:rsidRDefault="00E17DF3">
            <w:pPr>
              <w:spacing w:after="0" w:line="259" w:lineRule="auto"/>
              <w:ind w:left="2" w:firstLine="0"/>
              <w:jc w:val="left"/>
            </w:pPr>
            <w:r>
              <w:t xml:space="preserve">Analysing the data </w:t>
            </w:r>
          </w:p>
        </w:tc>
        <w:tc>
          <w:tcPr>
            <w:tcW w:w="1390" w:type="dxa"/>
            <w:tcBorders>
              <w:top w:val="single" w:sz="4" w:space="0" w:color="000000"/>
              <w:left w:val="single" w:sz="4" w:space="0" w:color="000000"/>
              <w:bottom w:val="single" w:sz="4" w:space="0" w:color="000000"/>
              <w:right w:val="single" w:sz="4" w:space="0" w:color="000000"/>
            </w:tcBorders>
          </w:tcPr>
          <w:p w14:paraId="52469AF3" w14:textId="77777777" w:rsidR="0045673A" w:rsidRDefault="00E17DF3">
            <w:pPr>
              <w:spacing w:after="0" w:line="238" w:lineRule="auto"/>
              <w:ind w:left="0" w:firstLine="0"/>
              <w:jc w:val="left"/>
            </w:pPr>
            <w:r>
              <w:t xml:space="preserve">Reporting SFDR </w:t>
            </w:r>
          </w:p>
          <w:p w14:paraId="79B32BB3" w14:textId="77777777" w:rsidR="0045673A" w:rsidRDefault="00E17DF3">
            <w:pPr>
              <w:spacing w:after="0" w:line="259" w:lineRule="auto"/>
              <w:ind w:left="0" w:firstLine="0"/>
              <w:jc w:val="left"/>
            </w:pPr>
            <w:r>
              <w:t xml:space="preserve">disclosures </w:t>
            </w:r>
          </w:p>
        </w:tc>
        <w:tc>
          <w:tcPr>
            <w:tcW w:w="1390" w:type="dxa"/>
            <w:tcBorders>
              <w:top w:val="single" w:sz="4" w:space="0" w:color="000000"/>
              <w:left w:val="single" w:sz="4" w:space="0" w:color="000000"/>
              <w:bottom w:val="single" w:sz="4" w:space="0" w:color="000000"/>
              <w:right w:val="single" w:sz="4" w:space="0" w:color="000000"/>
            </w:tcBorders>
          </w:tcPr>
          <w:p w14:paraId="69A0608B" w14:textId="77777777" w:rsidR="0045673A" w:rsidRDefault="00E17DF3">
            <w:pPr>
              <w:spacing w:after="0" w:line="259" w:lineRule="auto"/>
              <w:ind w:left="0" w:firstLine="0"/>
              <w:jc w:val="left"/>
            </w:pPr>
            <w:r>
              <w:t xml:space="preserve">Other </w:t>
            </w:r>
          </w:p>
        </w:tc>
        <w:tc>
          <w:tcPr>
            <w:tcW w:w="1390" w:type="dxa"/>
            <w:tcBorders>
              <w:top w:val="single" w:sz="4" w:space="0" w:color="000000"/>
              <w:left w:val="single" w:sz="4" w:space="0" w:color="000000"/>
              <w:bottom w:val="single" w:sz="4" w:space="0" w:color="000000"/>
              <w:right w:val="single" w:sz="4" w:space="0" w:color="000000"/>
            </w:tcBorders>
          </w:tcPr>
          <w:p w14:paraId="48A4B1B3" w14:textId="77777777" w:rsidR="0045673A" w:rsidRDefault="00E17DF3">
            <w:pPr>
              <w:spacing w:after="0" w:line="259" w:lineRule="auto"/>
              <w:ind w:left="0" w:firstLine="0"/>
            </w:pPr>
            <w:r>
              <w:t xml:space="preserve">Don’t know </w:t>
            </w:r>
          </w:p>
        </w:tc>
      </w:tr>
      <w:tr w:rsidR="0045673A" w14:paraId="0F3A8BBD" w14:textId="77777777">
        <w:trPr>
          <w:trHeight w:val="802"/>
        </w:trPr>
        <w:tc>
          <w:tcPr>
            <w:tcW w:w="1390" w:type="dxa"/>
            <w:tcBorders>
              <w:top w:val="single" w:sz="4" w:space="0" w:color="000000"/>
              <w:left w:val="single" w:sz="4" w:space="0" w:color="000000"/>
              <w:bottom w:val="single" w:sz="4" w:space="0" w:color="000000"/>
              <w:right w:val="single" w:sz="4" w:space="0" w:color="000000"/>
            </w:tcBorders>
          </w:tcPr>
          <w:p w14:paraId="0E1B08CB" w14:textId="77777777" w:rsidR="0045673A" w:rsidRDefault="00E17DF3">
            <w:pPr>
              <w:spacing w:after="0" w:line="259" w:lineRule="auto"/>
              <w:ind w:left="0" w:firstLine="0"/>
              <w:jc w:val="left"/>
            </w:pPr>
            <w:r>
              <w:t xml:space="preserve">Estimated percentage </w:t>
            </w:r>
          </w:p>
        </w:tc>
        <w:tc>
          <w:tcPr>
            <w:tcW w:w="1390" w:type="dxa"/>
            <w:tcBorders>
              <w:top w:val="single" w:sz="4" w:space="0" w:color="000000"/>
              <w:left w:val="single" w:sz="4" w:space="0" w:color="000000"/>
              <w:bottom w:val="single" w:sz="4" w:space="0" w:color="000000"/>
              <w:right w:val="single" w:sz="4" w:space="0" w:color="000000"/>
            </w:tcBorders>
          </w:tcPr>
          <w:p w14:paraId="3E2D1310" w14:textId="77777777" w:rsidR="0045673A" w:rsidRDefault="00E17DF3">
            <w:pPr>
              <w:spacing w:after="0" w:line="259" w:lineRule="auto"/>
              <w:ind w:left="0" w:firstLine="0"/>
              <w:jc w:val="left"/>
            </w:pPr>
            <w:r>
              <w:t xml:space="preserve"> </w:t>
            </w:r>
          </w:p>
        </w:tc>
        <w:tc>
          <w:tcPr>
            <w:tcW w:w="1392" w:type="dxa"/>
            <w:tcBorders>
              <w:top w:val="single" w:sz="4" w:space="0" w:color="000000"/>
              <w:left w:val="single" w:sz="4" w:space="0" w:color="000000"/>
              <w:bottom w:val="single" w:sz="4" w:space="0" w:color="000000"/>
              <w:right w:val="single" w:sz="4" w:space="0" w:color="000000"/>
            </w:tcBorders>
          </w:tcPr>
          <w:p w14:paraId="624112F2" w14:textId="77777777" w:rsidR="0045673A" w:rsidRDefault="00E17DF3">
            <w:pPr>
              <w:spacing w:after="0" w:line="259" w:lineRule="auto"/>
              <w:ind w:left="2" w:firstLine="0"/>
              <w:jc w:val="left"/>
            </w:pPr>
            <w:r>
              <w:t xml:space="preserve"> </w:t>
            </w:r>
          </w:p>
        </w:tc>
        <w:tc>
          <w:tcPr>
            <w:tcW w:w="1390" w:type="dxa"/>
            <w:tcBorders>
              <w:top w:val="single" w:sz="4" w:space="0" w:color="000000"/>
              <w:left w:val="single" w:sz="4" w:space="0" w:color="000000"/>
              <w:bottom w:val="single" w:sz="4" w:space="0" w:color="000000"/>
              <w:right w:val="single" w:sz="4" w:space="0" w:color="000000"/>
            </w:tcBorders>
          </w:tcPr>
          <w:p w14:paraId="7580A859" w14:textId="77777777" w:rsidR="0045673A" w:rsidRDefault="00E17DF3">
            <w:pPr>
              <w:spacing w:after="0" w:line="259" w:lineRule="auto"/>
              <w:ind w:left="0" w:firstLine="0"/>
              <w:jc w:val="left"/>
            </w:pPr>
            <w:r>
              <w:t xml:space="preserve"> </w:t>
            </w:r>
          </w:p>
        </w:tc>
        <w:tc>
          <w:tcPr>
            <w:tcW w:w="1390" w:type="dxa"/>
            <w:tcBorders>
              <w:top w:val="single" w:sz="4" w:space="0" w:color="000000"/>
              <w:left w:val="single" w:sz="4" w:space="0" w:color="000000"/>
              <w:bottom w:val="single" w:sz="4" w:space="0" w:color="000000"/>
              <w:right w:val="single" w:sz="4" w:space="0" w:color="000000"/>
            </w:tcBorders>
          </w:tcPr>
          <w:p w14:paraId="63C767C0" w14:textId="77777777" w:rsidR="0045673A" w:rsidRDefault="00E17DF3">
            <w:pPr>
              <w:spacing w:after="0" w:line="259" w:lineRule="auto"/>
              <w:ind w:left="0" w:firstLine="0"/>
              <w:jc w:val="left"/>
            </w:pPr>
            <w:r>
              <w:t xml:space="preserve"> </w:t>
            </w:r>
          </w:p>
        </w:tc>
        <w:tc>
          <w:tcPr>
            <w:tcW w:w="1390" w:type="dxa"/>
            <w:tcBorders>
              <w:top w:val="single" w:sz="4" w:space="0" w:color="000000"/>
              <w:left w:val="single" w:sz="4" w:space="0" w:color="000000"/>
              <w:bottom w:val="single" w:sz="4" w:space="0" w:color="000000"/>
              <w:right w:val="single" w:sz="4" w:space="0" w:color="000000"/>
            </w:tcBorders>
          </w:tcPr>
          <w:p w14:paraId="73E40FAE" w14:textId="77777777" w:rsidR="0045673A" w:rsidRDefault="00E17DF3">
            <w:pPr>
              <w:spacing w:after="0" w:line="259" w:lineRule="auto"/>
              <w:ind w:left="0" w:firstLine="0"/>
              <w:jc w:val="left"/>
            </w:pPr>
            <w:r>
              <w:t xml:space="preserve"> </w:t>
            </w:r>
          </w:p>
        </w:tc>
      </w:tr>
    </w:tbl>
    <w:p w14:paraId="540F7925" w14:textId="77777777" w:rsidR="0045673A" w:rsidRDefault="00E17DF3">
      <w:pPr>
        <w:spacing w:after="221" w:line="259" w:lineRule="auto"/>
        <w:ind w:left="720" w:firstLine="0"/>
        <w:jc w:val="left"/>
      </w:pPr>
      <w:r>
        <w:t xml:space="preserve"> </w:t>
      </w:r>
    </w:p>
    <w:p w14:paraId="70A77614" w14:textId="77777777" w:rsidR="0045673A" w:rsidRDefault="00E17DF3">
      <w:pPr>
        <w:pStyle w:val="Heading2"/>
        <w:spacing w:after="271"/>
        <w:ind w:left="490" w:right="636"/>
      </w:pPr>
      <w:r>
        <w:t>1.3.</w:t>
      </w:r>
      <w:r>
        <w:rPr>
          <w:rFonts w:ascii="Arial" w:eastAsia="Arial" w:hAnsi="Arial" w:cs="Arial"/>
        </w:rPr>
        <w:t xml:space="preserve"> </w:t>
      </w:r>
      <w:r>
        <w:t xml:space="preserve">Data and estimates </w:t>
      </w:r>
    </w:p>
    <w:p w14:paraId="6369BDD9" w14:textId="77777777" w:rsidR="0045673A" w:rsidRDefault="00E17DF3">
      <w:pPr>
        <w:spacing w:after="226"/>
        <w:ind w:right="643"/>
      </w:pPr>
      <w:r>
        <w:t xml:space="preserve">Financial market participants' and financial advisers’ ability to fulfil their ESG transparency requirements depends in part on other disclosure requirements under the EU framework. In particular, they will rely to a significant extent on the </w:t>
      </w:r>
      <w:hyperlink r:id="rId48">
        <w:r>
          <w:rPr>
            <w:color w:val="0000FF"/>
            <w:u w:val="single" w:color="0000FF"/>
          </w:rPr>
          <w:t>Corporate</w:t>
        </w:r>
      </w:hyperlink>
      <w:hyperlink r:id="rId49">
        <w:r>
          <w:rPr>
            <w:color w:val="0000FF"/>
          </w:rPr>
          <w:t xml:space="preserve"> </w:t>
        </w:r>
      </w:hyperlink>
      <w:hyperlink r:id="rId50">
        <w:r>
          <w:rPr>
            <w:color w:val="0000FF"/>
            <w:u w:val="single" w:color="0000FF"/>
          </w:rPr>
          <w:t>Sustainability Reporting Directive</w:t>
        </w:r>
      </w:hyperlink>
      <w:hyperlink r:id="rId51">
        <w:r>
          <w:rPr>
            <w:color w:val="0000FF"/>
            <w:u w:val="single" w:color="0000FF"/>
          </w:rPr>
          <w:t xml:space="preserve"> </w:t>
        </w:r>
      </w:hyperlink>
      <w:hyperlink r:id="rId52">
        <w:r>
          <w:rPr>
            <w:color w:val="0000FF"/>
            <w:u w:val="single" w:color="0000FF"/>
          </w:rPr>
          <w:t>(CSRD)</w:t>
        </w:r>
      </w:hyperlink>
      <w:hyperlink r:id="rId53">
        <w:r>
          <w:t>.</w:t>
        </w:r>
      </w:hyperlink>
      <w:r>
        <w:t xml:space="preserve"> However, entities are not reporting yet under those new disclosure requirements, or they may not be within the scope of the CSRD. Besides, even when data is already available today, it may not always be of good quality. </w:t>
      </w:r>
    </w:p>
    <w:p w14:paraId="6AA50CEA" w14:textId="77777777" w:rsidR="0045673A" w:rsidRDefault="00E17DF3">
      <w:pPr>
        <w:ind w:right="643"/>
      </w:pPr>
      <w:r>
        <w:rPr>
          <w:b/>
          <w:u w:val="single" w:color="000000"/>
        </w:rPr>
        <w:t>Question 1.12</w:t>
      </w:r>
      <w:r>
        <w:t xml:space="preserve">: Are you facing difficulties in obtaining good-quality data? </w:t>
      </w:r>
    </w:p>
    <w:tbl>
      <w:tblPr>
        <w:tblW w:w="9062" w:type="dxa"/>
        <w:tblCellMar>
          <w:top w:w="19" w:type="dxa"/>
          <w:right w:w="115" w:type="dxa"/>
        </w:tblCellMar>
        <w:tblLook w:val="04A0" w:firstRow="1" w:lastRow="0" w:firstColumn="1" w:lastColumn="0" w:noHBand="0" w:noVBand="1"/>
      </w:tblPr>
      <w:tblGrid>
        <w:gridCol w:w="2485"/>
        <w:gridCol w:w="2484"/>
        <w:gridCol w:w="4093"/>
      </w:tblGrid>
      <w:tr w:rsidR="0045673A" w14:paraId="52A0A9F3" w14:textId="77777777">
        <w:trPr>
          <w:trHeight w:val="579"/>
        </w:trPr>
        <w:tc>
          <w:tcPr>
            <w:tcW w:w="2485" w:type="dxa"/>
            <w:tcBorders>
              <w:top w:val="single" w:sz="8" w:space="0" w:color="000000"/>
              <w:left w:val="single" w:sz="8" w:space="0" w:color="000000"/>
              <w:bottom w:val="single" w:sz="8" w:space="0" w:color="000000"/>
              <w:right w:val="single" w:sz="8" w:space="0" w:color="000000"/>
            </w:tcBorders>
          </w:tcPr>
          <w:p w14:paraId="58ED5A1A" w14:textId="77777777" w:rsidR="0045673A" w:rsidRPr="00C9123A" w:rsidRDefault="00E17DF3">
            <w:pPr>
              <w:spacing w:after="0" w:line="259" w:lineRule="auto"/>
              <w:ind w:left="0" w:firstLine="0"/>
              <w:jc w:val="left"/>
              <w:rPr>
                <w:b/>
                <w:bCs/>
              </w:rPr>
            </w:pPr>
            <w:r w:rsidRPr="00C9123A">
              <w:rPr>
                <w:b/>
                <w:bCs/>
              </w:rPr>
              <w:t xml:space="preserve">Yes </w:t>
            </w:r>
          </w:p>
        </w:tc>
        <w:tc>
          <w:tcPr>
            <w:tcW w:w="2484" w:type="dxa"/>
            <w:tcBorders>
              <w:top w:val="single" w:sz="8" w:space="0" w:color="000000"/>
              <w:left w:val="single" w:sz="8" w:space="0" w:color="000000"/>
              <w:bottom w:val="single" w:sz="8" w:space="0" w:color="000000"/>
              <w:right w:val="single" w:sz="8" w:space="0" w:color="000000"/>
            </w:tcBorders>
          </w:tcPr>
          <w:p w14:paraId="24A68345" w14:textId="77777777" w:rsidR="0045673A" w:rsidRPr="00C9123A" w:rsidRDefault="00E17DF3">
            <w:pPr>
              <w:spacing w:after="0" w:line="259" w:lineRule="auto"/>
              <w:ind w:left="0" w:firstLine="0"/>
              <w:jc w:val="left"/>
              <w:rPr>
                <w:b/>
                <w:bCs/>
              </w:rPr>
            </w:pPr>
            <w:r w:rsidRPr="00C9123A">
              <w:rPr>
                <w:b/>
                <w:bCs/>
              </w:rPr>
              <w:t xml:space="preserve">No </w:t>
            </w:r>
          </w:p>
        </w:tc>
        <w:tc>
          <w:tcPr>
            <w:tcW w:w="4093" w:type="dxa"/>
            <w:tcBorders>
              <w:top w:val="single" w:sz="8" w:space="0" w:color="000000"/>
              <w:left w:val="single" w:sz="8" w:space="0" w:color="000000"/>
              <w:bottom w:val="single" w:sz="8" w:space="0" w:color="000000"/>
              <w:right w:val="single" w:sz="8" w:space="0" w:color="000000"/>
            </w:tcBorders>
          </w:tcPr>
          <w:p w14:paraId="2306B028" w14:textId="77777777" w:rsidR="0045673A" w:rsidRPr="00C9123A" w:rsidRDefault="00E17DF3">
            <w:pPr>
              <w:spacing w:after="0" w:line="259" w:lineRule="auto"/>
              <w:ind w:left="0" w:firstLine="0"/>
              <w:jc w:val="left"/>
              <w:rPr>
                <w:b/>
                <w:bCs/>
              </w:rPr>
            </w:pPr>
            <w:r w:rsidRPr="00C9123A">
              <w:rPr>
                <w:b/>
                <w:bCs/>
              </w:rPr>
              <w:t xml:space="preserve">Don’t know </w:t>
            </w:r>
          </w:p>
        </w:tc>
      </w:tr>
      <w:tr w:rsidR="00C9123A" w14:paraId="16F6DD53" w14:textId="77777777">
        <w:trPr>
          <w:trHeight w:val="579"/>
        </w:trPr>
        <w:tc>
          <w:tcPr>
            <w:tcW w:w="2485" w:type="dxa"/>
            <w:tcBorders>
              <w:top w:val="single" w:sz="8" w:space="0" w:color="000000"/>
              <w:left w:val="single" w:sz="8" w:space="0" w:color="000000"/>
              <w:bottom w:val="single" w:sz="8" w:space="0" w:color="000000"/>
              <w:right w:val="single" w:sz="8" w:space="0" w:color="000000"/>
            </w:tcBorders>
          </w:tcPr>
          <w:p w14:paraId="45A1BB05" w14:textId="634CE8A2" w:rsidR="00C9123A" w:rsidRDefault="00700CBB">
            <w:pPr>
              <w:spacing w:after="0" w:line="259" w:lineRule="auto"/>
              <w:ind w:left="0" w:firstLine="0"/>
              <w:jc w:val="left"/>
            </w:pPr>
            <w:r>
              <w:t>X</w:t>
            </w:r>
          </w:p>
        </w:tc>
        <w:tc>
          <w:tcPr>
            <w:tcW w:w="2484" w:type="dxa"/>
            <w:tcBorders>
              <w:top w:val="single" w:sz="8" w:space="0" w:color="000000"/>
              <w:left w:val="single" w:sz="8" w:space="0" w:color="000000"/>
              <w:bottom w:val="single" w:sz="8" w:space="0" w:color="000000"/>
              <w:right w:val="single" w:sz="8" w:space="0" w:color="000000"/>
            </w:tcBorders>
          </w:tcPr>
          <w:p w14:paraId="68907EB0" w14:textId="77777777" w:rsidR="00C9123A" w:rsidRDefault="00C9123A">
            <w:pPr>
              <w:spacing w:after="0" w:line="259" w:lineRule="auto"/>
              <w:ind w:left="0" w:firstLine="0"/>
              <w:jc w:val="left"/>
            </w:pPr>
          </w:p>
        </w:tc>
        <w:tc>
          <w:tcPr>
            <w:tcW w:w="4093" w:type="dxa"/>
            <w:tcBorders>
              <w:top w:val="single" w:sz="8" w:space="0" w:color="000000"/>
              <w:left w:val="single" w:sz="8" w:space="0" w:color="000000"/>
              <w:bottom w:val="single" w:sz="8" w:space="0" w:color="000000"/>
              <w:right w:val="single" w:sz="8" w:space="0" w:color="000000"/>
            </w:tcBorders>
          </w:tcPr>
          <w:p w14:paraId="0A5917E8" w14:textId="77777777" w:rsidR="00C9123A" w:rsidRDefault="00C9123A">
            <w:pPr>
              <w:spacing w:after="0" w:line="259" w:lineRule="auto"/>
              <w:ind w:left="0" w:firstLine="0"/>
              <w:jc w:val="left"/>
            </w:pPr>
          </w:p>
        </w:tc>
      </w:tr>
    </w:tbl>
    <w:p w14:paraId="78A4AAB0" w14:textId="77777777" w:rsidR="0045673A" w:rsidRDefault="00E17DF3">
      <w:pPr>
        <w:spacing w:after="216" w:line="259" w:lineRule="auto"/>
        <w:ind w:left="720" w:firstLine="0"/>
        <w:jc w:val="left"/>
      </w:pPr>
      <w:r>
        <w:t xml:space="preserve"> </w:t>
      </w:r>
    </w:p>
    <w:p w14:paraId="603512DA" w14:textId="77777777" w:rsidR="0045673A" w:rsidRDefault="00E17DF3">
      <w:pPr>
        <w:ind w:right="643"/>
      </w:pPr>
      <w:r>
        <w:rPr>
          <w:b/>
          <w:u w:val="single" w:color="000000"/>
        </w:rPr>
        <w:t>Question 1.12.1</w:t>
      </w:r>
      <w:r>
        <w:t xml:space="preserve">: If so, do you struggle to find information about the following elements? </w:t>
      </w:r>
    </w:p>
    <w:tbl>
      <w:tblPr>
        <w:tblW w:w="9062" w:type="dxa"/>
        <w:tblCellMar>
          <w:top w:w="14" w:type="dxa"/>
          <w:right w:w="49" w:type="dxa"/>
        </w:tblCellMar>
        <w:tblLook w:val="04A0" w:firstRow="1" w:lastRow="0" w:firstColumn="1" w:lastColumn="0" w:noHBand="0" w:noVBand="1"/>
      </w:tblPr>
      <w:tblGrid>
        <w:gridCol w:w="5027"/>
        <w:gridCol w:w="607"/>
        <w:gridCol w:w="607"/>
        <w:gridCol w:w="608"/>
        <w:gridCol w:w="605"/>
        <w:gridCol w:w="607"/>
        <w:gridCol w:w="1001"/>
      </w:tblGrid>
      <w:tr w:rsidR="0045673A" w14:paraId="5EE5FACE" w14:textId="77777777">
        <w:trPr>
          <w:trHeight w:val="895"/>
        </w:trPr>
        <w:tc>
          <w:tcPr>
            <w:tcW w:w="5027" w:type="dxa"/>
            <w:tcBorders>
              <w:top w:val="single" w:sz="8" w:space="0" w:color="000000"/>
              <w:left w:val="single" w:sz="8" w:space="0" w:color="000000"/>
              <w:bottom w:val="single" w:sz="8" w:space="0" w:color="000000"/>
              <w:right w:val="single" w:sz="8" w:space="0" w:color="000000"/>
            </w:tcBorders>
          </w:tcPr>
          <w:p w14:paraId="6F212B34" w14:textId="77777777" w:rsidR="0045673A" w:rsidRDefault="00E17DF3">
            <w:pPr>
              <w:spacing w:after="0" w:line="259" w:lineRule="auto"/>
              <w:ind w:left="1" w:firstLine="0"/>
              <w:jc w:val="center"/>
            </w:pPr>
            <w:r>
              <w:t xml:space="preserve"> </w:t>
            </w:r>
          </w:p>
        </w:tc>
        <w:tc>
          <w:tcPr>
            <w:tcW w:w="607" w:type="dxa"/>
            <w:tcBorders>
              <w:top w:val="single" w:sz="8" w:space="0" w:color="000000"/>
              <w:left w:val="single" w:sz="8" w:space="0" w:color="000000"/>
              <w:bottom w:val="single" w:sz="8" w:space="0" w:color="000000"/>
              <w:right w:val="single" w:sz="8" w:space="0" w:color="000000"/>
            </w:tcBorders>
          </w:tcPr>
          <w:p w14:paraId="66836D50" w14:textId="77777777" w:rsidR="0045673A" w:rsidRDefault="00E17DF3">
            <w:pPr>
              <w:spacing w:after="0" w:line="259" w:lineRule="auto"/>
              <w:ind w:left="0" w:right="61" w:firstLine="0"/>
              <w:jc w:val="center"/>
            </w:pPr>
            <w:r>
              <w:t xml:space="preserve">1 </w:t>
            </w:r>
          </w:p>
        </w:tc>
        <w:tc>
          <w:tcPr>
            <w:tcW w:w="607" w:type="dxa"/>
            <w:tcBorders>
              <w:top w:val="single" w:sz="8" w:space="0" w:color="000000"/>
              <w:left w:val="single" w:sz="8" w:space="0" w:color="000000"/>
              <w:bottom w:val="single" w:sz="8" w:space="0" w:color="000000"/>
              <w:right w:val="single" w:sz="8" w:space="0" w:color="000000"/>
            </w:tcBorders>
          </w:tcPr>
          <w:p w14:paraId="5B0586FA" w14:textId="77777777" w:rsidR="0045673A" w:rsidRDefault="00E17DF3">
            <w:pPr>
              <w:spacing w:after="0" w:line="259" w:lineRule="auto"/>
              <w:ind w:left="0" w:right="61" w:firstLine="0"/>
              <w:jc w:val="center"/>
            </w:pPr>
            <w:r>
              <w:t xml:space="preserve">2 </w:t>
            </w:r>
          </w:p>
        </w:tc>
        <w:tc>
          <w:tcPr>
            <w:tcW w:w="608" w:type="dxa"/>
            <w:tcBorders>
              <w:top w:val="single" w:sz="8" w:space="0" w:color="000000"/>
              <w:left w:val="single" w:sz="8" w:space="0" w:color="000000"/>
              <w:bottom w:val="single" w:sz="8" w:space="0" w:color="000000"/>
              <w:right w:val="single" w:sz="8" w:space="0" w:color="000000"/>
            </w:tcBorders>
          </w:tcPr>
          <w:p w14:paraId="7E181AC1" w14:textId="77777777" w:rsidR="0045673A" w:rsidRDefault="00E17DF3">
            <w:pPr>
              <w:spacing w:after="0" w:line="259" w:lineRule="auto"/>
              <w:ind w:left="0" w:right="60" w:firstLine="0"/>
              <w:jc w:val="center"/>
            </w:pPr>
            <w:r>
              <w:t xml:space="preserve">3 </w:t>
            </w:r>
          </w:p>
        </w:tc>
        <w:tc>
          <w:tcPr>
            <w:tcW w:w="605" w:type="dxa"/>
            <w:tcBorders>
              <w:top w:val="single" w:sz="8" w:space="0" w:color="000000"/>
              <w:left w:val="single" w:sz="8" w:space="0" w:color="000000"/>
              <w:bottom w:val="single" w:sz="8" w:space="0" w:color="000000"/>
              <w:right w:val="single" w:sz="8" w:space="0" w:color="000000"/>
            </w:tcBorders>
          </w:tcPr>
          <w:p w14:paraId="7DC75A91" w14:textId="77777777" w:rsidR="0045673A" w:rsidRDefault="00E17DF3">
            <w:pPr>
              <w:spacing w:after="0" w:line="259" w:lineRule="auto"/>
              <w:ind w:left="0" w:right="59" w:firstLine="0"/>
              <w:jc w:val="center"/>
            </w:pPr>
            <w:r>
              <w:t xml:space="preserve">4 </w:t>
            </w:r>
          </w:p>
        </w:tc>
        <w:tc>
          <w:tcPr>
            <w:tcW w:w="607" w:type="dxa"/>
            <w:tcBorders>
              <w:top w:val="single" w:sz="8" w:space="0" w:color="000000"/>
              <w:left w:val="single" w:sz="8" w:space="0" w:color="000000"/>
              <w:bottom w:val="single" w:sz="8" w:space="0" w:color="000000"/>
              <w:right w:val="single" w:sz="8" w:space="0" w:color="000000"/>
            </w:tcBorders>
          </w:tcPr>
          <w:p w14:paraId="63EA61A3" w14:textId="77777777" w:rsidR="0045673A" w:rsidRDefault="00E17DF3">
            <w:pPr>
              <w:spacing w:after="0" w:line="259" w:lineRule="auto"/>
              <w:ind w:left="0" w:right="56" w:firstLine="0"/>
              <w:jc w:val="center"/>
            </w:pPr>
            <w:r>
              <w:t xml:space="preserve">5 </w:t>
            </w:r>
          </w:p>
        </w:tc>
        <w:tc>
          <w:tcPr>
            <w:tcW w:w="1001" w:type="dxa"/>
            <w:tcBorders>
              <w:top w:val="single" w:sz="8" w:space="0" w:color="000000"/>
              <w:left w:val="single" w:sz="8" w:space="0" w:color="000000"/>
              <w:bottom w:val="single" w:sz="8" w:space="0" w:color="000000"/>
              <w:right w:val="single" w:sz="8" w:space="0" w:color="000000"/>
            </w:tcBorders>
          </w:tcPr>
          <w:p w14:paraId="31B098E3" w14:textId="77777777" w:rsidR="0045673A" w:rsidRDefault="00E17DF3">
            <w:pPr>
              <w:spacing w:after="0" w:line="259" w:lineRule="auto"/>
              <w:ind w:left="0" w:firstLine="0"/>
              <w:jc w:val="center"/>
            </w:pPr>
            <w:r>
              <w:t xml:space="preserve">Don’t know </w:t>
            </w:r>
          </w:p>
        </w:tc>
      </w:tr>
      <w:tr w:rsidR="0045673A" w14:paraId="73C79590" w14:textId="77777777">
        <w:trPr>
          <w:trHeight w:val="576"/>
        </w:trPr>
        <w:tc>
          <w:tcPr>
            <w:tcW w:w="5027" w:type="dxa"/>
            <w:tcBorders>
              <w:top w:val="single" w:sz="8" w:space="0" w:color="000000"/>
              <w:left w:val="single" w:sz="8" w:space="0" w:color="000000"/>
              <w:bottom w:val="single" w:sz="8" w:space="0" w:color="000000"/>
              <w:right w:val="single" w:sz="8" w:space="0" w:color="000000"/>
            </w:tcBorders>
          </w:tcPr>
          <w:p w14:paraId="37D38F79" w14:textId="77777777" w:rsidR="0045673A" w:rsidRDefault="00E17DF3">
            <w:pPr>
              <w:spacing w:after="0" w:line="259" w:lineRule="auto"/>
              <w:ind w:left="0" w:firstLine="0"/>
              <w:jc w:val="left"/>
            </w:pPr>
            <w:r>
              <w:t xml:space="preserve">The entity level principal adverse impacts  </w:t>
            </w:r>
          </w:p>
        </w:tc>
        <w:tc>
          <w:tcPr>
            <w:tcW w:w="607" w:type="dxa"/>
            <w:tcBorders>
              <w:top w:val="single" w:sz="8" w:space="0" w:color="000000"/>
              <w:left w:val="single" w:sz="8" w:space="0" w:color="000000"/>
              <w:bottom w:val="single" w:sz="8" w:space="0" w:color="000000"/>
              <w:right w:val="single" w:sz="8" w:space="0" w:color="000000"/>
            </w:tcBorders>
          </w:tcPr>
          <w:p w14:paraId="4A33D83E" w14:textId="77777777" w:rsidR="0045673A" w:rsidRDefault="00E17DF3">
            <w:pPr>
              <w:spacing w:after="0" w:line="259" w:lineRule="auto"/>
              <w:ind w:left="0" w:firstLine="0"/>
              <w:jc w:val="left"/>
            </w:pPr>
            <w:r>
              <w:t xml:space="preserve"> </w:t>
            </w:r>
          </w:p>
        </w:tc>
        <w:tc>
          <w:tcPr>
            <w:tcW w:w="607" w:type="dxa"/>
            <w:tcBorders>
              <w:top w:val="single" w:sz="8" w:space="0" w:color="000000"/>
              <w:left w:val="single" w:sz="8" w:space="0" w:color="000000"/>
              <w:bottom w:val="single" w:sz="8" w:space="0" w:color="000000"/>
              <w:right w:val="single" w:sz="8" w:space="0" w:color="000000"/>
            </w:tcBorders>
          </w:tcPr>
          <w:p w14:paraId="41FBA0B5" w14:textId="77777777" w:rsidR="0045673A" w:rsidRDefault="00E17DF3">
            <w:pPr>
              <w:spacing w:after="0" w:line="259" w:lineRule="auto"/>
              <w:ind w:left="0" w:firstLine="0"/>
              <w:jc w:val="left"/>
            </w:pPr>
            <w:r>
              <w:t xml:space="preserve"> </w:t>
            </w:r>
          </w:p>
        </w:tc>
        <w:tc>
          <w:tcPr>
            <w:tcW w:w="608" w:type="dxa"/>
            <w:tcBorders>
              <w:top w:val="single" w:sz="8" w:space="0" w:color="000000"/>
              <w:left w:val="single" w:sz="8" w:space="0" w:color="000000"/>
              <w:bottom w:val="single" w:sz="8" w:space="0" w:color="000000"/>
              <w:right w:val="single" w:sz="8" w:space="0" w:color="000000"/>
            </w:tcBorders>
          </w:tcPr>
          <w:p w14:paraId="6D5125F4" w14:textId="77777777" w:rsidR="0045673A" w:rsidRDefault="00E17DF3">
            <w:pPr>
              <w:spacing w:after="0" w:line="259" w:lineRule="auto"/>
              <w:ind w:left="0" w:firstLine="0"/>
              <w:jc w:val="left"/>
            </w:pPr>
            <w:r>
              <w:t xml:space="preserve"> </w:t>
            </w:r>
          </w:p>
        </w:tc>
        <w:tc>
          <w:tcPr>
            <w:tcW w:w="605" w:type="dxa"/>
            <w:tcBorders>
              <w:top w:val="single" w:sz="8" w:space="0" w:color="000000"/>
              <w:left w:val="single" w:sz="8" w:space="0" w:color="000000"/>
              <w:bottom w:val="single" w:sz="8" w:space="0" w:color="000000"/>
              <w:right w:val="single" w:sz="8" w:space="0" w:color="000000"/>
            </w:tcBorders>
          </w:tcPr>
          <w:p w14:paraId="5D29F88D" w14:textId="11C61AE4" w:rsidR="0045673A" w:rsidRDefault="00E17DF3">
            <w:pPr>
              <w:spacing w:after="0" w:line="259" w:lineRule="auto"/>
              <w:ind w:left="0" w:firstLine="0"/>
              <w:jc w:val="left"/>
            </w:pPr>
            <w:r>
              <w:t xml:space="preserve"> </w:t>
            </w:r>
            <w:r w:rsidR="009A07D5">
              <w:t>X</w:t>
            </w:r>
          </w:p>
        </w:tc>
        <w:tc>
          <w:tcPr>
            <w:tcW w:w="607" w:type="dxa"/>
            <w:tcBorders>
              <w:top w:val="single" w:sz="8" w:space="0" w:color="000000"/>
              <w:left w:val="single" w:sz="8" w:space="0" w:color="000000"/>
              <w:bottom w:val="single" w:sz="8" w:space="0" w:color="000000"/>
              <w:right w:val="single" w:sz="8" w:space="0" w:color="000000"/>
            </w:tcBorders>
          </w:tcPr>
          <w:p w14:paraId="2E311D41" w14:textId="5B2E141A" w:rsidR="0045673A" w:rsidRDefault="00E17DF3">
            <w:pPr>
              <w:spacing w:after="0" w:line="259" w:lineRule="auto"/>
              <w:ind w:left="2" w:firstLine="0"/>
              <w:jc w:val="left"/>
            </w:pPr>
            <w:r>
              <w:t xml:space="preserve"> </w:t>
            </w:r>
          </w:p>
        </w:tc>
        <w:tc>
          <w:tcPr>
            <w:tcW w:w="1001" w:type="dxa"/>
            <w:tcBorders>
              <w:top w:val="single" w:sz="8" w:space="0" w:color="000000"/>
              <w:left w:val="single" w:sz="8" w:space="0" w:color="000000"/>
              <w:bottom w:val="single" w:sz="8" w:space="0" w:color="000000"/>
              <w:right w:val="single" w:sz="8" w:space="0" w:color="000000"/>
            </w:tcBorders>
          </w:tcPr>
          <w:p w14:paraId="2D3C0CE6" w14:textId="52643095" w:rsidR="0045673A" w:rsidRDefault="00E17DF3">
            <w:pPr>
              <w:spacing w:after="0" w:line="259" w:lineRule="auto"/>
              <w:ind w:left="2" w:firstLine="0"/>
              <w:jc w:val="left"/>
            </w:pPr>
            <w:r>
              <w:t xml:space="preserve"> </w:t>
            </w:r>
          </w:p>
        </w:tc>
      </w:tr>
      <w:tr w:rsidR="0045673A" w14:paraId="78A3953B" w14:textId="77777777">
        <w:trPr>
          <w:trHeight w:val="891"/>
        </w:trPr>
        <w:tc>
          <w:tcPr>
            <w:tcW w:w="5027" w:type="dxa"/>
            <w:tcBorders>
              <w:top w:val="single" w:sz="8" w:space="0" w:color="000000"/>
              <w:left w:val="single" w:sz="8" w:space="0" w:color="000000"/>
              <w:bottom w:val="single" w:sz="4" w:space="0" w:color="000000"/>
              <w:right w:val="single" w:sz="8" w:space="0" w:color="000000"/>
            </w:tcBorders>
          </w:tcPr>
          <w:p w14:paraId="4AC1B67D" w14:textId="77777777" w:rsidR="0045673A" w:rsidRDefault="00E17DF3">
            <w:pPr>
              <w:spacing w:after="0" w:line="259" w:lineRule="auto"/>
              <w:ind w:left="0" w:firstLine="0"/>
            </w:pPr>
            <w:r>
              <w:t xml:space="preserve">The proportion of taxonomy-aligned investments (product level) </w:t>
            </w:r>
          </w:p>
        </w:tc>
        <w:tc>
          <w:tcPr>
            <w:tcW w:w="607" w:type="dxa"/>
            <w:tcBorders>
              <w:top w:val="single" w:sz="8" w:space="0" w:color="000000"/>
              <w:left w:val="single" w:sz="8" w:space="0" w:color="000000"/>
              <w:bottom w:val="single" w:sz="4" w:space="0" w:color="000000"/>
              <w:right w:val="single" w:sz="8" w:space="0" w:color="000000"/>
            </w:tcBorders>
          </w:tcPr>
          <w:p w14:paraId="0482B8F3" w14:textId="77777777" w:rsidR="0045673A" w:rsidRDefault="00E17DF3">
            <w:pPr>
              <w:spacing w:after="0" w:line="259" w:lineRule="auto"/>
              <w:ind w:left="0" w:firstLine="0"/>
              <w:jc w:val="left"/>
            </w:pPr>
            <w:r>
              <w:t xml:space="preserve">  </w:t>
            </w:r>
          </w:p>
        </w:tc>
        <w:tc>
          <w:tcPr>
            <w:tcW w:w="607" w:type="dxa"/>
            <w:tcBorders>
              <w:top w:val="single" w:sz="8" w:space="0" w:color="000000"/>
              <w:left w:val="single" w:sz="8" w:space="0" w:color="000000"/>
              <w:bottom w:val="single" w:sz="4" w:space="0" w:color="000000"/>
              <w:right w:val="single" w:sz="8" w:space="0" w:color="000000"/>
            </w:tcBorders>
          </w:tcPr>
          <w:p w14:paraId="25FDE618" w14:textId="77777777" w:rsidR="0045673A" w:rsidRDefault="00E17DF3">
            <w:pPr>
              <w:spacing w:after="0" w:line="259" w:lineRule="auto"/>
              <w:ind w:left="0" w:firstLine="0"/>
              <w:jc w:val="left"/>
            </w:pPr>
            <w:r>
              <w:t xml:space="preserve"> </w:t>
            </w:r>
          </w:p>
        </w:tc>
        <w:tc>
          <w:tcPr>
            <w:tcW w:w="608" w:type="dxa"/>
            <w:tcBorders>
              <w:top w:val="single" w:sz="8" w:space="0" w:color="000000"/>
              <w:left w:val="single" w:sz="8" w:space="0" w:color="000000"/>
              <w:bottom w:val="single" w:sz="4" w:space="0" w:color="000000"/>
              <w:right w:val="single" w:sz="8" w:space="0" w:color="000000"/>
            </w:tcBorders>
          </w:tcPr>
          <w:p w14:paraId="1870F9D1" w14:textId="77777777" w:rsidR="0045673A" w:rsidRDefault="00E17DF3">
            <w:pPr>
              <w:spacing w:after="0" w:line="259" w:lineRule="auto"/>
              <w:ind w:left="0" w:firstLine="0"/>
              <w:jc w:val="left"/>
            </w:pPr>
            <w:r>
              <w:t xml:space="preserve"> </w:t>
            </w:r>
          </w:p>
        </w:tc>
        <w:tc>
          <w:tcPr>
            <w:tcW w:w="605" w:type="dxa"/>
            <w:tcBorders>
              <w:top w:val="single" w:sz="8" w:space="0" w:color="000000"/>
              <w:left w:val="single" w:sz="8" w:space="0" w:color="000000"/>
              <w:bottom w:val="single" w:sz="4" w:space="0" w:color="000000"/>
              <w:right w:val="single" w:sz="8" w:space="0" w:color="000000"/>
            </w:tcBorders>
          </w:tcPr>
          <w:p w14:paraId="412C8B43" w14:textId="77777777" w:rsidR="0045673A" w:rsidRDefault="00E17DF3">
            <w:pPr>
              <w:spacing w:after="0" w:line="259" w:lineRule="auto"/>
              <w:ind w:left="0" w:firstLine="0"/>
              <w:jc w:val="left"/>
            </w:pPr>
            <w:r>
              <w:t xml:space="preserve"> </w:t>
            </w:r>
          </w:p>
        </w:tc>
        <w:tc>
          <w:tcPr>
            <w:tcW w:w="607" w:type="dxa"/>
            <w:tcBorders>
              <w:top w:val="single" w:sz="8" w:space="0" w:color="000000"/>
              <w:left w:val="single" w:sz="8" w:space="0" w:color="000000"/>
              <w:bottom w:val="single" w:sz="4" w:space="0" w:color="000000"/>
              <w:right w:val="single" w:sz="8" w:space="0" w:color="000000"/>
            </w:tcBorders>
          </w:tcPr>
          <w:p w14:paraId="64E755FD" w14:textId="6DC21B1C" w:rsidR="0045673A" w:rsidRDefault="00E17DF3">
            <w:pPr>
              <w:spacing w:after="0" w:line="259" w:lineRule="auto"/>
              <w:ind w:left="2" w:firstLine="0"/>
              <w:jc w:val="left"/>
            </w:pPr>
            <w:r>
              <w:t xml:space="preserve"> </w:t>
            </w:r>
            <w:r w:rsidR="00700CBB">
              <w:t>X</w:t>
            </w:r>
          </w:p>
        </w:tc>
        <w:tc>
          <w:tcPr>
            <w:tcW w:w="1001" w:type="dxa"/>
            <w:tcBorders>
              <w:top w:val="single" w:sz="8" w:space="0" w:color="000000"/>
              <w:left w:val="single" w:sz="8" w:space="0" w:color="000000"/>
              <w:bottom w:val="single" w:sz="4" w:space="0" w:color="000000"/>
              <w:right w:val="single" w:sz="8" w:space="0" w:color="000000"/>
            </w:tcBorders>
          </w:tcPr>
          <w:p w14:paraId="19DAC426" w14:textId="2008580E" w:rsidR="0045673A" w:rsidRDefault="00E17DF3">
            <w:pPr>
              <w:spacing w:after="0" w:line="259" w:lineRule="auto"/>
              <w:ind w:left="2" w:firstLine="0"/>
              <w:jc w:val="left"/>
            </w:pPr>
            <w:r>
              <w:t xml:space="preserve">  </w:t>
            </w:r>
          </w:p>
        </w:tc>
      </w:tr>
      <w:tr w:rsidR="0045673A" w14:paraId="3CC38AE7" w14:textId="77777777">
        <w:trPr>
          <w:trHeight w:val="1202"/>
        </w:trPr>
        <w:tc>
          <w:tcPr>
            <w:tcW w:w="5027" w:type="dxa"/>
            <w:tcBorders>
              <w:top w:val="single" w:sz="4" w:space="0" w:color="000000"/>
              <w:left w:val="single" w:sz="4" w:space="0" w:color="000000"/>
              <w:bottom w:val="single" w:sz="4" w:space="0" w:color="000000"/>
              <w:right w:val="single" w:sz="4" w:space="0" w:color="000000"/>
            </w:tcBorders>
          </w:tcPr>
          <w:p w14:paraId="36A0F7D0" w14:textId="77777777" w:rsidR="0045673A" w:rsidRDefault="00E17DF3">
            <w:pPr>
              <w:spacing w:after="44" w:line="275" w:lineRule="auto"/>
              <w:ind w:left="0" w:firstLine="0"/>
            </w:pPr>
            <w:r>
              <w:t xml:space="preserve">The contribution to an environmental or social objective, element of the definition of </w:t>
            </w:r>
          </w:p>
          <w:p w14:paraId="584FB84F" w14:textId="77777777" w:rsidR="0045673A" w:rsidRDefault="00E17DF3">
            <w:pPr>
              <w:spacing w:after="0" w:line="259" w:lineRule="auto"/>
              <w:ind w:left="0" w:firstLine="0"/>
              <w:jc w:val="left"/>
            </w:pPr>
            <w:r>
              <w:t xml:space="preserve">‘sustainable investment’ (product level) </w:t>
            </w:r>
          </w:p>
        </w:tc>
        <w:tc>
          <w:tcPr>
            <w:tcW w:w="607" w:type="dxa"/>
            <w:tcBorders>
              <w:top w:val="single" w:sz="4" w:space="0" w:color="000000"/>
              <w:left w:val="single" w:sz="4" w:space="0" w:color="000000"/>
              <w:bottom w:val="single" w:sz="4" w:space="0" w:color="000000"/>
              <w:right w:val="single" w:sz="4" w:space="0" w:color="000000"/>
            </w:tcBorders>
          </w:tcPr>
          <w:p w14:paraId="055E8F10" w14:textId="77777777" w:rsidR="0045673A" w:rsidRDefault="00E17DF3">
            <w:pPr>
              <w:spacing w:after="0" w:line="259" w:lineRule="auto"/>
              <w:ind w:left="0" w:firstLine="0"/>
              <w:jc w:val="left"/>
            </w:pPr>
            <w:r>
              <w:t xml:space="preserve"> </w:t>
            </w:r>
          </w:p>
        </w:tc>
        <w:tc>
          <w:tcPr>
            <w:tcW w:w="607" w:type="dxa"/>
            <w:tcBorders>
              <w:top w:val="single" w:sz="4" w:space="0" w:color="000000"/>
              <w:left w:val="single" w:sz="4" w:space="0" w:color="000000"/>
              <w:bottom w:val="single" w:sz="4" w:space="0" w:color="000000"/>
              <w:right w:val="single" w:sz="4" w:space="0" w:color="000000"/>
            </w:tcBorders>
          </w:tcPr>
          <w:p w14:paraId="17A2FC8E" w14:textId="77777777" w:rsidR="0045673A" w:rsidRDefault="00E17DF3">
            <w:pPr>
              <w:spacing w:after="0" w:line="259" w:lineRule="auto"/>
              <w:ind w:left="0" w:firstLine="0"/>
              <w:jc w:val="left"/>
            </w:pPr>
            <w:r>
              <w:t xml:space="preserve"> </w:t>
            </w:r>
          </w:p>
        </w:tc>
        <w:tc>
          <w:tcPr>
            <w:tcW w:w="608" w:type="dxa"/>
            <w:tcBorders>
              <w:top w:val="single" w:sz="4" w:space="0" w:color="000000"/>
              <w:left w:val="single" w:sz="4" w:space="0" w:color="000000"/>
              <w:bottom w:val="single" w:sz="4" w:space="0" w:color="000000"/>
              <w:right w:val="single" w:sz="4" w:space="0" w:color="000000"/>
            </w:tcBorders>
          </w:tcPr>
          <w:p w14:paraId="62BF9FB6" w14:textId="4A96F6BC" w:rsidR="0045673A" w:rsidRDefault="00E17DF3">
            <w:pPr>
              <w:spacing w:after="0" w:line="259" w:lineRule="auto"/>
              <w:ind w:left="0" w:firstLine="0"/>
              <w:jc w:val="left"/>
            </w:pPr>
            <w:r>
              <w:t xml:space="preserve"> </w:t>
            </w:r>
          </w:p>
        </w:tc>
        <w:tc>
          <w:tcPr>
            <w:tcW w:w="605" w:type="dxa"/>
            <w:tcBorders>
              <w:top w:val="single" w:sz="4" w:space="0" w:color="000000"/>
              <w:left w:val="single" w:sz="4" w:space="0" w:color="000000"/>
              <w:bottom w:val="single" w:sz="4" w:space="0" w:color="000000"/>
              <w:right w:val="single" w:sz="4" w:space="0" w:color="000000"/>
            </w:tcBorders>
          </w:tcPr>
          <w:p w14:paraId="6C5EF7EF" w14:textId="1C8463FD" w:rsidR="0045673A" w:rsidRDefault="00E17DF3">
            <w:pPr>
              <w:spacing w:after="0" w:line="259" w:lineRule="auto"/>
              <w:ind w:left="0" w:firstLine="0"/>
              <w:jc w:val="left"/>
            </w:pPr>
            <w:r>
              <w:t xml:space="preserve"> </w:t>
            </w:r>
            <w:r w:rsidR="00700CBB">
              <w:t>X</w:t>
            </w:r>
          </w:p>
        </w:tc>
        <w:tc>
          <w:tcPr>
            <w:tcW w:w="607" w:type="dxa"/>
            <w:tcBorders>
              <w:top w:val="single" w:sz="4" w:space="0" w:color="000000"/>
              <w:left w:val="single" w:sz="4" w:space="0" w:color="000000"/>
              <w:bottom w:val="single" w:sz="4" w:space="0" w:color="000000"/>
              <w:right w:val="single" w:sz="4" w:space="0" w:color="000000"/>
            </w:tcBorders>
          </w:tcPr>
          <w:p w14:paraId="125A7E78" w14:textId="77777777" w:rsidR="0045673A" w:rsidRDefault="00E17DF3">
            <w:pPr>
              <w:spacing w:after="0" w:line="259" w:lineRule="auto"/>
              <w:ind w:left="2" w:firstLine="0"/>
              <w:jc w:val="left"/>
            </w:pPr>
            <w:r>
              <w:t xml:space="preserve"> </w:t>
            </w:r>
          </w:p>
        </w:tc>
        <w:tc>
          <w:tcPr>
            <w:tcW w:w="1001" w:type="dxa"/>
            <w:tcBorders>
              <w:top w:val="single" w:sz="4" w:space="0" w:color="000000"/>
              <w:left w:val="single" w:sz="4" w:space="0" w:color="000000"/>
              <w:bottom w:val="single" w:sz="4" w:space="0" w:color="000000"/>
              <w:right w:val="single" w:sz="4" w:space="0" w:color="000000"/>
            </w:tcBorders>
          </w:tcPr>
          <w:p w14:paraId="34B271C6" w14:textId="77777777" w:rsidR="0045673A" w:rsidRDefault="00E17DF3">
            <w:pPr>
              <w:spacing w:after="0" w:line="259" w:lineRule="auto"/>
              <w:ind w:left="2" w:firstLine="0"/>
              <w:jc w:val="left"/>
            </w:pPr>
            <w:r>
              <w:t xml:space="preserve"> </w:t>
            </w:r>
          </w:p>
        </w:tc>
      </w:tr>
      <w:tr w:rsidR="0045673A" w14:paraId="02D218F4" w14:textId="77777777">
        <w:trPr>
          <w:trHeight w:val="2472"/>
        </w:trPr>
        <w:tc>
          <w:tcPr>
            <w:tcW w:w="5027" w:type="dxa"/>
            <w:tcBorders>
              <w:top w:val="single" w:sz="4" w:space="0" w:color="000000"/>
              <w:left w:val="single" w:sz="4" w:space="0" w:color="000000"/>
              <w:bottom w:val="single" w:sz="4" w:space="0" w:color="000000"/>
              <w:right w:val="single" w:sz="4" w:space="0" w:color="000000"/>
            </w:tcBorders>
          </w:tcPr>
          <w:p w14:paraId="34B48ED2" w14:textId="77777777" w:rsidR="0045673A" w:rsidRDefault="00E17DF3">
            <w:pPr>
              <w:spacing w:after="48" w:line="274" w:lineRule="auto"/>
              <w:ind w:left="0" w:right="61" w:firstLine="0"/>
            </w:pPr>
            <w:r>
              <w:t xml:space="preserve">The product’s principal adverse impacts, including when assessed in the context of the ‘do no significant harm’ test which requires the consideration of PAI entity level indicators listed in Annex I of the Delegated Regulation and is an element of the definition of ‘sustainable </w:t>
            </w:r>
          </w:p>
          <w:p w14:paraId="0DD7CC09" w14:textId="77777777" w:rsidR="0045673A" w:rsidRDefault="00E17DF3">
            <w:pPr>
              <w:spacing w:after="0" w:line="259" w:lineRule="auto"/>
              <w:ind w:left="0" w:firstLine="0"/>
              <w:jc w:val="left"/>
            </w:pPr>
            <w:r>
              <w:t xml:space="preserve">investment’ (product level) </w:t>
            </w:r>
          </w:p>
        </w:tc>
        <w:tc>
          <w:tcPr>
            <w:tcW w:w="607" w:type="dxa"/>
            <w:tcBorders>
              <w:top w:val="single" w:sz="4" w:space="0" w:color="000000"/>
              <w:left w:val="single" w:sz="4" w:space="0" w:color="000000"/>
              <w:bottom w:val="single" w:sz="4" w:space="0" w:color="000000"/>
              <w:right w:val="single" w:sz="4" w:space="0" w:color="000000"/>
            </w:tcBorders>
          </w:tcPr>
          <w:p w14:paraId="2ABB1C29" w14:textId="77777777" w:rsidR="0045673A" w:rsidRDefault="00E17DF3">
            <w:pPr>
              <w:spacing w:after="0" w:line="259" w:lineRule="auto"/>
              <w:ind w:left="0" w:firstLine="0"/>
              <w:jc w:val="left"/>
            </w:pPr>
            <w:r>
              <w:t xml:space="preserve"> </w:t>
            </w:r>
          </w:p>
        </w:tc>
        <w:tc>
          <w:tcPr>
            <w:tcW w:w="607" w:type="dxa"/>
            <w:tcBorders>
              <w:top w:val="single" w:sz="4" w:space="0" w:color="000000"/>
              <w:left w:val="single" w:sz="4" w:space="0" w:color="000000"/>
              <w:bottom w:val="single" w:sz="4" w:space="0" w:color="000000"/>
              <w:right w:val="single" w:sz="4" w:space="0" w:color="000000"/>
            </w:tcBorders>
          </w:tcPr>
          <w:p w14:paraId="67340EC9" w14:textId="77777777" w:rsidR="0045673A" w:rsidRDefault="00E17DF3">
            <w:pPr>
              <w:spacing w:after="0" w:line="259" w:lineRule="auto"/>
              <w:ind w:left="0" w:firstLine="0"/>
              <w:jc w:val="left"/>
            </w:pPr>
            <w:r>
              <w:t xml:space="preserve"> </w:t>
            </w:r>
          </w:p>
        </w:tc>
        <w:tc>
          <w:tcPr>
            <w:tcW w:w="608" w:type="dxa"/>
            <w:tcBorders>
              <w:top w:val="single" w:sz="4" w:space="0" w:color="000000"/>
              <w:left w:val="single" w:sz="4" w:space="0" w:color="000000"/>
              <w:bottom w:val="single" w:sz="4" w:space="0" w:color="000000"/>
              <w:right w:val="single" w:sz="4" w:space="0" w:color="000000"/>
            </w:tcBorders>
          </w:tcPr>
          <w:p w14:paraId="53281035" w14:textId="77777777" w:rsidR="0045673A" w:rsidRDefault="00E17DF3">
            <w:pPr>
              <w:spacing w:after="0" w:line="259" w:lineRule="auto"/>
              <w:ind w:left="0" w:firstLine="0"/>
              <w:jc w:val="left"/>
            </w:pPr>
            <w:r>
              <w:t xml:space="preserve"> </w:t>
            </w:r>
          </w:p>
        </w:tc>
        <w:tc>
          <w:tcPr>
            <w:tcW w:w="605" w:type="dxa"/>
            <w:tcBorders>
              <w:top w:val="single" w:sz="4" w:space="0" w:color="000000"/>
              <w:left w:val="single" w:sz="4" w:space="0" w:color="000000"/>
              <w:bottom w:val="single" w:sz="4" w:space="0" w:color="000000"/>
              <w:right w:val="single" w:sz="4" w:space="0" w:color="000000"/>
            </w:tcBorders>
          </w:tcPr>
          <w:p w14:paraId="43029D44" w14:textId="77777777" w:rsidR="0045673A" w:rsidRDefault="00E17DF3">
            <w:pPr>
              <w:spacing w:after="0" w:line="259" w:lineRule="auto"/>
              <w:ind w:left="0" w:firstLine="0"/>
              <w:jc w:val="left"/>
            </w:pPr>
            <w:r>
              <w:t xml:space="preserve"> </w:t>
            </w:r>
          </w:p>
        </w:tc>
        <w:tc>
          <w:tcPr>
            <w:tcW w:w="607" w:type="dxa"/>
            <w:tcBorders>
              <w:top w:val="single" w:sz="4" w:space="0" w:color="000000"/>
              <w:left w:val="single" w:sz="4" w:space="0" w:color="000000"/>
              <w:bottom w:val="single" w:sz="4" w:space="0" w:color="000000"/>
              <w:right w:val="single" w:sz="4" w:space="0" w:color="000000"/>
            </w:tcBorders>
          </w:tcPr>
          <w:p w14:paraId="565815A4" w14:textId="49A98493" w:rsidR="0045673A" w:rsidRDefault="00EB55FA">
            <w:pPr>
              <w:spacing w:after="0" w:line="259" w:lineRule="auto"/>
              <w:ind w:left="2" w:firstLine="0"/>
              <w:jc w:val="left"/>
            </w:pPr>
            <w:r>
              <w:t>X</w:t>
            </w:r>
          </w:p>
        </w:tc>
        <w:tc>
          <w:tcPr>
            <w:tcW w:w="1001" w:type="dxa"/>
            <w:tcBorders>
              <w:top w:val="single" w:sz="4" w:space="0" w:color="000000"/>
              <w:left w:val="single" w:sz="4" w:space="0" w:color="000000"/>
              <w:bottom w:val="single" w:sz="4" w:space="0" w:color="000000"/>
              <w:right w:val="single" w:sz="4" w:space="0" w:color="000000"/>
            </w:tcBorders>
          </w:tcPr>
          <w:p w14:paraId="0C43098D" w14:textId="77777777" w:rsidR="0045673A" w:rsidRDefault="00E17DF3">
            <w:pPr>
              <w:spacing w:after="0" w:line="259" w:lineRule="auto"/>
              <w:ind w:left="2" w:firstLine="0"/>
              <w:jc w:val="left"/>
            </w:pPr>
            <w:r>
              <w:t xml:space="preserve"> </w:t>
            </w:r>
          </w:p>
        </w:tc>
      </w:tr>
      <w:tr w:rsidR="0045673A" w14:paraId="7518384B" w14:textId="77777777">
        <w:trPr>
          <w:trHeight w:val="886"/>
        </w:trPr>
        <w:tc>
          <w:tcPr>
            <w:tcW w:w="5027" w:type="dxa"/>
            <w:tcBorders>
              <w:top w:val="single" w:sz="4" w:space="0" w:color="000000"/>
              <w:left w:val="single" w:sz="4" w:space="0" w:color="000000"/>
              <w:bottom w:val="single" w:sz="4" w:space="0" w:color="000000"/>
              <w:right w:val="single" w:sz="4" w:space="0" w:color="000000"/>
            </w:tcBorders>
          </w:tcPr>
          <w:p w14:paraId="5113FAFE" w14:textId="77777777" w:rsidR="0045673A" w:rsidRDefault="00E17DF3">
            <w:pPr>
              <w:spacing w:after="0" w:line="259" w:lineRule="auto"/>
              <w:ind w:left="0" w:firstLine="0"/>
            </w:pPr>
            <w:r>
              <w:t xml:space="preserve">The good governance practices of investee companies (product level) </w:t>
            </w:r>
          </w:p>
        </w:tc>
        <w:tc>
          <w:tcPr>
            <w:tcW w:w="607" w:type="dxa"/>
            <w:tcBorders>
              <w:top w:val="single" w:sz="4" w:space="0" w:color="000000"/>
              <w:left w:val="single" w:sz="4" w:space="0" w:color="000000"/>
              <w:bottom w:val="single" w:sz="4" w:space="0" w:color="000000"/>
              <w:right w:val="single" w:sz="4" w:space="0" w:color="000000"/>
            </w:tcBorders>
          </w:tcPr>
          <w:p w14:paraId="0690BE84" w14:textId="77777777" w:rsidR="0045673A" w:rsidRDefault="00E17DF3">
            <w:pPr>
              <w:spacing w:after="0" w:line="259" w:lineRule="auto"/>
              <w:ind w:left="0" w:firstLine="0"/>
              <w:jc w:val="left"/>
            </w:pPr>
            <w:r>
              <w:t xml:space="preserve"> </w:t>
            </w:r>
          </w:p>
        </w:tc>
        <w:tc>
          <w:tcPr>
            <w:tcW w:w="607" w:type="dxa"/>
            <w:tcBorders>
              <w:top w:val="single" w:sz="4" w:space="0" w:color="000000"/>
              <w:left w:val="single" w:sz="4" w:space="0" w:color="000000"/>
              <w:bottom w:val="single" w:sz="4" w:space="0" w:color="000000"/>
              <w:right w:val="single" w:sz="4" w:space="0" w:color="000000"/>
            </w:tcBorders>
          </w:tcPr>
          <w:p w14:paraId="79E98911" w14:textId="1D1BF88B" w:rsidR="0045673A" w:rsidRDefault="00E17DF3">
            <w:pPr>
              <w:spacing w:after="0" w:line="259" w:lineRule="auto"/>
              <w:ind w:left="0" w:firstLine="0"/>
              <w:jc w:val="left"/>
            </w:pPr>
            <w:r>
              <w:t xml:space="preserve"> </w:t>
            </w:r>
          </w:p>
        </w:tc>
        <w:tc>
          <w:tcPr>
            <w:tcW w:w="608" w:type="dxa"/>
            <w:tcBorders>
              <w:top w:val="single" w:sz="4" w:space="0" w:color="000000"/>
              <w:left w:val="single" w:sz="4" w:space="0" w:color="000000"/>
              <w:bottom w:val="single" w:sz="4" w:space="0" w:color="000000"/>
              <w:right w:val="single" w:sz="4" w:space="0" w:color="000000"/>
            </w:tcBorders>
          </w:tcPr>
          <w:p w14:paraId="0F3C5D72" w14:textId="074FD7F1" w:rsidR="0045673A" w:rsidRDefault="00E17DF3">
            <w:pPr>
              <w:spacing w:after="0" w:line="259" w:lineRule="auto"/>
              <w:ind w:left="0" w:firstLine="0"/>
              <w:jc w:val="left"/>
            </w:pPr>
            <w:r>
              <w:t xml:space="preserve"> </w:t>
            </w:r>
            <w:r w:rsidR="00EB55FA">
              <w:t>X</w:t>
            </w:r>
          </w:p>
        </w:tc>
        <w:tc>
          <w:tcPr>
            <w:tcW w:w="605" w:type="dxa"/>
            <w:tcBorders>
              <w:top w:val="single" w:sz="4" w:space="0" w:color="000000"/>
              <w:left w:val="single" w:sz="4" w:space="0" w:color="000000"/>
              <w:bottom w:val="single" w:sz="4" w:space="0" w:color="000000"/>
              <w:right w:val="single" w:sz="4" w:space="0" w:color="000000"/>
            </w:tcBorders>
          </w:tcPr>
          <w:p w14:paraId="19D99317" w14:textId="77777777" w:rsidR="0045673A" w:rsidRDefault="00E17DF3">
            <w:pPr>
              <w:spacing w:after="0" w:line="259" w:lineRule="auto"/>
              <w:ind w:left="0" w:firstLine="0"/>
              <w:jc w:val="left"/>
            </w:pPr>
            <w:r>
              <w:t xml:space="preserve"> </w:t>
            </w:r>
          </w:p>
        </w:tc>
        <w:tc>
          <w:tcPr>
            <w:tcW w:w="607" w:type="dxa"/>
            <w:tcBorders>
              <w:top w:val="single" w:sz="4" w:space="0" w:color="000000"/>
              <w:left w:val="single" w:sz="4" w:space="0" w:color="000000"/>
              <w:bottom w:val="single" w:sz="4" w:space="0" w:color="000000"/>
              <w:right w:val="single" w:sz="4" w:space="0" w:color="000000"/>
            </w:tcBorders>
          </w:tcPr>
          <w:p w14:paraId="4AECA76E" w14:textId="77777777" w:rsidR="0045673A" w:rsidRDefault="00E17DF3">
            <w:pPr>
              <w:spacing w:after="0" w:line="259" w:lineRule="auto"/>
              <w:ind w:left="2" w:firstLine="0"/>
              <w:jc w:val="left"/>
            </w:pPr>
            <w:r>
              <w:t xml:space="preserve"> </w:t>
            </w:r>
          </w:p>
        </w:tc>
        <w:tc>
          <w:tcPr>
            <w:tcW w:w="1001" w:type="dxa"/>
            <w:tcBorders>
              <w:top w:val="single" w:sz="4" w:space="0" w:color="000000"/>
              <w:left w:val="single" w:sz="4" w:space="0" w:color="000000"/>
              <w:bottom w:val="single" w:sz="4" w:space="0" w:color="000000"/>
              <w:right w:val="single" w:sz="4" w:space="0" w:color="000000"/>
            </w:tcBorders>
          </w:tcPr>
          <w:p w14:paraId="73E00B23" w14:textId="77777777" w:rsidR="0045673A" w:rsidRDefault="00E17DF3">
            <w:pPr>
              <w:spacing w:after="0" w:line="259" w:lineRule="auto"/>
              <w:ind w:left="2" w:firstLine="0"/>
              <w:jc w:val="left"/>
            </w:pPr>
            <w:r>
              <w:t xml:space="preserve"> </w:t>
            </w:r>
          </w:p>
        </w:tc>
      </w:tr>
      <w:tr w:rsidR="0045673A" w14:paraId="5A186A89" w14:textId="77777777">
        <w:trPr>
          <w:trHeight w:val="586"/>
        </w:trPr>
        <w:tc>
          <w:tcPr>
            <w:tcW w:w="5027" w:type="dxa"/>
            <w:tcBorders>
              <w:top w:val="single" w:sz="4" w:space="0" w:color="000000"/>
              <w:left w:val="single" w:sz="4" w:space="0" w:color="000000"/>
              <w:bottom w:val="single" w:sz="4" w:space="0" w:color="000000"/>
              <w:right w:val="single" w:sz="4" w:space="0" w:color="000000"/>
            </w:tcBorders>
          </w:tcPr>
          <w:p w14:paraId="3D349BBE" w14:textId="77777777" w:rsidR="0045673A" w:rsidRDefault="00E17DF3">
            <w:pPr>
              <w:spacing w:after="0" w:line="259" w:lineRule="auto"/>
              <w:ind w:left="0" w:firstLine="0"/>
              <w:jc w:val="left"/>
            </w:pPr>
            <w:r>
              <w:t>Other</w:t>
            </w:r>
            <w:r>
              <w:rPr>
                <w:rFonts w:ascii="Calibri" w:eastAsia="Calibri" w:hAnsi="Calibri" w:cs="Calibri"/>
              </w:rPr>
              <w:t xml:space="preserve"> </w:t>
            </w:r>
          </w:p>
        </w:tc>
        <w:tc>
          <w:tcPr>
            <w:tcW w:w="607" w:type="dxa"/>
            <w:tcBorders>
              <w:top w:val="single" w:sz="4" w:space="0" w:color="000000"/>
              <w:left w:val="single" w:sz="4" w:space="0" w:color="000000"/>
              <w:bottom w:val="single" w:sz="4" w:space="0" w:color="000000"/>
              <w:right w:val="single" w:sz="4" w:space="0" w:color="000000"/>
            </w:tcBorders>
          </w:tcPr>
          <w:p w14:paraId="2647A3AA" w14:textId="77777777" w:rsidR="0045673A" w:rsidRDefault="00E17DF3">
            <w:pPr>
              <w:spacing w:after="0" w:line="259" w:lineRule="auto"/>
              <w:ind w:left="0" w:firstLine="0"/>
              <w:jc w:val="left"/>
            </w:pPr>
            <w:r>
              <w:rPr>
                <w:rFonts w:ascii="Calibri" w:eastAsia="Calibri" w:hAnsi="Calibri" w:cs="Calibri"/>
              </w:rPr>
              <w:t xml:space="preserve"> </w:t>
            </w:r>
          </w:p>
        </w:tc>
        <w:tc>
          <w:tcPr>
            <w:tcW w:w="607" w:type="dxa"/>
            <w:tcBorders>
              <w:top w:val="single" w:sz="4" w:space="0" w:color="000000"/>
              <w:left w:val="single" w:sz="4" w:space="0" w:color="000000"/>
              <w:bottom w:val="single" w:sz="4" w:space="0" w:color="000000"/>
              <w:right w:val="single" w:sz="4" w:space="0" w:color="000000"/>
            </w:tcBorders>
          </w:tcPr>
          <w:p w14:paraId="255E69DB" w14:textId="77777777" w:rsidR="0045673A" w:rsidRDefault="00E17DF3">
            <w:pPr>
              <w:spacing w:after="0" w:line="259" w:lineRule="auto"/>
              <w:ind w:left="0" w:firstLine="0"/>
              <w:jc w:val="left"/>
            </w:pPr>
            <w:r>
              <w:rPr>
                <w:rFonts w:ascii="Calibri" w:eastAsia="Calibri" w:hAnsi="Calibri" w:cs="Calibri"/>
              </w:rPr>
              <w:t xml:space="preserve"> </w:t>
            </w:r>
          </w:p>
        </w:tc>
        <w:tc>
          <w:tcPr>
            <w:tcW w:w="608" w:type="dxa"/>
            <w:tcBorders>
              <w:top w:val="single" w:sz="4" w:space="0" w:color="000000"/>
              <w:left w:val="single" w:sz="4" w:space="0" w:color="000000"/>
              <w:bottom w:val="single" w:sz="4" w:space="0" w:color="000000"/>
              <w:right w:val="single" w:sz="4" w:space="0" w:color="000000"/>
            </w:tcBorders>
          </w:tcPr>
          <w:p w14:paraId="320FB9C5" w14:textId="77777777" w:rsidR="0045673A" w:rsidRDefault="00E17DF3">
            <w:pPr>
              <w:spacing w:after="0" w:line="259" w:lineRule="auto"/>
              <w:ind w:left="0" w:firstLine="0"/>
              <w:jc w:val="left"/>
            </w:pPr>
            <w:r>
              <w:rPr>
                <w:rFonts w:ascii="Calibri" w:eastAsia="Calibri" w:hAnsi="Calibri" w:cs="Calibri"/>
              </w:rPr>
              <w:t xml:space="preserve"> </w:t>
            </w:r>
          </w:p>
        </w:tc>
        <w:tc>
          <w:tcPr>
            <w:tcW w:w="605" w:type="dxa"/>
            <w:tcBorders>
              <w:top w:val="single" w:sz="4" w:space="0" w:color="000000"/>
              <w:left w:val="single" w:sz="4" w:space="0" w:color="000000"/>
              <w:bottom w:val="single" w:sz="4" w:space="0" w:color="000000"/>
              <w:right w:val="single" w:sz="4" w:space="0" w:color="000000"/>
            </w:tcBorders>
          </w:tcPr>
          <w:p w14:paraId="205691C9" w14:textId="77777777" w:rsidR="0045673A" w:rsidRDefault="00E17DF3">
            <w:pPr>
              <w:spacing w:after="0" w:line="259" w:lineRule="auto"/>
              <w:ind w:left="0" w:firstLine="0"/>
              <w:jc w:val="left"/>
            </w:pPr>
            <w:r>
              <w:rPr>
                <w:rFonts w:ascii="Calibri" w:eastAsia="Calibri" w:hAnsi="Calibri" w:cs="Calibri"/>
              </w:rPr>
              <w:t xml:space="preserve"> </w:t>
            </w:r>
          </w:p>
        </w:tc>
        <w:tc>
          <w:tcPr>
            <w:tcW w:w="607" w:type="dxa"/>
            <w:tcBorders>
              <w:top w:val="single" w:sz="4" w:space="0" w:color="000000"/>
              <w:left w:val="single" w:sz="4" w:space="0" w:color="000000"/>
              <w:bottom w:val="single" w:sz="4" w:space="0" w:color="000000"/>
              <w:right w:val="single" w:sz="4" w:space="0" w:color="000000"/>
            </w:tcBorders>
          </w:tcPr>
          <w:p w14:paraId="34238FFB" w14:textId="77777777" w:rsidR="0045673A" w:rsidRDefault="00E17DF3">
            <w:pPr>
              <w:spacing w:after="0" w:line="259" w:lineRule="auto"/>
              <w:ind w:left="2" w:firstLine="0"/>
              <w:jc w:val="left"/>
            </w:pPr>
            <w:r>
              <w:rPr>
                <w:rFonts w:ascii="Calibri" w:eastAsia="Calibri" w:hAnsi="Calibri" w:cs="Calibri"/>
              </w:rPr>
              <w:t xml:space="preserve"> </w:t>
            </w:r>
          </w:p>
        </w:tc>
        <w:tc>
          <w:tcPr>
            <w:tcW w:w="1001" w:type="dxa"/>
            <w:tcBorders>
              <w:top w:val="single" w:sz="4" w:space="0" w:color="000000"/>
              <w:left w:val="single" w:sz="4" w:space="0" w:color="000000"/>
              <w:bottom w:val="single" w:sz="4" w:space="0" w:color="000000"/>
              <w:right w:val="single" w:sz="4" w:space="0" w:color="000000"/>
            </w:tcBorders>
          </w:tcPr>
          <w:p w14:paraId="5357605B" w14:textId="7A2A1D1C" w:rsidR="0045673A" w:rsidRDefault="00E17DF3">
            <w:pPr>
              <w:spacing w:after="0" w:line="259" w:lineRule="auto"/>
              <w:ind w:left="2" w:firstLine="0"/>
              <w:jc w:val="left"/>
            </w:pPr>
            <w:r>
              <w:rPr>
                <w:rFonts w:ascii="Calibri" w:eastAsia="Calibri" w:hAnsi="Calibri" w:cs="Calibri"/>
              </w:rPr>
              <w:t xml:space="preserve"> </w:t>
            </w:r>
          </w:p>
        </w:tc>
      </w:tr>
    </w:tbl>
    <w:p w14:paraId="0A193D47" w14:textId="77777777" w:rsidR="00C9123A" w:rsidRDefault="00E17DF3">
      <w:pPr>
        <w:spacing w:after="0" w:line="268" w:lineRule="auto"/>
        <w:ind w:left="-5" w:right="365"/>
        <w:jc w:val="left"/>
        <w:rPr>
          <w:sz w:val="20"/>
        </w:rPr>
      </w:pPr>
      <w:r>
        <w:t xml:space="preserve"> </w:t>
      </w:r>
      <w:r>
        <w:rPr>
          <w:i/>
          <w:sz w:val="20"/>
        </w:rPr>
        <w:t>(1= not at all, 2= to a limited extent, 3= to some extent, 4= to a large extent, 5= to a very large extent)</w:t>
      </w:r>
      <w:r>
        <w:rPr>
          <w:sz w:val="20"/>
        </w:rPr>
        <w:t xml:space="preserve"> </w:t>
      </w:r>
    </w:p>
    <w:p w14:paraId="7F43E6FB" w14:textId="77777777" w:rsidR="00C9123A" w:rsidRDefault="00C9123A">
      <w:pPr>
        <w:spacing w:after="0" w:line="268" w:lineRule="auto"/>
        <w:ind w:left="-5" w:right="365"/>
        <w:jc w:val="left"/>
        <w:rPr>
          <w:b/>
          <w:sz w:val="20"/>
          <w:u w:val="single" w:color="000000"/>
        </w:rPr>
      </w:pPr>
    </w:p>
    <w:p w14:paraId="75BBDDB0" w14:textId="055093D4" w:rsidR="0045673A" w:rsidRDefault="00E17DF3">
      <w:pPr>
        <w:spacing w:after="0" w:line="268" w:lineRule="auto"/>
        <w:ind w:left="-5" w:right="365"/>
        <w:jc w:val="left"/>
      </w:pPr>
      <w:r>
        <w:rPr>
          <w:b/>
          <w:u w:val="single" w:color="000000"/>
        </w:rPr>
        <w:t>Question 1.12.2</w:t>
      </w:r>
      <w:r>
        <w:t xml:space="preserve">: Is the SFDR sufficiently flexible to allow for the use of estimates?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6626E32F"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43349390"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530DC112"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51B4AD80"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1B70D8CD"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5339E705"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6F608DA5" w14:textId="77777777" w:rsidR="0045673A" w:rsidRDefault="00E17DF3">
            <w:pPr>
              <w:spacing w:after="0" w:line="259" w:lineRule="auto"/>
              <w:ind w:left="0" w:right="3" w:firstLine="0"/>
              <w:jc w:val="center"/>
            </w:pPr>
            <w:r>
              <w:t xml:space="preserve">Don’t know </w:t>
            </w:r>
          </w:p>
        </w:tc>
      </w:tr>
      <w:tr w:rsidR="0045673A" w14:paraId="4F0AD8DE" w14:textId="77777777">
        <w:trPr>
          <w:trHeight w:val="533"/>
        </w:trPr>
        <w:tc>
          <w:tcPr>
            <w:tcW w:w="1111" w:type="dxa"/>
            <w:tcBorders>
              <w:top w:val="single" w:sz="6" w:space="0" w:color="000000"/>
              <w:left w:val="single" w:sz="6" w:space="0" w:color="000000"/>
              <w:bottom w:val="single" w:sz="6" w:space="0" w:color="000000"/>
              <w:right w:val="single" w:sz="6" w:space="0" w:color="000000"/>
            </w:tcBorders>
          </w:tcPr>
          <w:p w14:paraId="7CE65FCE"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2CF66AF5" w14:textId="5BFA6FEE" w:rsidR="0045673A" w:rsidRDefault="00E17DF3">
            <w:pPr>
              <w:spacing w:after="0" w:line="259" w:lineRule="auto"/>
              <w:ind w:left="59" w:firstLine="0"/>
              <w:jc w:val="center"/>
            </w:pPr>
            <w:r>
              <w:t xml:space="preserve"> </w:t>
            </w:r>
            <w:r w:rsidR="00384344">
              <w:t>X</w:t>
            </w:r>
          </w:p>
        </w:tc>
        <w:tc>
          <w:tcPr>
            <w:tcW w:w="1094" w:type="dxa"/>
            <w:tcBorders>
              <w:top w:val="single" w:sz="6" w:space="0" w:color="000000"/>
              <w:left w:val="single" w:sz="6" w:space="0" w:color="000000"/>
              <w:bottom w:val="single" w:sz="6" w:space="0" w:color="000000"/>
              <w:right w:val="single" w:sz="6" w:space="0" w:color="000000"/>
            </w:tcBorders>
          </w:tcPr>
          <w:p w14:paraId="0471FC12" w14:textId="77777777" w:rsidR="0045673A" w:rsidRDefault="00E17DF3">
            <w:pPr>
              <w:spacing w:after="0" w:line="259" w:lineRule="auto"/>
              <w:ind w:left="60"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23DFE175" w14:textId="318D4767" w:rsidR="0045673A" w:rsidRDefault="0045673A" w:rsidP="00C9123A">
            <w:pPr>
              <w:spacing w:after="0" w:line="259" w:lineRule="auto"/>
              <w:ind w:left="60" w:firstLine="0"/>
            </w:pPr>
          </w:p>
        </w:tc>
        <w:tc>
          <w:tcPr>
            <w:tcW w:w="1025" w:type="dxa"/>
            <w:tcBorders>
              <w:top w:val="single" w:sz="6" w:space="0" w:color="000000"/>
              <w:left w:val="single" w:sz="6" w:space="0" w:color="000000"/>
              <w:bottom w:val="single" w:sz="6" w:space="0" w:color="000000"/>
              <w:right w:val="single" w:sz="6" w:space="0" w:color="000000"/>
            </w:tcBorders>
          </w:tcPr>
          <w:p w14:paraId="5ED911B4"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48891C2D" w14:textId="77777777" w:rsidR="0045673A" w:rsidRDefault="00E17DF3">
            <w:pPr>
              <w:spacing w:after="0" w:line="259" w:lineRule="auto"/>
              <w:ind w:left="63" w:firstLine="0"/>
              <w:jc w:val="center"/>
            </w:pPr>
            <w:r>
              <w:t xml:space="preserve"> </w:t>
            </w:r>
          </w:p>
        </w:tc>
      </w:tr>
    </w:tbl>
    <w:p w14:paraId="22217DF7" w14:textId="77777777" w:rsidR="005516AE" w:rsidRDefault="00E17DF3">
      <w:pPr>
        <w:spacing w:after="0" w:line="268" w:lineRule="auto"/>
        <w:ind w:left="-5" w:right="365"/>
        <w:jc w:val="left"/>
        <w:rPr>
          <w:sz w:val="20"/>
        </w:rPr>
      </w:pPr>
      <w:r>
        <w:rPr>
          <w:i/>
          <w:sz w:val="20"/>
        </w:rPr>
        <w:t>(1= not at all, 2= to a limited extent, 3= to some extent, 4= to a large extent, 5= to a very large extent)</w:t>
      </w:r>
      <w:r>
        <w:rPr>
          <w:sz w:val="20"/>
        </w:rPr>
        <w:t xml:space="preserve"> </w:t>
      </w:r>
    </w:p>
    <w:p w14:paraId="26BCD919" w14:textId="77777777" w:rsidR="005516AE" w:rsidRDefault="005516AE">
      <w:pPr>
        <w:spacing w:after="0" w:line="268" w:lineRule="auto"/>
        <w:ind w:left="-5" w:right="365"/>
        <w:jc w:val="left"/>
        <w:rPr>
          <w:b/>
          <w:sz w:val="20"/>
          <w:u w:val="single" w:color="000000"/>
        </w:rPr>
      </w:pPr>
    </w:p>
    <w:p w14:paraId="6E2E936A" w14:textId="79EA25E6" w:rsidR="0045673A" w:rsidRDefault="00E17DF3">
      <w:pPr>
        <w:spacing w:after="0" w:line="268" w:lineRule="auto"/>
        <w:ind w:left="-5" w:right="365"/>
        <w:jc w:val="left"/>
      </w:pPr>
      <w:r>
        <w:rPr>
          <w:b/>
          <w:u w:val="single" w:color="000000"/>
        </w:rPr>
        <w:t>Question 1.12.3</w:t>
      </w:r>
      <w:r>
        <w:t xml:space="preserve">: Is it clear what kind of estimates are allowed by the SFDR?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4A9C6976"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0BDA3063"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4C7F0893"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4078DB99"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778D6182"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05E2ABC5"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63E45BA3" w14:textId="77777777" w:rsidR="0045673A" w:rsidRDefault="00E17DF3">
            <w:pPr>
              <w:spacing w:after="0" w:line="259" w:lineRule="auto"/>
              <w:ind w:left="0" w:right="3" w:firstLine="0"/>
              <w:jc w:val="center"/>
            </w:pPr>
            <w:r>
              <w:t xml:space="preserve">Don’t know </w:t>
            </w:r>
          </w:p>
        </w:tc>
      </w:tr>
      <w:tr w:rsidR="0045673A" w14:paraId="6D2D81A3" w14:textId="77777777">
        <w:trPr>
          <w:trHeight w:val="531"/>
        </w:trPr>
        <w:tc>
          <w:tcPr>
            <w:tcW w:w="1111" w:type="dxa"/>
            <w:tcBorders>
              <w:top w:val="single" w:sz="6" w:space="0" w:color="000000"/>
              <w:left w:val="single" w:sz="6" w:space="0" w:color="000000"/>
              <w:bottom w:val="single" w:sz="6" w:space="0" w:color="000000"/>
              <w:right w:val="single" w:sz="6" w:space="0" w:color="000000"/>
            </w:tcBorders>
          </w:tcPr>
          <w:p w14:paraId="6D86A743"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61CB958C" w14:textId="00E06EC3" w:rsidR="0045673A" w:rsidRDefault="00E17DF3">
            <w:pPr>
              <w:spacing w:after="0" w:line="259" w:lineRule="auto"/>
              <w:ind w:left="59" w:firstLine="0"/>
              <w:jc w:val="center"/>
            </w:pPr>
            <w:r>
              <w:t xml:space="preserve"> </w:t>
            </w:r>
            <w:r w:rsidR="00EB55FA">
              <w:t>X</w:t>
            </w:r>
          </w:p>
        </w:tc>
        <w:tc>
          <w:tcPr>
            <w:tcW w:w="1094" w:type="dxa"/>
            <w:tcBorders>
              <w:top w:val="single" w:sz="6" w:space="0" w:color="000000"/>
              <w:left w:val="single" w:sz="6" w:space="0" w:color="000000"/>
              <w:bottom w:val="single" w:sz="6" w:space="0" w:color="000000"/>
              <w:right w:val="single" w:sz="6" w:space="0" w:color="000000"/>
            </w:tcBorders>
          </w:tcPr>
          <w:p w14:paraId="5A34FE64" w14:textId="5E3A6278" w:rsidR="0045673A" w:rsidRDefault="0045673A">
            <w:pPr>
              <w:spacing w:after="0" w:line="259" w:lineRule="auto"/>
              <w:ind w:left="60" w:firstLine="0"/>
              <w:jc w:val="center"/>
            </w:pPr>
          </w:p>
        </w:tc>
        <w:tc>
          <w:tcPr>
            <w:tcW w:w="1095" w:type="dxa"/>
            <w:tcBorders>
              <w:top w:val="single" w:sz="6" w:space="0" w:color="000000"/>
              <w:left w:val="single" w:sz="6" w:space="0" w:color="000000"/>
              <w:bottom w:val="single" w:sz="6" w:space="0" w:color="000000"/>
              <w:right w:val="single" w:sz="6" w:space="0" w:color="000000"/>
            </w:tcBorders>
          </w:tcPr>
          <w:p w14:paraId="3E1016B3" w14:textId="77777777" w:rsidR="0045673A" w:rsidRDefault="00E17DF3">
            <w:pPr>
              <w:spacing w:after="0" w:line="259" w:lineRule="auto"/>
              <w:ind w:left="60" w:firstLine="0"/>
              <w:jc w:val="center"/>
            </w:pPr>
            <w:r>
              <w:t xml:space="preserve"> </w:t>
            </w:r>
          </w:p>
        </w:tc>
        <w:tc>
          <w:tcPr>
            <w:tcW w:w="1025" w:type="dxa"/>
            <w:tcBorders>
              <w:top w:val="single" w:sz="6" w:space="0" w:color="000000"/>
              <w:left w:val="single" w:sz="6" w:space="0" w:color="000000"/>
              <w:bottom w:val="single" w:sz="6" w:space="0" w:color="000000"/>
              <w:right w:val="single" w:sz="6" w:space="0" w:color="000000"/>
            </w:tcBorders>
          </w:tcPr>
          <w:p w14:paraId="0A4398BD"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5E47379E" w14:textId="77777777" w:rsidR="0045673A" w:rsidRDefault="00E17DF3">
            <w:pPr>
              <w:spacing w:after="0" w:line="259" w:lineRule="auto"/>
              <w:ind w:left="63" w:firstLine="0"/>
              <w:jc w:val="center"/>
            </w:pPr>
            <w:r>
              <w:t xml:space="preserve"> </w:t>
            </w:r>
          </w:p>
        </w:tc>
      </w:tr>
    </w:tbl>
    <w:p w14:paraId="05D330DF" w14:textId="4F777BA7" w:rsidR="0045673A" w:rsidRDefault="00E17DF3">
      <w:pPr>
        <w:spacing w:after="0" w:line="268" w:lineRule="auto"/>
        <w:ind w:left="-5" w:right="365"/>
        <w:jc w:val="left"/>
        <w:rPr>
          <w:sz w:val="20"/>
        </w:rPr>
      </w:pPr>
      <w:r>
        <w:rPr>
          <w:i/>
          <w:sz w:val="20"/>
        </w:rPr>
        <w:t>(1= not at all, 2= to a limited extent, 3= to some extent, 4= to a large extent, 5= to a very large extent)</w:t>
      </w:r>
      <w:r>
        <w:rPr>
          <w:sz w:val="20"/>
        </w:rPr>
        <w:t xml:space="preserve"> </w:t>
      </w:r>
    </w:p>
    <w:p w14:paraId="35CF8AB6" w14:textId="77777777" w:rsidR="005516AE" w:rsidRDefault="005516AE">
      <w:pPr>
        <w:spacing w:after="0" w:line="268" w:lineRule="auto"/>
        <w:ind w:left="-5" w:right="365"/>
        <w:jc w:val="left"/>
      </w:pPr>
    </w:p>
    <w:p w14:paraId="120688CC" w14:textId="77777777" w:rsidR="0045673A" w:rsidRDefault="00E17DF3">
      <w:pPr>
        <w:ind w:right="643"/>
      </w:pPr>
      <w:r>
        <w:rPr>
          <w:b/>
          <w:u w:val="single" w:color="000000"/>
        </w:rPr>
        <w:t>Question 1.12.4</w:t>
      </w:r>
      <w:r>
        <w:t xml:space="preserve">: If you use estimates, what kind of estimates do you use to fill the data gap? </w:t>
      </w:r>
      <w:r>
        <w:rPr>
          <w:i/>
        </w:rPr>
        <w:t xml:space="preserve"> </w:t>
      </w:r>
    </w:p>
    <w:p w14:paraId="68BAF28F" w14:textId="56511FBA" w:rsidR="0045673A" w:rsidRDefault="00E17DF3">
      <w:pPr>
        <w:spacing w:after="245" w:line="268" w:lineRule="auto"/>
        <w:ind w:left="-5" w:right="365"/>
        <w:jc w:val="left"/>
        <w:rPr>
          <w:sz w:val="20"/>
        </w:rPr>
      </w:pPr>
      <w:r>
        <w:rPr>
          <w:i/>
          <w:sz w:val="20"/>
        </w:rPr>
        <w:t>not at all, 2= to a limited extent, 3= to some extent, 4= to a large extent, 5= to a very large extent)</w:t>
      </w:r>
      <w:r>
        <w:rPr>
          <w:sz w:val="20"/>
        </w:rPr>
        <w:t xml:space="preserve"> </w:t>
      </w:r>
    </w:p>
    <w:p w14:paraId="1B9196ED" w14:textId="51E503BA" w:rsidR="00AD25D4" w:rsidRPr="00AD25D4" w:rsidRDefault="00AD25D4" w:rsidP="00AD25D4">
      <w:pPr>
        <w:pStyle w:val="ListParagraph"/>
        <w:numPr>
          <w:ilvl w:val="0"/>
          <w:numId w:val="6"/>
        </w:numPr>
        <w:spacing w:after="245" w:line="268" w:lineRule="auto"/>
        <w:ind w:right="365"/>
        <w:jc w:val="left"/>
        <w:rPr>
          <w:b/>
          <w:bCs/>
          <w:sz w:val="20"/>
        </w:rPr>
      </w:pPr>
      <w:r w:rsidRPr="00AD25D4">
        <w:rPr>
          <w:b/>
          <w:bCs/>
        </w:rPr>
        <w:t>Entity level principal adverse impacts</w:t>
      </w:r>
    </w:p>
    <w:tbl>
      <w:tblPr>
        <w:tblW w:w="9249" w:type="dxa"/>
        <w:tblCellMar>
          <w:top w:w="19" w:type="dxa"/>
          <w:right w:w="51" w:type="dxa"/>
        </w:tblCellMar>
        <w:tblLook w:val="04A0" w:firstRow="1" w:lastRow="0" w:firstColumn="1" w:lastColumn="0" w:noHBand="0" w:noVBand="1"/>
      </w:tblPr>
      <w:tblGrid>
        <w:gridCol w:w="4526"/>
        <w:gridCol w:w="709"/>
        <w:gridCol w:w="851"/>
        <w:gridCol w:w="708"/>
        <w:gridCol w:w="709"/>
        <w:gridCol w:w="709"/>
        <w:gridCol w:w="1037"/>
      </w:tblGrid>
      <w:tr w:rsidR="0063754E" w14:paraId="6A93D5CF" w14:textId="01642D89" w:rsidTr="0063754E">
        <w:trPr>
          <w:trHeight w:val="1529"/>
        </w:trPr>
        <w:tc>
          <w:tcPr>
            <w:tcW w:w="4526" w:type="dxa"/>
            <w:tcBorders>
              <w:top w:val="single" w:sz="8" w:space="0" w:color="000000"/>
              <w:left w:val="single" w:sz="8" w:space="0" w:color="000000"/>
              <w:bottom w:val="single" w:sz="8" w:space="0" w:color="000000"/>
              <w:right w:val="single" w:sz="8" w:space="0" w:color="000000"/>
            </w:tcBorders>
          </w:tcPr>
          <w:p w14:paraId="238F92C9" w14:textId="77777777" w:rsidR="0063754E" w:rsidRDefault="0063754E" w:rsidP="0063754E">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55FEFB11" w14:textId="004CB6AB" w:rsidR="0063754E" w:rsidRDefault="0063754E" w:rsidP="0063754E">
            <w:pPr>
              <w:spacing w:after="0" w:line="259" w:lineRule="auto"/>
              <w:ind w:left="38" w:hanging="38"/>
              <w:jc w:val="center"/>
            </w:pPr>
            <w:r>
              <w:t xml:space="preserve">1 </w:t>
            </w:r>
          </w:p>
        </w:tc>
        <w:tc>
          <w:tcPr>
            <w:tcW w:w="851" w:type="dxa"/>
            <w:tcBorders>
              <w:top w:val="single" w:sz="8" w:space="0" w:color="000000"/>
              <w:left w:val="single" w:sz="8" w:space="0" w:color="000000"/>
              <w:bottom w:val="single" w:sz="8" w:space="0" w:color="000000"/>
              <w:right w:val="single" w:sz="8" w:space="0" w:color="000000"/>
            </w:tcBorders>
          </w:tcPr>
          <w:p w14:paraId="12B794D0" w14:textId="1A087CFD" w:rsidR="0063754E" w:rsidRDefault="0063754E" w:rsidP="0063754E">
            <w:pPr>
              <w:spacing w:after="0" w:line="259" w:lineRule="auto"/>
              <w:ind w:left="55" w:firstLine="0"/>
              <w:jc w:val="left"/>
            </w:pPr>
            <w:r>
              <w:t xml:space="preserve">2 </w:t>
            </w:r>
          </w:p>
        </w:tc>
        <w:tc>
          <w:tcPr>
            <w:tcW w:w="708" w:type="dxa"/>
            <w:tcBorders>
              <w:top w:val="single" w:sz="8" w:space="0" w:color="000000"/>
              <w:left w:val="single" w:sz="8" w:space="0" w:color="000000"/>
              <w:bottom w:val="single" w:sz="8" w:space="0" w:color="000000"/>
              <w:right w:val="single" w:sz="8" w:space="0" w:color="000000"/>
            </w:tcBorders>
          </w:tcPr>
          <w:p w14:paraId="2487FC69" w14:textId="52AFB899" w:rsidR="0063754E" w:rsidRDefault="0063754E" w:rsidP="0063754E">
            <w:pPr>
              <w:spacing w:after="0" w:line="259" w:lineRule="auto"/>
              <w:ind w:left="55" w:firstLine="0"/>
              <w:jc w:val="left"/>
            </w:pPr>
            <w:r>
              <w:t xml:space="preserve">3 </w:t>
            </w:r>
          </w:p>
        </w:tc>
        <w:tc>
          <w:tcPr>
            <w:tcW w:w="709" w:type="dxa"/>
            <w:tcBorders>
              <w:top w:val="single" w:sz="8" w:space="0" w:color="000000"/>
              <w:left w:val="single" w:sz="8" w:space="0" w:color="000000"/>
              <w:bottom w:val="single" w:sz="8" w:space="0" w:color="000000"/>
              <w:right w:val="single" w:sz="8" w:space="0" w:color="000000"/>
            </w:tcBorders>
          </w:tcPr>
          <w:p w14:paraId="0FEAFFAB" w14:textId="3A49A0C0" w:rsidR="0063754E" w:rsidRDefault="0063754E" w:rsidP="0063754E">
            <w:pPr>
              <w:spacing w:after="0" w:line="259" w:lineRule="auto"/>
              <w:ind w:left="0" w:right="57" w:firstLine="0"/>
              <w:jc w:val="center"/>
            </w:pPr>
            <w:r>
              <w:t xml:space="preserve">4 </w:t>
            </w:r>
          </w:p>
        </w:tc>
        <w:tc>
          <w:tcPr>
            <w:tcW w:w="709" w:type="dxa"/>
            <w:tcBorders>
              <w:top w:val="single" w:sz="8" w:space="0" w:color="000000"/>
              <w:left w:val="single" w:sz="8" w:space="0" w:color="000000"/>
              <w:bottom w:val="single" w:sz="8" w:space="0" w:color="000000"/>
              <w:right w:val="single" w:sz="8" w:space="0" w:color="000000"/>
            </w:tcBorders>
          </w:tcPr>
          <w:p w14:paraId="455F0D73" w14:textId="35A8C9A1" w:rsidR="0063754E" w:rsidRDefault="0063754E" w:rsidP="0063754E">
            <w:pPr>
              <w:spacing w:after="0" w:line="259" w:lineRule="auto"/>
              <w:ind w:left="0" w:right="57" w:firstLine="0"/>
              <w:jc w:val="center"/>
            </w:pPr>
            <w:r>
              <w:t xml:space="preserve">5 </w:t>
            </w:r>
          </w:p>
        </w:tc>
        <w:tc>
          <w:tcPr>
            <w:tcW w:w="1037" w:type="dxa"/>
            <w:tcBorders>
              <w:top w:val="single" w:sz="8" w:space="0" w:color="000000"/>
              <w:left w:val="single" w:sz="8" w:space="0" w:color="000000"/>
              <w:bottom w:val="single" w:sz="8" w:space="0" w:color="000000"/>
              <w:right w:val="single" w:sz="8" w:space="0" w:color="000000"/>
            </w:tcBorders>
          </w:tcPr>
          <w:p w14:paraId="7B339B83" w14:textId="274C0433" w:rsidR="0063754E" w:rsidRDefault="0063754E" w:rsidP="0063754E">
            <w:pPr>
              <w:spacing w:after="0" w:line="259" w:lineRule="auto"/>
              <w:ind w:left="0" w:right="57" w:firstLine="0"/>
              <w:jc w:val="center"/>
            </w:pPr>
            <w:r>
              <w:t xml:space="preserve">Don’t know </w:t>
            </w:r>
          </w:p>
        </w:tc>
      </w:tr>
      <w:tr w:rsidR="00EB55FA" w14:paraId="77B3BAFB" w14:textId="05E1DA05" w:rsidTr="0063754E">
        <w:trPr>
          <w:trHeight w:val="1364"/>
        </w:trPr>
        <w:tc>
          <w:tcPr>
            <w:tcW w:w="4526" w:type="dxa"/>
            <w:tcBorders>
              <w:top w:val="single" w:sz="8" w:space="0" w:color="000000"/>
              <w:left w:val="single" w:sz="8" w:space="0" w:color="000000"/>
              <w:bottom w:val="single" w:sz="8" w:space="0" w:color="000000"/>
              <w:right w:val="single" w:sz="8" w:space="0" w:color="000000"/>
            </w:tcBorders>
          </w:tcPr>
          <w:p w14:paraId="447E48A8" w14:textId="77777777" w:rsidR="00EB55FA" w:rsidRDefault="00EB55FA" w:rsidP="00EB55FA">
            <w:pPr>
              <w:spacing w:after="0" w:line="259" w:lineRule="auto"/>
              <w:ind w:left="0" w:right="60" w:firstLine="0"/>
            </w:pPr>
            <w:r>
              <w:t xml:space="preserve">Estimates from data providers, based on data coming from the investee companies  </w:t>
            </w:r>
          </w:p>
        </w:tc>
        <w:tc>
          <w:tcPr>
            <w:tcW w:w="709" w:type="dxa"/>
            <w:tcBorders>
              <w:top w:val="single" w:sz="8" w:space="0" w:color="000000"/>
              <w:left w:val="single" w:sz="8" w:space="0" w:color="000000"/>
              <w:bottom w:val="single" w:sz="8" w:space="0" w:color="000000"/>
              <w:right w:val="single" w:sz="8" w:space="0" w:color="000000"/>
            </w:tcBorders>
          </w:tcPr>
          <w:p w14:paraId="3BB6226F" w14:textId="2EC056F9" w:rsidR="00EB55FA" w:rsidRDefault="00EB55FA" w:rsidP="00EB55FA">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5553C827" w14:textId="4E97C07D" w:rsidR="00EB55FA" w:rsidRDefault="00EB55FA" w:rsidP="00EB55FA">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0A32531E" w14:textId="68924617" w:rsidR="00EB55FA" w:rsidRDefault="00EB55FA" w:rsidP="00EB55FA">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47AB5C4C" w14:textId="7FAE9B8C" w:rsidR="00EB55FA" w:rsidRDefault="00EB55FA" w:rsidP="00EB55FA">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1400A482" w14:textId="672B3574" w:rsidR="00EB55FA" w:rsidRDefault="00EB55FA" w:rsidP="00EB55FA">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4475A059" w14:textId="08DD9B6C" w:rsidR="00EB55FA" w:rsidRDefault="00EB55FA" w:rsidP="00EB55FA">
            <w:pPr>
              <w:spacing w:after="0" w:line="259" w:lineRule="auto"/>
              <w:ind w:left="2" w:firstLine="0"/>
              <w:jc w:val="left"/>
            </w:pPr>
          </w:p>
        </w:tc>
      </w:tr>
      <w:tr w:rsidR="00EB55FA" w14:paraId="6E750DE7" w14:textId="6F954873" w:rsidTr="0063754E">
        <w:trPr>
          <w:trHeight w:val="1090"/>
        </w:trPr>
        <w:tc>
          <w:tcPr>
            <w:tcW w:w="4526" w:type="dxa"/>
            <w:tcBorders>
              <w:top w:val="single" w:sz="8" w:space="0" w:color="000000"/>
              <w:left w:val="single" w:sz="8" w:space="0" w:color="000000"/>
              <w:bottom w:val="single" w:sz="8" w:space="0" w:color="000000"/>
              <w:right w:val="single" w:sz="8" w:space="0" w:color="000000"/>
            </w:tcBorders>
          </w:tcPr>
          <w:p w14:paraId="45193262" w14:textId="77777777" w:rsidR="00EB55FA" w:rsidRDefault="00EB55FA" w:rsidP="00EB55FA">
            <w:pPr>
              <w:spacing w:after="0" w:line="259" w:lineRule="auto"/>
              <w:ind w:left="0" w:right="60" w:firstLine="0"/>
            </w:pPr>
            <w:r>
              <w:t xml:space="preserve">Estimates from data providers, based on data coming from other sources </w:t>
            </w:r>
          </w:p>
        </w:tc>
        <w:tc>
          <w:tcPr>
            <w:tcW w:w="709" w:type="dxa"/>
            <w:tcBorders>
              <w:top w:val="single" w:sz="8" w:space="0" w:color="000000"/>
              <w:left w:val="single" w:sz="8" w:space="0" w:color="000000"/>
              <w:bottom w:val="single" w:sz="8" w:space="0" w:color="000000"/>
              <w:right w:val="single" w:sz="8" w:space="0" w:color="000000"/>
            </w:tcBorders>
          </w:tcPr>
          <w:p w14:paraId="72AEB589" w14:textId="16B5E41B" w:rsidR="00EB55FA" w:rsidRDefault="00EB55FA" w:rsidP="00EB55FA">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3377441A" w14:textId="0E1A0170" w:rsidR="00EB55FA" w:rsidRDefault="00EB55FA" w:rsidP="00EB55FA">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017C72B0" w14:textId="12241A84" w:rsidR="00EB55FA" w:rsidRDefault="00EB55FA" w:rsidP="00EB55FA">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1E488A3A" w14:textId="4CDB3F9C" w:rsidR="00EB55FA" w:rsidRDefault="00EB55FA" w:rsidP="00EB55FA">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5FEBA711" w14:textId="23D566F3" w:rsidR="00EB55FA" w:rsidRDefault="00EB55FA" w:rsidP="00EB55FA">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4D0966FA" w14:textId="2E881436" w:rsidR="00EB55FA" w:rsidRDefault="00EB55FA" w:rsidP="00EB55FA">
            <w:pPr>
              <w:spacing w:after="0" w:line="259" w:lineRule="auto"/>
              <w:ind w:left="2" w:firstLine="0"/>
              <w:jc w:val="left"/>
            </w:pPr>
          </w:p>
        </w:tc>
      </w:tr>
      <w:tr w:rsidR="00EB55FA" w14:paraId="18026C3D" w14:textId="7CC060C1" w:rsidTr="0063754E">
        <w:trPr>
          <w:trHeight w:val="595"/>
        </w:trPr>
        <w:tc>
          <w:tcPr>
            <w:tcW w:w="4526" w:type="dxa"/>
            <w:tcBorders>
              <w:top w:val="single" w:sz="8" w:space="0" w:color="000000"/>
              <w:left w:val="single" w:sz="8" w:space="0" w:color="000000"/>
              <w:bottom w:val="single" w:sz="8" w:space="0" w:color="000000"/>
              <w:right w:val="single" w:sz="8" w:space="0" w:color="000000"/>
            </w:tcBorders>
          </w:tcPr>
          <w:p w14:paraId="1BA34D75" w14:textId="77777777" w:rsidR="00EB55FA" w:rsidRDefault="00EB55FA" w:rsidP="00EB55FA">
            <w:pPr>
              <w:spacing w:after="0" w:line="259" w:lineRule="auto"/>
              <w:ind w:left="0" w:firstLine="0"/>
              <w:jc w:val="left"/>
            </w:pPr>
            <w:r>
              <w:t>In-house estimates</w:t>
            </w:r>
            <w:r>
              <w:rPr>
                <w:rFonts w:ascii="Calibri" w:eastAsia="Calibri" w:hAnsi="Calibri" w:cs="Calibri"/>
              </w:rPr>
              <w:t xml:space="preserve"> </w:t>
            </w:r>
          </w:p>
        </w:tc>
        <w:tc>
          <w:tcPr>
            <w:tcW w:w="709" w:type="dxa"/>
            <w:tcBorders>
              <w:top w:val="single" w:sz="8" w:space="0" w:color="000000"/>
              <w:left w:val="single" w:sz="8" w:space="0" w:color="000000"/>
              <w:bottom w:val="single" w:sz="8" w:space="0" w:color="000000"/>
              <w:right w:val="single" w:sz="8" w:space="0" w:color="000000"/>
            </w:tcBorders>
          </w:tcPr>
          <w:p w14:paraId="62DF42C4" w14:textId="7E0F0139" w:rsidR="00EB55FA" w:rsidRDefault="00EB55FA" w:rsidP="00EB55FA">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2A113B10" w14:textId="472553DC" w:rsidR="00EB55FA" w:rsidRDefault="00EB55FA" w:rsidP="00EB55FA">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721390D4" w14:textId="30870707" w:rsidR="00EB55FA" w:rsidRDefault="00EB55FA" w:rsidP="00EB55FA">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73A801CF" w14:textId="286E74E4" w:rsidR="00EB55FA" w:rsidRDefault="00EB55FA" w:rsidP="00EB55FA">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0F5A5884" w14:textId="5AFC9F0C" w:rsidR="00EB55FA" w:rsidRDefault="00EB55FA" w:rsidP="00EB55FA">
            <w:pPr>
              <w:spacing w:after="0" w:line="259" w:lineRule="auto"/>
              <w:ind w:left="2" w:firstLine="0"/>
              <w:jc w:val="left"/>
              <w:rPr>
                <w:rFonts w:ascii="Calibri" w:eastAsia="Calibri" w:hAnsi="Calibri" w:cs="Calibri"/>
              </w:rPr>
            </w:pPr>
          </w:p>
        </w:tc>
        <w:tc>
          <w:tcPr>
            <w:tcW w:w="1037" w:type="dxa"/>
            <w:tcBorders>
              <w:top w:val="single" w:sz="8" w:space="0" w:color="000000"/>
              <w:left w:val="single" w:sz="8" w:space="0" w:color="000000"/>
              <w:bottom w:val="single" w:sz="8" w:space="0" w:color="000000"/>
              <w:right w:val="single" w:sz="8" w:space="0" w:color="000000"/>
            </w:tcBorders>
          </w:tcPr>
          <w:p w14:paraId="7B4CC771" w14:textId="357C2D5D" w:rsidR="00EB55FA" w:rsidRDefault="00EB55FA" w:rsidP="00EB55FA">
            <w:pPr>
              <w:spacing w:after="0" w:line="259" w:lineRule="auto"/>
              <w:ind w:left="2" w:firstLine="0"/>
              <w:jc w:val="left"/>
              <w:rPr>
                <w:rFonts w:ascii="Calibri" w:eastAsia="Calibri" w:hAnsi="Calibri" w:cs="Calibri"/>
              </w:rPr>
            </w:pPr>
          </w:p>
        </w:tc>
      </w:tr>
      <w:tr w:rsidR="00EB55FA" w14:paraId="42E1BED0" w14:textId="4B8C39A7" w:rsidTr="0063754E">
        <w:trPr>
          <w:trHeight w:val="578"/>
        </w:trPr>
        <w:tc>
          <w:tcPr>
            <w:tcW w:w="4526" w:type="dxa"/>
            <w:tcBorders>
              <w:top w:val="single" w:sz="8" w:space="0" w:color="000000"/>
              <w:left w:val="single" w:sz="8" w:space="0" w:color="000000"/>
              <w:bottom w:val="single" w:sz="8" w:space="0" w:color="000000"/>
              <w:right w:val="single" w:sz="8" w:space="0" w:color="000000"/>
            </w:tcBorders>
          </w:tcPr>
          <w:p w14:paraId="2FFF210D" w14:textId="77777777" w:rsidR="00EB55FA" w:rsidRDefault="00EB55FA" w:rsidP="00EB55FA">
            <w:pPr>
              <w:spacing w:after="0" w:line="259" w:lineRule="auto"/>
              <w:ind w:left="0" w:firstLine="0"/>
              <w:jc w:val="left"/>
            </w:pPr>
            <w:r>
              <w:t xml:space="preserve">Internal ESG score models </w:t>
            </w:r>
          </w:p>
        </w:tc>
        <w:tc>
          <w:tcPr>
            <w:tcW w:w="709" w:type="dxa"/>
            <w:tcBorders>
              <w:top w:val="single" w:sz="8" w:space="0" w:color="000000"/>
              <w:left w:val="single" w:sz="8" w:space="0" w:color="000000"/>
              <w:bottom w:val="single" w:sz="8" w:space="0" w:color="000000"/>
              <w:right w:val="single" w:sz="8" w:space="0" w:color="000000"/>
            </w:tcBorders>
          </w:tcPr>
          <w:p w14:paraId="69A3AEBC" w14:textId="1FE70DE8" w:rsidR="00EB55FA" w:rsidRDefault="00EB55FA" w:rsidP="00EB55FA">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47735948" w14:textId="2DC955A3" w:rsidR="00EB55FA" w:rsidRDefault="00EB55FA" w:rsidP="00EB55FA">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2F350A15" w14:textId="203BB632" w:rsidR="00EB55FA" w:rsidRDefault="00EB55FA" w:rsidP="00EB55FA">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20D082D3" w14:textId="72CF92B2" w:rsidR="00EB55FA" w:rsidRDefault="00EB55FA" w:rsidP="00EB55FA">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7A379F28" w14:textId="20AEF3E6" w:rsidR="00EB55FA" w:rsidRDefault="00EB55FA" w:rsidP="00EB55FA">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5D8CA265" w14:textId="77E52924" w:rsidR="00EB55FA" w:rsidRDefault="00EB55FA" w:rsidP="00EB55FA">
            <w:pPr>
              <w:spacing w:after="0" w:line="259" w:lineRule="auto"/>
              <w:ind w:left="2" w:firstLine="0"/>
              <w:jc w:val="left"/>
            </w:pPr>
          </w:p>
        </w:tc>
      </w:tr>
      <w:tr w:rsidR="00EB55FA" w14:paraId="10DEDA3F" w14:textId="773ED7A7" w:rsidTr="0063754E">
        <w:trPr>
          <w:trHeight w:val="576"/>
        </w:trPr>
        <w:tc>
          <w:tcPr>
            <w:tcW w:w="4526" w:type="dxa"/>
            <w:tcBorders>
              <w:top w:val="single" w:sz="8" w:space="0" w:color="000000"/>
              <w:left w:val="single" w:sz="8" w:space="0" w:color="000000"/>
              <w:bottom w:val="single" w:sz="8" w:space="0" w:color="000000"/>
              <w:right w:val="single" w:sz="8" w:space="0" w:color="000000"/>
            </w:tcBorders>
          </w:tcPr>
          <w:p w14:paraId="69620003" w14:textId="77777777" w:rsidR="00EB55FA" w:rsidRDefault="00EB55FA" w:rsidP="00EB55FA">
            <w:pPr>
              <w:spacing w:after="0" w:line="259" w:lineRule="auto"/>
              <w:ind w:left="0" w:firstLine="0"/>
              <w:jc w:val="left"/>
            </w:pPr>
            <w:r>
              <w:t xml:space="preserve">External ESG score models </w:t>
            </w:r>
          </w:p>
        </w:tc>
        <w:tc>
          <w:tcPr>
            <w:tcW w:w="709" w:type="dxa"/>
            <w:tcBorders>
              <w:top w:val="single" w:sz="8" w:space="0" w:color="000000"/>
              <w:left w:val="single" w:sz="8" w:space="0" w:color="000000"/>
              <w:bottom w:val="single" w:sz="8" w:space="0" w:color="000000"/>
              <w:right w:val="single" w:sz="8" w:space="0" w:color="000000"/>
            </w:tcBorders>
          </w:tcPr>
          <w:p w14:paraId="6FA753BF" w14:textId="3BE11B9E" w:rsidR="00EB55FA" w:rsidRDefault="00EB55FA" w:rsidP="00EB55FA">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0144AC5E" w14:textId="7CA40858" w:rsidR="00EB55FA" w:rsidRDefault="00EB55FA" w:rsidP="00EB55FA">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42954DDE" w14:textId="397C9D1C" w:rsidR="00EB55FA" w:rsidRDefault="00EB55FA" w:rsidP="00EB55FA">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74D90E92" w14:textId="5D58FA06" w:rsidR="00EB55FA" w:rsidRDefault="00EB55FA" w:rsidP="00EB55FA">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4610E2F0" w14:textId="7E0D3FE4" w:rsidR="00EB55FA" w:rsidRDefault="00EB55FA" w:rsidP="00EB55FA">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40E40F23" w14:textId="2D683A8C" w:rsidR="00EB55FA" w:rsidRDefault="00EB55FA" w:rsidP="00EB55FA">
            <w:pPr>
              <w:spacing w:after="0" w:line="259" w:lineRule="auto"/>
              <w:ind w:left="2" w:firstLine="0"/>
              <w:jc w:val="left"/>
            </w:pPr>
          </w:p>
        </w:tc>
      </w:tr>
      <w:tr w:rsidR="0063754E" w14:paraId="69CFB918" w14:textId="08259A18" w:rsidTr="0063754E">
        <w:trPr>
          <w:trHeight w:val="579"/>
        </w:trPr>
        <w:tc>
          <w:tcPr>
            <w:tcW w:w="4526" w:type="dxa"/>
            <w:tcBorders>
              <w:top w:val="single" w:sz="8" w:space="0" w:color="000000"/>
              <w:left w:val="single" w:sz="8" w:space="0" w:color="000000"/>
              <w:bottom w:val="single" w:sz="8" w:space="0" w:color="000000"/>
              <w:right w:val="single" w:sz="8" w:space="0" w:color="000000"/>
            </w:tcBorders>
          </w:tcPr>
          <w:p w14:paraId="50675A2F" w14:textId="77777777" w:rsidR="0063754E" w:rsidRDefault="0063754E" w:rsidP="00AE66B9">
            <w:pPr>
              <w:spacing w:after="0" w:line="259" w:lineRule="auto"/>
              <w:ind w:left="0" w:firstLine="0"/>
              <w:jc w:val="left"/>
            </w:pPr>
            <w:r>
              <w:t xml:space="preserve">Other </w:t>
            </w:r>
          </w:p>
        </w:tc>
        <w:tc>
          <w:tcPr>
            <w:tcW w:w="709" w:type="dxa"/>
            <w:tcBorders>
              <w:top w:val="single" w:sz="8" w:space="0" w:color="000000"/>
              <w:left w:val="single" w:sz="8" w:space="0" w:color="000000"/>
              <w:bottom w:val="single" w:sz="8" w:space="0" w:color="000000"/>
              <w:right w:val="single" w:sz="8" w:space="0" w:color="000000"/>
            </w:tcBorders>
          </w:tcPr>
          <w:p w14:paraId="27FB98DD" w14:textId="3D6882CE"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7A241D50" w14:textId="0385C1CD"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56858DC2" w14:textId="5EB5E7AD"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5C9C2384" w14:textId="3DE6EA43"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6D0B6933" w14:textId="45ED5BC8"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25953F2C" w14:textId="77777777" w:rsidR="0063754E" w:rsidRDefault="0063754E" w:rsidP="00AE66B9">
            <w:pPr>
              <w:spacing w:after="0" w:line="259" w:lineRule="auto"/>
              <w:ind w:left="2" w:firstLine="0"/>
              <w:jc w:val="left"/>
            </w:pPr>
          </w:p>
        </w:tc>
      </w:tr>
    </w:tbl>
    <w:p w14:paraId="60FCB964" w14:textId="77777777" w:rsidR="00AD25D4" w:rsidRDefault="00AD25D4" w:rsidP="00AD25D4">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31479E45" w14:textId="5B072D12" w:rsidR="00AD25D4" w:rsidRDefault="00AD25D4">
      <w:pPr>
        <w:spacing w:after="245" w:line="268" w:lineRule="auto"/>
        <w:ind w:left="-5" w:right="365"/>
        <w:jc w:val="left"/>
      </w:pPr>
    </w:p>
    <w:p w14:paraId="183BF6B4" w14:textId="0F3647B7" w:rsidR="0063754E" w:rsidRPr="0063754E" w:rsidRDefault="0063754E" w:rsidP="0063754E">
      <w:pPr>
        <w:pStyle w:val="ListParagraph"/>
        <w:numPr>
          <w:ilvl w:val="0"/>
          <w:numId w:val="6"/>
        </w:numPr>
        <w:spacing w:after="245" w:line="268" w:lineRule="auto"/>
        <w:ind w:right="365"/>
        <w:jc w:val="left"/>
        <w:rPr>
          <w:b/>
          <w:bCs/>
          <w:sz w:val="20"/>
        </w:rPr>
      </w:pPr>
      <w:r w:rsidRPr="0063754E">
        <w:rPr>
          <w:b/>
          <w:bCs/>
        </w:rPr>
        <w:t>Taxonomy aligned investments (product level)</w:t>
      </w:r>
    </w:p>
    <w:tbl>
      <w:tblPr>
        <w:tblW w:w="9249" w:type="dxa"/>
        <w:tblCellMar>
          <w:top w:w="19" w:type="dxa"/>
          <w:right w:w="51" w:type="dxa"/>
        </w:tblCellMar>
        <w:tblLook w:val="04A0" w:firstRow="1" w:lastRow="0" w:firstColumn="1" w:lastColumn="0" w:noHBand="0" w:noVBand="1"/>
      </w:tblPr>
      <w:tblGrid>
        <w:gridCol w:w="4526"/>
        <w:gridCol w:w="709"/>
        <w:gridCol w:w="851"/>
        <w:gridCol w:w="708"/>
        <w:gridCol w:w="709"/>
        <w:gridCol w:w="709"/>
        <w:gridCol w:w="1037"/>
      </w:tblGrid>
      <w:tr w:rsidR="0063754E" w14:paraId="6071EB01" w14:textId="77777777" w:rsidTr="007F478A">
        <w:trPr>
          <w:trHeight w:val="1529"/>
        </w:trPr>
        <w:tc>
          <w:tcPr>
            <w:tcW w:w="4526" w:type="dxa"/>
            <w:tcBorders>
              <w:top w:val="single" w:sz="8" w:space="0" w:color="000000"/>
              <w:left w:val="single" w:sz="8" w:space="0" w:color="000000"/>
              <w:bottom w:val="single" w:sz="8" w:space="0" w:color="000000"/>
              <w:right w:val="single" w:sz="8" w:space="0" w:color="000000"/>
            </w:tcBorders>
          </w:tcPr>
          <w:p w14:paraId="4F74191A"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33F3DFC0" w14:textId="77777777" w:rsidR="0063754E" w:rsidRDefault="0063754E" w:rsidP="00AE66B9">
            <w:pPr>
              <w:spacing w:after="0" w:line="259" w:lineRule="auto"/>
              <w:ind w:left="38" w:hanging="38"/>
              <w:jc w:val="center"/>
            </w:pPr>
            <w:r>
              <w:t xml:space="preserve">1 </w:t>
            </w:r>
          </w:p>
        </w:tc>
        <w:tc>
          <w:tcPr>
            <w:tcW w:w="851" w:type="dxa"/>
            <w:tcBorders>
              <w:top w:val="single" w:sz="8" w:space="0" w:color="000000"/>
              <w:left w:val="single" w:sz="8" w:space="0" w:color="000000"/>
              <w:bottom w:val="single" w:sz="8" w:space="0" w:color="000000"/>
              <w:right w:val="single" w:sz="8" w:space="0" w:color="000000"/>
            </w:tcBorders>
          </w:tcPr>
          <w:p w14:paraId="2DDB9268" w14:textId="77777777" w:rsidR="0063754E" w:rsidRDefault="0063754E" w:rsidP="00AE66B9">
            <w:pPr>
              <w:spacing w:after="0" w:line="259" w:lineRule="auto"/>
              <w:ind w:left="55" w:firstLine="0"/>
              <w:jc w:val="left"/>
            </w:pPr>
            <w:r>
              <w:t xml:space="preserve">2 </w:t>
            </w:r>
          </w:p>
        </w:tc>
        <w:tc>
          <w:tcPr>
            <w:tcW w:w="708" w:type="dxa"/>
            <w:tcBorders>
              <w:top w:val="single" w:sz="8" w:space="0" w:color="000000"/>
              <w:left w:val="single" w:sz="8" w:space="0" w:color="000000"/>
              <w:bottom w:val="single" w:sz="8" w:space="0" w:color="000000"/>
              <w:right w:val="single" w:sz="8" w:space="0" w:color="000000"/>
            </w:tcBorders>
          </w:tcPr>
          <w:p w14:paraId="5B8C6876" w14:textId="77777777" w:rsidR="0063754E" w:rsidRDefault="0063754E" w:rsidP="00AE66B9">
            <w:pPr>
              <w:spacing w:after="0" w:line="259" w:lineRule="auto"/>
              <w:ind w:left="55" w:firstLine="0"/>
              <w:jc w:val="left"/>
            </w:pPr>
            <w:r>
              <w:t xml:space="preserve">3 </w:t>
            </w:r>
          </w:p>
        </w:tc>
        <w:tc>
          <w:tcPr>
            <w:tcW w:w="709" w:type="dxa"/>
            <w:tcBorders>
              <w:top w:val="single" w:sz="8" w:space="0" w:color="000000"/>
              <w:left w:val="single" w:sz="8" w:space="0" w:color="000000"/>
              <w:bottom w:val="single" w:sz="8" w:space="0" w:color="000000"/>
              <w:right w:val="single" w:sz="8" w:space="0" w:color="000000"/>
            </w:tcBorders>
          </w:tcPr>
          <w:p w14:paraId="3490580D" w14:textId="77777777" w:rsidR="0063754E" w:rsidRDefault="0063754E" w:rsidP="00AE66B9">
            <w:pPr>
              <w:spacing w:after="0" w:line="259" w:lineRule="auto"/>
              <w:ind w:left="0" w:right="57" w:firstLine="0"/>
              <w:jc w:val="center"/>
            </w:pPr>
            <w:r>
              <w:t xml:space="preserve">4 </w:t>
            </w:r>
          </w:p>
        </w:tc>
        <w:tc>
          <w:tcPr>
            <w:tcW w:w="709" w:type="dxa"/>
            <w:tcBorders>
              <w:top w:val="single" w:sz="8" w:space="0" w:color="000000"/>
              <w:left w:val="single" w:sz="8" w:space="0" w:color="000000"/>
              <w:bottom w:val="single" w:sz="8" w:space="0" w:color="000000"/>
              <w:right w:val="single" w:sz="8" w:space="0" w:color="000000"/>
            </w:tcBorders>
          </w:tcPr>
          <w:p w14:paraId="208EB4C1" w14:textId="77777777" w:rsidR="0063754E" w:rsidRDefault="0063754E" w:rsidP="00AE66B9">
            <w:pPr>
              <w:spacing w:after="0" w:line="259" w:lineRule="auto"/>
              <w:ind w:left="0" w:right="57" w:firstLine="0"/>
              <w:jc w:val="center"/>
            </w:pPr>
            <w:r>
              <w:t xml:space="preserve">5 </w:t>
            </w:r>
          </w:p>
        </w:tc>
        <w:tc>
          <w:tcPr>
            <w:tcW w:w="1037" w:type="dxa"/>
            <w:tcBorders>
              <w:top w:val="single" w:sz="8" w:space="0" w:color="000000"/>
              <w:left w:val="single" w:sz="8" w:space="0" w:color="000000"/>
              <w:bottom w:val="single" w:sz="8" w:space="0" w:color="000000"/>
              <w:right w:val="single" w:sz="8" w:space="0" w:color="000000"/>
            </w:tcBorders>
          </w:tcPr>
          <w:p w14:paraId="1DB91546" w14:textId="77777777" w:rsidR="0063754E" w:rsidRDefault="0063754E" w:rsidP="00AE66B9">
            <w:pPr>
              <w:spacing w:after="0" w:line="259" w:lineRule="auto"/>
              <w:ind w:left="0" w:right="57" w:firstLine="0"/>
              <w:jc w:val="center"/>
            </w:pPr>
            <w:r>
              <w:t xml:space="preserve">Don’t know </w:t>
            </w:r>
          </w:p>
        </w:tc>
      </w:tr>
      <w:tr w:rsidR="0063754E" w14:paraId="11F43D9B" w14:textId="77777777" w:rsidTr="007F478A">
        <w:trPr>
          <w:trHeight w:val="1364"/>
        </w:trPr>
        <w:tc>
          <w:tcPr>
            <w:tcW w:w="4526" w:type="dxa"/>
            <w:tcBorders>
              <w:top w:val="single" w:sz="8" w:space="0" w:color="000000"/>
              <w:left w:val="single" w:sz="8" w:space="0" w:color="000000"/>
              <w:bottom w:val="single" w:sz="8" w:space="0" w:color="000000"/>
              <w:right w:val="single" w:sz="8" w:space="0" w:color="000000"/>
            </w:tcBorders>
          </w:tcPr>
          <w:p w14:paraId="0D5177A2" w14:textId="77777777" w:rsidR="0063754E" w:rsidRDefault="0063754E" w:rsidP="00AE66B9">
            <w:pPr>
              <w:spacing w:after="0" w:line="259" w:lineRule="auto"/>
              <w:ind w:left="0" w:right="60" w:firstLine="0"/>
            </w:pPr>
            <w:r>
              <w:t xml:space="preserve">Estimates from data providers, based on data coming from the investee companies  </w:t>
            </w:r>
          </w:p>
        </w:tc>
        <w:tc>
          <w:tcPr>
            <w:tcW w:w="709" w:type="dxa"/>
            <w:tcBorders>
              <w:top w:val="single" w:sz="8" w:space="0" w:color="000000"/>
              <w:left w:val="single" w:sz="8" w:space="0" w:color="000000"/>
              <w:bottom w:val="single" w:sz="8" w:space="0" w:color="000000"/>
              <w:right w:val="single" w:sz="8" w:space="0" w:color="000000"/>
            </w:tcBorders>
          </w:tcPr>
          <w:p w14:paraId="09673568"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5778890F"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462ED9B8"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0E633672"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0F2C7BA6" w14:textId="5328EBCA"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389046AD" w14:textId="77777777" w:rsidR="0063754E" w:rsidRDefault="0063754E" w:rsidP="00AE66B9">
            <w:pPr>
              <w:spacing w:after="0" w:line="259" w:lineRule="auto"/>
              <w:ind w:left="2" w:firstLine="0"/>
              <w:jc w:val="left"/>
            </w:pPr>
          </w:p>
        </w:tc>
      </w:tr>
      <w:tr w:rsidR="0063754E" w14:paraId="3973390E" w14:textId="77777777" w:rsidTr="007F478A">
        <w:trPr>
          <w:trHeight w:val="1090"/>
        </w:trPr>
        <w:tc>
          <w:tcPr>
            <w:tcW w:w="4526" w:type="dxa"/>
            <w:tcBorders>
              <w:top w:val="single" w:sz="8" w:space="0" w:color="000000"/>
              <w:left w:val="single" w:sz="8" w:space="0" w:color="000000"/>
              <w:bottom w:val="single" w:sz="8" w:space="0" w:color="000000"/>
              <w:right w:val="single" w:sz="8" w:space="0" w:color="000000"/>
            </w:tcBorders>
          </w:tcPr>
          <w:p w14:paraId="61EC2638" w14:textId="77777777" w:rsidR="0063754E" w:rsidRDefault="0063754E" w:rsidP="00AE66B9">
            <w:pPr>
              <w:spacing w:after="0" w:line="259" w:lineRule="auto"/>
              <w:ind w:left="0" w:right="60" w:firstLine="0"/>
            </w:pPr>
            <w:r>
              <w:t xml:space="preserve">Estimates from data providers, based on data coming from other sources </w:t>
            </w:r>
          </w:p>
        </w:tc>
        <w:tc>
          <w:tcPr>
            <w:tcW w:w="709" w:type="dxa"/>
            <w:tcBorders>
              <w:top w:val="single" w:sz="8" w:space="0" w:color="000000"/>
              <w:left w:val="single" w:sz="8" w:space="0" w:color="000000"/>
              <w:bottom w:val="single" w:sz="8" w:space="0" w:color="000000"/>
              <w:right w:val="single" w:sz="8" w:space="0" w:color="000000"/>
            </w:tcBorders>
          </w:tcPr>
          <w:p w14:paraId="3B83140D"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2EA50B2B"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0CAA3F4D"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7A4B15CE"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2D907FD1" w14:textId="63EA76FD"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1B8431B2" w14:textId="77777777" w:rsidR="0063754E" w:rsidRDefault="0063754E" w:rsidP="00AE66B9">
            <w:pPr>
              <w:spacing w:after="0" w:line="259" w:lineRule="auto"/>
              <w:ind w:left="2" w:firstLine="0"/>
              <w:jc w:val="left"/>
            </w:pPr>
          </w:p>
        </w:tc>
      </w:tr>
      <w:tr w:rsidR="0063754E" w14:paraId="6CC741FE" w14:textId="77777777" w:rsidTr="007F478A">
        <w:trPr>
          <w:trHeight w:val="595"/>
        </w:trPr>
        <w:tc>
          <w:tcPr>
            <w:tcW w:w="4526" w:type="dxa"/>
            <w:tcBorders>
              <w:top w:val="single" w:sz="8" w:space="0" w:color="000000"/>
              <w:left w:val="single" w:sz="8" w:space="0" w:color="000000"/>
              <w:bottom w:val="single" w:sz="8" w:space="0" w:color="000000"/>
              <w:right w:val="single" w:sz="8" w:space="0" w:color="000000"/>
            </w:tcBorders>
          </w:tcPr>
          <w:p w14:paraId="14609B31" w14:textId="77777777" w:rsidR="0063754E" w:rsidRDefault="0063754E" w:rsidP="00AE66B9">
            <w:pPr>
              <w:spacing w:after="0" w:line="259" w:lineRule="auto"/>
              <w:ind w:left="0" w:firstLine="0"/>
              <w:jc w:val="left"/>
            </w:pPr>
            <w:r>
              <w:t>In-house estimates</w:t>
            </w:r>
            <w:r>
              <w:rPr>
                <w:rFonts w:ascii="Calibri" w:eastAsia="Calibri" w:hAnsi="Calibri" w:cs="Calibri"/>
              </w:rPr>
              <w:t xml:space="preserve"> </w:t>
            </w:r>
          </w:p>
        </w:tc>
        <w:tc>
          <w:tcPr>
            <w:tcW w:w="709" w:type="dxa"/>
            <w:tcBorders>
              <w:top w:val="single" w:sz="8" w:space="0" w:color="000000"/>
              <w:left w:val="single" w:sz="8" w:space="0" w:color="000000"/>
              <w:bottom w:val="single" w:sz="8" w:space="0" w:color="000000"/>
              <w:right w:val="single" w:sz="8" w:space="0" w:color="000000"/>
            </w:tcBorders>
          </w:tcPr>
          <w:p w14:paraId="592E56C1" w14:textId="34E3BEE6"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61C30D8B"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12EB68C3"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6C1EBD74"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72570951" w14:textId="77777777" w:rsidR="0063754E" w:rsidRDefault="0063754E" w:rsidP="00AE66B9">
            <w:pPr>
              <w:spacing w:after="0" w:line="259" w:lineRule="auto"/>
              <w:ind w:left="2" w:firstLine="0"/>
              <w:jc w:val="left"/>
              <w:rPr>
                <w:rFonts w:ascii="Calibri" w:eastAsia="Calibri" w:hAnsi="Calibri" w:cs="Calibri"/>
              </w:rPr>
            </w:pPr>
          </w:p>
        </w:tc>
        <w:tc>
          <w:tcPr>
            <w:tcW w:w="1037" w:type="dxa"/>
            <w:tcBorders>
              <w:top w:val="single" w:sz="8" w:space="0" w:color="000000"/>
              <w:left w:val="single" w:sz="8" w:space="0" w:color="000000"/>
              <w:bottom w:val="single" w:sz="8" w:space="0" w:color="000000"/>
              <w:right w:val="single" w:sz="8" w:space="0" w:color="000000"/>
            </w:tcBorders>
          </w:tcPr>
          <w:p w14:paraId="100D6423" w14:textId="77777777" w:rsidR="0063754E" w:rsidRDefault="0063754E" w:rsidP="00AE66B9">
            <w:pPr>
              <w:spacing w:after="0" w:line="259" w:lineRule="auto"/>
              <w:ind w:left="2" w:firstLine="0"/>
              <w:jc w:val="left"/>
              <w:rPr>
                <w:rFonts w:ascii="Calibri" w:eastAsia="Calibri" w:hAnsi="Calibri" w:cs="Calibri"/>
              </w:rPr>
            </w:pPr>
          </w:p>
        </w:tc>
      </w:tr>
      <w:tr w:rsidR="0063754E" w14:paraId="72777CDE" w14:textId="77777777" w:rsidTr="007F478A">
        <w:trPr>
          <w:trHeight w:val="578"/>
        </w:trPr>
        <w:tc>
          <w:tcPr>
            <w:tcW w:w="4526" w:type="dxa"/>
            <w:tcBorders>
              <w:top w:val="single" w:sz="8" w:space="0" w:color="000000"/>
              <w:left w:val="single" w:sz="8" w:space="0" w:color="000000"/>
              <w:bottom w:val="single" w:sz="8" w:space="0" w:color="000000"/>
              <w:right w:val="single" w:sz="8" w:space="0" w:color="000000"/>
            </w:tcBorders>
          </w:tcPr>
          <w:p w14:paraId="333B9EB7" w14:textId="77777777" w:rsidR="0063754E" w:rsidRDefault="0063754E" w:rsidP="00AE66B9">
            <w:pPr>
              <w:spacing w:after="0" w:line="259" w:lineRule="auto"/>
              <w:ind w:left="0" w:firstLine="0"/>
              <w:jc w:val="left"/>
            </w:pPr>
            <w:r>
              <w:t xml:space="preserve">Internal ESG score models </w:t>
            </w:r>
          </w:p>
        </w:tc>
        <w:tc>
          <w:tcPr>
            <w:tcW w:w="709" w:type="dxa"/>
            <w:tcBorders>
              <w:top w:val="single" w:sz="8" w:space="0" w:color="000000"/>
              <w:left w:val="single" w:sz="8" w:space="0" w:color="000000"/>
              <w:bottom w:val="single" w:sz="8" w:space="0" w:color="000000"/>
              <w:right w:val="single" w:sz="8" w:space="0" w:color="000000"/>
            </w:tcBorders>
          </w:tcPr>
          <w:p w14:paraId="1144AC9F" w14:textId="201F421E"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129F16F2"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7C400AD1"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3FEBEA03"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587D591E" w14:textId="77777777"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5BD0C08B" w14:textId="77777777" w:rsidR="0063754E" w:rsidRDefault="0063754E" w:rsidP="00AE66B9">
            <w:pPr>
              <w:spacing w:after="0" w:line="259" w:lineRule="auto"/>
              <w:ind w:left="2" w:firstLine="0"/>
              <w:jc w:val="left"/>
            </w:pPr>
          </w:p>
        </w:tc>
      </w:tr>
      <w:tr w:rsidR="0063754E" w14:paraId="3B92F791" w14:textId="77777777" w:rsidTr="007F478A">
        <w:trPr>
          <w:trHeight w:val="576"/>
        </w:trPr>
        <w:tc>
          <w:tcPr>
            <w:tcW w:w="4526" w:type="dxa"/>
            <w:tcBorders>
              <w:top w:val="single" w:sz="8" w:space="0" w:color="000000"/>
              <w:left w:val="single" w:sz="8" w:space="0" w:color="000000"/>
              <w:bottom w:val="single" w:sz="8" w:space="0" w:color="000000"/>
              <w:right w:val="single" w:sz="8" w:space="0" w:color="000000"/>
            </w:tcBorders>
          </w:tcPr>
          <w:p w14:paraId="6CFE51D3" w14:textId="77777777" w:rsidR="0063754E" w:rsidRDefault="0063754E" w:rsidP="00AE66B9">
            <w:pPr>
              <w:spacing w:after="0" w:line="259" w:lineRule="auto"/>
              <w:ind w:left="0" w:firstLine="0"/>
              <w:jc w:val="left"/>
            </w:pPr>
            <w:r>
              <w:t xml:space="preserve">External ESG score models </w:t>
            </w:r>
          </w:p>
        </w:tc>
        <w:tc>
          <w:tcPr>
            <w:tcW w:w="709" w:type="dxa"/>
            <w:tcBorders>
              <w:top w:val="single" w:sz="8" w:space="0" w:color="000000"/>
              <w:left w:val="single" w:sz="8" w:space="0" w:color="000000"/>
              <w:bottom w:val="single" w:sz="8" w:space="0" w:color="000000"/>
              <w:right w:val="single" w:sz="8" w:space="0" w:color="000000"/>
            </w:tcBorders>
          </w:tcPr>
          <w:p w14:paraId="7395EB2F" w14:textId="6A38341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596C5AB1"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2CE01271"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2B30403C"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751D06B3" w14:textId="77777777"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7596F71D" w14:textId="77777777" w:rsidR="0063754E" w:rsidRDefault="0063754E" w:rsidP="00AE66B9">
            <w:pPr>
              <w:spacing w:after="0" w:line="259" w:lineRule="auto"/>
              <w:ind w:left="2" w:firstLine="0"/>
              <w:jc w:val="left"/>
            </w:pPr>
          </w:p>
        </w:tc>
      </w:tr>
      <w:tr w:rsidR="0063754E" w14:paraId="4084CF3A" w14:textId="77777777" w:rsidTr="007F478A">
        <w:trPr>
          <w:trHeight w:val="579"/>
        </w:trPr>
        <w:tc>
          <w:tcPr>
            <w:tcW w:w="4526" w:type="dxa"/>
            <w:tcBorders>
              <w:top w:val="single" w:sz="8" w:space="0" w:color="000000"/>
              <w:left w:val="single" w:sz="8" w:space="0" w:color="000000"/>
              <w:bottom w:val="single" w:sz="8" w:space="0" w:color="000000"/>
              <w:right w:val="single" w:sz="8" w:space="0" w:color="000000"/>
            </w:tcBorders>
          </w:tcPr>
          <w:p w14:paraId="10303C09" w14:textId="77777777" w:rsidR="0063754E" w:rsidRDefault="0063754E" w:rsidP="00AE66B9">
            <w:pPr>
              <w:spacing w:after="0" w:line="259" w:lineRule="auto"/>
              <w:ind w:left="0" w:firstLine="0"/>
              <w:jc w:val="left"/>
            </w:pPr>
            <w:r>
              <w:t xml:space="preserve">Other </w:t>
            </w:r>
          </w:p>
        </w:tc>
        <w:tc>
          <w:tcPr>
            <w:tcW w:w="709" w:type="dxa"/>
            <w:tcBorders>
              <w:top w:val="single" w:sz="8" w:space="0" w:color="000000"/>
              <w:left w:val="single" w:sz="8" w:space="0" w:color="000000"/>
              <w:bottom w:val="single" w:sz="8" w:space="0" w:color="000000"/>
              <w:right w:val="single" w:sz="8" w:space="0" w:color="000000"/>
            </w:tcBorders>
          </w:tcPr>
          <w:p w14:paraId="257BEE40"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1E6FE3F2"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45887475"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1EE89987"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5C568E88" w14:textId="77777777"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7FA6E3F9" w14:textId="0933433B" w:rsidR="0063754E" w:rsidRDefault="0063754E" w:rsidP="00AE66B9">
            <w:pPr>
              <w:spacing w:after="0" w:line="259" w:lineRule="auto"/>
              <w:ind w:left="2" w:firstLine="0"/>
              <w:jc w:val="left"/>
            </w:pPr>
          </w:p>
        </w:tc>
      </w:tr>
    </w:tbl>
    <w:p w14:paraId="420EC301" w14:textId="77777777" w:rsidR="0063754E" w:rsidRDefault="0063754E" w:rsidP="0063754E">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3D58F1AB" w14:textId="2F24D4F5" w:rsidR="0063754E" w:rsidRDefault="0063754E">
      <w:pPr>
        <w:spacing w:after="245" w:line="268" w:lineRule="auto"/>
        <w:ind w:left="-5" w:right="365"/>
        <w:jc w:val="left"/>
      </w:pPr>
    </w:p>
    <w:p w14:paraId="36A9C367" w14:textId="608930E9" w:rsidR="0063754E" w:rsidRPr="0063754E" w:rsidRDefault="0063754E" w:rsidP="0063754E">
      <w:pPr>
        <w:pStyle w:val="ListParagraph"/>
        <w:numPr>
          <w:ilvl w:val="0"/>
          <w:numId w:val="6"/>
        </w:numPr>
        <w:spacing w:after="245" w:line="268" w:lineRule="auto"/>
        <w:ind w:right="365"/>
        <w:jc w:val="left"/>
        <w:rPr>
          <w:b/>
          <w:bCs/>
          <w:sz w:val="20"/>
        </w:rPr>
      </w:pPr>
      <w:r w:rsidRPr="0063754E">
        <w:rPr>
          <w:b/>
          <w:bCs/>
        </w:rPr>
        <w:t>Sustainable investments (product level)</w:t>
      </w:r>
    </w:p>
    <w:tbl>
      <w:tblPr>
        <w:tblW w:w="9249" w:type="dxa"/>
        <w:tblCellMar>
          <w:top w:w="19" w:type="dxa"/>
          <w:right w:w="51" w:type="dxa"/>
        </w:tblCellMar>
        <w:tblLook w:val="04A0" w:firstRow="1" w:lastRow="0" w:firstColumn="1" w:lastColumn="0" w:noHBand="0" w:noVBand="1"/>
      </w:tblPr>
      <w:tblGrid>
        <w:gridCol w:w="4526"/>
        <w:gridCol w:w="709"/>
        <w:gridCol w:w="851"/>
        <w:gridCol w:w="708"/>
        <w:gridCol w:w="709"/>
        <w:gridCol w:w="709"/>
        <w:gridCol w:w="1037"/>
      </w:tblGrid>
      <w:tr w:rsidR="0063754E" w14:paraId="7AA6C1C9" w14:textId="77777777" w:rsidTr="007F478A">
        <w:trPr>
          <w:trHeight w:val="1529"/>
        </w:trPr>
        <w:tc>
          <w:tcPr>
            <w:tcW w:w="4526" w:type="dxa"/>
            <w:tcBorders>
              <w:top w:val="single" w:sz="8" w:space="0" w:color="000000"/>
              <w:left w:val="single" w:sz="8" w:space="0" w:color="000000"/>
              <w:bottom w:val="single" w:sz="8" w:space="0" w:color="000000"/>
              <w:right w:val="single" w:sz="8" w:space="0" w:color="000000"/>
            </w:tcBorders>
          </w:tcPr>
          <w:p w14:paraId="29BA135F"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6285EBE4" w14:textId="77777777" w:rsidR="0063754E" w:rsidRDefault="0063754E" w:rsidP="00AE66B9">
            <w:pPr>
              <w:spacing w:after="0" w:line="259" w:lineRule="auto"/>
              <w:ind w:left="38" w:hanging="38"/>
              <w:jc w:val="center"/>
            </w:pPr>
            <w:r>
              <w:t xml:space="preserve">1 </w:t>
            </w:r>
          </w:p>
        </w:tc>
        <w:tc>
          <w:tcPr>
            <w:tcW w:w="851" w:type="dxa"/>
            <w:tcBorders>
              <w:top w:val="single" w:sz="8" w:space="0" w:color="000000"/>
              <w:left w:val="single" w:sz="8" w:space="0" w:color="000000"/>
              <w:bottom w:val="single" w:sz="8" w:space="0" w:color="000000"/>
              <w:right w:val="single" w:sz="8" w:space="0" w:color="000000"/>
            </w:tcBorders>
          </w:tcPr>
          <w:p w14:paraId="46B77580" w14:textId="77777777" w:rsidR="0063754E" w:rsidRDefault="0063754E" w:rsidP="00AE66B9">
            <w:pPr>
              <w:spacing w:after="0" w:line="259" w:lineRule="auto"/>
              <w:ind w:left="55" w:firstLine="0"/>
              <w:jc w:val="left"/>
            </w:pPr>
            <w:r>
              <w:t xml:space="preserve">2 </w:t>
            </w:r>
          </w:p>
        </w:tc>
        <w:tc>
          <w:tcPr>
            <w:tcW w:w="708" w:type="dxa"/>
            <w:tcBorders>
              <w:top w:val="single" w:sz="8" w:space="0" w:color="000000"/>
              <w:left w:val="single" w:sz="8" w:space="0" w:color="000000"/>
              <w:bottom w:val="single" w:sz="8" w:space="0" w:color="000000"/>
              <w:right w:val="single" w:sz="8" w:space="0" w:color="000000"/>
            </w:tcBorders>
          </w:tcPr>
          <w:p w14:paraId="07238A04" w14:textId="77777777" w:rsidR="0063754E" w:rsidRDefault="0063754E" w:rsidP="00AE66B9">
            <w:pPr>
              <w:spacing w:after="0" w:line="259" w:lineRule="auto"/>
              <w:ind w:left="55" w:firstLine="0"/>
              <w:jc w:val="left"/>
            </w:pPr>
            <w:r>
              <w:t xml:space="preserve">3 </w:t>
            </w:r>
          </w:p>
        </w:tc>
        <w:tc>
          <w:tcPr>
            <w:tcW w:w="709" w:type="dxa"/>
            <w:tcBorders>
              <w:top w:val="single" w:sz="8" w:space="0" w:color="000000"/>
              <w:left w:val="single" w:sz="8" w:space="0" w:color="000000"/>
              <w:bottom w:val="single" w:sz="8" w:space="0" w:color="000000"/>
              <w:right w:val="single" w:sz="8" w:space="0" w:color="000000"/>
            </w:tcBorders>
          </w:tcPr>
          <w:p w14:paraId="79727F1C" w14:textId="77777777" w:rsidR="0063754E" w:rsidRDefault="0063754E" w:rsidP="00AE66B9">
            <w:pPr>
              <w:spacing w:after="0" w:line="259" w:lineRule="auto"/>
              <w:ind w:left="0" w:right="57" w:firstLine="0"/>
              <w:jc w:val="center"/>
            </w:pPr>
            <w:r>
              <w:t xml:space="preserve">4 </w:t>
            </w:r>
          </w:p>
        </w:tc>
        <w:tc>
          <w:tcPr>
            <w:tcW w:w="709" w:type="dxa"/>
            <w:tcBorders>
              <w:top w:val="single" w:sz="8" w:space="0" w:color="000000"/>
              <w:left w:val="single" w:sz="8" w:space="0" w:color="000000"/>
              <w:bottom w:val="single" w:sz="8" w:space="0" w:color="000000"/>
              <w:right w:val="single" w:sz="8" w:space="0" w:color="000000"/>
            </w:tcBorders>
          </w:tcPr>
          <w:p w14:paraId="38835633" w14:textId="77777777" w:rsidR="0063754E" w:rsidRDefault="0063754E" w:rsidP="00AE66B9">
            <w:pPr>
              <w:spacing w:after="0" w:line="259" w:lineRule="auto"/>
              <w:ind w:left="0" w:right="57" w:firstLine="0"/>
              <w:jc w:val="center"/>
            </w:pPr>
            <w:r>
              <w:t xml:space="preserve">5 </w:t>
            </w:r>
          </w:p>
        </w:tc>
        <w:tc>
          <w:tcPr>
            <w:tcW w:w="1037" w:type="dxa"/>
            <w:tcBorders>
              <w:top w:val="single" w:sz="8" w:space="0" w:color="000000"/>
              <w:left w:val="single" w:sz="8" w:space="0" w:color="000000"/>
              <w:bottom w:val="single" w:sz="8" w:space="0" w:color="000000"/>
              <w:right w:val="single" w:sz="8" w:space="0" w:color="000000"/>
            </w:tcBorders>
          </w:tcPr>
          <w:p w14:paraId="218EB447" w14:textId="77777777" w:rsidR="0063754E" w:rsidRDefault="0063754E" w:rsidP="00AE66B9">
            <w:pPr>
              <w:spacing w:after="0" w:line="259" w:lineRule="auto"/>
              <w:ind w:left="0" w:right="57" w:firstLine="0"/>
              <w:jc w:val="center"/>
            </w:pPr>
            <w:r>
              <w:t xml:space="preserve">Don’t know </w:t>
            </w:r>
          </w:p>
        </w:tc>
      </w:tr>
      <w:tr w:rsidR="0063754E" w14:paraId="778C9B62" w14:textId="77777777" w:rsidTr="007F478A">
        <w:trPr>
          <w:trHeight w:val="1364"/>
        </w:trPr>
        <w:tc>
          <w:tcPr>
            <w:tcW w:w="4526" w:type="dxa"/>
            <w:tcBorders>
              <w:top w:val="single" w:sz="8" w:space="0" w:color="000000"/>
              <w:left w:val="single" w:sz="8" w:space="0" w:color="000000"/>
              <w:bottom w:val="single" w:sz="8" w:space="0" w:color="000000"/>
              <w:right w:val="single" w:sz="8" w:space="0" w:color="000000"/>
            </w:tcBorders>
          </w:tcPr>
          <w:p w14:paraId="6A652C7C" w14:textId="77777777" w:rsidR="0063754E" w:rsidRDefault="0063754E" w:rsidP="00AE66B9">
            <w:pPr>
              <w:spacing w:after="0" w:line="259" w:lineRule="auto"/>
              <w:ind w:left="0" w:right="60" w:firstLine="0"/>
            </w:pPr>
            <w:r>
              <w:t xml:space="preserve">Estimates from data providers, based on data coming from the investee companies  </w:t>
            </w:r>
          </w:p>
        </w:tc>
        <w:tc>
          <w:tcPr>
            <w:tcW w:w="709" w:type="dxa"/>
            <w:tcBorders>
              <w:top w:val="single" w:sz="8" w:space="0" w:color="000000"/>
              <w:left w:val="single" w:sz="8" w:space="0" w:color="000000"/>
              <w:bottom w:val="single" w:sz="8" w:space="0" w:color="000000"/>
              <w:right w:val="single" w:sz="8" w:space="0" w:color="000000"/>
            </w:tcBorders>
          </w:tcPr>
          <w:p w14:paraId="4668839D"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328DED76"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09DB9007"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47310CF2"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3FCA86CA" w14:textId="0EA6DEFE"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57A1DC48" w14:textId="77777777" w:rsidR="0063754E" w:rsidRDefault="0063754E" w:rsidP="00AE66B9">
            <w:pPr>
              <w:spacing w:after="0" w:line="259" w:lineRule="auto"/>
              <w:ind w:left="2" w:firstLine="0"/>
              <w:jc w:val="left"/>
            </w:pPr>
          </w:p>
        </w:tc>
      </w:tr>
      <w:tr w:rsidR="0063754E" w14:paraId="14E96D61" w14:textId="77777777" w:rsidTr="007F478A">
        <w:trPr>
          <w:trHeight w:val="1090"/>
        </w:trPr>
        <w:tc>
          <w:tcPr>
            <w:tcW w:w="4526" w:type="dxa"/>
            <w:tcBorders>
              <w:top w:val="single" w:sz="8" w:space="0" w:color="000000"/>
              <w:left w:val="single" w:sz="8" w:space="0" w:color="000000"/>
              <w:bottom w:val="single" w:sz="8" w:space="0" w:color="000000"/>
              <w:right w:val="single" w:sz="8" w:space="0" w:color="000000"/>
            </w:tcBorders>
          </w:tcPr>
          <w:p w14:paraId="6831E7A6" w14:textId="77777777" w:rsidR="0063754E" w:rsidRDefault="0063754E" w:rsidP="00AE66B9">
            <w:pPr>
              <w:spacing w:after="0" w:line="259" w:lineRule="auto"/>
              <w:ind w:left="0" w:right="60" w:firstLine="0"/>
            </w:pPr>
            <w:r>
              <w:t xml:space="preserve">Estimates from data providers, based on data coming from other sources </w:t>
            </w:r>
          </w:p>
        </w:tc>
        <w:tc>
          <w:tcPr>
            <w:tcW w:w="709" w:type="dxa"/>
            <w:tcBorders>
              <w:top w:val="single" w:sz="8" w:space="0" w:color="000000"/>
              <w:left w:val="single" w:sz="8" w:space="0" w:color="000000"/>
              <w:bottom w:val="single" w:sz="8" w:space="0" w:color="000000"/>
              <w:right w:val="single" w:sz="8" w:space="0" w:color="000000"/>
            </w:tcBorders>
          </w:tcPr>
          <w:p w14:paraId="5D90BE9E"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14EDA225"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7B722ABF"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65DEE243"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329B0E5D" w14:textId="32C55E5C"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0182E074" w14:textId="77777777" w:rsidR="0063754E" w:rsidRDefault="0063754E" w:rsidP="00AE66B9">
            <w:pPr>
              <w:spacing w:after="0" w:line="259" w:lineRule="auto"/>
              <w:ind w:left="2" w:firstLine="0"/>
              <w:jc w:val="left"/>
            </w:pPr>
          </w:p>
        </w:tc>
      </w:tr>
      <w:tr w:rsidR="0063754E" w14:paraId="0F42A832" w14:textId="77777777" w:rsidTr="007F478A">
        <w:trPr>
          <w:trHeight w:val="595"/>
        </w:trPr>
        <w:tc>
          <w:tcPr>
            <w:tcW w:w="4526" w:type="dxa"/>
            <w:tcBorders>
              <w:top w:val="single" w:sz="8" w:space="0" w:color="000000"/>
              <w:left w:val="single" w:sz="8" w:space="0" w:color="000000"/>
              <w:bottom w:val="single" w:sz="8" w:space="0" w:color="000000"/>
              <w:right w:val="single" w:sz="8" w:space="0" w:color="000000"/>
            </w:tcBorders>
          </w:tcPr>
          <w:p w14:paraId="5A15CE4C" w14:textId="77777777" w:rsidR="0063754E" w:rsidRDefault="0063754E" w:rsidP="00AE66B9">
            <w:pPr>
              <w:spacing w:after="0" w:line="259" w:lineRule="auto"/>
              <w:ind w:left="0" w:firstLine="0"/>
              <w:jc w:val="left"/>
            </w:pPr>
            <w:r>
              <w:t>In-house estimates</w:t>
            </w:r>
            <w:r>
              <w:rPr>
                <w:rFonts w:ascii="Calibri" w:eastAsia="Calibri" w:hAnsi="Calibri" w:cs="Calibri"/>
              </w:rPr>
              <w:t xml:space="preserve"> </w:t>
            </w:r>
          </w:p>
        </w:tc>
        <w:tc>
          <w:tcPr>
            <w:tcW w:w="709" w:type="dxa"/>
            <w:tcBorders>
              <w:top w:val="single" w:sz="8" w:space="0" w:color="000000"/>
              <w:left w:val="single" w:sz="8" w:space="0" w:color="000000"/>
              <w:bottom w:val="single" w:sz="8" w:space="0" w:color="000000"/>
              <w:right w:val="single" w:sz="8" w:space="0" w:color="000000"/>
            </w:tcBorders>
          </w:tcPr>
          <w:p w14:paraId="11981776"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12C8BD92"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3A1D4A41"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10B66CA5" w14:textId="58C1D014"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41729EED" w14:textId="77777777" w:rsidR="0063754E" w:rsidRDefault="0063754E" w:rsidP="00AE66B9">
            <w:pPr>
              <w:spacing w:after="0" w:line="259" w:lineRule="auto"/>
              <w:ind w:left="2" w:firstLine="0"/>
              <w:jc w:val="left"/>
              <w:rPr>
                <w:rFonts w:ascii="Calibri" w:eastAsia="Calibri" w:hAnsi="Calibri" w:cs="Calibri"/>
              </w:rPr>
            </w:pPr>
          </w:p>
        </w:tc>
        <w:tc>
          <w:tcPr>
            <w:tcW w:w="1037" w:type="dxa"/>
            <w:tcBorders>
              <w:top w:val="single" w:sz="8" w:space="0" w:color="000000"/>
              <w:left w:val="single" w:sz="8" w:space="0" w:color="000000"/>
              <w:bottom w:val="single" w:sz="8" w:space="0" w:color="000000"/>
              <w:right w:val="single" w:sz="8" w:space="0" w:color="000000"/>
            </w:tcBorders>
          </w:tcPr>
          <w:p w14:paraId="6547D1A6" w14:textId="77777777" w:rsidR="0063754E" w:rsidRDefault="0063754E" w:rsidP="00AE66B9">
            <w:pPr>
              <w:spacing w:after="0" w:line="259" w:lineRule="auto"/>
              <w:ind w:left="2" w:firstLine="0"/>
              <w:jc w:val="left"/>
              <w:rPr>
                <w:rFonts w:ascii="Calibri" w:eastAsia="Calibri" w:hAnsi="Calibri" w:cs="Calibri"/>
              </w:rPr>
            </w:pPr>
          </w:p>
        </w:tc>
      </w:tr>
      <w:tr w:rsidR="0063754E" w14:paraId="3D305A9A" w14:textId="77777777" w:rsidTr="007F478A">
        <w:trPr>
          <w:trHeight w:val="578"/>
        </w:trPr>
        <w:tc>
          <w:tcPr>
            <w:tcW w:w="4526" w:type="dxa"/>
            <w:tcBorders>
              <w:top w:val="single" w:sz="8" w:space="0" w:color="000000"/>
              <w:left w:val="single" w:sz="8" w:space="0" w:color="000000"/>
              <w:bottom w:val="single" w:sz="8" w:space="0" w:color="000000"/>
              <w:right w:val="single" w:sz="8" w:space="0" w:color="000000"/>
            </w:tcBorders>
          </w:tcPr>
          <w:p w14:paraId="0B3B464E" w14:textId="77777777" w:rsidR="0063754E" w:rsidRDefault="0063754E" w:rsidP="00AE66B9">
            <w:pPr>
              <w:spacing w:after="0" w:line="259" w:lineRule="auto"/>
              <w:ind w:left="0" w:firstLine="0"/>
              <w:jc w:val="left"/>
            </w:pPr>
            <w:r>
              <w:t xml:space="preserve">Internal ESG score models </w:t>
            </w:r>
          </w:p>
        </w:tc>
        <w:tc>
          <w:tcPr>
            <w:tcW w:w="709" w:type="dxa"/>
            <w:tcBorders>
              <w:top w:val="single" w:sz="8" w:space="0" w:color="000000"/>
              <w:left w:val="single" w:sz="8" w:space="0" w:color="000000"/>
              <w:bottom w:val="single" w:sz="8" w:space="0" w:color="000000"/>
              <w:right w:val="single" w:sz="8" w:space="0" w:color="000000"/>
            </w:tcBorders>
          </w:tcPr>
          <w:p w14:paraId="7C04E464"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62BACA29"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32EA6E39"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669346B0" w14:textId="1E58753F"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3B0BC0CE" w14:textId="77777777"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4CF063C5" w14:textId="77777777" w:rsidR="0063754E" w:rsidRDefault="0063754E" w:rsidP="00AE66B9">
            <w:pPr>
              <w:spacing w:after="0" w:line="259" w:lineRule="auto"/>
              <w:ind w:left="2" w:firstLine="0"/>
              <w:jc w:val="left"/>
            </w:pPr>
          </w:p>
        </w:tc>
      </w:tr>
      <w:tr w:rsidR="0063754E" w14:paraId="1BB566CB" w14:textId="77777777" w:rsidTr="007F478A">
        <w:trPr>
          <w:trHeight w:val="576"/>
        </w:trPr>
        <w:tc>
          <w:tcPr>
            <w:tcW w:w="4526" w:type="dxa"/>
            <w:tcBorders>
              <w:top w:val="single" w:sz="8" w:space="0" w:color="000000"/>
              <w:left w:val="single" w:sz="8" w:space="0" w:color="000000"/>
              <w:bottom w:val="single" w:sz="8" w:space="0" w:color="000000"/>
              <w:right w:val="single" w:sz="8" w:space="0" w:color="000000"/>
            </w:tcBorders>
          </w:tcPr>
          <w:p w14:paraId="03109E37" w14:textId="77777777" w:rsidR="0063754E" w:rsidRDefault="0063754E" w:rsidP="00AE66B9">
            <w:pPr>
              <w:spacing w:after="0" w:line="259" w:lineRule="auto"/>
              <w:ind w:left="0" w:firstLine="0"/>
              <w:jc w:val="left"/>
            </w:pPr>
            <w:r>
              <w:t xml:space="preserve">External ESG score models </w:t>
            </w:r>
          </w:p>
        </w:tc>
        <w:tc>
          <w:tcPr>
            <w:tcW w:w="709" w:type="dxa"/>
            <w:tcBorders>
              <w:top w:val="single" w:sz="8" w:space="0" w:color="000000"/>
              <w:left w:val="single" w:sz="8" w:space="0" w:color="000000"/>
              <w:bottom w:val="single" w:sz="8" w:space="0" w:color="000000"/>
              <w:right w:val="single" w:sz="8" w:space="0" w:color="000000"/>
            </w:tcBorders>
          </w:tcPr>
          <w:p w14:paraId="2F925669"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1C09B6FE" w14:textId="4296AD88"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3BBDE545"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7F116E57"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5AC2FD7C" w14:textId="77777777"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05835DE2" w14:textId="77777777" w:rsidR="0063754E" w:rsidRDefault="0063754E" w:rsidP="00AE66B9">
            <w:pPr>
              <w:spacing w:after="0" w:line="259" w:lineRule="auto"/>
              <w:ind w:left="2" w:firstLine="0"/>
              <w:jc w:val="left"/>
            </w:pPr>
          </w:p>
        </w:tc>
      </w:tr>
      <w:tr w:rsidR="0063754E" w14:paraId="3A69364F" w14:textId="77777777" w:rsidTr="007F478A">
        <w:trPr>
          <w:trHeight w:val="579"/>
        </w:trPr>
        <w:tc>
          <w:tcPr>
            <w:tcW w:w="4526" w:type="dxa"/>
            <w:tcBorders>
              <w:top w:val="single" w:sz="8" w:space="0" w:color="000000"/>
              <w:left w:val="single" w:sz="8" w:space="0" w:color="000000"/>
              <w:bottom w:val="single" w:sz="8" w:space="0" w:color="000000"/>
              <w:right w:val="single" w:sz="8" w:space="0" w:color="000000"/>
            </w:tcBorders>
          </w:tcPr>
          <w:p w14:paraId="19353C5C" w14:textId="77777777" w:rsidR="0063754E" w:rsidRDefault="0063754E" w:rsidP="00AE66B9">
            <w:pPr>
              <w:spacing w:after="0" w:line="259" w:lineRule="auto"/>
              <w:ind w:left="0" w:firstLine="0"/>
              <w:jc w:val="left"/>
            </w:pPr>
            <w:r>
              <w:t xml:space="preserve">Other </w:t>
            </w:r>
          </w:p>
        </w:tc>
        <w:tc>
          <w:tcPr>
            <w:tcW w:w="709" w:type="dxa"/>
            <w:tcBorders>
              <w:top w:val="single" w:sz="8" w:space="0" w:color="000000"/>
              <w:left w:val="single" w:sz="8" w:space="0" w:color="000000"/>
              <w:bottom w:val="single" w:sz="8" w:space="0" w:color="000000"/>
              <w:right w:val="single" w:sz="8" w:space="0" w:color="000000"/>
            </w:tcBorders>
          </w:tcPr>
          <w:p w14:paraId="2A595B42"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410EB18B"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6BBDEEAB"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707A19C4"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173B79F4" w14:textId="77777777"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5FC241F5" w14:textId="298C045D" w:rsidR="0063754E" w:rsidRDefault="0063754E" w:rsidP="00AE66B9">
            <w:pPr>
              <w:spacing w:after="0" w:line="259" w:lineRule="auto"/>
              <w:ind w:left="2" w:firstLine="0"/>
              <w:jc w:val="left"/>
            </w:pPr>
          </w:p>
        </w:tc>
      </w:tr>
    </w:tbl>
    <w:p w14:paraId="71555A86" w14:textId="77777777" w:rsidR="0063754E" w:rsidRDefault="0063754E" w:rsidP="0063754E">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330A8C01" w14:textId="727EC11C" w:rsidR="0063754E" w:rsidRDefault="0063754E">
      <w:pPr>
        <w:spacing w:after="245" w:line="268" w:lineRule="auto"/>
        <w:ind w:left="-5" w:right="365"/>
        <w:jc w:val="left"/>
      </w:pPr>
    </w:p>
    <w:p w14:paraId="75A9748D" w14:textId="096FBA39" w:rsidR="0063754E" w:rsidRPr="00791612" w:rsidRDefault="0063754E" w:rsidP="0063754E">
      <w:pPr>
        <w:pStyle w:val="ListParagraph"/>
        <w:numPr>
          <w:ilvl w:val="0"/>
          <w:numId w:val="6"/>
        </w:numPr>
        <w:spacing w:after="245" w:line="268" w:lineRule="auto"/>
        <w:ind w:right="365"/>
        <w:jc w:val="left"/>
        <w:rPr>
          <w:b/>
          <w:bCs/>
          <w:sz w:val="20"/>
        </w:rPr>
      </w:pPr>
      <w:r w:rsidRPr="00791612">
        <w:rPr>
          <w:b/>
          <w:bCs/>
        </w:rPr>
        <w:t xml:space="preserve">Other data points </w:t>
      </w:r>
    </w:p>
    <w:tbl>
      <w:tblPr>
        <w:tblW w:w="9249" w:type="dxa"/>
        <w:tblCellMar>
          <w:top w:w="19" w:type="dxa"/>
          <w:right w:w="51" w:type="dxa"/>
        </w:tblCellMar>
        <w:tblLook w:val="04A0" w:firstRow="1" w:lastRow="0" w:firstColumn="1" w:lastColumn="0" w:noHBand="0" w:noVBand="1"/>
      </w:tblPr>
      <w:tblGrid>
        <w:gridCol w:w="4526"/>
        <w:gridCol w:w="709"/>
        <w:gridCol w:w="851"/>
        <w:gridCol w:w="708"/>
        <w:gridCol w:w="709"/>
        <w:gridCol w:w="709"/>
        <w:gridCol w:w="1037"/>
      </w:tblGrid>
      <w:tr w:rsidR="0063754E" w14:paraId="147EE85D" w14:textId="77777777" w:rsidTr="007F478A">
        <w:trPr>
          <w:trHeight w:val="1529"/>
        </w:trPr>
        <w:tc>
          <w:tcPr>
            <w:tcW w:w="4526" w:type="dxa"/>
            <w:tcBorders>
              <w:top w:val="single" w:sz="8" w:space="0" w:color="000000"/>
              <w:left w:val="single" w:sz="8" w:space="0" w:color="000000"/>
              <w:bottom w:val="single" w:sz="8" w:space="0" w:color="000000"/>
              <w:right w:val="single" w:sz="8" w:space="0" w:color="000000"/>
            </w:tcBorders>
          </w:tcPr>
          <w:p w14:paraId="00E9420F"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0F97DE3E" w14:textId="77777777" w:rsidR="0063754E" w:rsidRDefault="0063754E" w:rsidP="00AE66B9">
            <w:pPr>
              <w:spacing w:after="0" w:line="259" w:lineRule="auto"/>
              <w:ind w:left="38" w:hanging="38"/>
              <w:jc w:val="center"/>
            </w:pPr>
            <w:r>
              <w:t xml:space="preserve">1 </w:t>
            </w:r>
          </w:p>
        </w:tc>
        <w:tc>
          <w:tcPr>
            <w:tcW w:w="851" w:type="dxa"/>
            <w:tcBorders>
              <w:top w:val="single" w:sz="8" w:space="0" w:color="000000"/>
              <w:left w:val="single" w:sz="8" w:space="0" w:color="000000"/>
              <w:bottom w:val="single" w:sz="8" w:space="0" w:color="000000"/>
              <w:right w:val="single" w:sz="8" w:space="0" w:color="000000"/>
            </w:tcBorders>
          </w:tcPr>
          <w:p w14:paraId="5035AB1E" w14:textId="77777777" w:rsidR="0063754E" w:rsidRDefault="0063754E" w:rsidP="00AE66B9">
            <w:pPr>
              <w:spacing w:after="0" w:line="259" w:lineRule="auto"/>
              <w:ind w:left="55" w:firstLine="0"/>
              <w:jc w:val="left"/>
            </w:pPr>
            <w:r>
              <w:t xml:space="preserve">2 </w:t>
            </w:r>
          </w:p>
        </w:tc>
        <w:tc>
          <w:tcPr>
            <w:tcW w:w="708" w:type="dxa"/>
            <w:tcBorders>
              <w:top w:val="single" w:sz="8" w:space="0" w:color="000000"/>
              <w:left w:val="single" w:sz="8" w:space="0" w:color="000000"/>
              <w:bottom w:val="single" w:sz="8" w:space="0" w:color="000000"/>
              <w:right w:val="single" w:sz="8" w:space="0" w:color="000000"/>
            </w:tcBorders>
          </w:tcPr>
          <w:p w14:paraId="35F284E3" w14:textId="77777777" w:rsidR="0063754E" w:rsidRDefault="0063754E" w:rsidP="00AE66B9">
            <w:pPr>
              <w:spacing w:after="0" w:line="259" w:lineRule="auto"/>
              <w:ind w:left="55" w:firstLine="0"/>
              <w:jc w:val="left"/>
            </w:pPr>
            <w:r>
              <w:t xml:space="preserve">3 </w:t>
            </w:r>
          </w:p>
        </w:tc>
        <w:tc>
          <w:tcPr>
            <w:tcW w:w="709" w:type="dxa"/>
            <w:tcBorders>
              <w:top w:val="single" w:sz="8" w:space="0" w:color="000000"/>
              <w:left w:val="single" w:sz="8" w:space="0" w:color="000000"/>
              <w:bottom w:val="single" w:sz="8" w:space="0" w:color="000000"/>
              <w:right w:val="single" w:sz="8" w:space="0" w:color="000000"/>
            </w:tcBorders>
          </w:tcPr>
          <w:p w14:paraId="33E0D8AD" w14:textId="77777777" w:rsidR="0063754E" w:rsidRDefault="0063754E" w:rsidP="00AE66B9">
            <w:pPr>
              <w:spacing w:after="0" w:line="259" w:lineRule="auto"/>
              <w:ind w:left="0" w:right="57" w:firstLine="0"/>
              <w:jc w:val="center"/>
            </w:pPr>
            <w:r>
              <w:t xml:space="preserve">4 </w:t>
            </w:r>
          </w:p>
        </w:tc>
        <w:tc>
          <w:tcPr>
            <w:tcW w:w="709" w:type="dxa"/>
            <w:tcBorders>
              <w:top w:val="single" w:sz="8" w:space="0" w:color="000000"/>
              <w:left w:val="single" w:sz="8" w:space="0" w:color="000000"/>
              <w:bottom w:val="single" w:sz="8" w:space="0" w:color="000000"/>
              <w:right w:val="single" w:sz="8" w:space="0" w:color="000000"/>
            </w:tcBorders>
          </w:tcPr>
          <w:p w14:paraId="53E52104" w14:textId="77777777" w:rsidR="0063754E" w:rsidRDefault="0063754E" w:rsidP="00AE66B9">
            <w:pPr>
              <w:spacing w:after="0" w:line="259" w:lineRule="auto"/>
              <w:ind w:left="0" w:right="57" w:firstLine="0"/>
              <w:jc w:val="center"/>
            </w:pPr>
            <w:r>
              <w:t xml:space="preserve">5 </w:t>
            </w:r>
          </w:p>
        </w:tc>
        <w:tc>
          <w:tcPr>
            <w:tcW w:w="1037" w:type="dxa"/>
            <w:tcBorders>
              <w:top w:val="single" w:sz="8" w:space="0" w:color="000000"/>
              <w:left w:val="single" w:sz="8" w:space="0" w:color="000000"/>
              <w:bottom w:val="single" w:sz="8" w:space="0" w:color="000000"/>
              <w:right w:val="single" w:sz="8" w:space="0" w:color="000000"/>
            </w:tcBorders>
          </w:tcPr>
          <w:p w14:paraId="18306AD3" w14:textId="77777777" w:rsidR="0063754E" w:rsidRDefault="0063754E" w:rsidP="00AE66B9">
            <w:pPr>
              <w:spacing w:after="0" w:line="259" w:lineRule="auto"/>
              <w:ind w:left="0" w:right="57" w:firstLine="0"/>
              <w:jc w:val="center"/>
            </w:pPr>
            <w:r>
              <w:t xml:space="preserve">Don’t know </w:t>
            </w:r>
          </w:p>
        </w:tc>
      </w:tr>
      <w:tr w:rsidR="0063754E" w14:paraId="453D6298" w14:textId="77777777" w:rsidTr="007F478A">
        <w:trPr>
          <w:trHeight w:val="1364"/>
        </w:trPr>
        <w:tc>
          <w:tcPr>
            <w:tcW w:w="4526" w:type="dxa"/>
            <w:tcBorders>
              <w:top w:val="single" w:sz="8" w:space="0" w:color="000000"/>
              <w:left w:val="single" w:sz="8" w:space="0" w:color="000000"/>
              <w:bottom w:val="single" w:sz="8" w:space="0" w:color="000000"/>
              <w:right w:val="single" w:sz="8" w:space="0" w:color="000000"/>
            </w:tcBorders>
          </w:tcPr>
          <w:p w14:paraId="63A4E4BE" w14:textId="77777777" w:rsidR="0063754E" w:rsidRDefault="0063754E" w:rsidP="00AE66B9">
            <w:pPr>
              <w:spacing w:after="0" w:line="259" w:lineRule="auto"/>
              <w:ind w:left="0" w:right="60" w:firstLine="0"/>
            </w:pPr>
            <w:r>
              <w:t xml:space="preserve">Estimates from data providers, based on data coming from the investee companies  </w:t>
            </w:r>
          </w:p>
        </w:tc>
        <w:tc>
          <w:tcPr>
            <w:tcW w:w="709" w:type="dxa"/>
            <w:tcBorders>
              <w:top w:val="single" w:sz="8" w:space="0" w:color="000000"/>
              <w:left w:val="single" w:sz="8" w:space="0" w:color="000000"/>
              <w:bottom w:val="single" w:sz="8" w:space="0" w:color="000000"/>
              <w:right w:val="single" w:sz="8" w:space="0" w:color="000000"/>
            </w:tcBorders>
          </w:tcPr>
          <w:p w14:paraId="47E82643"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3010BEFE"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0D7BEA45"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65D7244B"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0998392D" w14:textId="6D2D3397"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2FD6245A" w14:textId="77777777" w:rsidR="0063754E" w:rsidRDefault="0063754E" w:rsidP="00AE66B9">
            <w:pPr>
              <w:spacing w:after="0" w:line="259" w:lineRule="auto"/>
              <w:ind w:left="2" w:firstLine="0"/>
              <w:jc w:val="left"/>
            </w:pPr>
          </w:p>
        </w:tc>
      </w:tr>
      <w:tr w:rsidR="0063754E" w14:paraId="55B83603" w14:textId="77777777" w:rsidTr="007F478A">
        <w:trPr>
          <w:trHeight w:val="1090"/>
        </w:trPr>
        <w:tc>
          <w:tcPr>
            <w:tcW w:w="4526" w:type="dxa"/>
            <w:tcBorders>
              <w:top w:val="single" w:sz="8" w:space="0" w:color="000000"/>
              <w:left w:val="single" w:sz="8" w:space="0" w:color="000000"/>
              <w:bottom w:val="single" w:sz="8" w:space="0" w:color="000000"/>
              <w:right w:val="single" w:sz="8" w:space="0" w:color="000000"/>
            </w:tcBorders>
          </w:tcPr>
          <w:p w14:paraId="5EFC2926" w14:textId="77777777" w:rsidR="0063754E" w:rsidRDefault="0063754E" w:rsidP="00AE66B9">
            <w:pPr>
              <w:spacing w:after="0" w:line="259" w:lineRule="auto"/>
              <w:ind w:left="0" w:right="60" w:firstLine="0"/>
            </w:pPr>
            <w:r>
              <w:t xml:space="preserve">Estimates from data providers, based on data coming from other sources </w:t>
            </w:r>
          </w:p>
        </w:tc>
        <w:tc>
          <w:tcPr>
            <w:tcW w:w="709" w:type="dxa"/>
            <w:tcBorders>
              <w:top w:val="single" w:sz="8" w:space="0" w:color="000000"/>
              <w:left w:val="single" w:sz="8" w:space="0" w:color="000000"/>
              <w:bottom w:val="single" w:sz="8" w:space="0" w:color="000000"/>
              <w:right w:val="single" w:sz="8" w:space="0" w:color="000000"/>
            </w:tcBorders>
          </w:tcPr>
          <w:p w14:paraId="0AC37F09"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08ED22C9"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0C5C3A6F"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493A7DC1"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63F72F40" w14:textId="7A2119F8"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1CDC97CC" w14:textId="77777777" w:rsidR="0063754E" w:rsidRDefault="0063754E" w:rsidP="00AE66B9">
            <w:pPr>
              <w:spacing w:after="0" w:line="259" w:lineRule="auto"/>
              <w:ind w:left="2" w:firstLine="0"/>
              <w:jc w:val="left"/>
            </w:pPr>
          </w:p>
        </w:tc>
      </w:tr>
      <w:tr w:rsidR="0063754E" w14:paraId="6B90DD24" w14:textId="77777777" w:rsidTr="007F478A">
        <w:trPr>
          <w:trHeight w:val="595"/>
        </w:trPr>
        <w:tc>
          <w:tcPr>
            <w:tcW w:w="4526" w:type="dxa"/>
            <w:tcBorders>
              <w:top w:val="single" w:sz="8" w:space="0" w:color="000000"/>
              <w:left w:val="single" w:sz="8" w:space="0" w:color="000000"/>
              <w:bottom w:val="single" w:sz="8" w:space="0" w:color="000000"/>
              <w:right w:val="single" w:sz="8" w:space="0" w:color="000000"/>
            </w:tcBorders>
          </w:tcPr>
          <w:p w14:paraId="16FD072E" w14:textId="77777777" w:rsidR="0063754E" w:rsidRDefault="0063754E" w:rsidP="00AE66B9">
            <w:pPr>
              <w:spacing w:after="0" w:line="259" w:lineRule="auto"/>
              <w:ind w:left="0" w:firstLine="0"/>
              <w:jc w:val="left"/>
            </w:pPr>
            <w:r>
              <w:t>In-house estimates</w:t>
            </w:r>
            <w:r>
              <w:rPr>
                <w:rFonts w:ascii="Calibri" w:eastAsia="Calibri" w:hAnsi="Calibri" w:cs="Calibri"/>
              </w:rPr>
              <w:t xml:space="preserve"> </w:t>
            </w:r>
          </w:p>
        </w:tc>
        <w:tc>
          <w:tcPr>
            <w:tcW w:w="709" w:type="dxa"/>
            <w:tcBorders>
              <w:top w:val="single" w:sz="8" w:space="0" w:color="000000"/>
              <w:left w:val="single" w:sz="8" w:space="0" w:color="000000"/>
              <w:bottom w:val="single" w:sz="8" w:space="0" w:color="000000"/>
              <w:right w:val="single" w:sz="8" w:space="0" w:color="000000"/>
            </w:tcBorders>
          </w:tcPr>
          <w:p w14:paraId="04092D62"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6F1EA885"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0633DEB2" w14:textId="62EE3182"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0EF30731"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1C67A2F1" w14:textId="77777777" w:rsidR="0063754E" w:rsidRDefault="0063754E" w:rsidP="00AE66B9">
            <w:pPr>
              <w:spacing w:after="0" w:line="259" w:lineRule="auto"/>
              <w:ind w:left="2" w:firstLine="0"/>
              <w:jc w:val="left"/>
              <w:rPr>
                <w:rFonts w:ascii="Calibri" w:eastAsia="Calibri" w:hAnsi="Calibri" w:cs="Calibri"/>
              </w:rPr>
            </w:pPr>
          </w:p>
        </w:tc>
        <w:tc>
          <w:tcPr>
            <w:tcW w:w="1037" w:type="dxa"/>
            <w:tcBorders>
              <w:top w:val="single" w:sz="8" w:space="0" w:color="000000"/>
              <w:left w:val="single" w:sz="8" w:space="0" w:color="000000"/>
              <w:bottom w:val="single" w:sz="8" w:space="0" w:color="000000"/>
              <w:right w:val="single" w:sz="8" w:space="0" w:color="000000"/>
            </w:tcBorders>
          </w:tcPr>
          <w:p w14:paraId="4EE2BD9C" w14:textId="77777777" w:rsidR="0063754E" w:rsidRDefault="0063754E" w:rsidP="00AE66B9">
            <w:pPr>
              <w:spacing w:after="0" w:line="259" w:lineRule="auto"/>
              <w:ind w:left="2" w:firstLine="0"/>
              <w:jc w:val="left"/>
              <w:rPr>
                <w:rFonts w:ascii="Calibri" w:eastAsia="Calibri" w:hAnsi="Calibri" w:cs="Calibri"/>
              </w:rPr>
            </w:pPr>
          </w:p>
        </w:tc>
      </w:tr>
      <w:tr w:rsidR="0063754E" w14:paraId="0A74A8EF" w14:textId="77777777" w:rsidTr="007F478A">
        <w:trPr>
          <w:trHeight w:val="578"/>
        </w:trPr>
        <w:tc>
          <w:tcPr>
            <w:tcW w:w="4526" w:type="dxa"/>
            <w:tcBorders>
              <w:top w:val="single" w:sz="8" w:space="0" w:color="000000"/>
              <w:left w:val="single" w:sz="8" w:space="0" w:color="000000"/>
              <w:bottom w:val="single" w:sz="8" w:space="0" w:color="000000"/>
              <w:right w:val="single" w:sz="8" w:space="0" w:color="000000"/>
            </w:tcBorders>
          </w:tcPr>
          <w:p w14:paraId="2F809541" w14:textId="77777777" w:rsidR="0063754E" w:rsidRDefault="0063754E" w:rsidP="00AE66B9">
            <w:pPr>
              <w:spacing w:after="0" w:line="259" w:lineRule="auto"/>
              <w:ind w:left="0" w:firstLine="0"/>
              <w:jc w:val="left"/>
            </w:pPr>
            <w:r>
              <w:t xml:space="preserve">Internal ESG score models </w:t>
            </w:r>
          </w:p>
        </w:tc>
        <w:tc>
          <w:tcPr>
            <w:tcW w:w="709" w:type="dxa"/>
            <w:tcBorders>
              <w:top w:val="single" w:sz="8" w:space="0" w:color="000000"/>
              <w:left w:val="single" w:sz="8" w:space="0" w:color="000000"/>
              <w:bottom w:val="single" w:sz="8" w:space="0" w:color="000000"/>
              <w:right w:val="single" w:sz="8" w:space="0" w:color="000000"/>
            </w:tcBorders>
          </w:tcPr>
          <w:p w14:paraId="72EABD18"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326543CC"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71E6A92C"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38F4E270"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259FBA6E" w14:textId="66EE3026"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7BBFDC55" w14:textId="77777777" w:rsidR="0063754E" w:rsidRDefault="0063754E" w:rsidP="00AE66B9">
            <w:pPr>
              <w:spacing w:after="0" w:line="259" w:lineRule="auto"/>
              <w:ind w:left="2" w:firstLine="0"/>
              <w:jc w:val="left"/>
            </w:pPr>
          </w:p>
        </w:tc>
      </w:tr>
      <w:tr w:rsidR="0063754E" w14:paraId="6454141B" w14:textId="77777777" w:rsidTr="007F478A">
        <w:trPr>
          <w:trHeight w:val="576"/>
        </w:trPr>
        <w:tc>
          <w:tcPr>
            <w:tcW w:w="4526" w:type="dxa"/>
            <w:tcBorders>
              <w:top w:val="single" w:sz="8" w:space="0" w:color="000000"/>
              <w:left w:val="single" w:sz="8" w:space="0" w:color="000000"/>
              <w:bottom w:val="single" w:sz="8" w:space="0" w:color="000000"/>
              <w:right w:val="single" w:sz="8" w:space="0" w:color="000000"/>
            </w:tcBorders>
          </w:tcPr>
          <w:p w14:paraId="38819CA3" w14:textId="77777777" w:rsidR="0063754E" w:rsidRDefault="0063754E" w:rsidP="00AE66B9">
            <w:pPr>
              <w:spacing w:after="0" w:line="259" w:lineRule="auto"/>
              <w:ind w:left="0" w:firstLine="0"/>
              <w:jc w:val="left"/>
            </w:pPr>
            <w:r>
              <w:t xml:space="preserve">External ESG score models </w:t>
            </w:r>
          </w:p>
        </w:tc>
        <w:tc>
          <w:tcPr>
            <w:tcW w:w="709" w:type="dxa"/>
            <w:tcBorders>
              <w:top w:val="single" w:sz="8" w:space="0" w:color="000000"/>
              <w:left w:val="single" w:sz="8" w:space="0" w:color="000000"/>
              <w:bottom w:val="single" w:sz="8" w:space="0" w:color="000000"/>
              <w:right w:val="single" w:sz="8" w:space="0" w:color="000000"/>
            </w:tcBorders>
          </w:tcPr>
          <w:p w14:paraId="5F62DB73"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6E89BA7E" w14:textId="5ABA1F88"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34C46D4F"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6EA23B26"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60C41DA2" w14:textId="77777777"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5EB1C15E" w14:textId="77777777" w:rsidR="0063754E" w:rsidRDefault="0063754E" w:rsidP="00AE66B9">
            <w:pPr>
              <w:spacing w:after="0" w:line="259" w:lineRule="auto"/>
              <w:ind w:left="2" w:firstLine="0"/>
              <w:jc w:val="left"/>
            </w:pPr>
          </w:p>
        </w:tc>
      </w:tr>
      <w:tr w:rsidR="0063754E" w14:paraId="234AAE55" w14:textId="77777777" w:rsidTr="007F478A">
        <w:trPr>
          <w:trHeight w:val="579"/>
        </w:trPr>
        <w:tc>
          <w:tcPr>
            <w:tcW w:w="4526" w:type="dxa"/>
            <w:tcBorders>
              <w:top w:val="single" w:sz="8" w:space="0" w:color="000000"/>
              <w:left w:val="single" w:sz="8" w:space="0" w:color="000000"/>
              <w:bottom w:val="single" w:sz="8" w:space="0" w:color="000000"/>
              <w:right w:val="single" w:sz="8" w:space="0" w:color="000000"/>
            </w:tcBorders>
          </w:tcPr>
          <w:p w14:paraId="08942B4D" w14:textId="77777777" w:rsidR="0063754E" w:rsidRDefault="0063754E" w:rsidP="00AE66B9">
            <w:pPr>
              <w:spacing w:after="0" w:line="259" w:lineRule="auto"/>
              <w:ind w:left="0" w:firstLine="0"/>
              <w:jc w:val="left"/>
            </w:pPr>
            <w:r>
              <w:t xml:space="preserve">Other </w:t>
            </w:r>
          </w:p>
        </w:tc>
        <w:tc>
          <w:tcPr>
            <w:tcW w:w="709" w:type="dxa"/>
            <w:tcBorders>
              <w:top w:val="single" w:sz="8" w:space="0" w:color="000000"/>
              <w:left w:val="single" w:sz="8" w:space="0" w:color="000000"/>
              <w:bottom w:val="single" w:sz="8" w:space="0" w:color="000000"/>
              <w:right w:val="single" w:sz="8" w:space="0" w:color="000000"/>
            </w:tcBorders>
          </w:tcPr>
          <w:p w14:paraId="374DD422" w14:textId="77777777" w:rsidR="0063754E" w:rsidRDefault="0063754E" w:rsidP="00AE66B9">
            <w:pPr>
              <w:spacing w:after="0" w:line="259" w:lineRule="auto"/>
              <w:ind w:left="0" w:firstLine="0"/>
              <w:jc w:val="left"/>
            </w:pPr>
          </w:p>
        </w:tc>
        <w:tc>
          <w:tcPr>
            <w:tcW w:w="851" w:type="dxa"/>
            <w:tcBorders>
              <w:top w:val="single" w:sz="8" w:space="0" w:color="000000"/>
              <w:left w:val="single" w:sz="8" w:space="0" w:color="000000"/>
              <w:bottom w:val="single" w:sz="8" w:space="0" w:color="000000"/>
              <w:right w:val="single" w:sz="8" w:space="0" w:color="000000"/>
            </w:tcBorders>
          </w:tcPr>
          <w:p w14:paraId="3FCFE7CE" w14:textId="77777777" w:rsidR="0063754E" w:rsidRDefault="0063754E" w:rsidP="00AE66B9">
            <w:pPr>
              <w:spacing w:after="0" w:line="259" w:lineRule="auto"/>
              <w:ind w:left="0" w:firstLine="0"/>
              <w:jc w:val="left"/>
            </w:pPr>
          </w:p>
        </w:tc>
        <w:tc>
          <w:tcPr>
            <w:tcW w:w="708" w:type="dxa"/>
            <w:tcBorders>
              <w:top w:val="single" w:sz="8" w:space="0" w:color="000000"/>
              <w:left w:val="single" w:sz="8" w:space="0" w:color="000000"/>
              <w:bottom w:val="single" w:sz="8" w:space="0" w:color="000000"/>
              <w:right w:val="single" w:sz="8" w:space="0" w:color="000000"/>
            </w:tcBorders>
          </w:tcPr>
          <w:p w14:paraId="25FCA04E" w14:textId="77777777" w:rsidR="0063754E" w:rsidRDefault="0063754E" w:rsidP="00AE66B9">
            <w:pPr>
              <w:spacing w:after="0" w:line="259" w:lineRule="auto"/>
              <w:ind w:left="0"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679E9B56" w14:textId="77777777" w:rsidR="0063754E" w:rsidRDefault="0063754E" w:rsidP="00AE66B9">
            <w:pPr>
              <w:spacing w:after="0" w:line="259" w:lineRule="auto"/>
              <w:ind w:left="2" w:firstLine="0"/>
              <w:jc w:val="left"/>
            </w:pPr>
          </w:p>
        </w:tc>
        <w:tc>
          <w:tcPr>
            <w:tcW w:w="709" w:type="dxa"/>
            <w:tcBorders>
              <w:top w:val="single" w:sz="8" w:space="0" w:color="000000"/>
              <w:left w:val="single" w:sz="8" w:space="0" w:color="000000"/>
              <w:bottom w:val="single" w:sz="8" w:space="0" w:color="000000"/>
              <w:right w:val="single" w:sz="8" w:space="0" w:color="000000"/>
            </w:tcBorders>
          </w:tcPr>
          <w:p w14:paraId="4ABA2BA0" w14:textId="77777777" w:rsidR="0063754E" w:rsidRDefault="0063754E" w:rsidP="00AE66B9">
            <w:pPr>
              <w:spacing w:after="0" w:line="259" w:lineRule="auto"/>
              <w:ind w:left="2" w:firstLine="0"/>
              <w:jc w:val="left"/>
            </w:pPr>
          </w:p>
        </w:tc>
        <w:tc>
          <w:tcPr>
            <w:tcW w:w="1037" w:type="dxa"/>
            <w:tcBorders>
              <w:top w:val="single" w:sz="8" w:space="0" w:color="000000"/>
              <w:left w:val="single" w:sz="8" w:space="0" w:color="000000"/>
              <w:bottom w:val="single" w:sz="8" w:space="0" w:color="000000"/>
              <w:right w:val="single" w:sz="8" w:space="0" w:color="000000"/>
            </w:tcBorders>
          </w:tcPr>
          <w:p w14:paraId="63287CDA" w14:textId="77777777" w:rsidR="0063754E" w:rsidRDefault="0063754E" w:rsidP="00AE66B9">
            <w:pPr>
              <w:spacing w:after="0" w:line="259" w:lineRule="auto"/>
              <w:ind w:left="2" w:firstLine="0"/>
              <w:jc w:val="left"/>
            </w:pPr>
          </w:p>
        </w:tc>
      </w:tr>
    </w:tbl>
    <w:p w14:paraId="030EC561" w14:textId="6AB11C54" w:rsidR="0063754E" w:rsidRDefault="0063754E" w:rsidP="0063754E">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03C347E3" w14:textId="77777777" w:rsidR="0063754E" w:rsidRDefault="0063754E">
      <w:pPr>
        <w:spacing w:after="245" w:line="268" w:lineRule="auto"/>
        <w:ind w:left="-5" w:right="365"/>
        <w:jc w:val="left"/>
      </w:pPr>
    </w:p>
    <w:p w14:paraId="66F857A0" w14:textId="77777777" w:rsidR="0045673A" w:rsidRDefault="00E17DF3">
      <w:pPr>
        <w:ind w:right="643"/>
      </w:pPr>
      <w:r>
        <w:rPr>
          <w:b/>
          <w:u w:val="single" w:color="000000"/>
        </w:rPr>
        <w:t>Question 1.12.5</w:t>
      </w:r>
      <w:r>
        <w:t xml:space="preserve">: Do you engage with investee companies to encourage reporting of the missing data? </w:t>
      </w:r>
    </w:p>
    <w:tbl>
      <w:tblPr>
        <w:tblW w:w="8829"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2826"/>
      </w:tblGrid>
      <w:tr w:rsidR="0045673A" w14:paraId="3495B725" w14:textId="77777777">
        <w:trPr>
          <w:trHeight w:val="530"/>
        </w:trPr>
        <w:tc>
          <w:tcPr>
            <w:tcW w:w="1229" w:type="dxa"/>
            <w:tcBorders>
              <w:top w:val="single" w:sz="6" w:space="0" w:color="000000"/>
              <w:left w:val="single" w:sz="6" w:space="0" w:color="000000"/>
              <w:bottom w:val="single" w:sz="6" w:space="0" w:color="000000"/>
              <w:right w:val="single" w:sz="6" w:space="0" w:color="000000"/>
            </w:tcBorders>
          </w:tcPr>
          <w:p w14:paraId="604682BE"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0C12A944"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42F43AF1"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2E8613F5"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68B860C3" w14:textId="77777777" w:rsidR="0045673A" w:rsidRDefault="00E17DF3">
            <w:pPr>
              <w:spacing w:after="0" w:line="259" w:lineRule="auto"/>
              <w:ind w:left="2" w:firstLine="0"/>
              <w:jc w:val="center"/>
            </w:pPr>
            <w:r>
              <w:t xml:space="preserve">5 </w:t>
            </w:r>
          </w:p>
        </w:tc>
        <w:tc>
          <w:tcPr>
            <w:tcW w:w="2826" w:type="dxa"/>
            <w:tcBorders>
              <w:top w:val="single" w:sz="6" w:space="0" w:color="000000"/>
              <w:left w:val="single" w:sz="6" w:space="0" w:color="000000"/>
              <w:bottom w:val="single" w:sz="6" w:space="0" w:color="000000"/>
              <w:right w:val="single" w:sz="6" w:space="0" w:color="000000"/>
            </w:tcBorders>
          </w:tcPr>
          <w:p w14:paraId="046512FA" w14:textId="77777777" w:rsidR="0045673A" w:rsidRDefault="00E17DF3">
            <w:pPr>
              <w:spacing w:after="0" w:line="259" w:lineRule="auto"/>
              <w:ind w:left="0" w:right="2" w:firstLine="0"/>
              <w:jc w:val="center"/>
            </w:pPr>
            <w:r>
              <w:t xml:space="preserve">Don’t know </w:t>
            </w:r>
          </w:p>
        </w:tc>
      </w:tr>
      <w:tr w:rsidR="0045673A" w14:paraId="365CC1DF" w14:textId="77777777">
        <w:trPr>
          <w:trHeight w:val="533"/>
        </w:trPr>
        <w:tc>
          <w:tcPr>
            <w:tcW w:w="1229" w:type="dxa"/>
            <w:tcBorders>
              <w:top w:val="single" w:sz="6" w:space="0" w:color="000000"/>
              <w:left w:val="single" w:sz="6" w:space="0" w:color="000000"/>
              <w:bottom w:val="single" w:sz="6" w:space="0" w:color="000000"/>
              <w:right w:val="single" w:sz="6" w:space="0" w:color="000000"/>
            </w:tcBorders>
          </w:tcPr>
          <w:p w14:paraId="6E9FD45D" w14:textId="77777777" w:rsidR="0045673A" w:rsidRDefault="00E17DF3">
            <w:pPr>
              <w:spacing w:after="0" w:line="259" w:lineRule="auto"/>
              <w:ind w:left="60" w:firstLine="0"/>
              <w:jc w:val="center"/>
            </w:pPr>
            <w:r>
              <w:t xml:space="preserve"> </w:t>
            </w:r>
          </w:p>
        </w:tc>
        <w:tc>
          <w:tcPr>
            <w:tcW w:w="1215" w:type="dxa"/>
            <w:tcBorders>
              <w:top w:val="single" w:sz="6" w:space="0" w:color="000000"/>
              <w:left w:val="single" w:sz="6" w:space="0" w:color="000000"/>
              <w:bottom w:val="single" w:sz="6" w:space="0" w:color="000000"/>
              <w:right w:val="single" w:sz="6" w:space="0" w:color="000000"/>
            </w:tcBorders>
          </w:tcPr>
          <w:p w14:paraId="04A2F065" w14:textId="77777777" w:rsidR="0045673A" w:rsidRDefault="00E17DF3">
            <w:pPr>
              <w:spacing w:after="0" w:line="259" w:lineRule="auto"/>
              <w:ind w:left="61"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79ED08DD" w14:textId="77777777" w:rsidR="0045673A" w:rsidRDefault="00E17DF3">
            <w:pPr>
              <w:spacing w:after="0" w:line="259" w:lineRule="auto"/>
              <w:ind w:left="62"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1579ECA4" w14:textId="77777777" w:rsidR="0045673A" w:rsidRDefault="00E17DF3">
            <w:pPr>
              <w:spacing w:after="0" w:line="259" w:lineRule="auto"/>
              <w:ind w:left="63"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tcPr>
          <w:p w14:paraId="017807DA" w14:textId="7DA7EEFB" w:rsidR="0045673A" w:rsidRDefault="0045673A">
            <w:pPr>
              <w:spacing w:after="0" w:line="259" w:lineRule="auto"/>
              <w:ind w:left="62" w:firstLine="0"/>
              <w:jc w:val="center"/>
            </w:pPr>
          </w:p>
        </w:tc>
        <w:tc>
          <w:tcPr>
            <w:tcW w:w="2826" w:type="dxa"/>
            <w:tcBorders>
              <w:top w:val="single" w:sz="6" w:space="0" w:color="000000"/>
              <w:left w:val="single" w:sz="6" w:space="0" w:color="000000"/>
              <w:bottom w:val="single" w:sz="6" w:space="0" w:color="000000"/>
              <w:right w:val="single" w:sz="6" w:space="0" w:color="000000"/>
            </w:tcBorders>
          </w:tcPr>
          <w:p w14:paraId="74D1F97A" w14:textId="77777777" w:rsidR="0045673A" w:rsidRDefault="00E17DF3">
            <w:pPr>
              <w:spacing w:after="0" w:line="259" w:lineRule="auto"/>
              <w:ind w:left="63" w:firstLine="0"/>
              <w:jc w:val="center"/>
            </w:pPr>
            <w:r>
              <w:t xml:space="preserve"> </w:t>
            </w:r>
          </w:p>
        </w:tc>
      </w:tr>
    </w:tbl>
    <w:p w14:paraId="27AE7E3A" w14:textId="77777777" w:rsidR="00B621CE" w:rsidRDefault="00E17DF3">
      <w:pPr>
        <w:spacing w:after="0" w:line="268" w:lineRule="auto"/>
        <w:ind w:left="-5" w:right="365"/>
        <w:jc w:val="left"/>
        <w:rPr>
          <w:sz w:val="20"/>
        </w:rPr>
      </w:pPr>
      <w:r>
        <w:rPr>
          <w:i/>
          <w:sz w:val="20"/>
        </w:rPr>
        <w:t>(1= not at all, 2= to a limited extent, 3= to some extent, 4= to a large extent, 5= to a very large extent)</w:t>
      </w:r>
      <w:r>
        <w:rPr>
          <w:sz w:val="20"/>
        </w:rPr>
        <w:t xml:space="preserve"> </w:t>
      </w:r>
    </w:p>
    <w:p w14:paraId="42640702" w14:textId="77777777" w:rsidR="00B621CE" w:rsidRDefault="00B621CE">
      <w:pPr>
        <w:spacing w:after="0" w:line="268" w:lineRule="auto"/>
        <w:ind w:left="-5" w:right="365"/>
        <w:jc w:val="left"/>
        <w:rPr>
          <w:sz w:val="20"/>
        </w:rPr>
      </w:pPr>
    </w:p>
    <w:p w14:paraId="1F865378" w14:textId="53E63AA1" w:rsidR="0045673A" w:rsidRDefault="00E17DF3">
      <w:pPr>
        <w:spacing w:after="0" w:line="268" w:lineRule="auto"/>
        <w:ind w:left="-5" w:right="365"/>
        <w:jc w:val="left"/>
      </w:pPr>
      <w:r w:rsidRPr="00172C4D">
        <w:t>Please also provide further explanations to your replies to questions 1.12 to 1.12.5.</w:t>
      </w:r>
      <w:r>
        <w:t xml:space="preserve"> </w:t>
      </w:r>
    </w:p>
    <w:tbl>
      <w:tblPr>
        <w:tblW w:w="8836" w:type="dxa"/>
        <w:tblCellMar>
          <w:top w:w="21" w:type="dxa"/>
          <w:right w:w="115" w:type="dxa"/>
        </w:tblCellMar>
        <w:tblLook w:val="04A0" w:firstRow="1" w:lastRow="0" w:firstColumn="1" w:lastColumn="0" w:noHBand="0" w:noVBand="1"/>
      </w:tblPr>
      <w:tblGrid>
        <w:gridCol w:w="8836"/>
      </w:tblGrid>
      <w:tr w:rsidR="0045673A" w14:paraId="5B6BE807" w14:textId="77777777">
        <w:trPr>
          <w:trHeight w:val="578"/>
        </w:trPr>
        <w:tc>
          <w:tcPr>
            <w:tcW w:w="8836" w:type="dxa"/>
            <w:tcBorders>
              <w:top w:val="single" w:sz="8" w:space="0" w:color="000000"/>
              <w:left w:val="single" w:sz="8" w:space="0" w:color="000000"/>
              <w:bottom w:val="single" w:sz="8" w:space="0" w:color="000000"/>
              <w:right w:val="single" w:sz="8" w:space="0" w:color="000000"/>
            </w:tcBorders>
          </w:tcPr>
          <w:p w14:paraId="160265D3" w14:textId="77777777" w:rsidR="002B192E" w:rsidRDefault="007C08C4">
            <w:pPr>
              <w:spacing w:after="0" w:line="259" w:lineRule="auto"/>
              <w:ind w:left="0" w:firstLine="0"/>
              <w:jc w:val="left"/>
              <w:rPr>
                <w:sz w:val="20"/>
                <w:szCs w:val="20"/>
              </w:rPr>
            </w:pPr>
            <w:r w:rsidRPr="00CA6C03">
              <w:rPr>
                <w:sz w:val="20"/>
                <w:szCs w:val="20"/>
              </w:rPr>
              <w:t>While we have not provided detail</w:t>
            </w:r>
            <w:r w:rsidR="00A2333D" w:rsidRPr="00CA6C03">
              <w:rPr>
                <w:sz w:val="20"/>
                <w:szCs w:val="20"/>
              </w:rPr>
              <w:t xml:space="preserve">ed </w:t>
            </w:r>
            <w:r w:rsidRPr="00CA6C03">
              <w:rPr>
                <w:sz w:val="20"/>
                <w:szCs w:val="20"/>
              </w:rPr>
              <w:t xml:space="preserve">views </w:t>
            </w:r>
            <w:r w:rsidR="00533E8E" w:rsidRPr="00CA6C03">
              <w:rPr>
                <w:sz w:val="20"/>
                <w:szCs w:val="20"/>
              </w:rPr>
              <w:t>on</w:t>
            </w:r>
            <w:r w:rsidRPr="00CA6C03">
              <w:rPr>
                <w:sz w:val="20"/>
                <w:szCs w:val="20"/>
              </w:rPr>
              <w:t xml:space="preserve"> many of the questions directly above as a membership organisation, our understanding from some of our members is</w:t>
            </w:r>
            <w:r w:rsidR="00B545FC" w:rsidRPr="00CA6C03">
              <w:rPr>
                <w:sz w:val="20"/>
                <w:szCs w:val="20"/>
              </w:rPr>
              <w:t xml:space="preserve"> </w:t>
            </w:r>
            <w:r w:rsidR="00D743CB" w:rsidRPr="00CA6C03">
              <w:rPr>
                <w:sz w:val="20"/>
                <w:szCs w:val="20"/>
              </w:rPr>
              <w:t xml:space="preserve">there continues to be </w:t>
            </w:r>
            <w:r w:rsidR="00172C4D" w:rsidRPr="00CA6C03">
              <w:rPr>
                <w:sz w:val="20"/>
                <w:szCs w:val="20"/>
              </w:rPr>
              <w:t xml:space="preserve">extensive </w:t>
            </w:r>
            <w:r w:rsidR="00D743CB" w:rsidRPr="00CA6C03">
              <w:rPr>
                <w:sz w:val="20"/>
                <w:szCs w:val="20"/>
              </w:rPr>
              <w:t>reliance on external data providers</w:t>
            </w:r>
            <w:r w:rsidR="00F842A9">
              <w:rPr>
                <w:sz w:val="20"/>
                <w:szCs w:val="20"/>
              </w:rPr>
              <w:t>,</w:t>
            </w:r>
            <w:r w:rsidR="00D743CB" w:rsidRPr="00CA6C03">
              <w:rPr>
                <w:sz w:val="20"/>
                <w:szCs w:val="20"/>
              </w:rPr>
              <w:t xml:space="preserve"> and data estimates </w:t>
            </w:r>
            <w:r w:rsidR="00A777B5" w:rsidRPr="00CA6C03">
              <w:rPr>
                <w:sz w:val="20"/>
                <w:szCs w:val="20"/>
              </w:rPr>
              <w:t>from firms</w:t>
            </w:r>
            <w:r w:rsidR="00F842A9">
              <w:rPr>
                <w:sz w:val="20"/>
                <w:szCs w:val="20"/>
              </w:rPr>
              <w:t>,</w:t>
            </w:r>
            <w:r w:rsidR="00A777B5" w:rsidRPr="00CA6C03">
              <w:rPr>
                <w:sz w:val="20"/>
                <w:szCs w:val="20"/>
              </w:rPr>
              <w:t xml:space="preserve"> to comply with the existing SFDR</w:t>
            </w:r>
            <w:r w:rsidR="007A6F56" w:rsidRPr="00CA6C03">
              <w:rPr>
                <w:sz w:val="20"/>
                <w:szCs w:val="20"/>
              </w:rPr>
              <w:t xml:space="preserve">. </w:t>
            </w:r>
          </w:p>
          <w:p w14:paraId="792833DC" w14:textId="77777777" w:rsidR="002B192E" w:rsidRDefault="002B192E">
            <w:pPr>
              <w:spacing w:after="0" w:line="259" w:lineRule="auto"/>
              <w:ind w:left="0" w:firstLine="0"/>
              <w:jc w:val="left"/>
              <w:rPr>
                <w:sz w:val="20"/>
                <w:szCs w:val="20"/>
              </w:rPr>
            </w:pPr>
          </w:p>
          <w:p w14:paraId="6465D230" w14:textId="254353D3" w:rsidR="001B5E2F" w:rsidRPr="002B192E" w:rsidRDefault="007A6F56">
            <w:pPr>
              <w:spacing w:after="0" w:line="259" w:lineRule="auto"/>
              <w:ind w:left="0" w:firstLine="0"/>
              <w:jc w:val="left"/>
              <w:rPr>
                <w:sz w:val="20"/>
                <w:szCs w:val="20"/>
              </w:rPr>
            </w:pPr>
            <w:r w:rsidRPr="00CA6C03">
              <w:rPr>
                <w:sz w:val="20"/>
                <w:szCs w:val="20"/>
              </w:rPr>
              <w:t xml:space="preserve">There </w:t>
            </w:r>
            <w:r w:rsidR="00A777B5" w:rsidRPr="00CA6C03">
              <w:rPr>
                <w:sz w:val="20"/>
                <w:szCs w:val="20"/>
              </w:rPr>
              <w:t xml:space="preserve">is also a lack of sufficient clarity under the framework on the types of estimates permitted to be used by firms. </w:t>
            </w:r>
            <w:r w:rsidR="00205738" w:rsidRPr="00CA6C03">
              <w:rPr>
                <w:sz w:val="20"/>
                <w:szCs w:val="20"/>
              </w:rPr>
              <w:t xml:space="preserve">We support our members </w:t>
            </w:r>
            <w:r w:rsidR="00147BD1" w:rsidRPr="00CA6C03">
              <w:rPr>
                <w:sz w:val="20"/>
                <w:szCs w:val="20"/>
              </w:rPr>
              <w:t>more a</w:t>
            </w:r>
            <w:r w:rsidR="00205738" w:rsidRPr="00CA6C03">
              <w:rPr>
                <w:sz w:val="20"/>
                <w:szCs w:val="20"/>
              </w:rPr>
              <w:t>ctively and regularly engaging with their investee companies to encourage reporting of missing sustainability-related data, while also noting that policymakers should make further efforts to</w:t>
            </w:r>
            <w:r w:rsidR="00B7485E" w:rsidRPr="00CA6C03">
              <w:rPr>
                <w:sz w:val="20"/>
                <w:szCs w:val="20"/>
              </w:rPr>
              <w:t xml:space="preserve"> markedly</w:t>
            </w:r>
            <w:r w:rsidR="00205738" w:rsidRPr="00CA6C03">
              <w:rPr>
                <w:sz w:val="20"/>
                <w:szCs w:val="20"/>
              </w:rPr>
              <w:t xml:space="preserve"> </w:t>
            </w:r>
            <w:r w:rsidR="00B7485E" w:rsidRPr="00CA6C03">
              <w:rPr>
                <w:sz w:val="20"/>
                <w:szCs w:val="20"/>
              </w:rPr>
              <w:t>improve the quality of underlying corporate data for financial market participants</w:t>
            </w:r>
            <w:r w:rsidR="00B7485E">
              <w:t xml:space="preserve">. </w:t>
            </w:r>
          </w:p>
          <w:p w14:paraId="7F3CD2B2" w14:textId="415284E1" w:rsidR="00CA6C03" w:rsidRDefault="00CA6C03">
            <w:pPr>
              <w:spacing w:after="0" w:line="259" w:lineRule="auto"/>
              <w:ind w:left="0" w:firstLine="0"/>
              <w:jc w:val="left"/>
            </w:pPr>
          </w:p>
        </w:tc>
      </w:tr>
    </w:tbl>
    <w:p w14:paraId="55B14E00" w14:textId="77777777" w:rsidR="0045673A" w:rsidRDefault="00E17DF3">
      <w:pPr>
        <w:spacing w:after="216" w:line="259" w:lineRule="auto"/>
        <w:ind w:left="0" w:firstLine="0"/>
        <w:jc w:val="left"/>
      </w:pPr>
      <w:r>
        <w:rPr>
          <w:b/>
        </w:rPr>
        <w:t xml:space="preserve"> </w:t>
      </w:r>
    </w:p>
    <w:p w14:paraId="0E0A40B4" w14:textId="2798C352" w:rsidR="0045673A" w:rsidRDefault="00E17DF3">
      <w:pPr>
        <w:spacing w:after="229"/>
        <w:ind w:right="643"/>
      </w:pPr>
      <w:r>
        <w:rPr>
          <w:b/>
          <w:u w:val="single" w:color="000000"/>
        </w:rPr>
        <w:t>Question 1.13</w:t>
      </w:r>
      <w:r>
        <w:t xml:space="preserve">: Have you increased your offer of financial products that make sustainability claims since the disclosure requirements of Articles 8 and 9 of the SFDR began to apply (i.e. since 2021, have you been offering more products that you categorise as Articles 8 and 9 than those you offered before the regulation was in place and for which you also claimed a certain sustainability performance)?  </w:t>
      </w:r>
    </w:p>
    <w:p w14:paraId="3A60DFAE" w14:textId="77777777" w:rsidR="0045673A" w:rsidRDefault="00E17DF3">
      <w:pPr>
        <w:spacing w:after="0" w:line="259" w:lineRule="auto"/>
        <w:ind w:left="0" w:firstLine="0"/>
        <w:jc w:val="left"/>
      </w:pPr>
      <w:r>
        <w:t xml:space="preserve"> </w:t>
      </w:r>
    </w:p>
    <w:tbl>
      <w:tblPr>
        <w:tblW w:w="8829"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2826"/>
      </w:tblGrid>
      <w:tr w:rsidR="0045673A" w14:paraId="6F353B26" w14:textId="77777777">
        <w:trPr>
          <w:trHeight w:val="531"/>
        </w:trPr>
        <w:tc>
          <w:tcPr>
            <w:tcW w:w="1229" w:type="dxa"/>
            <w:tcBorders>
              <w:top w:val="single" w:sz="6" w:space="0" w:color="000000"/>
              <w:left w:val="single" w:sz="6" w:space="0" w:color="000000"/>
              <w:bottom w:val="single" w:sz="6" w:space="0" w:color="000000"/>
              <w:right w:val="single" w:sz="6" w:space="0" w:color="000000"/>
            </w:tcBorders>
          </w:tcPr>
          <w:p w14:paraId="3171E915"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7A07A06B"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11A22841"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14EEF100"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2DA046FF" w14:textId="77777777" w:rsidR="0045673A" w:rsidRDefault="00E17DF3">
            <w:pPr>
              <w:spacing w:after="0" w:line="259" w:lineRule="auto"/>
              <w:ind w:left="2" w:firstLine="0"/>
              <w:jc w:val="center"/>
            </w:pPr>
            <w:r>
              <w:t xml:space="preserve">5 </w:t>
            </w:r>
          </w:p>
        </w:tc>
        <w:tc>
          <w:tcPr>
            <w:tcW w:w="2826" w:type="dxa"/>
            <w:tcBorders>
              <w:top w:val="single" w:sz="6" w:space="0" w:color="000000"/>
              <w:left w:val="single" w:sz="6" w:space="0" w:color="000000"/>
              <w:bottom w:val="single" w:sz="6" w:space="0" w:color="000000"/>
              <w:right w:val="single" w:sz="6" w:space="0" w:color="000000"/>
            </w:tcBorders>
          </w:tcPr>
          <w:p w14:paraId="78D06EBD" w14:textId="77777777" w:rsidR="0045673A" w:rsidRDefault="00E17DF3">
            <w:pPr>
              <w:spacing w:after="0" w:line="259" w:lineRule="auto"/>
              <w:ind w:left="0" w:right="2" w:firstLine="0"/>
              <w:jc w:val="center"/>
            </w:pPr>
            <w:r>
              <w:t xml:space="preserve">Don’t know </w:t>
            </w:r>
          </w:p>
        </w:tc>
      </w:tr>
      <w:tr w:rsidR="0045673A" w14:paraId="5E7D0083" w14:textId="77777777">
        <w:trPr>
          <w:trHeight w:val="533"/>
        </w:trPr>
        <w:tc>
          <w:tcPr>
            <w:tcW w:w="1229" w:type="dxa"/>
            <w:tcBorders>
              <w:top w:val="single" w:sz="6" w:space="0" w:color="000000"/>
              <w:left w:val="single" w:sz="6" w:space="0" w:color="000000"/>
              <w:bottom w:val="single" w:sz="6" w:space="0" w:color="000000"/>
              <w:right w:val="single" w:sz="6" w:space="0" w:color="000000"/>
            </w:tcBorders>
          </w:tcPr>
          <w:p w14:paraId="682B0F9F" w14:textId="77777777" w:rsidR="0045673A" w:rsidRDefault="00E17DF3">
            <w:pPr>
              <w:spacing w:after="0" w:line="259" w:lineRule="auto"/>
              <w:ind w:left="60" w:firstLine="0"/>
              <w:jc w:val="center"/>
            </w:pPr>
            <w:r>
              <w:t xml:space="preserve"> </w:t>
            </w:r>
          </w:p>
        </w:tc>
        <w:tc>
          <w:tcPr>
            <w:tcW w:w="1215" w:type="dxa"/>
            <w:tcBorders>
              <w:top w:val="single" w:sz="6" w:space="0" w:color="000000"/>
              <w:left w:val="single" w:sz="6" w:space="0" w:color="000000"/>
              <w:bottom w:val="single" w:sz="6" w:space="0" w:color="000000"/>
              <w:right w:val="single" w:sz="6" w:space="0" w:color="000000"/>
            </w:tcBorders>
          </w:tcPr>
          <w:p w14:paraId="5703397A" w14:textId="77777777" w:rsidR="0045673A" w:rsidRDefault="00E17DF3">
            <w:pPr>
              <w:spacing w:after="0" w:line="259" w:lineRule="auto"/>
              <w:ind w:left="61"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31C0DAAF" w14:textId="4FDA1D6E" w:rsidR="0045673A" w:rsidRDefault="00E17DF3">
            <w:pPr>
              <w:spacing w:after="0" w:line="259" w:lineRule="auto"/>
              <w:ind w:left="62"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4E922B7D" w14:textId="77777777" w:rsidR="0045673A" w:rsidRDefault="00E17DF3">
            <w:pPr>
              <w:spacing w:after="0" w:line="259" w:lineRule="auto"/>
              <w:ind w:left="63"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tcPr>
          <w:p w14:paraId="589B31ED" w14:textId="77777777" w:rsidR="0045673A" w:rsidRDefault="00E17DF3">
            <w:pPr>
              <w:spacing w:after="0" w:line="259" w:lineRule="auto"/>
              <w:ind w:left="62" w:firstLine="0"/>
              <w:jc w:val="center"/>
            </w:pPr>
            <w:r>
              <w:t xml:space="preserve"> </w:t>
            </w:r>
          </w:p>
        </w:tc>
        <w:tc>
          <w:tcPr>
            <w:tcW w:w="2826" w:type="dxa"/>
            <w:tcBorders>
              <w:top w:val="single" w:sz="6" w:space="0" w:color="000000"/>
              <w:left w:val="single" w:sz="6" w:space="0" w:color="000000"/>
              <w:bottom w:val="single" w:sz="6" w:space="0" w:color="000000"/>
              <w:right w:val="single" w:sz="6" w:space="0" w:color="000000"/>
            </w:tcBorders>
          </w:tcPr>
          <w:p w14:paraId="54D730EE" w14:textId="77777777" w:rsidR="0045673A" w:rsidRDefault="00E17DF3">
            <w:pPr>
              <w:spacing w:after="0" w:line="259" w:lineRule="auto"/>
              <w:ind w:left="63" w:firstLine="0"/>
              <w:jc w:val="center"/>
            </w:pPr>
            <w:r>
              <w:t xml:space="preserve"> </w:t>
            </w:r>
          </w:p>
        </w:tc>
      </w:tr>
    </w:tbl>
    <w:p w14:paraId="7C898A90" w14:textId="77777777" w:rsidR="0045673A" w:rsidRDefault="00E17DF3">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4395A282" w14:textId="77777777" w:rsidR="0045673A" w:rsidRDefault="00E17DF3">
      <w:pPr>
        <w:ind w:right="643"/>
      </w:pPr>
      <w:bookmarkStart w:id="0" w:name="_Hlk148006895"/>
      <w:r>
        <w:rPr>
          <w:b/>
          <w:u w:val="single" w:color="000000"/>
        </w:rPr>
        <w:t>Question 1.13.1</w:t>
      </w:r>
      <w:r>
        <w:t xml:space="preserve">: Please specify how the share of financial products making sustainability claims has evolved in the past years. (Please express it as a percentage of the total financial products you offered each year.) </w:t>
      </w:r>
    </w:p>
    <w:tbl>
      <w:tblPr>
        <w:tblW w:w="4311" w:type="dxa"/>
        <w:tblCellMar>
          <w:top w:w="19" w:type="dxa"/>
          <w:right w:w="115" w:type="dxa"/>
        </w:tblCellMar>
        <w:tblLook w:val="04A0" w:firstRow="1" w:lastRow="0" w:firstColumn="1" w:lastColumn="0" w:noHBand="0" w:noVBand="1"/>
      </w:tblPr>
      <w:tblGrid>
        <w:gridCol w:w="967"/>
        <w:gridCol w:w="1006"/>
        <w:gridCol w:w="1006"/>
        <w:gridCol w:w="1332"/>
      </w:tblGrid>
      <w:tr w:rsidR="0045673A" w14:paraId="700F152F" w14:textId="77777777">
        <w:trPr>
          <w:trHeight w:val="576"/>
        </w:trPr>
        <w:tc>
          <w:tcPr>
            <w:tcW w:w="967" w:type="dxa"/>
            <w:tcBorders>
              <w:top w:val="single" w:sz="8" w:space="0" w:color="000000"/>
              <w:left w:val="single" w:sz="8" w:space="0" w:color="000000"/>
              <w:bottom w:val="single" w:sz="8" w:space="0" w:color="000000"/>
              <w:right w:val="single" w:sz="8" w:space="0" w:color="000000"/>
            </w:tcBorders>
          </w:tcPr>
          <w:p w14:paraId="5E883A27" w14:textId="77777777" w:rsidR="0045673A" w:rsidRDefault="00E17DF3">
            <w:pPr>
              <w:spacing w:after="0" w:line="259" w:lineRule="auto"/>
              <w:ind w:left="5" w:firstLine="0"/>
              <w:jc w:val="center"/>
            </w:pPr>
            <w:r>
              <w:t xml:space="preserve">2020 </w:t>
            </w:r>
          </w:p>
        </w:tc>
        <w:tc>
          <w:tcPr>
            <w:tcW w:w="1006" w:type="dxa"/>
            <w:tcBorders>
              <w:top w:val="single" w:sz="8" w:space="0" w:color="000000"/>
              <w:left w:val="single" w:sz="8" w:space="0" w:color="000000"/>
              <w:bottom w:val="single" w:sz="8" w:space="0" w:color="000000"/>
              <w:right w:val="single" w:sz="8" w:space="0" w:color="000000"/>
            </w:tcBorders>
          </w:tcPr>
          <w:p w14:paraId="2B2BDDB6" w14:textId="77777777" w:rsidR="0045673A" w:rsidRDefault="00E17DF3">
            <w:pPr>
              <w:spacing w:after="0" w:line="259" w:lineRule="auto"/>
              <w:ind w:left="4" w:firstLine="0"/>
              <w:jc w:val="center"/>
            </w:pPr>
            <w:r>
              <w:t xml:space="preserve">2021 </w:t>
            </w:r>
          </w:p>
        </w:tc>
        <w:tc>
          <w:tcPr>
            <w:tcW w:w="1006" w:type="dxa"/>
            <w:tcBorders>
              <w:top w:val="single" w:sz="8" w:space="0" w:color="000000"/>
              <w:left w:val="single" w:sz="8" w:space="0" w:color="000000"/>
              <w:bottom w:val="single" w:sz="8" w:space="0" w:color="000000"/>
              <w:right w:val="single" w:sz="8" w:space="0" w:color="000000"/>
            </w:tcBorders>
          </w:tcPr>
          <w:p w14:paraId="4CE5460A" w14:textId="77777777" w:rsidR="0045673A" w:rsidRDefault="00E17DF3">
            <w:pPr>
              <w:spacing w:after="0" w:line="259" w:lineRule="auto"/>
              <w:ind w:left="5" w:firstLine="0"/>
              <w:jc w:val="center"/>
            </w:pPr>
            <w:r>
              <w:t xml:space="preserve">2022 </w:t>
            </w:r>
          </w:p>
        </w:tc>
        <w:tc>
          <w:tcPr>
            <w:tcW w:w="1332" w:type="dxa"/>
            <w:tcBorders>
              <w:top w:val="single" w:sz="8" w:space="0" w:color="000000"/>
              <w:left w:val="single" w:sz="8" w:space="0" w:color="000000"/>
              <w:bottom w:val="single" w:sz="8" w:space="0" w:color="000000"/>
              <w:right w:val="single" w:sz="8" w:space="0" w:color="000000"/>
            </w:tcBorders>
          </w:tcPr>
          <w:p w14:paraId="12BCCCF2" w14:textId="77777777" w:rsidR="0045673A" w:rsidRDefault="00E17DF3">
            <w:pPr>
              <w:spacing w:after="0" w:line="259" w:lineRule="auto"/>
              <w:ind w:left="4" w:firstLine="0"/>
              <w:jc w:val="center"/>
            </w:pPr>
            <w:r>
              <w:t xml:space="preserve">2023 </w:t>
            </w:r>
          </w:p>
        </w:tc>
      </w:tr>
      <w:tr w:rsidR="0045673A" w14:paraId="0FB53EBF" w14:textId="77777777">
        <w:trPr>
          <w:trHeight w:val="579"/>
        </w:trPr>
        <w:tc>
          <w:tcPr>
            <w:tcW w:w="967" w:type="dxa"/>
            <w:tcBorders>
              <w:top w:val="single" w:sz="8" w:space="0" w:color="000000"/>
              <w:left w:val="single" w:sz="8" w:space="0" w:color="000000"/>
              <w:bottom w:val="single" w:sz="8" w:space="0" w:color="000000"/>
              <w:right w:val="single" w:sz="8" w:space="0" w:color="000000"/>
            </w:tcBorders>
          </w:tcPr>
          <w:p w14:paraId="0DACB1E6" w14:textId="77777777" w:rsidR="0045673A" w:rsidRDefault="00E17DF3">
            <w:pPr>
              <w:spacing w:after="0" w:line="259" w:lineRule="auto"/>
              <w:ind w:left="0" w:firstLine="0"/>
              <w:jc w:val="left"/>
            </w:pPr>
            <w:r>
              <w:t xml:space="preserve"> </w:t>
            </w:r>
          </w:p>
        </w:tc>
        <w:tc>
          <w:tcPr>
            <w:tcW w:w="1006" w:type="dxa"/>
            <w:tcBorders>
              <w:top w:val="single" w:sz="8" w:space="0" w:color="000000"/>
              <w:left w:val="single" w:sz="8" w:space="0" w:color="000000"/>
              <w:bottom w:val="single" w:sz="8" w:space="0" w:color="000000"/>
              <w:right w:val="single" w:sz="8" w:space="0" w:color="000000"/>
            </w:tcBorders>
          </w:tcPr>
          <w:p w14:paraId="353187EB" w14:textId="77777777" w:rsidR="0045673A" w:rsidRDefault="00E17DF3">
            <w:pPr>
              <w:spacing w:after="0" w:line="259" w:lineRule="auto"/>
              <w:ind w:left="0" w:firstLine="0"/>
              <w:jc w:val="left"/>
            </w:pPr>
            <w:r>
              <w:t xml:space="preserve"> </w:t>
            </w:r>
          </w:p>
        </w:tc>
        <w:tc>
          <w:tcPr>
            <w:tcW w:w="1006" w:type="dxa"/>
            <w:tcBorders>
              <w:top w:val="single" w:sz="8" w:space="0" w:color="000000"/>
              <w:left w:val="single" w:sz="8" w:space="0" w:color="000000"/>
              <w:bottom w:val="single" w:sz="8" w:space="0" w:color="000000"/>
              <w:right w:val="single" w:sz="8" w:space="0" w:color="000000"/>
            </w:tcBorders>
          </w:tcPr>
          <w:p w14:paraId="48380129" w14:textId="77777777" w:rsidR="0045673A" w:rsidRDefault="00E17DF3">
            <w:pPr>
              <w:spacing w:after="0" w:line="259" w:lineRule="auto"/>
              <w:ind w:left="0" w:firstLine="0"/>
              <w:jc w:val="left"/>
            </w:pPr>
            <w:r>
              <w:t xml:space="preserve"> </w:t>
            </w:r>
          </w:p>
        </w:tc>
        <w:tc>
          <w:tcPr>
            <w:tcW w:w="1332" w:type="dxa"/>
            <w:tcBorders>
              <w:top w:val="single" w:sz="8" w:space="0" w:color="000000"/>
              <w:left w:val="single" w:sz="8" w:space="0" w:color="000000"/>
              <w:bottom w:val="single" w:sz="8" w:space="0" w:color="000000"/>
              <w:right w:val="single" w:sz="8" w:space="0" w:color="000000"/>
            </w:tcBorders>
          </w:tcPr>
          <w:p w14:paraId="279163FA" w14:textId="77777777" w:rsidR="0045673A" w:rsidRDefault="00E17DF3">
            <w:pPr>
              <w:spacing w:after="0" w:line="259" w:lineRule="auto"/>
              <w:ind w:left="0" w:firstLine="0"/>
              <w:jc w:val="left"/>
            </w:pPr>
            <w:r>
              <w:t xml:space="preserve"> </w:t>
            </w:r>
          </w:p>
        </w:tc>
      </w:tr>
    </w:tbl>
    <w:bookmarkEnd w:id="0"/>
    <w:p w14:paraId="3734DF75" w14:textId="77777777" w:rsidR="0045673A" w:rsidRDefault="00E17DF3">
      <w:pPr>
        <w:spacing w:after="220" w:line="259" w:lineRule="auto"/>
        <w:ind w:left="0" w:firstLine="0"/>
        <w:jc w:val="left"/>
      </w:pPr>
      <w:r>
        <w:rPr>
          <w:b/>
        </w:rPr>
        <w:t xml:space="preserve"> </w:t>
      </w:r>
    </w:p>
    <w:p w14:paraId="026D5C95" w14:textId="77777777" w:rsidR="0045673A" w:rsidRDefault="00E17DF3">
      <w:pPr>
        <w:spacing w:after="48"/>
        <w:ind w:right="643"/>
      </w:pPr>
      <w:r>
        <w:rPr>
          <w:b/>
          <w:u w:val="single" w:color="000000"/>
        </w:rPr>
        <w:t>Question 1.13.2</w:t>
      </w:r>
      <w:r w:rsidRPr="000D486D">
        <w:rPr>
          <w:szCs w:val="24"/>
        </w:rPr>
        <w:t xml:space="preserve">: </w:t>
      </w:r>
      <w:r w:rsidRPr="000D486D">
        <w:rPr>
          <w:rFonts w:eastAsia="Segoe UI"/>
          <w:szCs w:val="24"/>
          <w:vertAlign w:val="subscript"/>
        </w:rPr>
        <w:t xml:space="preserve">If </w:t>
      </w:r>
      <w:r w:rsidRPr="000D486D">
        <w:rPr>
          <w:szCs w:val="24"/>
        </w:rPr>
        <w:t>you</w:t>
      </w:r>
      <w:r>
        <w:t xml:space="preserve"> have increased your offering of financial products making </w:t>
      </w:r>
    </w:p>
    <w:p w14:paraId="388561C6" w14:textId="77777777" w:rsidR="0045673A" w:rsidRDefault="00E17DF3">
      <w:pPr>
        <w:spacing w:after="0" w:line="259" w:lineRule="auto"/>
        <w:ind w:left="0" w:firstLine="0"/>
        <w:jc w:val="left"/>
      </w:pPr>
      <w:r>
        <w:t>sustainability</w:t>
      </w:r>
      <w:r>
        <w:rPr>
          <w:rFonts w:ascii="Segoe UI" w:eastAsia="Segoe UI" w:hAnsi="Segoe UI" w:cs="Segoe UI"/>
          <w:sz w:val="18"/>
        </w:rPr>
        <w:t xml:space="preserve"> </w:t>
      </w:r>
      <w:r w:rsidRPr="00A66314">
        <w:t xml:space="preserve">claims, in your view, has any of the following factors influenced this increase? </w:t>
      </w:r>
    </w:p>
    <w:tbl>
      <w:tblPr>
        <w:tblW w:w="9062" w:type="dxa"/>
        <w:tblCellMar>
          <w:top w:w="19" w:type="dxa"/>
          <w:right w:w="115" w:type="dxa"/>
        </w:tblCellMar>
        <w:tblLook w:val="04A0" w:firstRow="1" w:lastRow="0" w:firstColumn="1" w:lastColumn="0" w:noHBand="0" w:noVBand="1"/>
      </w:tblPr>
      <w:tblGrid>
        <w:gridCol w:w="5027"/>
        <w:gridCol w:w="607"/>
        <w:gridCol w:w="607"/>
        <w:gridCol w:w="608"/>
        <w:gridCol w:w="605"/>
        <w:gridCol w:w="607"/>
        <w:gridCol w:w="1001"/>
      </w:tblGrid>
      <w:tr w:rsidR="0045673A" w14:paraId="145869A0" w14:textId="77777777">
        <w:trPr>
          <w:trHeight w:val="895"/>
        </w:trPr>
        <w:tc>
          <w:tcPr>
            <w:tcW w:w="5027" w:type="dxa"/>
            <w:tcBorders>
              <w:top w:val="single" w:sz="8" w:space="0" w:color="000000"/>
              <w:left w:val="single" w:sz="8" w:space="0" w:color="000000"/>
              <w:bottom w:val="single" w:sz="8" w:space="0" w:color="000000"/>
              <w:right w:val="single" w:sz="8" w:space="0" w:color="000000"/>
            </w:tcBorders>
          </w:tcPr>
          <w:p w14:paraId="7004B1C2" w14:textId="77777777" w:rsidR="0045673A" w:rsidRDefault="00E17DF3">
            <w:pPr>
              <w:spacing w:after="0" w:line="259" w:lineRule="auto"/>
              <w:ind w:left="0" w:firstLine="0"/>
              <w:jc w:val="left"/>
            </w:pPr>
            <w:r>
              <w:t xml:space="preserve"> </w:t>
            </w:r>
          </w:p>
        </w:tc>
        <w:tc>
          <w:tcPr>
            <w:tcW w:w="607" w:type="dxa"/>
            <w:tcBorders>
              <w:top w:val="single" w:sz="8" w:space="0" w:color="000000"/>
              <w:left w:val="single" w:sz="8" w:space="0" w:color="000000"/>
              <w:bottom w:val="single" w:sz="8" w:space="0" w:color="000000"/>
              <w:right w:val="single" w:sz="8" w:space="0" w:color="000000"/>
            </w:tcBorders>
          </w:tcPr>
          <w:p w14:paraId="7F246598" w14:textId="77777777" w:rsidR="0045673A" w:rsidRDefault="00E17DF3">
            <w:pPr>
              <w:spacing w:after="0" w:line="259" w:lineRule="auto"/>
              <w:ind w:left="5" w:firstLine="0"/>
              <w:jc w:val="center"/>
            </w:pPr>
            <w:r>
              <w:t xml:space="preserve">1 </w:t>
            </w:r>
          </w:p>
        </w:tc>
        <w:tc>
          <w:tcPr>
            <w:tcW w:w="607" w:type="dxa"/>
            <w:tcBorders>
              <w:top w:val="single" w:sz="8" w:space="0" w:color="000000"/>
              <w:left w:val="single" w:sz="8" w:space="0" w:color="000000"/>
              <w:bottom w:val="single" w:sz="8" w:space="0" w:color="000000"/>
              <w:right w:val="single" w:sz="8" w:space="0" w:color="000000"/>
            </w:tcBorders>
          </w:tcPr>
          <w:p w14:paraId="325A7DD1" w14:textId="77777777" w:rsidR="0045673A" w:rsidRDefault="00E17DF3">
            <w:pPr>
              <w:spacing w:after="0" w:line="259" w:lineRule="auto"/>
              <w:ind w:left="5" w:firstLine="0"/>
              <w:jc w:val="center"/>
            </w:pPr>
            <w:r>
              <w:t xml:space="preserve">2 </w:t>
            </w:r>
          </w:p>
        </w:tc>
        <w:tc>
          <w:tcPr>
            <w:tcW w:w="608" w:type="dxa"/>
            <w:tcBorders>
              <w:top w:val="single" w:sz="8" w:space="0" w:color="000000"/>
              <w:left w:val="single" w:sz="8" w:space="0" w:color="000000"/>
              <w:bottom w:val="single" w:sz="8" w:space="0" w:color="000000"/>
              <w:right w:val="single" w:sz="8" w:space="0" w:color="000000"/>
            </w:tcBorders>
          </w:tcPr>
          <w:p w14:paraId="54998FAB" w14:textId="77777777" w:rsidR="0045673A" w:rsidRDefault="00E17DF3">
            <w:pPr>
              <w:spacing w:after="0" w:line="259" w:lineRule="auto"/>
              <w:ind w:left="5" w:firstLine="0"/>
              <w:jc w:val="center"/>
            </w:pPr>
            <w:r>
              <w:t xml:space="preserve">3 </w:t>
            </w:r>
          </w:p>
        </w:tc>
        <w:tc>
          <w:tcPr>
            <w:tcW w:w="605" w:type="dxa"/>
            <w:tcBorders>
              <w:top w:val="single" w:sz="8" w:space="0" w:color="000000"/>
              <w:left w:val="single" w:sz="8" w:space="0" w:color="000000"/>
              <w:bottom w:val="single" w:sz="8" w:space="0" w:color="000000"/>
              <w:right w:val="single" w:sz="8" w:space="0" w:color="000000"/>
            </w:tcBorders>
          </w:tcPr>
          <w:p w14:paraId="22297DAC" w14:textId="77777777" w:rsidR="0045673A" w:rsidRDefault="00E17DF3">
            <w:pPr>
              <w:spacing w:after="0" w:line="259" w:lineRule="auto"/>
              <w:ind w:left="7" w:firstLine="0"/>
              <w:jc w:val="center"/>
            </w:pPr>
            <w:r>
              <w:t xml:space="preserve">4 </w:t>
            </w:r>
          </w:p>
        </w:tc>
        <w:tc>
          <w:tcPr>
            <w:tcW w:w="607" w:type="dxa"/>
            <w:tcBorders>
              <w:top w:val="single" w:sz="8" w:space="0" w:color="000000"/>
              <w:left w:val="single" w:sz="8" w:space="0" w:color="000000"/>
              <w:bottom w:val="single" w:sz="8" w:space="0" w:color="000000"/>
              <w:right w:val="single" w:sz="8" w:space="0" w:color="000000"/>
            </w:tcBorders>
          </w:tcPr>
          <w:p w14:paraId="2CC6EE33" w14:textId="77777777" w:rsidR="0045673A" w:rsidRDefault="00E17DF3">
            <w:pPr>
              <w:spacing w:after="0" w:line="259" w:lineRule="auto"/>
              <w:ind w:firstLine="0"/>
              <w:jc w:val="center"/>
            </w:pPr>
            <w:r>
              <w:t xml:space="preserve">5 </w:t>
            </w:r>
          </w:p>
        </w:tc>
        <w:tc>
          <w:tcPr>
            <w:tcW w:w="1001" w:type="dxa"/>
            <w:tcBorders>
              <w:top w:val="single" w:sz="8" w:space="0" w:color="000000"/>
              <w:left w:val="single" w:sz="8" w:space="0" w:color="000000"/>
              <w:bottom w:val="single" w:sz="8" w:space="0" w:color="000000"/>
              <w:right w:val="single" w:sz="8" w:space="0" w:color="000000"/>
            </w:tcBorders>
          </w:tcPr>
          <w:p w14:paraId="66ACF5A3" w14:textId="77777777" w:rsidR="0045673A" w:rsidRDefault="00E17DF3">
            <w:pPr>
              <w:spacing w:after="0" w:line="259" w:lineRule="auto"/>
              <w:ind w:left="0" w:firstLine="0"/>
              <w:jc w:val="center"/>
            </w:pPr>
            <w:r>
              <w:t xml:space="preserve">Don’t know </w:t>
            </w:r>
          </w:p>
        </w:tc>
      </w:tr>
      <w:tr w:rsidR="0045673A" w14:paraId="7AEC94DA" w14:textId="77777777">
        <w:trPr>
          <w:trHeight w:val="579"/>
        </w:trPr>
        <w:tc>
          <w:tcPr>
            <w:tcW w:w="5027" w:type="dxa"/>
            <w:tcBorders>
              <w:top w:val="single" w:sz="8" w:space="0" w:color="000000"/>
              <w:left w:val="single" w:sz="8" w:space="0" w:color="000000"/>
              <w:bottom w:val="single" w:sz="8" w:space="0" w:color="000000"/>
              <w:right w:val="single" w:sz="8" w:space="0" w:color="000000"/>
            </w:tcBorders>
          </w:tcPr>
          <w:p w14:paraId="1ED8D8D2" w14:textId="77777777" w:rsidR="0045673A" w:rsidRDefault="00E17DF3">
            <w:pPr>
              <w:spacing w:after="0" w:line="259" w:lineRule="auto"/>
              <w:ind w:left="0" w:firstLine="0"/>
              <w:jc w:val="left"/>
            </w:pPr>
            <w:r>
              <w:t xml:space="preserve">SFDR requirements </w:t>
            </w:r>
          </w:p>
        </w:tc>
        <w:tc>
          <w:tcPr>
            <w:tcW w:w="607" w:type="dxa"/>
            <w:tcBorders>
              <w:top w:val="single" w:sz="8" w:space="0" w:color="000000"/>
              <w:left w:val="single" w:sz="8" w:space="0" w:color="000000"/>
              <w:bottom w:val="single" w:sz="8" w:space="0" w:color="000000"/>
              <w:right w:val="single" w:sz="8" w:space="0" w:color="000000"/>
            </w:tcBorders>
          </w:tcPr>
          <w:p w14:paraId="0002C4E3" w14:textId="77777777" w:rsidR="0045673A" w:rsidRDefault="00E17DF3">
            <w:pPr>
              <w:spacing w:after="0" w:line="259" w:lineRule="auto"/>
              <w:ind w:left="0" w:firstLine="0"/>
              <w:jc w:val="left"/>
            </w:pPr>
            <w:r>
              <w:t xml:space="preserve"> </w:t>
            </w:r>
          </w:p>
        </w:tc>
        <w:tc>
          <w:tcPr>
            <w:tcW w:w="607" w:type="dxa"/>
            <w:tcBorders>
              <w:top w:val="single" w:sz="8" w:space="0" w:color="000000"/>
              <w:left w:val="single" w:sz="8" w:space="0" w:color="000000"/>
              <w:bottom w:val="single" w:sz="8" w:space="0" w:color="000000"/>
              <w:right w:val="single" w:sz="8" w:space="0" w:color="000000"/>
            </w:tcBorders>
          </w:tcPr>
          <w:p w14:paraId="0547EEB8" w14:textId="77777777" w:rsidR="0045673A" w:rsidRDefault="00E17DF3">
            <w:pPr>
              <w:spacing w:after="0" w:line="259" w:lineRule="auto"/>
              <w:ind w:left="0" w:firstLine="0"/>
              <w:jc w:val="left"/>
            </w:pPr>
            <w:r>
              <w:t xml:space="preserve"> </w:t>
            </w:r>
          </w:p>
        </w:tc>
        <w:tc>
          <w:tcPr>
            <w:tcW w:w="608" w:type="dxa"/>
            <w:tcBorders>
              <w:top w:val="single" w:sz="8" w:space="0" w:color="000000"/>
              <w:left w:val="single" w:sz="8" w:space="0" w:color="000000"/>
              <w:bottom w:val="single" w:sz="8" w:space="0" w:color="000000"/>
              <w:right w:val="single" w:sz="8" w:space="0" w:color="000000"/>
            </w:tcBorders>
          </w:tcPr>
          <w:p w14:paraId="339DA971" w14:textId="77777777" w:rsidR="0045673A" w:rsidRDefault="00E17DF3">
            <w:pPr>
              <w:spacing w:after="0" w:line="259" w:lineRule="auto"/>
              <w:ind w:left="0" w:firstLine="0"/>
              <w:jc w:val="left"/>
            </w:pPr>
            <w:r>
              <w:t xml:space="preserve"> </w:t>
            </w:r>
          </w:p>
        </w:tc>
        <w:tc>
          <w:tcPr>
            <w:tcW w:w="605" w:type="dxa"/>
            <w:tcBorders>
              <w:top w:val="single" w:sz="8" w:space="0" w:color="000000"/>
              <w:left w:val="single" w:sz="8" w:space="0" w:color="000000"/>
              <w:bottom w:val="single" w:sz="8" w:space="0" w:color="000000"/>
              <w:right w:val="single" w:sz="8" w:space="0" w:color="000000"/>
            </w:tcBorders>
          </w:tcPr>
          <w:p w14:paraId="427A15E3" w14:textId="50803352" w:rsidR="0045673A" w:rsidRDefault="0045673A">
            <w:pPr>
              <w:spacing w:after="0" w:line="259" w:lineRule="auto"/>
              <w:ind w:left="0" w:firstLine="0"/>
              <w:jc w:val="left"/>
            </w:pPr>
          </w:p>
        </w:tc>
        <w:tc>
          <w:tcPr>
            <w:tcW w:w="607" w:type="dxa"/>
            <w:tcBorders>
              <w:top w:val="single" w:sz="8" w:space="0" w:color="000000"/>
              <w:left w:val="single" w:sz="8" w:space="0" w:color="000000"/>
              <w:bottom w:val="single" w:sz="8" w:space="0" w:color="000000"/>
              <w:right w:val="single" w:sz="8" w:space="0" w:color="000000"/>
            </w:tcBorders>
          </w:tcPr>
          <w:p w14:paraId="60A66AEC" w14:textId="021A92D9" w:rsidR="0045673A" w:rsidRDefault="0045673A">
            <w:pPr>
              <w:spacing w:after="0" w:line="259" w:lineRule="auto"/>
              <w:ind w:left="2" w:firstLine="0"/>
              <w:jc w:val="left"/>
            </w:pPr>
          </w:p>
        </w:tc>
        <w:tc>
          <w:tcPr>
            <w:tcW w:w="1001" w:type="dxa"/>
            <w:tcBorders>
              <w:top w:val="single" w:sz="8" w:space="0" w:color="000000"/>
              <w:left w:val="single" w:sz="8" w:space="0" w:color="000000"/>
              <w:bottom w:val="single" w:sz="8" w:space="0" w:color="000000"/>
              <w:right w:val="single" w:sz="8" w:space="0" w:color="000000"/>
            </w:tcBorders>
          </w:tcPr>
          <w:p w14:paraId="6B60C82F" w14:textId="77777777" w:rsidR="0045673A" w:rsidRDefault="00E17DF3">
            <w:pPr>
              <w:spacing w:after="0" w:line="259" w:lineRule="auto"/>
              <w:ind w:left="2" w:firstLine="0"/>
              <w:jc w:val="left"/>
            </w:pPr>
            <w:r>
              <w:t xml:space="preserve"> </w:t>
            </w:r>
          </w:p>
        </w:tc>
      </w:tr>
      <w:tr w:rsidR="0045673A" w14:paraId="06F6B771" w14:textId="77777777">
        <w:trPr>
          <w:trHeight w:val="576"/>
        </w:trPr>
        <w:tc>
          <w:tcPr>
            <w:tcW w:w="5027" w:type="dxa"/>
            <w:tcBorders>
              <w:top w:val="single" w:sz="8" w:space="0" w:color="000000"/>
              <w:left w:val="single" w:sz="8" w:space="0" w:color="000000"/>
              <w:bottom w:val="single" w:sz="8" w:space="0" w:color="000000"/>
              <w:right w:val="single" w:sz="8" w:space="0" w:color="000000"/>
            </w:tcBorders>
          </w:tcPr>
          <w:p w14:paraId="6117710B" w14:textId="77777777" w:rsidR="0045673A" w:rsidRDefault="00E17DF3">
            <w:pPr>
              <w:spacing w:after="0" w:line="259" w:lineRule="auto"/>
              <w:ind w:left="0" w:firstLine="0"/>
              <w:jc w:val="left"/>
            </w:pPr>
            <w:r>
              <w:t xml:space="preserve">Retail investor interest </w:t>
            </w:r>
          </w:p>
        </w:tc>
        <w:tc>
          <w:tcPr>
            <w:tcW w:w="607" w:type="dxa"/>
            <w:tcBorders>
              <w:top w:val="single" w:sz="8" w:space="0" w:color="000000"/>
              <w:left w:val="single" w:sz="8" w:space="0" w:color="000000"/>
              <w:bottom w:val="single" w:sz="8" w:space="0" w:color="000000"/>
              <w:right w:val="single" w:sz="8" w:space="0" w:color="000000"/>
            </w:tcBorders>
          </w:tcPr>
          <w:p w14:paraId="5B58AAF4" w14:textId="77777777" w:rsidR="0045673A" w:rsidRDefault="00E17DF3">
            <w:pPr>
              <w:spacing w:after="0" w:line="259" w:lineRule="auto"/>
              <w:ind w:left="0" w:firstLine="0"/>
              <w:jc w:val="left"/>
            </w:pPr>
            <w:r>
              <w:t xml:space="preserve">  </w:t>
            </w:r>
          </w:p>
        </w:tc>
        <w:tc>
          <w:tcPr>
            <w:tcW w:w="607" w:type="dxa"/>
            <w:tcBorders>
              <w:top w:val="single" w:sz="8" w:space="0" w:color="000000"/>
              <w:left w:val="single" w:sz="8" w:space="0" w:color="000000"/>
              <w:bottom w:val="single" w:sz="8" w:space="0" w:color="000000"/>
              <w:right w:val="single" w:sz="8" w:space="0" w:color="000000"/>
            </w:tcBorders>
          </w:tcPr>
          <w:p w14:paraId="73A34B6C" w14:textId="77777777" w:rsidR="0045673A" w:rsidRDefault="00E17DF3">
            <w:pPr>
              <w:spacing w:after="0" w:line="259" w:lineRule="auto"/>
              <w:ind w:left="0" w:firstLine="0"/>
              <w:jc w:val="left"/>
            </w:pPr>
            <w:r>
              <w:t xml:space="preserve"> </w:t>
            </w:r>
          </w:p>
        </w:tc>
        <w:tc>
          <w:tcPr>
            <w:tcW w:w="608" w:type="dxa"/>
            <w:tcBorders>
              <w:top w:val="single" w:sz="8" w:space="0" w:color="000000"/>
              <w:left w:val="single" w:sz="8" w:space="0" w:color="000000"/>
              <w:bottom w:val="single" w:sz="8" w:space="0" w:color="000000"/>
              <w:right w:val="single" w:sz="8" w:space="0" w:color="000000"/>
            </w:tcBorders>
          </w:tcPr>
          <w:p w14:paraId="5A9166F1" w14:textId="77777777" w:rsidR="0045673A" w:rsidRDefault="00E17DF3">
            <w:pPr>
              <w:spacing w:after="0" w:line="259" w:lineRule="auto"/>
              <w:ind w:left="0" w:firstLine="0"/>
              <w:jc w:val="left"/>
            </w:pPr>
            <w:r>
              <w:t xml:space="preserve"> </w:t>
            </w:r>
          </w:p>
        </w:tc>
        <w:tc>
          <w:tcPr>
            <w:tcW w:w="605" w:type="dxa"/>
            <w:tcBorders>
              <w:top w:val="single" w:sz="8" w:space="0" w:color="000000"/>
              <w:left w:val="single" w:sz="8" w:space="0" w:color="000000"/>
              <w:bottom w:val="single" w:sz="8" w:space="0" w:color="000000"/>
              <w:right w:val="single" w:sz="8" w:space="0" w:color="000000"/>
            </w:tcBorders>
          </w:tcPr>
          <w:p w14:paraId="17271D5F" w14:textId="186B4CC6" w:rsidR="0045673A" w:rsidRDefault="0045673A">
            <w:pPr>
              <w:spacing w:after="0" w:line="259" w:lineRule="auto"/>
              <w:ind w:left="0" w:firstLine="0"/>
              <w:jc w:val="left"/>
            </w:pPr>
          </w:p>
        </w:tc>
        <w:tc>
          <w:tcPr>
            <w:tcW w:w="607" w:type="dxa"/>
            <w:tcBorders>
              <w:top w:val="single" w:sz="8" w:space="0" w:color="000000"/>
              <w:left w:val="single" w:sz="8" w:space="0" w:color="000000"/>
              <w:bottom w:val="single" w:sz="8" w:space="0" w:color="000000"/>
              <w:right w:val="single" w:sz="8" w:space="0" w:color="000000"/>
            </w:tcBorders>
          </w:tcPr>
          <w:p w14:paraId="529E759D" w14:textId="613DBC3D" w:rsidR="0045673A" w:rsidRDefault="0045673A">
            <w:pPr>
              <w:spacing w:after="0" w:line="259" w:lineRule="auto"/>
              <w:ind w:left="2" w:firstLine="0"/>
              <w:jc w:val="left"/>
            </w:pPr>
          </w:p>
        </w:tc>
        <w:tc>
          <w:tcPr>
            <w:tcW w:w="1001" w:type="dxa"/>
            <w:tcBorders>
              <w:top w:val="single" w:sz="8" w:space="0" w:color="000000"/>
              <w:left w:val="single" w:sz="8" w:space="0" w:color="000000"/>
              <w:bottom w:val="single" w:sz="8" w:space="0" w:color="000000"/>
              <w:right w:val="single" w:sz="8" w:space="0" w:color="000000"/>
            </w:tcBorders>
          </w:tcPr>
          <w:p w14:paraId="2412F967" w14:textId="77777777" w:rsidR="0045673A" w:rsidRDefault="00E17DF3">
            <w:pPr>
              <w:spacing w:after="0" w:line="259" w:lineRule="auto"/>
              <w:ind w:left="2" w:firstLine="0"/>
              <w:jc w:val="left"/>
            </w:pPr>
            <w:r>
              <w:t xml:space="preserve">  </w:t>
            </w:r>
          </w:p>
        </w:tc>
      </w:tr>
      <w:tr w:rsidR="0045673A" w14:paraId="717CEAC7" w14:textId="77777777">
        <w:trPr>
          <w:trHeight w:val="578"/>
        </w:trPr>
        <w:tc>
          <w:tcPr>
            <w:tcW w:w="5027" w:type="dxa"/>
            <w:tcBorders>
              <w:top w:val="single" w:sz="8" w:space="0" w:color="000000"/>
              <w:left w:val="single" w:sz="8" w:space="0" w:color="000000"/>
              <w:bottom w:val="single" w:sz="8" w:space="0" w:color="000000"/>
              <w:right w:val="single" w:sz="8" w:space="0" w:color="000000"/>
            </w:tcBorders>
          </w:tcPr>
          <w:p w14:paraId="41E8276B" w14:textId="77777777" w:rsidR="0045673A" w:rsidRDefault="00E17DF3">
            <w:pPr>
              <w:spacing w:after="0" w:line="259" w:lineRule="auto"/>
              <w:ind w:left="0" w:firstLine="0"/>
              <w:jc w:val="left"/>
            </w:pPr>
            <w:r>
              <w:t xml:space="preserve">Professional investor interest </w:t>
            </w:r>
          </w:p>
        </w:tc>
        <w:tc>
          <w:tcPr>
            <w:tcW w:w="607" w:type="dxa"/>
            <w:tcBorders>
              <w:top w:val="single" w:sz="8" w:space="0" w:color="000000"/>
              <w:left w:val="single" w:sz="8" w:space="0" w:color="000000"/>
              <w:bottom w:val="single" w:sz="8" w:space="0" w:color="000000"/>
              <w:right w:val="single" w:sz="8" w:space="0" w:color="000000"/>
            </w:tcBorders>
          </w:tcPr>
          <w:p w14:paraId="023D04A6" w14:textId="77777777" w:rsidR="0045673A" w:rsidRDefault="00E17DF3">
            <w:pPr>
              <w:spacing w:after="0" w:line="259" w:lineRule="auto"/>
              <w:ind w:left="0" w:firstLine="0"/>
              <w:jc w:val="left"/>
            </w:pPr>
            <w:r>
              <w:t xml:space="preserve"> </w:t>
            </w:r>
          </w:p>
        </w:tc>
        <w:tc>
          <w:tcPr>
            <w:tcW w:w="607" w:type="dxa"/>
            <w:tcBorders>
              <w:top w:val="single" w:sz="8" w:space="0" w:color="000000"/>
              <w:left w:val="single" w:sz="8" w:space="0" w:color="000000"/>
              <w:bottom w:val="single" w:sz="8" w:space="0" w:color="000000"/>
              <w:right w:val="single" w:sz="8" w:space="0" w:color="000000"/>
            </w:tcBorders>
          </w:tcPr>
          <w:p w14:paraId="79E8006F" w14:textId="77777777" w:rsidR="0045673A" w:rsidRDefault="00E17DF3">
            <w:pPr>
              <w:spacing w:after="0" w:line="259" w:lineRule="auto"/>
              <w:ind w:left="0" w:firstLine="0"/>
              <w:jc w:val="left"/>
            </w:pPr>
            <w:r>
              <w:t xml:space="preserve"> </w:t>
            </w:r>
          </w:p>
        </w:tc>
        <w:tc>
          <w:tcPr>
            <w:tcW w:w="608" w:type="dxa"/>
            <w:tcBorders>
              <w:top w:val="single" w:sz="8" w:space="0" w:color="000000"/>
              <w:left w:val="single" w:sz="8" w:space="0" w:color="000000"/>
              <w:bottom w:val="single" w:sz="8" w:space="0" w:color="000000"/>
              <w:right w:val="single" w:sz="8" w:space="0" w:color="000000"/>
            </w:tcBorders>
          </w:tcPr>
          <w:p w14:paraId="5465A201" w14:textId="77777777" w:rsidR="0045673A" w:rsidRDefault="00E17DF3">
            <w:pPr>
              <w:spacing w:after="0" w:line="259" w:lineRule="auto"/>
              <w:ind w:left="0" w:firstLine="0"/>
              <w:jc w:val="left"/>
            </w:pPr>
            <w:r>
              <w:t xml:space="preserve"> </w:t>
            </w:r>
          </w:p>
        </w:tc>
        <w:tc>
          <w:tcPr>
            <w:tcW w:w="605" w:type="dxa"/>
            <w:tcBorders>
              <w:top w:val="single" w:sz="8" w:space="0" w:color="000000"/>
              <w:left w:val="single" w:sz="8" w:space="0" w:color="000000"/>
              <w:bottom w:val="single" w:sz="8" w:space="0" w:color="000000"/>
              <w:right w:val="single" w:sz="8" w:space="0" w:color="000000"/>
            </w:tcBorders>
          </w:tcPr>
          <w:p w14:paraId="5A04DEB2" w14:textId="5DE0F4D4" w:rsidR="0045673A" w:rsidRDefault="0045673A">
            <w:pPr>
              <w:spacing w:after="0" w:line="259" w:lineRule="auto"/>
              <w:ind w:left="0" w:firstLine="0"/>
              <w:jc w:val="left"/>
            </w:pPr>
          </w:p>
        </w:tc>
        <w:tc>
          <w:tcPr>
            <w:tcW w:w="607" w:type="dxa"/>
            <w:tcBorders>
              <w:top w:val="single" w:sz="8" w:space="0" w:color="000000"/>
              <w:left w:val="single" w:sz="8" w:space="0" w:color="000000"/>
              <w:bottom w:val="single" w:sz="8" w:space="0" w:color="000000"/>
              <w:right w:val="single" w:sz="8" w:space="0" w:color="000000"/>
            </w:tcBorders>
          </w:tcPr>
          <w:p w14:paraId="07E046CF" w14:textId="676D0EE2" w:rsidR="0045673A" w:rsidRDefault="0045673A">
            <w:pPr>
              <w:spacing w:after="0" w:line="259" w:lineRule="auto"/>
              <w:ind w:left="2" w:firstLine="0"/>
              <w:jc w:val="left"/>
            </w:pPr>
          </w:p>
        </w:tc>
        <w:tc>
          <w:tcPr>
            <w:tcW w:w="1001" w:type="dxa"/>
            <w:tcBorders>
              <w:top w:val="single" w:sz="8" w:space="0" w:color="000000"/>
              <w:left w:val="single" w:sz="8" w:space="0" w:color="000000"/>
              <w:bottom w:val="single" w:sz="8" w:space="0" w:color="000000"/>
              <w:right w:val="single" w:sz="8" w:space="0" w:color="000000"/>
            </w:tcBorders>
          </w:tcPr>
          <w:p w14:paraId="42091524" w14:textId="77777777" w:rsidR="0045673A" w:rsidRDefault="00E17DF3">
            <w:pPr>
              <w:spacing w:after="0" w:line="259" w:lineRule="auto"/>
              <w:ind w:left="2" w:firstLine="0"/>
              <w:jc w:val="left"/>
            </w:pPr>
            <w:r>
              <w:t xml:space="preserve"> </w:t>
            </w:r>
          </w:p>
        </w:tc>
      </w:tr>
      <w:tr w:rsidR="0045673A" w14:paraId="3FE7C80F" w14:textId="77777777">
        <w:trPr>
          <w:trHeight w:val="576"/>
        </w:trPr>
        <w:tc>
          <w:tcPr>
            <w:tcW w:w="5027" w:type="dxa"/>
            <w:tcBorders>
              <w:top w:val="single" w:sz="8" w:space="0" w:color="000000"/>
              <w:left w:val="single" w:sz="8" w:space="0" w:color="000000"/>
              <w:bottom w:val="single" w:sz="8" w:space="0" w:color="000000"/>
              <w:right w:val="single" w:sz="8" w:space="0" w:color="000000"/>
            </w:tcBorders>
          </w:tcPr>
          <w:p w14:paraId="6047D94A" w14:textId="77777777" w:rsidR="0045673A" w:rsidRDefault="00E17DF3">
            <w:pPr>
              <w:spacing w:after="0" w:line="259" w:lineRule="auto"/>
              <w:ind w:left="0" w:firstLine="0"/>
              <w:jc w:val="left"/>
            </w:pPr>
            <w:r>
              <w:t xml:space="preserve">Market competitiveness </w:t>
            </w:r>
          </w:p>
        </w:tc>
        <w:tc>
          <w:tcPr>
            <w:tcW w:w="607" w:type="dxa"/>
            <w:tcBorders>
              <w:top w:val="single" w:sz="8" w:space="0" w:color="000000"/>
              <w:left w:val="single" w:sz="8" w:space="0" w:color="000000"/>
              <w:bottom w:val="single" w:sz="8" w:space="0" w:color="000000"/>
              <w:right w:val="single" w:sz="8" w:space="0" w:color="000000"/>
            </w:tcBorders>
          </w:tcPr>
          <w:p w14:paraId="3F67D59B" w14:textId="77777777" w:rsidR="0045673A" w:rsidRDefault="00E17DF3">
            <w:pPr>
              <w:spacing w:after="0" w:line="259" w:lineRule="auto"/>
              <w:ind w:left="0" w:firstLine="0"/>
              <w:jc w:val="left"/>
            </w:pPr>
            <w:r>
              <w:t xml:space="preserve"> </w:t>
            </w:r>
          </w:p>
        </w:tc>
        <w:tc>
          <w:tcPr>
            <w:tcW w:w="607" w:type="dxa"/>
            <w:tcBorders>
              <w:top w:val="single" w:sz="8" w:space="0" w:color="000000"/>
              <w:left w:val="single" w:sz="8" w:space="0" w:color="000000"/>
              <w:bottom w:val="single" w:sz="8" w:space="0" w:color="000000"/>
              <w:right w:val="single" w:sz="8" w:space="0" w:color="000000"/>
            </w:tcBorders>
          </w:tcPr>
          <w:p w14:paraId="0D7A8077" w14:textId="77777777" w:rsidR="0045673A" w:rsidRDefault="00E17DF3">
            <w:pPr>
              <w:spacing w:after="0" w:line="259" w:lineRule="auto"/>
              <w:ind w:left="0" w:firstLine="0"/>
              <w:jc w:val="left"/>
            </w:pPr>
            <w:r>
              <w:t xml:space="preserve"> </w:t>
            </w:r>
          </w:p>
        </w:tc>
        <w:tc>
          <w:tcPr>
            <w:tcW w:w="608" w:type="dxa"/>
            <w:tcBorders>
              <w:top w:val="single" w:sz="8" w:space="0" w:color="000000"/>
              <w:left w:val="single" w:sz="8" w:space="0" w:color="000000"/>
              <w:bottom w:val="single" w:sz="8" w:space="0" w:color="000000"/>
              <w:right w:val="single" w:sz="8" w:space="0" w:color="000000"/>
            </w:tcBorders>
          </w:tcPr>
          <w:p w14:paraId="2F9F10F3" w14:textId="77777777" w:rsidR="0045673A" w:rsidRDefault="00E17DF3">
            <w:pPr>
              <w:spacing w:after="0" w:line="259" w:lineRule="auto"/>
              <w:ind w:left="0" w:firstLine="0"/>
              <w:jc w:val="left"/>
            </w:pPr>
            <w:r>
              <w:t xml:space="preserve"> </w:t>
            </w:r>
          </w:p>
        </w:tc>
        <w:tc>
          <w:tcPr>
            <w:tcW w:w="605" w:type="dxa"/>
            <w:tcBorders>
              <w:top w:val="single" w:sz="8" w:space="0" w:color="000000"/>
              <w:left w:val="single" w:sz="8" w:space="0" w:color="000000"/>
              <w:bottom w:val="single" w:sz="8" w:space="0" w:color="000000"/>
              <w:right w:val="single" w:sz="8" w:space="0" w:color="000000"/>
            </w:tcBorders>
          </w:tcPr>
          <w:p w14:paraId="045A0B34" w14:textId="6FF0D959" w:rsidR="0045673A" w:rsidRDefault="0045673A">
            <w:pPr>
              <w:spacing w:after="0" w:line="259" w:lineRule="auto"/>
              <w:ind w:left="0" w:firstLine="0"/>
              <w:jc w:val="left"/>
            </w:pPr>
          </w:p>
        </w:tc>
        <w:tc>
          <w:tcPr>
            <w:tcW w:w="607" w:type="dxa"/>
            <w:tcBorders>
              <w:top w:val="single" w:sz="8" w:space="0" w:color="000000"/>
              <w:left w:val="single" w:sz="8" w:space="0" w:color="000000"/>
              <w:bottom w:val="single" w:sz="8" w:space="0" w:color="000000"/>
              <w:right w:val="single" w:sz="8" w:space="0" w:color="000000"/>
            </w:tcBorders>
          </w:tcPr>
          <w:p w14:paraId="0D6C83F7" w14:textId="1A1D451B" w:rsidR="0045673A" w:rsidRDefault="0045673A">
            <w:pPr>
              <w:spacing w:after="0" w:line="259" w:lineRule="auto"/>
              <w:ind w:left="2" w:firstLine="0"/>
              <w:jc w:val="left"/>
            </w:pPr>
          </w:p>
        </w:tc>
        <w:tc>
          <w:tcPr>
            <w:tcW w:w="1001" w:type="dxa"/>
            <w:tcBorders>
              <w:top w:val="single" w:sz="8" w:space="0" w:color="000000"/>
              <w:left w:val="single" w:sz="8" w:space="0" w:color="000000"/>
              <w:bottom w:val="single" w:sz="8" w:space="0" w:color="000000"/>
              <w:right w:val="single" w:sz="8" w:space="0" w:color="000000"/>
            </w:tcBorders>
          </w:tcPr>
          <w:p w14:paraId="170F4571" w14:textId="77777777" w:rsidR="0045673A" w:rsidRDefault="00E17DF3">
            <w:pPr>
              <w:spacing w:after="0" w:line="259" w:lineRule="auto"/>
              <w:ind w:left="2" w:firstLine="0"/>
              <w:jc w:val="left"/>
            </w:pPr>
            <w:r>
              <w:t xml:space="preserve"> </w:t>
            </w:r>
          </w:p>
        </w:tc>
      </w:tr>
      <w:tr w:rsidR="0045673A" w14:paraId="662F22E5" w14:textId="77777777">
        <w:trPr>
          <w:trHeight w:val="574"/>
        </w:trPr>
        <w:tc>
          <w:tcPr>
            <w:tcW w:w="5027" w:type="dxa"/>
            <w:tcBorders>
              <w:top w:val="single" w:sz="8" w:space="0" w:color="000000"/>
              <w:left w:val="single" w:sz="8" w:space="0" w:color="000000"/>
              <w:bottom w:val="single" w:sz="4" w:space="0" w:color="000000"/>
              <w:right w:val="single" w:sz="8" w:space="0" w:color="000000"/>
            </w:tcBorders>
          </w:tcPr>
          <w:p w14:paraId="39F2B048" w14:textId="77777777" w:rsidR="0045673A" w:rsidRDefault="00E17DF3">
            <w:pPr>
              <w:spacing w:after="0" w:line="259" w:lineRule="auto"/>
              <w:ind w:left="0" w:firstLine="0"/>
              <w:jc w:val="left"/>
            </w:pPr>
            <w:r>
              <w:t>Other factors</w:t>
            </w:r>
            <w:r>
              <w:rPr>
                <w:i/>
              </w:rPr>
              <w:t xml:space="preserve"> </w:t>
            </w:r>
          </w:p>
        </w:tc>
        <w:tc>
          <w:tcPr>
            <w:tcW w:w="607" w:type="dxa"/>
            <w:tcBorders>
              <w:top w:val="single" w:sz="8" w:space="0" w:color="000000"/>
              <w:left w:val="single" w:sz="8" w:space="0" w:color="000000"/>
              <w:bottom w:val="single" w:sz="4" w:space="0" w:color="000000"/>
              <w:right w:val="single" w:sz="8" w:space="0" w:color="000000"/>
            </w:tcBorders>
          </w:tcPr>
          <w:p w14:paraId="2E6182EA" w14:textId="77777777" w:rsidR="0045673A" w:rsidRDefault="00E17DF3">
            <w:pPr>
              <w:spacing w:after="0" w:line="259" w:lineRule="auto"/>
              <w:ind w:left="0" w:firstLine="0"/>
              <w:jc w:val="left"/>
            </w:pPr>
            <w:r>
              <w:t xml:space="preserve"> </w:t>
            </w:r>
          </w:p>
        </w:tc>
        <w:tc>
          <w:tcPr>
            <w:tcW w:w="607" w:type="dxa"/>
            <w:tcBorders>
              <w:top w:val="single" w:sz="8" w:space="0" w:color="000000"/>
              <w:left w:val="single" w:sz="8" w:space="0" w:color="000000"/>
              <w:bottom w:val="single" w:sz="4" w:space="0" w:color="000000"/>
              <w:right w:val="single" w:sz="8" w:space="0" w:color="000000"/>
            </w:tcBorders>
          </w:tcPr>
          <w:p w14:paraId="6DE80CCB" w14:textId="77777777" w:rsidR="0045673A" w:rsidRDefault="00E17DF3">
            <w:pPr>
              <w:spacing w:after="0" w:line="259" w:lineRule="auto"/>
              <w:ind w:left="0" w:firstLine="0"/>
              <w:jc w:val="left"/>
            </w:pPr>
            <w:r>
              <w:t xml:space="preserve"> </w:t>
            </w:r>
          </w:p>
        </w:tc>
        <w:tc>
          <w:tcPr>
            <w:tcW w:w="608" w:type="dxa"/>
            <w:tcBorders>
              <w:top w:val="single" w:sz="8" w:space="0" w:color="000000"/>
              <w:left w:val="single" w:sz="8" w:space="0" w:color="000000"/>
              <w:bottom w:val="single" w:sz="4" w:space="0" w:color="000000"/>
              <w:right w:val="single" w:sz="8" w:space="0" w:color="000000"/>
            </w:tcBorders>
          </w:tcPr>
          <w:p w14:paraId="7A3FB404" w14:textId="77777777" w:rsidR="0045673A" w:rsidRDefault="00E17DF3">
            <w:pPr>
              <w:spacing w:after="0" w:line="259" w:lineRule="auto"/>
              <w:ind w:left="0" w:firstLine="0"/>
              <w:jc w:val="left"/>
            </w:pPr>
            <w:r>
              <w:t xml:space="preserve"> </w:t>
            </w:r>
          </w:p>
        </w:tc>
        <w:tc>
          <w:tcPr>
            <w:tcW w:w="605" w:type="dxa"/>
            <w:tcBorders>
              <w:top w:val="single" w:sz="8" w:space="0" w:color="000000"/>
              <w:left w:val="single" w:sz="8" w:space="0" w:color="000000"/>
              <w:bottom w:val="single" w:sz="4" w:space="0" w:color="000000"/>
              <w:right w:val="single" w:sz="8" w:space="0" w:color="000000"/>
            </w:tcBorders>
          </w:tcPr>
          <w:p w14:paraId="78E9E96C" w14:textId="766D0808" w:rsidR="0045673A" w:rsidRDefault="0045673A">
            <w:pPr>
              <w:spacing w:after="0" w:line="259" w:lineRule="auto"/>
              <w:ind w:left="0" w:firstLine="0"/>
              <w:jc w:val="left"/>
            </w:pPr>
          </w:p>
        </w:tc>
        <w:tc>
          <w:tcPr>
            <w:tcW w:w="607" w:type="dxa"/>
            <w:tcBorders>
              <w:top w:val="single" w:sz="8" w:space="0" w:color="000000"/>
              <w:left w:val="single" w:sz="8" w:space="0" w:color="000000"/>
              <w:bottom w:val="single" w:sz="4" w:space="0" w:color="000000"/>
              <w:right w:val="single" w:sz="8" w:space="0" w:color="000000"/>
            </w:tcBorders>
          </w:tcPr>
          <w:p w14:paraId="40ACCAB2" w14:textId="05CF228C" w:rsidR="0045673A" w:rsidRDefault="0045673A">
            <w:pPr>
              <w:spacing w:after="0" w:line="259" w:lineRule="auto"/>
              <w:ind w:left="2" w:firstLine="0"/>
              <w:jc w:val="left"/>
            </w:pPr>
          </w:p>
        </w:tc>
        <w:tc>
          <w:tcPr>
            <w:tcW w:w="1001" w:type="dxa"/>
            <w:tcBorders>
              <w:top w:val="single" w:sz="8" w:space="0" w:color="000000"/>
              <w:left w:val="single" w:sz="8" w:space="0" w:color="000000"/>
              <w:bottom w:val="single" w:sz="4" w:space="0" w:color="000000"/>
              <w:right w:val="single" w:sz="8" w:space="0" w:color="000000"/>
            </w:tcBorders>
          </w:tcPr>
          <w:p w14:paraId="3FE8EF3F" w14:textId="77777777" w:rsidR="0045673A" w:rsidRDefault="00E17DF3">
            <w:pPr>
              <w:spacing w:after="0" w:line="259" w:lineRule="auto"/>
              <w:ind w:left="2" w:firstLine="0"/>
              <w:jc w:val="left"/>
            </w:pPr>
            <w:r>
              <w:t xml:space="preserve"> </w:t>
            </w:r>
          </w:p>
        </w:tc>
      </w:tr>
    </w:tbl>
    <w:p w14:paraId="395A9152" w14:textId="77777777" w:rsidR="0045673A" w:rsidRDefault="00E17DF3">
      <w:pPr>
        <w:spacing w:after="0" w:line="268" w:lineRule="auto"/>
        <w:ind w:left="-5" w:right="365"/>
        <w:jc w:val="left"/>
      </w:pPr>
      <w:r>
        <w:rPr>
          <w:i/>
          <w:sz w:val="20"/>
        </w:rPr>
        <w:t xml:space="preserve">(1= not at all, 2= not really, 3= partially, 4= mostly, 5= totally) </w:t>
      </w:r>
    </w:p>
    <w:p w14:paraId="6285C05E" w14:textId="77777777" w:rsidR="0045673A" w:rsidRDefault="00E17DF3">
      <w:pPr>
        <w:spacing w:after="13" w:line="259" w:lineRule="auto"/>
        <w:ind w:left="0" w:firstLine="0"/>
        <w:jc w:val="left"/>
      </w:pPr>
      <w:r>
        <w:rPr>
          <w:rFonts w:ascii="Calibri" w:eastAsia="Calibri" w:hAnsi="Calibri" w:cs="Calibri"/>
          <w:sz w:val="20"/>
        </w:rPr>
        <w:t xml:space="preserve"> </w:t>
      </w:r>
    </w:p>
    <w:p w14:paraId="4031BE39" w14:textId="77777777" w:rsidR="0045673A" w:rsidRDefault="00E17DF3">
      <w:pPr>
        <w:ind w:right="643"/>
      </w:pPr>
      <w:r w:rsidRPr="000C7DCC">
        <w:t>If other, please specify. Please also provide further explanations to your replies to questions 1.13, 1.13.1 and 1.13.2.</w:t>
      </w:r>
      <w:r>
        <w:t xml:space="preserve"> </w:t>
      </w:r>
    </w:p>
    <w:tbl>
      <w:tblPr>
        <w:tblW w:w="8836" w:type="dxa"/>
        <w:tblInd w:w="-108" w:type="dxa"/>
        <w:tblCellMar>
          <w:top w:w="19" w:type="dxa"/>
          <w:right w:w="115" w:type="dxa"/>
        </w:tblCellMar>
        <w:tblLook w:val="04A0" w:firstRow="1" w:lastRow="0" w:firstColumn="1" w:lastColumn="0" w:noHBand="0" w:noVBand="1"/>
      </w:tblPr>
      <w:tblGrid>
        <w:gridCol w:w="8836"/>
      </w:tblGrid>
      <w:tr w:rsidR="002764F0" w14:paraId="02CB1AC0" w14:textId="77777777">
        <w:trPr>
          <w:trHeight w:val="576"/>
        </w:trPr>
        <w:tc>
          <w:tcPr>
            <w:tcW w:w="8836" w:type="dxa"/>
            <w:tcBorders>
              <w:top w:val="single" w:sz="8" w:space="0" w:color="000000"/>
              <w:left w:val="single" w:sz="8" w:space="0" w:color="000000"/>
              <w:bottom w:val="single" w:sz="8" w:space="0" w:color="000000"/>
              <w:right w:val="single" w:sz="8" w:space="0" w:color="000000"/>
            </w:tcBorders>
          </w:tcPr>
          <w:p w14:paraId="289716C5" w14:textId="5563A61B" w:rsidR="007F27C6" w:rsidRDefault="00E17DF3">
            <w:pPr>
              <w:spacing w:after="0" w:line="259" w:lineRule="auto"/>
              <w:ind w:left="0" w:firstLine="0"/>
              <w:jc w:val="left"/>
            </w:pPr>
            <w:r>
              <w:t xml:space="preserve"> </w:t>
            </w:r>
            <w:r w:rsidR="000C7DCC">
              <w:t>No comments</w:t>
            </w:r>
            <w:r w:rsidR="00FE65ED">
              <w:t xml:space="preserve"> from UKSIF.</w:t>
            </w:r>
          </w:p>
          <w:p w14:paraId="4F5B7602" w14:textId="54F2BE78" w:rsidR="00EA1416" w:rsidRDefault="00EA1416" w:rsidP="000C7DCC">
            <w:pPr>
              <w:spacing w:after="0" w:line="259" w:lineRule="auto"/>
              <w:ind w:left="0" w:firstLine="0"/>
              <w:jc w:val="left"/>
            </w:pPr>
          </w:p>
        </w:tc>
      </w:tr>
    </w:tbl>
    <w:p w14:paraId="28339F5D" w14:textId="30F09474" w:rsidR="0045673A" w:rsidRDefault="00E17DF3" w:rsidP="000C7DCC">
      <w:pPr>
        <w:spacing w:after="216" w:line="259" w:lineRule="auto"/>
        <w:ind w:left="0" w:firstLine="0"/>
        <w:jc w:val="left"/>
      </w:pPr>
      <w:r>
        <w:t xml:space="preserve"> </w:t>
      </w:r>
    </w:p>
    <w:p w14:paraId="5F756D74" w14:textId="77777777" w:rsidR="0045673A" w:rsidRDefault="00E17DF3">
      <w:pPr>
        <w:spacing w:after="225"/>
        <w:ind w:right="643"/>
      </w:pPr>
      <w:r>
        <w:rPr>
          <w:b/>
        </w:rPr>
        <w:t>2.</w:t>
      </w:r>
      <w:r>
        <w:rPr>
          <w:rFonts w:ascii="Arial" w:eastAsia="Arial" w:hAnsi="Arial" w:cs="Arial"/>
          <w:b/>
        </w:rPr>
        <w:t xml:space="preserve"> </w:t>
      </w:r>
      <w:r>
        <w:rPr>
          <w:b/>
        </w:rPr>
        <w:t>I</w:t>
      </w:r>
      <w:r>
        <w:rPr>
          <w:b/>
          <w:sz w:val="19"/>
        </w:rPr>
        <w:t>NTERACTION WITH OTHER SUSTAINABLE FINANCE LEGISLATION</w:t>
      </w:r>
      <w:r>
        <w:rPr>
          <w:b/>
        </w:rPr>
        <w:t xml:space="preserve"> </w:t>
      </w:r>
      <w:r>
        <w:t xml:space="preserve">The SFDR interacts with other parts of the EU’s sustainable finance framework. Questions in this section will therefore seek respondents’ views about the current interactions, as well as potential inconsistencies or misalignments that might exist between the SFDR and other sustainable finance legislation. There is a need to assess the potential implications for other sustainable finance legal acts if the SFDR legal framework was changed in the future. Questions as regards these potential implications are included in section 4 of this questionnaire, when consulting on the potential establishment of a categorisation system for products, and they do not prejudge future positions that might be taken by the Commission. </w:t>
      </w:r>
    </w:p>
    <w:p w14:paraId="36F4DD99" w14:textId="77777777" w:rsidR="0045673A" w:rsidRDefault="00E17DF3">
      <w:pPr>
        <w:spacing w:after="251"/>
        <w:ind w:right="643"/>
      </w:pPr>
      <w:r>
        <w:t xml:space="preserve">The SFDR mainly interacts with the following legislation and their related delegated and implementing acts:  </w:t>
      </w:r>
    </w:p>
    <w:p w14:paraId="6AE603FB" w14:textId="77777777" w:rsidR="0045673A" w:rsidRDefault="00E17DF3">
      <w:pPr>
        <w:numPr>
          <w:ilvl w:val="0"/>
          <w:numId w:val="3"/>
        </w:numPr>
        <w:spacing w:after="10" w:line="249" w:lineRule="auto"/>
        <w:ind w:hanging="360"/>
        <w:jc w:val="left"/>
      </w:pPr>
      <w:r>
        <w:t xml:space="preserve">the </w:t>
      </w:r>
      <w:hyperlink r:id="rId54">
        <w:r>
          <w:rPr>
            <w:color w:val="0000FF"/>
            <w:u w:val="single" w:color="0000FF"/>
          </w:rPr>
          <w:t>Taxonomy Regulation</w:t>
        </w:r>
      </w:hyperlink>
      <w:hyperlink r:id="rId55">
        <w:r>
          <w:t xml:space="preserve"> </w:t>
        </w:r>
      </w:hyperlink>
    </w:p>
    <w:p w14:paraId="1533A661" w14:textId="77777777" w:rsidR="0045673A" w:rsidRDefault="00E17DF3">
      <w:pPr>
        <w:numPr>
          <w:ilvl w:val="0"/>
          <w:numId w:val="3"/>
        </w:numPr>
        <w:spacing w:after="10" w:line="249" w:lineRule="auto"/>
        <w:ind w:hanging="360"/>
        <w:jc w:val="left"/>
      </w:pPr>
      <w:r>
        <w:t xml:space="preserve">the </w:t>
      </w:r>
      <w:hyperlink r:id="rId56">
        <w:r>
          <w:rPr>
            <w:color w:val="0000FF"/>
            <w:u w:val="single" w:color="0000FF"/>
          </w:rPr>
          <w:t>Benchmarks Regulation</w:t>
        </w:r>
      </w:hyperlink>
      <w:hyperlink r:id="rId57">
        <w:r>
          <w:t xml:space="preserve"> </w:t>
        </w:r>
      </w:hyperlink>
    </w:p>
    <w:p w14:paraId="798283D1" w14:textId="77777777" w:rsidR="0045673A" w:rsidRDefault="00E17DF3">
      <w:pPr>
        <w:numPr>
          <w:ilvl w:val="0"/>
          <w:numId w:val="3"/>
        </w:numPr>
        <w:spacing w:after="10" w:line="249" w:lineRule="auto"/>
        <w:ind w:hanging="360"/>
        <w:jc w:val="left"/>
      </w:pPr>
      <w:r>
        <w:t xml:space="preserve">the </w:t>
      </w:r>
      <w:hyperlink r:id="rId58">
        <w:r>
          <w:rPr>
            <w:color w:val="0000FF"/>
            <w:u w:val="single" w:color="0000FF"/>
          </w:rPr>
          <w:t>Corporate Sustainability Reporting Directive (CSRD)</w:t>
        </w:r>
      </w:hyperlink>
      <w:hyperlink r:id="rId59">
        <w:r>
          <w:t xml:space="preserve"> </w:t>
        </w:r>
      </w:hyperlink>
    </w:p>
    <w:p w14:paraId="1F07EC0D" w14:textId="77777777" w:rsidR="0045673A" w:rsidRDefault="00E17DF3">
      <w:pPr>
        <w:numPr>
          <w:ilvl w:val="0"/>
          <w:numId w:val="3"/>
        </w:numPr>
        <w:spacing w:after="10" w:line="249" w:lineRule="auto"/>
        <w:ind w:hanging="360"/>
        <w:jc w:val="left"/>
      </w:pPr>
      <w:r>
        <w:t xml:space="preserve">the </w:t>
      </w:r>
      <w:hyperlink r:id="rId60">
        <w:r>
          <w:rPr>
            <w:color w:val="0000FF"/>
            <w:u w:val="single" w:color="0000FF"/>
          </w:rPr>
          <w:t>Markets in Financial Instruments Directive (MiFID</w:t>
        </w:r>
      </w:hyperlink>
      <w:hyperlink r:id="rId61">
        <w:r>
          <w:rPr>
            <w:color w:val="0000FF"/>
            <w:u w:val="single" w:color="0000FF"/>
          </w:rPr>
          <w:t xml:space="preserve"> </w:t>
        </w:r>
      </w:hyperlink>
      <w:hyperlink r:id="rId62">
        <w:r>
          <w:rPr>
            <w:color w:val="0000FF"/>
            <w:u w:val="single" w:color="0000FF"/>
          </w:rPr>
          <w:t>2)</w:t>
        </w:r>
      </w:hyperlink>
      <w:hyperlink r:id="rId63">
        <w:r>
          <w:t xml:space="preserve"> </w:t>
        </w:r>
      </w:hyperlink>
      <w:r>
        <w:t xml:space="preserve">and the </w:t>
      </w:r>
      <w:hyperlink r:id="rId64">
        <w:r>
          <w:rPr>
            <w:color w:val="0000FF"/>
            <w:u w:val="single" w:color="0000FF"/>
          </w:rPr>
          <w:t>Insurance</w:t>
        </w:r>
      </w:hyperlink>
      <w:hyperlink r:id="rId65">
        <w:r>
          <w:rPr>
            <w:color w:val="0000FF"/>
          </w:rPr>
          <w:t xml:space="preserve"> </w:t>
        </w:r>
      </w:hyperlink>
      <w:hyperlink r:id="rId66">
        <w:r>
          <w:rPr>
            <w:color w:val="0000FF"/>
            <w:u w:val="single" w:color="0000FF"/>
          </w:rPr>
          <w:t>Distribution Directive (IDD)</w:t>
        </w:r>
      </w:hyperlink>
      <w:hyperlink r:id="rId67">
        <w:r>
          <w:t xml:space="preserve"> </w:t>
        </w:r>
      </w:hyperlink>
    </w:p>
    <w:p w14:paraId="0DF783C5" w14:textId="77777777" w:rsidR="0045673A" w:rsidRDefault="00E17DF3">
      <w:pPr>
        <w:numPr>
          <w:ilvl w:val="0"/>
          <w:numId w:val="3"/>
        </w:numPr>
        <w:spacing w:after="10" w:line="249" w:lineRule="auto"/>
        <w:ind w:hanging="360"/>
        <w:jc w:val="left"/>
      </w:pPr>
      <w:r>
        <w:t xml:space="preserve">the </w:t>
      </w:r>
      <w:hyperlink r:id="rId68">
        <w:r>
          <w:rPr>
            <w:color w:val="0000FF"/>
            <w:u w:val="single" w:color="0000FF"/>
          </w:rPr>
          <w:t>Regulation on Packaged Retail Investment and Insurance Products (PRIIPs)</w:t>
        </w:r>
      </w:hyperlink>
      <w:hyperlink r:id="rId69">
        <w:r>
          <w:rPr>
            <w:rFonts w:ascii="Calibri" w:eastAsia="Calibri" w:hAnsi="Calibri" w:cs="Calibri"/>
            <w:sz w:val="22"/>
          </w:rPr>
          <w:t xml:space="preserve"> </w:t>
        </w:r>
      </w:hyperlink>
    </w:p>
    <w:p w14:paraId="6B86D642" w14:textId="77777777" w:rsidR="0045673A" w:rsidRDefault="00E17DF3">
      <w:pPr>
        <w:spacing w:after="0" w:line="259" w:lineRule="auto"/>
        <w:ind w:left="0" w:firstLine="0"/>
        <w:jc w:val="left"/>
      </w:pPr>
      <w:r>
        <w:t xml:space="preserve"> </w:t>
      </w:r>
    </w:p>
    <w:p w14:paraId="2ED69CEF" w14:textId="77777777" w:rsidR="0045673A" w:rsidRDefault="00E17DF3">
      <w:pPr>
        <w:ind w:right="643"/>
      </w:pPr>
      <w:r>
        <w:t xml:space="preserve">Other legal acts that are currently being negotiated may also interact with the SFDR in the future. They are not covered in this questionnaire as the detailed requirements of these legal acts have not yet been agreed. At this stage, it would be speculative to seek to assess how their interaction with SFDR would function. </w:t>
      </w:r>
    </w:p>
    <w:p w14:paraId="7A4F5982" w14:textId="77777777" w:rsidR="0045673A" w:rsidRDefault="00E17DF3">
      <w:pPr>
        <w:spacing w:after="228"/>
        <w:ind w:right="643"/>
      </w:pPr>
      <w:r>
        <w:t xml:space="preserve">Both the SFDR and the Taxonomy Regulation introduce key concepts to the sustainable finance framework. Notably, they introduce definitions of ‘sustainable investment’ (SFDR) and ‘environmentally sustainable’ economic activities (Taxonomy). Both definitions require, inter alia, a contribution to a sustainable objective and a do no significant harm (DNSH) test. But while these definitions are similar, there are differences between them which could create practical challenges for market participants. </w:t>
      </w:r>
    </w:p>
    <w:p w14:paraId="5129C484" w14:textId="77777777" w:rsidR="0045673A" w:rsidRDefault="00E17DF3">
      <w:pPr>
        <w:ind w:right="643"/>
      </w:pPr>
      <w:r>
        <w:rPr>
          <w:b/>
          <w:u w:val="single" w:color="000000"/>
        </w:rPr>
        <w:t>Question 2.1</w:t>
      </w:r>
      <w:r>
        <w:rPr>
          <w:b/>
        </w:rPr>
        <w:t>:</w:t>
      </w:r>
      <w:r>
        <w:t xml:space="preserve"> The </w:t>
      </w:r>
      <w:hyperlink r:id="rId70">
        <w:r>
          <w:rPr>
            <w:color w:val="0000FF"/>
            <w:u w:val="single" w:color="0000FF"/>
          </w:rPr>
          <w:t>Commission recently adopted a FAQ</w:t>
        </w:r>
      </w:hyperlink>
      <w:hyperlink r:id="rId71">
        <w:r>
          <w:t xml:space="preserve"> </w:t>
        </w:r>
      </w:hyperlink>
      <w:r>
        <w:t xml:space="preserve">clarifying that investments in Taxonomy-aligned ‘environmentally sustainable’ economic activities can automatically qualify as ‘sustainable investments’ in those activities under the SFDR. To what extent do you agree that this FAQ offers sufficient clarity to market participants on how to treat Taxonomy-aligned investment in the SFDR product level disclosures?  </w:t>
      </w:r>
    </w:p>
    <w:tbl>
      <w:tblPr>
        <w:tblW w:w="8829"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2826"/>
      </w:tblGrid>
      <w:tr w:rsidR="0045673A" w14:paraId="1FF3D1A8" w14:textId="77777777">
        <w:trPr>
          <w:trHeight w:val="533"/>
        </w:trPr>
        <w:tc>
          <w:tcPr>
            <w:tcW w:w="1229" w:type="dxa"/>
            <w:tcBorders>
              <w:top w:val="single" w:sz="6" w:space="0" w:color="000000"/>
              <w:left w:val="single" w:sz="6" w:space="0" w:color="000000"/>
              <w:bottom w:val="single" w:sz="6" w:space="0" w:color="000000"/>
              <w:right w:val="single" w:sz="6" w:space="0" w:color="000000"/>
            </w:tcBorders>
          </w:tcPr>
          <w:p w14:paraId="4A64D232"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18E0A4A1"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7D186D81"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2D2DF6D5"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576324B7" w14:textId="77777777" w:rsidR="0045673A" w:rsidRDefault="00E17DF3">
            <w:pPr>
              <w:spacing w:after="0" w:line="259" w:lineRule="auto"/>
              <w:ind w:left="2" w:firstLine="0"/>
              <w:jc w:val="center"/>
            </w:pPr>
            <w:r>
              <w:t xml:space="preserve">5 </w:t>
            </w:r>
          </w:p>
        </w:tc>
        <w:tc>
          <w:tcPr>
            <w:tcW w:w="2826" w:type="dxa"/>
            <w:tcBorders>
              <w:top w:val="single" w:sz="6" w:space="0" w:color="000000"/>
              <w:left w:val="single" w:sz="6" w:space="0" w:color="000000"/>
              <w:bottom w:val="single" w:sz="6" w:space="0" w:color="000000"/>
              <w:right w:val="single" w:sz="6" w:space="0" w:color="000000"/>
            </w:tcBorders>
          </w:tcPr>
          <w:p w14:paraId="11846A6F" w14:textId="77777777" w:rsidR="0045673A" w:rsidRDefault="00E17DF3">
            <w:pPr>
              <w:spacing w:after="0" w:line="259" w:lineRule="auto"/>
              <w:ind w:left="0" w:right="2" w:firstLine="0"/>
              <w:jc w:val="center"/>
            </w:pPr>
            <w:r>
              <w:t xml:space="preserve">Don’t know </w:t>
            </w:r>
          </w:p>
        </w:tc>
      </w:tr>
      <w:tr w:rsidR="0045673A" w14:paraId="6903C087" w14:textId="77777777">
        <w:trPr>
          <w:trHeight w:val="530"/>
        </w:trPr>
        <w:tc>
          <w:tcPr>
            <w:tcW w:w="1229" w:type="dxa"/>
            <w:tcBorders>
              <w:top w:val="single" w:sz="6" w:space="0" w:color="000000"/>
              <w:left w:val="single" w:sz="6" w:space="0" w:color="000000"/>
              <w:bottom w:val="single" w:sz="6" w:space="0" w:color="000000"/>
              <w:right w:val="single" w:sz="6" w:space="0" w:color="000000"/>
            </w:tcBorders>
          </w:tcPr>
          <w:p w14:paraId="67BEEFBF" w14:textId="77777777" w:rsidR="0045673A" w:rsidRDefault="00E17DF3">
            <w:pPr>
              <w:spacing w:after="0" w:line="259" w:lineRule="auto"/>
              <w:ind w:left="60" w:firstLine="0"/>
              <w:jc w:val="center"/>
            </w:pPr>
            <w:r>
              <w:t xml:space="preserve"> </w:t>
            </w:r>
          </w:p>
        </w:tc>
        <w:tc>
          <w:tcPr>
            <w:tcW w:w="1215" w:type="dxa"/>
            <w:tcBorders>
              <w:top w:val="single" w:sz="6" w:space="0" w:color="000000"/>
              <w:left w:val="single" w:sz="6" w:space="0" w:color="000000"/>
              <w:bottom w:val="single" w:sz="6" w:space="0" w:color="000000"/>
              <w:right w:val="single" w:sz="6" w:space="0" w:color="000000"/>
            </w:tcBorders>
          </w:tcPr>
          <w:p w14:paraId="23006ACC" w14:textId="226FE7A8" w:rsidR="0045673A" w:rsidRDefault="00E17DF3">
            <w:pPr>
              <w:spacing w:after="0" w:line="259" w:lineRule="auto"/>
              <w:ind w:left="61" w:firstLine="0"/>
              <w:jc w:val="center"/>
            </w:pPr>
            <w:r>
              <w:t xml:space="preserve"> </w:t>
            </w:r>
            <w:r w:rsidR="00772565">
              <w:t>X</w:t>
            </w:r>
          </w:p>
        </w:tc>
        <w:tc>
          <w:tcPr>
            <w:tcW w:w="1212" w:type="dxa"/>
            <w:tcBorders>
              <w:top w:val="single" w:sz="6" w:space="0" w:color="000000"/>
              <w:left w:val="single" w:sz="6" w:space="0" w:color="000000"/>
              <w:bottom w:val="single" w:sz="6" w:space="0" w:color="000000"/>
              <w:right w:val="single" w:sz="6" w:space="0" w:color="000000"/>
            </w:tcBorders>
          </w:tcPr>
          <w:p w14:paraId="620DE9FA" w14:textId="416E7F47" w:rsidR="0045673A" w:rsidRDefault="00E17DF3">
            <w:pPr>
              <w:spacing w:after="0" w:line="259" w:lineRule="auto"/>
              <w:ind w:left="62"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4AD5FBCE" w14:textId="35E98E29" w:rsidR="0045673A" w:rsidRDefault="0045673A">
            <w:pPr>
              <w:spacing w:after="0" w:line="259" w:lineRule="auto"/>
              <w:ind w:left="63" w:firstLine="0"/>
              <w:jc w:val="center"/>
            </w:pPr>
          </w:p>
        </w:tc>
        <w:tc>
          <w:tcPr>
            <w:tcW w:w="1135" w:type="dxa"/>
            <w:tcBorders>
              <w:top w:val="single" w:sz="6" w:space="0" w:color="000000"/>
              <w:left w:val="single" w:sz="6" w:space="0" w:color="000000"/>
              <w:bottom w:val="single" w:sz="6" w:space="0" w:color="000000"/>
              <w:right w:val="single" w:sz="6" w:space="0" w:color="000000"/>
            </w:tcBorders>
          </w:tcPr>
          <w:p w14:paraId="0E29DB77" w14:textId="77777777" w:rsidR="0045673A" w:rsidRDefault="00E17DF3">
            <w:pPr>
              <w:spacing w:after="0" w:line="259" w:lineRule="auto"/>
              <w:ind w:left="62" w:firstLine="0"/>
              <w:jc w:val="center"/>
            </w:pPr>
            <w:r>
              <w:t xml:space="preserve"> </w:t>
            </w:r>
          </w:p>
        </w:tc>
        <w:tc>
          <w:tcPr>
            <w:tcW w:w="2826" w:type="dxa"/>
            <w:tcBorders>
              <w:top w:val="single" w:sz="6" w:space="0" w:color="000000"/>
              <w:left w:val="single" w:sz="6" w:space="0" w:color="000000"/>
              <w:bottom w:val="single" w:sz="6" w:space="0" w:color="000000"/>
              <w:right w:val="single" w:sz="6" w:space="0" w:color="000000"/>
            </w:tcBorders>
          </w:tcPr>
          <w:p w14:paraId="76D51E99" w14:textId="77777777" w:rsidR="0045673A" w:rsidRDefault="00E17DF3">
            <w:pPr>
              <w:spacing w:after="0" w:line="259" w:lineRule="auto"/>
              <w:ind w:left="63" w:firstLine="0"/>
              <w:jc w:val="center"/>
            </w:pPr>
            <w:r>
              <w:t xml:space="preserve"> </w:t>
            </w:r>
          </w:p>
        </w:tc>
      </w:tr>
    </w:tbl>
    <w:p w14:paraId="4FFDD914"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587DAC88" w14:textId="77777777" w:rsidR="0045673A" w:rsidRDefault="00E17DF3">
      <w:pPr>
        <w:spacing w:after="229"/>
        <w:ind w:right="643"/>
      </w:pPr>
      <w:r>
        <w:t xml:space="preserve">The Benchmarks Regulation introduces two categories of climate benchmarks – the EU climate transition benchmark (EU CTB) and the EU Paris-aligned benchmark (EU PAB) - and requires benchmark administrators to disclose on ESG related matters for all benchmarks (except interest rate and foreign exchange benchmarks). The SFDR makes reference to the CTB and PAB in connection with financial products that have the reduction of carbon emissions as their objective. Both legal frameworks are closely linked as products disclosing under the SFDR can for example passively track a CTB or a PAB or use one of them as a reference benchmark in an active investment strategy. More broadly, passive products rely on the design choices made by the benchmark administrators. </w:t>
      </w:r>
    </w:p>
    <w:p w14:paraId="6850B632" w14:textId="77777777" w:rsidR="0045673A" w:rsidRDefault="00E17DF3">
      <w:pPr>
        <w:ind w:right="643"/>
      </w:pPr>
      <w:r>
        <w:rPr>
          <w:b/>
          <w:u w:val="single" w:color="000000"/>
        </w:rPr>
        <w:t>Question 2.2</w:t>
      </w:r>
      <w:r>
        <w:t xml:space="preserve">: To what extent do you agree or disagree with the following statements?  </w:t>
      </w:r>
    </w:p>
    <w:tbl>
      <w:tblPr>
        <w:tblW w:w="8342" w:type="dxa"/>
        <w:tblCellMar>
          <w:top w:w="14" w:type="dxa"/>
          <w:right w:w="54" w:type="dxa"/>
        </w:tblCellMar>
        <w:tblLook w:val="04A0" w:firstRow="1" w:lastRow="0" w:firstColumn="1" w:lastColumn="0" w:noHBand="0" w:noVBand="1"/>
      </w:tblPr>
      <w:tblGrid>
        <w:gridCol w:w="4623"/>
        <w:gridCol w:w="504"/>
        <w:gridCol w:w="506"/>
        <w:gridCol w:w="506"/>
        <w:gridCol w:w="507"/>
        <w:gridCol w:w="506"/>
        <w:gridCol w:w="1190"/>
      </w:tblGrid>
      <w:tr w:rsidR="0045673A" w14:paraId="6CA3DCC8" w14:textId="77777777">
        <w:trPr>
          <w:trHeight w:val="802"/>
        </w:trPr>
        <w:tc>
          <w:tcPr>
            <w:tcW w:w="4621" w:type="dxa"/>
            <w:tcBorders>
              <w:top w:val="single" w:sz="4" w:space="0" w:color="000000"/>
              <w:left w:val="single" w:sz="4" w:space="0" w:color="000000"/>
              <w:bottom w:val="single" w:sz="4" w:space="0" w:color="000000"/>
              <w:right w:val="single" w:sz="4" w:space="0" w:color="000000"/>
            </w:tcBorders>
          </w:tcPr>
          <w:p w14:paraId="7B6A7F5E" w14:textId="77777777" w:rsidR="0045673A" w:rsidRDefault="00E17DF3">
            <w:pPr>
              <w:spacing w:after="0" w:line="259" w:lineRule="auto"/>
              <w:ind w:left="0" w:firstLine="0"/>
              <w:jc w:val="left"/>
            </w:pPr>
            <w:r>
              <w:rPr>
                <w:b/>
              </w:rPr>
              <w:t xml:space="preserve"> </w:t>
            </w:r>
          </w:p>
        </w:tc>
        <w:tc>
          <w:tcPr>
            <w:tcW w:w="504" w:type="dxa"/>
            <w:tcBorders>
              <w:top w:val="single" w:sz="4" w:space="0" w:color="000000"/>
              <w:left w:val="single" w:sz="4" w:space="0" w:color="000000"/>
              <w:bottom w:val="single" w:sz="4" w:space="0" w:color="000000"/>
              <w:right w:val="single" w:sz="4" w:space="0" w:color="000000"/>
            </w:tcBorders>
          </w:tcPr>
          <w:p w14:paraId="3FA525DF" w14:textId="77777777" w:rsidR="0045673A" w:rsidRDefault="00E17DF3">
            <w:pPr>
              <w:spacing w:after="0" w:line="259" w:lineRule="auto"/>
              <w:ind w:left="0" w:right="54" w:firstLine="0"/>
              <w:jc w:val="center"/>
            </w:pPr>
            <w:r>
              <w:t xml:space="preserve">1 </w:t>
            </w:r>
          </w:p>
        </w:tc>
        <w:tc>
          <w:tcPr>
            <w:tcW w:w="506" w:type="dxa"/>
            <w:tcBorders>
              <w:top w:val="single" w:sz="4" w:space="0" w:color="000000"/>
              <w:left w:val="single" w:sz="4" w:space="0" w:color="000000"/>
              <w:bottom w:val="single" w:sz="4" w:space="0" w:color="000000"/>
              <w:right w:val="single" w:sz="4" w:space="0" w:color="000000"/>
            </w:tcBorders>
          </w:tcPr>
          <w:p w14:paraId="3DAAA511" w14:textId="77777777" w:rsidR="0045673A" w:rsidRDefault="00E17DF3">
            <w:pPr>
              <w:spacing w:after="0" w:line="259" w:lineRule="auto"/>
              <w:ind w:left="0" w:right="52" w:firstLine="0"/>
              <w:jc w:val="center"/>
            </w:pPr>
            <w:r>
              <w:t xml:space="preserve">2 </w:t>
            </w:r>
          </w:p>
        </w:tc>
        <w:tc>
          <w:tcPr>
            <w:tcW w:w="506" w:type="dxa"/>
            <w:tcBorders>
              <w:top w:val="single" w:sz="4" w:space="0" w:color="000000"/>
              <w:left w:val="single" w:sz="4" w:space="0" w:color="000000"/>
              <w:bottom w:val="single" w:sz="4" w:space="0" w:color="000000"/>
              <w:right w:val="single" w:sz="4" w:space="0" w:color="000000"/>
            </w:tcBorders>
          </w:tcPr>
          <w:p w14:paraId="568B5AD6" w14:textId="77777777" w:rsidR="0045673A" w:rsidRDefault="00E17DF3">
            <w:pPr>
              <w:spacing w:after="0" w:line="259" w:lineRule="auto"/>
              <w:ind w:left="0" w:right="52" w:firstLine="0"/>
              <w:jc w:val="center"/>
            </w:pPr>
            <w:r>
              <w:t xml:space="preserve">3 </w:t>
            </w:r>
          </w:p>
        </w:tc>
        <w:tc>
          <w:tcPr>
            <w:tcW w:w="507" w:type="dxa"/>
            <w:tcBorders>
              <w:top w:val="single" w:sz="4" w:space="0" w:color="000000"/>
              <w:left w:val="single" w:sz="4" w:space="0" w:color="000000"/>
              <w:bottom w:val="single" w:sz="4" w:space="0" w:color="000000"/>
              <w:right w:val="single" w:sz="4" w:space="0" w:color="000000"/>
            </w:tcBorders>
          </w:tcPr>
          <w:p w14:paraId="3B289F88" w14:textId="77777777" w:rsidR="0045673A" w:rsidRDefault="00E17DF3">
            <w:pPr>
              <w:spacing w:after="0" w:line="259" w:lineRule="auto"/>
              <w:ind w:left="0" w:right="57" w:firstLine="0"/>
              <w:jc w:val="center"/>
            </w:pPr>
            <w:r>
              <w:t xml:space="preserve">4 </w:t>
            </w:r>
          </w:p>
        </w:tc>
        <w:tc>
          <w:tcPr>
            <w:tcW w:w="506" w:type="dxa"/>
            <w:tcBorders>
              <w:top w:val="single" w:sz="4" w:space="0" w:color="000000"/>
              <w:left w:val="single" w:sz="4" w:space="0" w:color="000000"/>
              <w:bottom w:val="single" w:sz="4" w:space="0" w:color="000000"/>
              <w:right w:val="single" w:sz="4" w:space="0" w:color="000000"/>
            </w:tcBorders>
          </w:tcPr>
          <w:p w14:paraId="207CEB71" w14:textId="77777777" w:rsidR="0045673A" w:rsidRDefault="00E17DF3">
            <w:pPr>
              <w:spacing w:after="0" w:line="259" w:lineRule="auto"/>
              <w:ind w:left="0" w:right="57" w:firstLine="0"/>
              <w:jc w:val="center"/>
            </w:pPr>
            <w:r>
              <w:t xml:space="preserve">5 </w:t>
            </w:r>
          </w:p>
        </w:tc>
        <w:tc>
          <w:tcPr>
            <w:tcW w:w="1190" w:type="dxa"/>
            <w:tcBorders>
              <w:top w:val="single" w:sz="4" w:space="0" w:color="000000"/>
              <w:left w:val="single" w:sz="4" w:space="0" w:color="000000"/>
              <w:bottom w:val="single" w:sz="4" w:space="0" w:color="000000"/>
              <w:right w:val="single" w:sz="4" w:space="0" w:color="000000"/>
            </w:tcBorders>
          </w:tcPr>
          <w:p w14:paraId="73610904" w14:textId="77777777" w:rsidR="0045673A" w:rsidRDefault="00E17DF3">
            <w:pPr>
              <w:spacing w:after="0" w:line="259" w:lineRule="auto"/>
              <w:ind w:left="0" w:firstLine="0"/>
              <w:jc w:val="center"/>
            </w:pPr>
            <w:r>
              <w:t xml:space="preserve">Don’t know </w:t>
            </w:r>
          </w:p>
        </w:tc>
      </w:tr>
      <w:tr w:rsidR="0045673A" w14:paraId="78E04D6A" w14:textId="77777777">
        <w:trPr>
          <w:trHeight w:val="1906"/>
        </w:trPr>
        <w:tc>
          <w:tcPr>
            <w:tcW w:w="4621" w:type="dxa"/>
            <w:tcBorders>
              <w:top w:val="single" w:sz="4" w:space="0" w:color="000000"/>
              <w:left w:val="single" w:sz="4" w:space="0" w:color="000000"/>
              <w:bottom w:val="single" w:sz="4" w:space="0" w:color="000000"/>
              <w:right w:val="single" w:sz="4" w:space="0" w:color="000000"/>
            </w:tcBorders>
          </w:tcPr>
          <w:p w14:paraId="6559C816" w14:textId="77777777" w:rsidR="0045673A" w:rsidRDefault="00E17DF3">
            <w:pPr>
              <w:spacing w:after="0" w:line="259" w:lineRule="auto"/>
              <w:ind w:left="0" w:firstLine="0"/>
              <w:jc w:val="left"/>
            </w:pPr>
            <w:r>
              <w:t xml:space="preserve">The </w:t>
            </w:r>
            <w:hyperlink r:id="rId72">
              <w:r>
                <w:rPr>
                  <w:color w:val="0000FF"/>
                  <w:u w:val="single" w:color="0000FF"/>
                </w:rPr>
                <w:t>questions &amp; answers published by the</w:t>
              </w:r>
            </w:hyperlink>
            <w:hyperlink r:id="rId73">
              <w:r>
                <w:rPr>
                  <w:color w:val="0000FF"/>
                </w:rPr>
                <w:t xml:space="preserve"> </w:t>
              </w:r>
            </w:hyperlink>
          </w:p>
          <w:p w14:paraId="405DCF55" w14:textId="77777777" w:rsidR="0045673A" w:rsidRDefault="00F53185">
            <w:pPr>
              <w:spacing w:after="0" w:line="259" w:lineRule="auto"/>
              <w:ind w:left="0" w:firstLine="0"/>
              <w:jc w:val="left"/>
            </w:pPr>
            <w:hyperlink r:id="rId74">
              <w:r w:rsidR="00E17DF3">
                <w:rPr>
                  <w:color w:val="0000FF"/>
                  <w:u w:val="single" w:color="0000FF"/>
                </w:rPr>
                <w:t>Commission in April 2023</w:t>
              </w:r>
            </w:hyperlink>
            <w:hyperlink r:id="rId75">
              <w:r w:rsidR="00E17DF3">
                <w:rPr>
                  <w:color w:val="0000FF"/>
                  <w:u w:val="single" w:color="0000FF"/>
                </w:rPr>
                <w:t xml:space="preserve"> </w:t>
              </w:r>
            </w:hyperlink>
            <w:r w:rsidR="00E17DF3">
              <w:t xml:space="preserve">specifying that the SFDR deems products passively tracking CTB and PAB to be making ‘sustainable investments’ as defined in the SFDR provide sufficient clarity to market participants </w:t>
            </w:r>
          </w:p>
        </w:tc>
        <w:tc>
          <w:tcPr>
            <w:tcW w:w="504" w:type="dxa"/>
            <w:tcBorders>
              <w:top w:val="single" w:sz="4" w:space="0" w:color="000000"/>
              <w:left w:val="single" w:sz="4" w:space="0" w:color="000000"/>
              <w:bottom w:val="single" w:sz="4" w:space="0" w:color="000000"/>
              <w:right w:val="single" w:sz="4" w:space="0" w:color="000000"/>
            </w:tcBorders>
          </w:tcPr>
          <w:p w14:paraId="69E7B376"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78DCAFEC" w14:textId="77777777" w:rsidR="0045673A" w:rsidRDefault="00E17DF3">
            <w:pPr>
              <w:spacing w:after="0" w:line="259" w:lineRule="auto"/>
              <w:ind w:left="2"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4555ECD1" w14:textId="094C0937" w:rsidR="0045673A" w:rsidRDefault="00E17DF3">
            <w:pPr>
              <w:spacing w:after="0" w:line="259" w:lineRule="auto"/>
              <w:ind w:left="2" w:firstLine="0"/>
              <w:jc w:val="left"/>
            </w:pPr>
            <w:r>
              <w:rPr>
                <w:b/>
              </w:rPr>
              <w:t xml:space="preserve"> </w:t>
            </w:r>
            <w:r w:rsidR="00AD08FE">
              <w:t>X</w:t>
            </w:r>
          </w:p>
        </w:tc>
        <w:tc>
          <w:tcPr>
            <w:tcW w:w="507" w:type="dxa"/>
            <w:tcBorders>
              <w:top w:val="single" w:sz="4" w:space="0" w:color="000000"/>
              <w:left w:val="single" w:sz="4" w:space="0" w:color="000000"/>
              <w:bottom w:val="single" w:sz="4" w:space="0" w:color="000000"/>
              <w:right w:val="single" w:sz="4" w:space="0" w:color="000000"/>
            </w:tcBorders>
          </w:tcPr>
          <w:p w14:paraId="0C6ADFFA" w14:textId="3A271B38"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7B1F2952" w14:textId="77777777" w:rsidR="0045673A" w:rsidRDefault="00E17DF3">
            <w:pPr>
              <w:spacing w:after="0" w:line="259" w:lineRule="auto"/>
              <w:ind w:left="0" w:firstLine="0"/>
              <w:jc w:val="left"/>
            </w:pPr>
            <w:r>
              <w:rPr>
                <w:b/>
              </w:rPr>
              <w:t xml:space="preserve"> </w:t>
            </w:r>
          </w:p>
        </w:tc>
        <w:tc>
          <w:tcPr>
            <w:tcW w:w="1190" w:type="dxa"/>
            <w:tcBorders>
              <w:top w:val="single" w:sz="4" w:space="0" w:color="000000"/>
              <w:left w:val="single" w:sz="4" w:space="0" w:color="000000"/>
              <w:bottom w:val="single" w:sz="4" w:space="0" w:color="000000"/>
              <w:right w:val="single" w:sz="4" w:space="0" w:color="000000"/>
            </w:tcBorders>
          </w:tcPr>
          <w:p w14:paraId="75813522" w14:textId="77777777" w:rsidR="0045673A" w:rsidRDefault="00E17DF3">
            <w:pPr>
              <w:spacing w:after="0" w:line="259" w:lineRule="auto"/>
              <w:ind w:left="0" w:firstLine="0"/>
              <w:jc w:val="left"/>
            </w:pPr>
            <w:r>
              <w:rPr>
                <w:b/>
              </w:rPr>
              <w:t xml:space="preserve"> </w:t>
            </w:r>
          </w:p>
        </w:tc>
      </w:tr>
      <w:tr w:rsidR="0045673A" w14:paraId="3CC58CB7" w14:textId="77777777">
        <w:trPr>
          <w:trHeight w:val="1354"/>
        </w:trPr>
        <w:tc>
          <w:tcPr>
            <w:tcW w:w="4621" w:type="dxa"/>
            <w:tcBorders>
              <w:top w:val="single" w:sz="4" w:space="0" w:color="000000"/>
              <w:left w:val="single" w:sz="4" w:space="0" w:color="000000"/>
              <w:bottom w:val="single" w:sz="4" w:space="0" w:color="000000"/>
              <w:right w:val="single" w:sz="4" w:space="0" w:color="000000"/>
            </w:tcBorders>
          </w:tcPr>
          <w:p w14:paraId="5006C348" w14:textId="77777777" w:rsidR="0045673A" w:rsidRDefault="00E17DF3">
            <w:pPr>
              <w:spacing w:after="0" w:line="259" w:lineRule="auto"/>
              <w:ind w:left="0" w:firstLine="0"/>
            </w:pPr>
            <w:r>
              <w:t xml:space="preserve">The approach to DNSH and good governance </w:t>
            </w:r>
          </w:p>
          <w:p w14:paraId="2E7E9107" w14:textId="77777777" w:rsidR="0045673A" w:rsidRDefault="00E17DF3">
            <w:pPr>
              <w:spacing w:after="0" w:line="259" w:lineRule="auto"/>
              <w:ind w:left="0" w:firstLine="0"/>
              <w:jc w:val="left"/>
            </w:pPr>
            <w:r>
              <w:t xml:space="preserve">in the SFDR is consistent with the environmental, social and governance exclusions under the PAB/CTB  </w:t>
            </w:r>
          </w:p>
        </w:tc>
        <w:tc>
          <w:tcPr>
            <w:tcW w:w="504" w:type="dxa"/>
            <w:tcBorders>
              <w:top w:val="single" w:sz="4" w:space="0" w:color="000000"/>
              <w:left w:val="single" w:sz="4" w:space="0" w:color="000000"/>
              <w:bottom w:val="single" w:sz="4" w:space="0" w:color="000000"/>
              <w:right w:val="single" w:sz="4" w:space="0" w:color="000000"/>
            </w:tcBorders>
          </w:tcPr>
          <w:p w14:paraId="488E7449"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1C0FFDF2" w14:textId="77777777" w:rsidR="0045673A" w:rsidRDefault="00E17DF3">
            <w:pPr>
              <w:spacing w:after="0" w:line="259" w:lineRule="auto"/>
              <w:ind w:left="2"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2C8DF632" w14:textId="34C3AD92" w:rsidR="0045673A" w:rsidRDefault="00E17DF3">
            <w:pPr>
              <w:spacing w:after="0" w:line="259" w:lineRule="auto"/>
              <w:ind w:left="2" w:firstLine="0"/>
              <w:jc w:val="left"/>
            </w:pPr>
            <w:r>
              <w:rPr>
                <w:b/>
              </w:rPr>
              <w:t xml:space="preserve"> </w:t>
            </w:r>
            <w:r w:rsidR="00AD08FE">
              <w:t>X</w:t>
            </w:r>
          </w:p>
        </w:tc>
        <w:tc>
          <w:tcPr>
            <w:tcW w:w="507" w:type="dxa"/>
            <w:tcBorders>
              <w:top w:val="single" w:sz="4" w:space="0" w:color="000000"/>
              <w:left w:val="single" w:sz="4" w:space="0" w:color="000000"/>
              <w:bottom w:val="single" w:sz="4" w:space="0" w:color="000000"/>
              <w:right w:val="single" w:sz="4" w:space="0" w:color="000000"/>
            </w:tcBorders>
          </w:tcPr>
          <w:p w14:paraId="5D2AA85D"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4889ED92" w14:textId="77777777" w:rsidR="0045673A" w:rsidRDefault="00E17DF3">
            <w:pPr>
              <w:spacing w:after="0" w:line="259" w:lineRule="auto"/>
              <w:ind w:left="0" w:firstLine="0"/>
              <w:jc w:val="left"/>
            </w:pPr>
            <w:r>
              <w:rPr>
                <w:b/>
              </w:rPr>
              <w:t xml:space="preserve"> </w:t>
            </w:r>
          </w:p>
        </w:tc>
        <w:tc>
          <w:tcPr>
            <w:tcW w:w="1190" w:type="dxa"/>
            <w:tcBorders>
              <w:top w:val="single" w:sz="4" w:space="0" w:color="000000"/>
              <w:left w:val="single" w:sz="4" w:space="0" w:color="000000"/>
              <w:bottom w:val="single" w:sz="4" w:space="0" w:color="000000"/>
              <w:right w:val="single" w:sz="4" w:space="0" w:color="000000"/>
            </w:tcBorders>
          </w:tcPr>
          <w:p w14:paraId="6E6BE88E" w14:textId="77777777" w:rsidR="0045673A" w:rsidRDefault="00E17DF3">
            <w:pPr>
              <w:spacing w:after="0" w:line="259" w:lineRule="auto"/>
              <w:ind w:left="0" w:firstLine="0"/>
              <w:jc w:val="left"/>
            </w:pPr>
            <w:r>
              <w:rPr>
                <w:b/>
              </w:rPr>
              <w:t xml:space="preserve"> </w:t>
            </w:r>
          </w:p>
        </w:tc>
      </w:tr>
      <w:tr w:rsidR="0045673A" w14:paraId="498448A9" w14:textId="77777777">
        <w:trPr>
          <w:trHeight w:val="1632"/>
        </w:trPr>
        <w:tc>
          <w:tcPr>
            <w:tcW w:w="4621" w:type="dxa"/>
            <w:tcBorders>
              <w:top w:val="single" w:sz="4" w:space="0" w:color="000000"/>
              <w:left w:val="single" w:sz="4" w:space="0" w:color="000000"/>
              <w:bottom w:val="single" w:sz="4" w:space="0" w:color="000000"/>
              <w:right w:val="single" w:sz="4" w:space="0" w:color="000000"/>
            </w:tcBorders>
          </w:tcPr>
          <w:p w14:paraId="01B42F83" w14:textId="77777777" w:rsidR="0045673A" w:rsidRDefault="00E17DF3">
            <w:pPr>
              <w:spacing w:after="0" w:line="259" w:lineRule="auto"/>
              <w:ind w:left="0" w:right="43" w:firstLine="0"/>
              <w:jc w:val="left"/>
            </w:pPr>
            <w:r>
              <w:t xml:space="preserve">The ESG information provided by benchmark administrators is sufficient and is aligned with the information required by the SFDR for products tracking or referencing these benchmarks </w:t>
            </w:r>
          </w:p>
        </w:tc>
        <w:tc>
          <w:tcPr>
            <w:tcW w:w="504" w:type="dxa"/>
            <w:tcBorders>
              <w:top w:val="single" w:sz="4" w:space="0" w:color="000000"/>
              <w:left w:val="single" w:sz="4" w:space="0" w:color="000000"/>
              <w:bottom w:val="single" w:sz="4" w:space="0" w:color="000000"/>
              <w:right w:val="single" w:sz="4" w:space="0" w:color="000000"/>
            </w:tcBorders>
          </w:tcPr>
          <w:p w14:paraId="788F5EB2"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2F30D604" w14:textId="51E69AC5" w:rsidR="0045673A" w:rsidRDefault="00E17DF3">
            <w:pPr>
              <w:spacing w:after="0" w:line="259" w:lineRule="auto"/>
              <w:ind w:left="2"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7F8F31E3" w14:textId="77777777" w:rsidR="0045673A" w:rsidRDefault="00E17DF3">
            <w:pPr>
              <w:spacing w:after="0" w:line="259" w:lineRule="auto"/>
              <w:ind w:left="2" w:firstLine="0"/>
              <w:jc w:val="left"/>
            </w:pPr>
            <w:r>
              <w:rPr>
                <w:b/>
              </w:rPr>
              <w:t xml:space="preserve"> </w:t>
            </w:r>
          </w:p>
        </w:tc>
        <w:tc>
          <w:tcPr>
            <w:tcW w:w="507" w:type="dxa"/>
            <w:tcBorders>
              <w:top w:val="single" w:sz="4" w:space="0" w:color="000000"/>
              <w:left w:val="single" w:sz="4" w:space="0" w:color="000000"/>
              <w:bottom w:val="single" w:sz="4" w:space="0" w:color="000000"/>
              <w:right w:val="single" w:sz="4" w:space="0" w:color="000000"/>
            </w:tcBorders>
          </w:tcPr>
          <w:p w14:paraId="3379DAE2" w14:textId="501E50B1" w:rsidR="0045673A" w:rsidRPr="00772565" w:rsidRDefault="00E17DF3">
            <w:pPr>
              <w:spacing w:after="0" w:line="259" w:lineRule="auto"/>
              <w:ind w:left="0" w:firstLine="0"/>
              <w:jc w:val="left"/>
              <w:rPr>
                <w:bCs/>
              </w:rPr>
            </w:pPr>
            <w:r w:rsidRPr="00772565">
              <w:rPr>
                <w:bCs/>
              </w:rPr>
              <w:t xml:space="preserve"> </w:t>
            </w:r>
            <w:r w:rsidR="00772565" w:rsidRPr="00772565">
              <w:rPr>
                <w:bCs/>
              </w:rPr>
              <w:t>X</w:t>
            </w:r>
          </w:p>
        </w:tc>
        <w:tc>
          <w:tcPr>
            <w:tcW w:w="506" w:type="dxa"/>
            <w:tcBorders>
              <w:top w:val="single" w:sz="4" w:space="0" w:color="000000"/>
              <w:left w:val="single" w:sz="4" w:space="0" w:color="000000"/>
              <w:bottom w:val="single" w:sz="4" w:space="0" w:color="000000"/>
              <w:right w:val="single" w:sz="4" w:space="0" w:color="000000"/>
            </w:tcBorders>
          </w:tcPr>
          <w:p w14:paraId="64CEEF09" w14:textId="77777777" w:rsidR="0045673A" w:rsidRDefault="00E17DF3">
            <w:pPr>
              <w:spacing w:after="0" w:line="259" w:lineRule="auto"/>
              <w:ind w:left="0" w:firstLine="0"/>
              <w:jc w:val="left"/>
            </w:pPr>
            <w:r>
              <w:rPr>
                <w:b/>
              </w:rPr>
              <w:t xml:space="preserve"> </w:t>
            </w:r>
          </w:p>
        </w:tc>
        <w:tc>
          <w:tcPr>
            <w:tcW w:w="1190" w:type="dxa"/>
            <w:tcBorders>
              <w:top w:val="single" w:sz="4" w:space="0" w:color="000000"/>
              <w:left w:val="single" w:sz="4" w:space="0" w:color="000000"/>
              <w:bottom w:val="single" w:sz="4" w:space="0" w:color="000000"/>
              <w:right w:val="single" w:sz="4" w:space="0" w:color="000000"/>
            </w:tcBorders>
          </w:tcPr>
          <w:p w14:paraId="71B50B6D" w14:textId="6A5B32C8" w:rsidR="0045673A" w:rsidRDefault="00E17DF3">
            <w:pPr>
              <w:spacing w:after="0" w:line="259" w:lineRule="auto"/>
              <w:ind w:left="0" w:firstLine="0"/>
              <w:jc w:val="left"/>
            </w:pPr>
            <w:r>
              <w:rPr>
                <w:b/>
              </w:rPr>
              <w:t xml:space="preserve"> </w:t>
            </w:r>
          </w:p>
        </w:tc>
      </w:tr>
    </w:tbl>
    <w:p w14:paraId="72E4632B"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6D200B7C" w14:textId="6286FAA8" w:rsidR="0045673A" w:rsidRDefault="00E17DF3" w:rsidP="00010E11">
      <w:pPr>
        <w:spacing w:after="858"/>
        <w:ind w:right="643"/>
      </w:pPr>
      <w:r>
        <w:t>Both the SFDR and the Corporate Sustainability Reporting Directive (CSRD) introduce entity level disclosure requirements with a double-materiality approach.</w:t>
      </w:r>
      <w:r>
        <w:rPr>
          <w:vertAlign w:val="superscript"/>
        </w:rPr>
        <w:footnoteReference w:id="8"/>
      </w:r>
      <w:r>
        <w:t xml:space="preserve"> The CSRD sets out sustainability reporting requirements mainly for all large and all listed undertakings with limited liability (except listed micro-enterprises),</w:t>
      </w:r>
      <w:r>
        <w:rPr>
          <w:vertAlign w:val="superscript"/>
        </w:rPr>
        <w:footnoteReference w:id="9"/>
      </w:r>
      <w:r>
        <w:t xml:space="preserve"> while the SFDR introduces sustainability disclosure requirements at entity level for financial market participants and financial advisers as regards the consideration of sustainability related factors in their investment decision-making process. Moreover, in order for financial market participants and financial advisers to meet their product and entity level disclosure obligations under</w:t>
      </w:r>
      <w:r w:rsidR="00010E11">
        <w:t xml:space="preserve"> </w:t>
      </w:r>
      <w:r>
        <w:t xml:space="preserve">the SFDR, they will rely to a significant extent, on the information reported according to the CSRD and its </w:t>
      </w:r>
      <w:hyperlink r:id="rId76" w:anchor="standards">
        <w:r>
          <w:rPr>
            <w:color w:val="0000FF"/>
            <w:u w:val="single" w:color="0000FF"/>
          </w:rPr>
          <w:t>European Sustainability Reporting Standards (ESRS)</w:t>
        </w:r>
      </w:hyperlink>
      <w:r>
        <w:rPr>
          <w:vertAlign w:val="superscript"/>
        </w:rPr>
        <w:footnoteReference w:id="10"/>
      </w:r>
      <w:r>
        <w:t xml:space="preserve">. </w:t>
      </w:r>
    </w:p>
    <w:p w14:paraId="01658352" w14:textId="77777777" w:rsidR="0045673A" w:rsidRDefault="00E17DF3">
      <w:pPr>
        <w:ind w:right="643"/>
      </w:pPr>
      <w:r>
        <w:rPr>
          <w:b/>
          <w:u w:val="single" w:color="000000"/>
        </w:rPr>
        <w:t>Question 2.3</w:t>
      </w:r>
      <w:r>
        <w:t xml:space="preserve">: To what extent do you agree or disagree with the following statements? </w:t>
      </w:r>
    </w:p>
    <w:tbl>
      <w:tblPr>
        <w:tblW w:w="8342" w:type="dxa"/>
        <w:tblCellMar>
          <w:top w:w="14" w:type="dxa"/>
          <w:right w:w="81" w:type="dxa"/>
        </w:tblCellMar>
        <w:tblLook w:val="04A0" w:firstRow="1" w:lastRow="0" w:firstColumn="1" w:lastColumn="0" w:noHBand="0" w:noVBand="1"/>
      </w:tblPr>
      <w:tblGrid>
        <w:gridCol w:w="4623"/>
        <w:gridCol w:w="504"/>
        <w:gridCol w:w="506"/>
        <w:gridCol w:w="506"/>
        <w:gridCol w:w="507"/>
        <w:gridCol w:w="506"/>
        <w:gridCol w:w="1190"/>
      </w:tblGrid>
      <w:tr w:rsidR="0045673A" w14:paraId="32031683" w14:textId="77777777">
        <w:trPr>
          <w:trHeight w:val="802"/>
        </w:trPr>
        <w:tc>
          <w:tcPr>
            <w:tcW w:w="4621" w:type="dxa"/>
            <w:tcBorders>
              <w:top w:val="single" w:sz="4" w:space="0" w:color="000000"/>
              <w:left w:val="single" w:sz="4" w:space="0" w:color="000000"/>
              <w:bottom w:val="single" w:sz="4" w:space="0" w:color="000000"/>
              <w:right w:val="single" w:sz="4" w:space="0" w:color="000000"/>
            </w:tcBorders>
          </w:tcPr>
          <w:p w14:paraId="2E6B95C4" w14:textId="77777777" w:rsidR="0045673A" w:rsidRDefault="00E17DF3">
            <w:pPr>
              <w:spacing w:after="0" w:line="259" w:lineRule="auto"/>
              <w:ind w:left="0" w:firstLine="0"/>
              <w:jc w:val="left"/>
            </w:pPr>
            <w:r>
              <w:rPr>
                <w:b/>
              </w:rPr>
              <w:t xml:space="preserve"> </w:t>
            </w:r>
          </w:p>
        </w:tc>
        <w:tc>
          <w:tcPr>
            <w:tcW w:w="504" w:type="dxa"/>
            <w:tcBorders>
              <w:top w:val="single" w:sz="4" w:space="0" w:color="000000"/>
              <w:left w:val="single" w:sz="4" w:space="0" w:color="000000"/>
              <w:bottom w:val="single" w:sz="4" w:space="0" w:color="000000"/>
              <w:right w:val="single" w:sz="4" w:space="0" w:color="000000"/>
            </w:tcBorders>
          </w:tcPr>
          <w:p w14:paraId="705D43C9" w14:textId="77777777" w:rsidR="0045673A" w:rsidRDefault="00E17DF3">
            <w:pPr>
              <w:spacing w:after="0" w:line="259" w:lineRule="auto"/>
              <w:ind w:left="0" w:right="27" w:firstLine="0"/>
              <w:jc w:val="center"/>
            </w:pPr>
            <w:r>
              <w:t xml:space="preserve">1 </w:t>
            </w:r>
          </w:p>
        </w:tc>
        <w:tc>
          <w:tcPr>
            <w:tcW w:w="506" w:type="dxa"/>
            <w:tcBorders>
              <w:top w:val="single" w:sz="4" w:space="0" w:color="000000"/>
              <w:left w:val="single" w:sz="4" w:space="0" w:color="000000"/>
              <w:bottom w:val="single" w:sz="4" w:space="0" w:color="000000"/>
              <w:right w:val="single" w:sz="4" w:space="0" w:color="000000"/>
            </w:tcBorders>
          </w:tcPr>
          <w:p w14:paraId="44FE7B94" w14:textId="77777777" w:rsidR="0045673A" w:rsidRDefault="00E17DF3">
            <w:pPr>
              <w:spacing w:after="0" w:line="259" w:lineRule="auto"/>
              <w:ind w:left="0" w:right="24" w:firstLine="0"/>
              <w:jc w:val="center"/>
            </w:pPr>
            <w:r>
              <w:t xml:space="preserve">2 </w:t>
            </w:r>
          </w:p>
        </w:tc>
        <w:tc>
          <w:tcPr>
            <w:tcW w:w="506" w:type="dxa"/>
            <w:tcBorders>
              <w:top w:val="single" w:sz="4" w:space="0" w:color="000000"/>
              <w:left w:val="single" w:sz="4" w:space="0" w:color="000000"/>
              <w:bottom w:val="single" w:sz="4" w:space="0" w:color="000000"/>
              <w:right w:val="single" w:sz="4" w:space="0" w:color="000000"/>
            </w:tcBorders>
          </w:tcPr>
          <w:p w14:paraId="71D7C13E" w14:textId="77777777" w:rsidR="0045673A" w:rsidRDefault="00E17DF3">
            <w:pPr>
              <w:spacing w:after="0" w:line="259" w:lineRule="auto"/>
              <w:ind w:left="0" w:right="24" w:firstLine="0"/>
              <w:jc w:val="center"/>
            </w:pPr>
            <w:r>
              <w:t xml:space="preserve">3 </w:t>
            </w:r>
          </w:p>
        </w:tc>
        <w:tc>
          <w:tcPr>
            <w:tcW w:w="507" w:type="dxa"/>
            <w:tcBorders>
              <w:top w:val="single" w:sz="4" w:space="0" w:color="000000"/>
              <w:left w:val="single" w:sz="4" w:space="0" w:color="000000"/>
              <w:bottom w:val="single" w:sz="4" w:space="0" w:color="000000"/>
              <w:right w:val="single" w:sz="4" w:space="0" w:color="000000"/>
            </w:tcBorders>
          </w:tcPr>
          <w:p w14:paraId="7D1D579D" w14:textId="77777777" w:rsidR="0045673A" w:rsidRDefault="00E17DF3">
            <w:pPr>
              <w:spacing w:after="0" w:line="259" w:lineRule="auto"/>
              <w:ind w:left="0" w:right="30" w:firstLine="0"/>
              <w:jc w:val="center"/>
            </w:pPr>
            <w:r>
              <w:t xml:space="preserve">4 </w:t>
            </w:r>
          </w:p>
        </w:tc>
        <w:tc>
          <w:tcPr>
            <w:tcW w:w="506" w:type="dxa"/>
            <w:tcBorders>
              <w:top w:val="single" w:sz="4" w:space="0" w:color="000000"/>
              <w:left w:val="single" w:sz="4" w:space="0" w:color="000000"/>
              <w:bottom w:val="single" w:sz="4" w:space="0" w:color="000000"/>
              <w:right w:val="single" w:sz="4" w:space="0" w:color="000000"/>
            </w:tcBorders>
          </w:tcPr>
          <w:p w14:paraId="69B7180C" w14:textId="77777777" w:rsidR="0045673A" w:rsidRDefault="00E17DF3">
            <w:pPr>
              <w:spacing w:after="0" w:line="259" w:lineRule="auto"/>
              <w:ind w:left="0" w:right="29" w:firstLine="0"/>
              <w:jc w:val="center"/>
            </w:pPr>
            <w:r>
              <w:t xml:space="preserve">5 </w:t>
            </w:r>
          </w:p>
        </w:tc>
        <w:tc>
          <w:tcPr>
            <w:tcW w:w="1190" w:type="dxa"/>
            <w:tcBorders>
              <w:top w:val="single" w:sz="4" w:space="0" w:color="000000"/>
              <w:left w:val="single" w:sz="4" w:space="0" w:color="000000"/>
              <w:bottom w:val="single" w:sz="4" w:space="0" w:color="000000"/>
              <w:right w:val="single" w:sz="4" w:space="0" w:color="000000"/>
            </w:tcBorders>
          </w:tcPr>
          <w:p w14:paraId="3022617F" w14:textId="77777777" w:rsidR="0045673A" w:rsidRDefault="00E17DF3">
            <w:pPr>
              <w:spacing w:after="0" w:line="259" w:lineRule="auto"/>
              <w:ind w:left="0" w:firstLine="0"/>
              <w:jc w:val="center"/>
            </w:pPr>
            <w:r>
              <w:t xml:space="preserve">Don’t know </w:t>
            </w:r>
          </w:p>
        </w:tc>
      </w:tr>
      <w:tr w:rsidR="0045673A" w14:paraId="231803AF" w14:textId="77777777">
        <w:trPr>
          <w:trHeight w:val="1078"/>
        </w:trPr>
        <w:tc>
          <w:tcPr>
            <w:tcW w:w="4621" w:type="dxa"/>
            <w:tcBorders>
              <w:top w:val="single" w:sz="4" w:space="0" w:color="000000"/>
              <w:left w:val="single" w:sz="4" w:space="0" w:color="000000"/>
              <w:bottom w:val="single" w:sz="4" w:space="0" w:color="000000"/>
              <w:right w:val="single" w:sz="4" w:space="0" w:color="000000"/>
            </w:tcBorders>
          </w:tcPr>
          <w:p w14:paraId="3B835D1B" w14:textId="77777777" w:rsidR="0045673A" w:rsidRDefault="00E17DF3">
            <w:pPr>
              <w:spacing w:after="0" w:line="259" w:lineRule="auto"/>
              <w:ind w:left="0" w:firstLine="0"/>
              <w:jc w:val="left"/>
            </w:pPr>
            <w:r>
              <w:t xml:space="preserve">The SFDR disclosures are consistent with the </w:t>
            </w:r>
          </w:p>
          <w:p w14:paraId="3997B385" w14:textId="77777777" w:rsidR="0045673A" w:rsidRDefault="00E17DF3">
            <w:pPr>
              <w:spacing w:after="0" w:line="259" w:lineRule="auto"/>
              <w:ind w:left="0" w:firstLine="0"/>
              <w:jc w:val="left"/>
            </w:pPr>
            <w:r>
              <w:t xml:space="preserve">CSRD requirements, in particular with the </w:t>
            </w:r>
          </w:p>
          <w:p w14:paraId="0BCEBF93" w14:textId="77777777" w:rsidR="0045673A" w:rsidRDefault="00E17DF3">
            <w:pPr>
              <w:spacing w:after="0" w:line="259" w:lineRule="auto"/>
              <w:ind w:left="0" w:firstLine="0"/>
              <w:jc w:val="left"/>
            </w:pPr>
            <w:r>
              <w:t xml:space="preserve">European Sustainability Reporting Standards </w:t>
            </w:r>
          </w:p>
        </w:tc>
        <w:tc>
          <w:tcPr>
            <w:tcW w:w="504" w:type="dxa"/>
            <w:tcBorders>
              <w:top w:val="single" w:sz="4" w:space="0" w:color="000000"/>
              <w:left w:val="single" w:sz="4" w:space="0" w:color="000000"/>
              <w:bottom w:val="single" w:sz="4" w:space="0" w:color="000000"/>
              <w:right w:val="single" w:sz="4" w:space="0" w:color="000000"/>
            </w:tcBorders>
          </w:tcPr>
          <w:p w14:paraId="15981E1B"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07C7B207" w14:textId="2C9EE2CA" w:rsidR="0045673A" w:rsidRDefault="00E17DF3">
            <w:pPr>
              <w:spacing w:after="0" w:line="259" w:lineRule="auto"/>
              <w:ind w:left="2" w:firstLine="0"/>
              <w:jc w:val="left"/>
            </w:pPr>
            <w:r>
              <w:rPr>
                <w:b/>
              </w:rPr>
              <w:t xml:space="preserve"> </w:t>
            </w:r>
            <w:r w:rsidR="00AD08FE">
              <w:t>X</w:t>
            </w:r>
          </w:p>
        </w:tc>
        <w:tc>
          <w:tcPr>
            <w:tcW w:w="506" w:type="dxa"/>
            <w:tcBorders>
              <w:top w:val="single" w:sz="4" w:space="0" w:color="000000"/>
              <w:left w:val="single" w:sz="4" w:space="0" w:color="000000"/>
              <w:bottom w:val="single" w:sz="4" w:space="0" w:color="000000"/>
              <w:right w:val="single" w:sz="4" w:space="0" w:color="000000"/>
            </w:tcBorders>
          </w:tcPr>
          <w:p w14:paraId="13055D36" w14:textId="77777777" w:rsidR="0045673A" w:rsidRDefault="00E17DF3">
            <w:pPr>
              <w:spacing w:after="0" w:line="259" w:lineRule="auto"/>
              <w:ind w:left="2" w:firstLine="0"/>
              <w:jc w:val="left"/>
            </w:pPr>
            <w:r>
              <w:rPr>
                <w:b/>
              </w:rPr>
              <w:t xml:space="preserve"> </w:t>
            </w:r>
          </w:p>
        </w:tc>
        <w:tc>
          <w:tcPr>
            <w:tcW w:w="507" w:type="dxa"/>
            <w:tcBorders>
              <w:top w:val="single" w:sz="4" w:space="0" w:color="000000"/>
              <w:left w:val="single" w:sz="4" w:space="0" w:color="000000"/>
              <w:bottom w:val="single" w:sz="4" w:space="0" w:color="000000"/>
              <w:right w:val="single" w:sz="4" w:space="0" w:color="000000"/>
            </w:tcBorders>
          </w:tcPr>
          <w:p w14:paraId="4FD5899A"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4E0CC07F" w14:textId="77777777" w:rsidR="0045673A" w:rsidRDefault="00E17DF3">
            <w:pPr>
              <w:spacing w:after="0" w:line="259" w:lineRule="auto"/>
              <w:ind w:left="0" w:firstLine="0"/>
              <w:jc w:val="left"/>
            </w:pPr>
            <w:r>
              <w:rPr>
                <w:b/>
              </w:rPr>
              <w:t xml:space="preserve"> </w:t>
            </w:r>
          </w:p>
        </w:tc>
        <w:tc>
          <w:tcPr>
            <w:tcW w:w="1190" w:type="dxa"/>
            <w:tcBorders>
              <w:top w:val="single" w:sz="4" w:space="0" w:color="000000"/>
              <w:left w:val="single" w:sz="4" w:space="0" w:color="000000"/>
              <w:bottom w:val="single" w:sz="4" w:space="0" w:color="000000"/>
              <w:right w:val="single" w:sz="4" w:space="0" w:color="000000"/>
            </w:tcBorders>
          </w:tcPr>
          <w:p w14:paraId="5A41A306" w14:textId="297FF657" w:rsidR="0045673A" w:rsidRDefault="00E17DF3">
            <w:pPr>
              <w:spacing w:after="0" w:line="259" w:lineRule="auto"/>
              <w:ind w:left="0" w:firstLine="0"/>
              <w:jc w:val="left"/>
            </w:pPr>
            <w:r>
              <w:rPr>
                <w:b/>
              </w:rPr>
              <w:t xml:space="preserve"> </w:t>
            </w:r>
          </w:p>
        </w:tc>
      </w:tr>
      <w:tr w:rsidR="0045673A" w14:paraId="2BB766C6" w14:textId="77777777">
        <w:trPr>
          <w:trHeight w:val="1078"/>
        </w:trPr>
        <w:tc>
          <w:tcPr>
            <w:tcW w:w="4621" w:type="dxa"/>
            <w:tcBorders>
              <w:top w:val="single" w:sz="4" w:space="0" w:color="000000"/>
              <w:left w:val="single" w:sz="4" w:space="0" w:color="000000"/>
              <w:bottom w:val="single" w:sz="4" w:space="0" w:color="000000"/>
              <w:right w:val="single" w:sz="4" w:space="0" w:color="000000"/>
            </w:tcBorders>
          </w:tcPr>
          <w:p w14:paraId="6B5216A1" w14:textId="77777777" w:rsidR="0045673A" w:rsidRDefault="00E17DF3">
            <w:pPr>
              <w:spacing w:after="0" w:line="238" w:lineRule="auto"/>
              <w:ind w:left="0" w:firstLine="0"/>
              <w:jc w:val="left"/>
            </w:pPr>
            <w:r>
              <w:t xml:space="preserve">There is room to streamline the entity level disclosure requirements of the SFDR and the </w:t>
            </w:r>
          </w:p>
          <w:p w14:paraId="473B1852" w14:textId="77777777" w:rsidR="0045673A" w:rsidRDefault="00E17DF3">
            <w:pPr>
              <w:spacing w:after="0" w:line="259" w:lineRule="auto"/>
              <w:ind w:left="0" w:firstLine="0"/>
              <w:jc w:val="left"/>
            </w:pPr>
            <w:r>
              <w:t xml:space="preserve">CSRD </w:t>
            </w:r>
          </w:p>
        </w:tc>
        <w:tc>
          <w:tcPr>
            <w:tcW w:w="504" w:type="dxa"/>
            <w:tcBorders>
              <w:top w:val="single" w:sz="4" w:space="0" w:color="000000"/>
              <w:left w:val="single" w:sz="4" w:space="0" w:color="000000"/>
              <w:bottom w:val="single" w:sz="4" w:space="0" w:color="000000"/>
              <w:right w:val="single" w:sz="4" w:space="0" w:color="000000"/>
            </w:tcBorders>
          </w:tcPr>
          <w:p w14:paraId="4120E91E"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269BE9E2" w14:textId="77777777" w:rsidR="0045673A" w:rsidRDefault="00E17DF3">
            <w:pPr>
              <w:spacing w:after="0" w:line="259" w:lineRule="auto"/>
              <w:ind w:left="2"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46684F9A" w14:textId="77777777" w:rsidR="0045673A" w:rsidRDefault="00E17DF3">
            <w:pPr>
              <w:spacing w:after="0" w:line="259" w:lineRule="auto"/>
              <w:ind w:left="2" w:firstLine="0"/>
              <w:jc w:val="left"/>
            </w:pPr>
            <w:r>
              <w:rPr>
                <w:b/>
              </w:rPr>
              <w:t xml:space="preserve"> </w:t>
            </w:r>
          </w:p>
        </w:tc>
        <w:tc>
          <w:tcPr>
            <w:tcW w:w="507" w:type="dxa"/>
            <w:tcBorders>
              <w:top w:val="single" w:sz="4" w:space="0" w:color="000000"/>
              <w:left w:val="single" w:sz="4" w:space="0" w:color="000000"/>
              <w:bottom w:val="single" w:sz="4" w:space="0" w:color="000000"/>
              <w:right w:val="single" w:sz="4" w:space="0" w:color="000000"/>
            </w:tcBorders>
          </w:tcPr>
          <w:p w14:paraId="2AC2B23F" w14:textId="77777777" w:rsidR="0045673A" w:rsidRDefault="00E17DF3">
            <w:pPr>
              <w:spacing w:after="0" w:line="259" w:lineRule="auto"/>
              <w:ind w:left="0" w:firstLine="0"/>
              <w:jc w:val="left"/>
            </w:pPr>
            <w:r>
              <w:rPr>
                <w:b/>
              </w:rPr>
              <w:t xml:space="preserve"> </w:t>
            </w:r>
          </w:p>
        </w:tc>
        <w:tc>
          <w:tcPr>
            <w:tcW w:w="506" w:type="dxa"/>
            <w:tcBorders>
              <w:top w:val="single" w:sz="4" w:space="0" w:color="000000"/>
              <w:left w:val="single" w:sz="4" w:space="0" w:color="000000"/>
              <w:bottom w:val="single" w:sz="4" w:space="0" w:color="000000"/>
              <w:right w:val="single" w:sz="4" w:space="0" w:color="000000"/>
            </w:tcBorders>
          </w:tcPr>
          <w:p w14:paraId="0A3CD290" w14:textId="666F3254" w:rsidR="0045673A" w:rsidRDefault="00AD08FE">
            <w:pPr>
              <w:spacing w:after="0" w:line="259" w:lineRule="auto"/>
              <w:ind w:left="0" w:firstLine="0"/>
              <w:jc w:val="left"/>
            </w:pPr>
            <w:r>
              <w:t>X</w:t>
            </w:r>
          </w:p>
        </w:tc>
        <w:tc>
          <w:tcPr>
            <w:tcW w:w="1190" w:type="dxa"/>
            <w:tcBorders>
              <w:top w:val="single" w:sz="4" w:space="0" w:color="000000"/>
              <w:left w:val="single" w:sz="4" w:space="0" w:color="000000"/>
              <w:bottom w:val="single" w:sz="4" w:space="0" w:color="000000"/>
              <w:right w:val="single" w:sz="4" w:space="0" w:color="000000"/>
            </w:tcBorders>
          </w:tcPr>
          <w:p w14:paraId="5A669037" w14:textId="5ED8576D" w:rsidR="0045673A" w:rsidRDefault="0045673A">
            <w:pPr>
              <w:spacing w:after="0" w:line="259" w:lineRule="auto"/>
              <w:ind w:left="0" w:firstLine="0"/>
              <w:jc w:val="left"/>
            </w:pPr>
          </w:p>
        </w:tc>
      </w:tr>
    </w:tbl>
    <w:p w14:paraId="35EE76C6"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184F504A" w14:textId="77777777" w:rsidR="0045673A" w:rsidRDefault="00E17DF3">
      <w:pPr>
        <w:spacing w:after="229"/>
        <w:ind w:right="643"/>
      </w:pPr>
      <w:r>
        <w:t xml:space="preserve">Financial advisors (under MiFID 2) and distributors of insurance-based investment products (under IDD) have to conduct suitability assessments based on the sustainability preferences of customers. These assessments rely in part on sustainability-related information made available by market participants reporting under the SFDR. </w:t>
      </w:r>
    </w:p>
    <w:p w14:paraId="35C7EFDD" w14:textId="77777777" w:rsidR="0045673A" w:rsidRDefault="00E17DF3">
      <w:pPr>
        <w:ind w:right="643"/>
      </w:pPr>
      <w:r>
        <w:rPr>
          <w:b/>
          <w:u w:val="single" w:color="000000"/>
        </w:rPr>
        <w:t>Question 2.4</w:t>
      </w:r>
      <w:r>
        <w:t xml:space="preserve">: To what extent do you agree that the product disclosures required in the SFDR and </w:t>
      </w:r>
      <w:hyperlink r:id="rId77">
        <w:r>
          <w:rPr>
            <w:color w:val="0000FF"/>
            <w:u w:val="single" w:color="0000FF"/>
          </w:rPr>
          <w:t>its Delegated Regulation</w:t>
        </w:r>
      </w:hyperlink>
      <w:hyperlink r:id="rId78">
        <w:r>
          <w:t xml:space="preserve"> </w:t>
        </w:r>
      </w:hyperlink>
      <w:r>
        <w:t xml:space="preserve">(e.g. the proportion of sustainable investments or taxonomy aligned investments, or information about principal adverse impacts) are sufficiently useful and comparable to allow distributors to determine whether a product can fit investors’ sustainability preferences under MiFID2 and the IDD? </w:t>
      </w:r>
    </w:p>
    <w:tbl>
      <w:tblPr>
        <w:tblW w:w="8829"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2826"/>
      </w:tblGrid>
      <w:tr w:rsidR="0045673A" w14:paraId="070C0042" w14:textId="77777777">
        <w:trPr>
          <w:trHeight w:val="530"/>
        </w:trPr>
        <w:tc>
          <w:tcPr>
            <w:tcW w:w="1229" w:type="dxa"/>
            <w:tcBorders>
              <w:top w:val="single" w:sz="6" w:space="0" w:color="000000"/>
              <w:left w:val="single" w:sz="6" w:space="0" w:color="000000"/>
              <w:bottom w:val="single" w:sz="6" w:space="0" w:color="000000"/>
              <w:right w:val="single" w:sz="6" w:space="0" w:color="000000"/>
            </w:tcBorders>
          </w:tcPr>
          <w:p w14:paraId="5249C7FA"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7389A1BA"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020E4998"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792A0AC8"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5CEC8E32" w14:textId="77777777" w:rsidR="0045673A" w:rsidRDefault="00E17DF3">
            <w:pPr>
              <w:spacing w:after="0" w:line="259" w:lineRule="auto"/>
              <w:ind w:left="2" w:firstLine="0"/>
              <w:jc w:val="center"/>
            </w:pPr>
            <w:r>
              <w:t xml:space="preserve">5 </w:t>
            </w:r>
          </w:p>
        </w:tc>
        <w:tc>
          <w:tcPr>
            <w:tcW w:w="2826" w:type="dxa"/>
            <w:tcBorders>
              <w:top w:val="single" w:sz="6" w:space="0" w:color="000000"/>
              <w:left w:val="single" w:sz="6" w:space="0" w:color="000000"/>
              <w:bottom w:val="single" w:sz="6" w:space="0" w:color="000000"/>
              <w:right w:val="single" w:sz="6" w:space="0" w:color="000000"/>
            </w:tcBorders>
          </w:tcPr>
          <w:p w14:paraId="7A180886" w14:textId="77777777" w:rsidR="0045673A" w:rsidRDefault="00E17DF3">
            <w:pPr>
              <w:spacing w:after="0" w:line="259" w:lineRule="auto"/>
              <w:ind w:left="0" w:right="2" w:firstLine="0"/>
              <w:jc w:val="center"/>
            </w:pPr>
            <w:r>
              <w:t xml:space="preserve">Don’t know </w:t>
            </w:r>
          </w:p>
        </w:tc>
      </w:tr>
      <w:tr w:rsidR="0045673A" w14:paraId="5F859201" w14:textId="77777777">
        <w:trPr>
          <w:trHeight w:val="533"/>
        </w:trPr>
        <w:tc>
          <w:tcPr>
            <w:tcW w:w="1229" w:type="dxa"/>
            <w:tcBorders>
              <w:top w:val="single" w:sz="6" w:space="0" w:color="000000"/>
              <w:left w:val="single" w:sz="6" w:space="0" w:color="000000"/>
              <w:bottom w:val="single" w:sz="6" w:space="0" w:color="000000"/>
              <w:right w:val="single" w:sz="6" w:space="0" w:color="000000"/>
            </w:tcBorders>
          </w:tcPr>
          <w:p w14:paraId="727295F3" w14:textId="77777777" w:rsidR="0045673A" w:rsidRDefault="00E17DF3">
            <w:pPr>
              <w:spacing w:after="0" w:line="259" w:lineRule="auto"/>
              <w:ind w:left="60" w:firstLine="0"/>
              <w:jc w:val="center"/>
            </w:pPr>
            <w:r>
              <w:t xml:space="preserve"> </w:t>
            </w:r>
          </w:p>
        </w:tc>
        <w:tc>
          <w:tcPr>
            <w:tcW w:w="1215" w:type="dxa"/>
            <w:tcBorders>
              <w:top w:val="single" w:sz="6" w:space="0" w:color="000000"/>
              <w:left w:val="single" w:sz="6" w:space="0" w:color="000000"/>
              <w:bottom w:val="single" w:sz="6" w:space="0" w:color="000000"/>
              <w:right w:val="single" w:sz="6" w:space="0" w:color="000000"/>
            </w:tcBorders>
          </w:tcPr>
          <w:p w14:paraId="30EF9166" w14:textId="47F20B66" w:rsidR="0045673A" w:rsidRDefault="00B977C6">
            <w:pPr>
              <w:spacing w:after="0" w:line="259" w:lineRule="auto"/>
              <w:ind w:left="61" w:firstLine="0"/>
              <w:jc w:val="center"/>
            </w:pPr>
            <w:r>
              <w:t>X</w:t>
            </w:r>
            <w:r w:rsidR="00E17DF3">
              <w:t xml:space="preserve"> </w:t>
            </w:r>
          </w:p>
        </w:tc>
        <w:tc>
          <w:tcPr>
            <w:tcW w:w="1212" w:type="dxa"/>
            <w:tcBorders>
              <w:top w:val="single" w:sz="6" w:space="0" w:color="000000"/>
              <w:left w:val="single" w:sz="6" w:space="0" w:color="000000"/>
              <w:bottom w:val="single" w:sz="6" w:space="0" w:color="000000"/>
              <w:right w:val="single" w:sz="6" w:space="0" w:color="000000"/>
            </w:tcBorders>
          </w:tcPr>
          <w:p w14:paraId="71A9D549" w14:textId="0B10F913" w:rsidR="0045673A" w:rsidRDefault="0045673A">
            <w:pPr>
              <w:spacing w:after="0" w:line="259" w:lineRule="auto"/>
              <w:ind w:left="62" w:firstLine="0"/>
              <w:jc w:val="center"/>
            </w:pPr>
          </w:p>
        </w:tc>
        <w:tc>
          <w:tcPr>
            <w:tcW w:w="1212" w:type="dxa"/>
            <w:tcBorders>
              <w:top w:val="single" w:sz="6" w:space="0" w:color="000000"/>
              <w:left w:val="single" w:sz="6" w:space="0" w:color="000000"/>
              <w:bottom w:val="single" w:sz="6" w:space="0" w:color="000000"/>
              <w:right w:val="single" w:sz="6" w:space="0" w:color="000000"/>
            </w:tcBorders>
          </w:tcPr>
          <w:p w14:paraId="1B684C8E" w14:textId="0ECF7617" w:rsidR="0045673A" w:rsidRDefault="00E17DF3">
            <w:pPr>
              <w:spacing w:after="0" w:line="259" w:lineRule="auto"/>
              <w:ind w:left="63"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tcPr>
          <w:p w14:paraId="0B4DA0F5" w14:textId="77777777" w:rsidR="0045673A" w:rsidRDefault="00E17DF3">
            <w:pPr>
              <w:spacing w:after="0" w:line="259" w:lineRule="auto"/>
              <w:ind w:left="62" w:firstLine="0"/>
              <w:jc w:val="center"/>
            </w:pPr>
            <w:r>
              <w:t xml:space="preserve"> </w:t>
            </w:r>
          </w:p>
        </w:tc>
        <w:tc>
          <w:tcPr>
            <w:tcW w:w="2826" w:type="dxa"/>
            <w:tcBorders>
              <w:top w:val="single" w:sz="6" w:space="0" w:color="000000"/>
              <w:left w:val="single" w:sz="6" w:space="0" w:color="000000"/>
              <w:bottom w:val="single" w:sz="6" w:space="0" w:color="000000"/>
              <w:right w:val="single" w:sz="6" w:space="0" w:color="000000"/>
            </w:tcBorders>
          </w:tcPr>
          <w:p w14:paraId="3C24816A" w14:textId="77777777" w:rsidR="0045673A" w:rsidRDefault="00E17DF3">
            <w:pPr>
              <w:spacing w:after="0" w:line="259" w:lineRule="auto"/>
              <w:ind w:left="63" w:firstLine="0"/>
              <w:jc w:val="center"/>
            </w:pPr>
            <w:r>
              <w:t xml:space="preserve"> </w:t>
            </w:r>
          </w:p>
        </w:tc>
      </w:tr>
    </w:tbl>
    <w:p w14:paraId="223F09AE"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67631F77" w14:textId="77777777" w:rsidR="0045673A" w:rsidRDefault="00E17DF3">
      <w:pPr>
        <w:ind w:right="643"/>
      </w:pPr>
      <w:r>
        <w:rPr>
          <w:b/>
          <w:u w:val="single" w:color="000000"/>
        </w:rPr>
        <w:t>Question 2.5</w:t>
      </w:r>
      <w:r>
        <w:t xml:space="preserve">: MIFID and IDD require financial advisors to take into account sustainability preferences of clients when providing certain services to them. Do you believe that, on top of this behavioural obligation, the following disclosure requirements for financial advisors of the SFDR are useful?  </w:t>
      </w:r>
    </w:p>
    <w:tbl>
      <w:tblPr>
        <w:tblW w:w="8661" w:type="dxa"/>
        <w:tblCellMar>
          <w:top w:w="20" w:type="dxa"/>
          <w:right w:w="49" w:type="dxa"/>
        </w:tblCellMar>
        <w:tblLook w:val="04A0" w:firstRow="1" w:lastRow="0" w:firstColumn="1" w:lastColumn="0" w:noHBand="0" w:noVBand="1"/>
      </w:tblPr>
      <w:tblGrid>
        <w:gridCol w:w="5671"/>
        <w:gridCol w:w="442"/>
        <w:gridCol w:w="442"/>
        <w:gridCol w:w="442"/>
        <w:gridCol w:w="442"/>
        <w:gridCol w:w="442"/>
        <w:gridCol w:w="780"/>
      </w:tblGrid>
      <w:tr w:rsidR="0045673A" w14:paraId="294998F3" w14:textId="77777777" w:rsidTr="001045DD">
        <w:trPr>
          <w:trHeight w:val="814"/>
        </w:trPr>
        <w:tc>
          <w:tcPr>
            <w:tcW w:w="5671" w:type="dxa"/>
            <w:tcBorders>
              <w:top w:val="single" w:sz="8" w:space="0" w:color="000000"/>
              <w:left w:val="single" w:sz="8" w:space="0" w:color="000000"/>
              <w:bottom w:val="single" w:sz="8" w:space="0" w:color="000000"/>
              <w:right w:val="single" w:sz="4" w:space="0" w:color="000000"/>
            </w:tcBorders>
          </w:tcPr>
          <w:p w14:paraId="60BB0E77" w14:textId="77777777" w:rsidR="0045673A" w:rsidRDefault="00E17DF3">
            <w:pPr>
              <w:spacing w:after="0" w:line="259" w:lineRule="auto"/>
              <w:ind w:left="0" w:firstLine="0"/>
              <w:jc w:val="left"/>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0326DD33" w14:textId="77777777" w:rsidR="0045673A" w:rsidRDefault="00E17DF3">
            <w:pPr>
              <w:spacing w:after="0" w:line="259" w:lineRule="auto"/>
              <w:ind w:left="53" w:firstLine="0"/>
              <w:jc w:val="left"/>
            </w:pPr>
            <w:r>
              <w:t xml:space="preserve">1 </w:t>
            </w:r>
          </w:p>
        </w:tc>
        <w:tc>
          <w:tcPr>
            <w:tcW w:w="442" w:type="dxa"/>
            <w:tcBorders>
              <w:top w:val="single" w:sz="4" w:space="0" w:color="000000"/>
              <w:left w:val="single" w:sz="4" w:space="0" w:color="000000"/>
              <w:bottom w:val="single" w:sz="4" w:space="0" w:color="000000"/>
              <w:right w:val="single" w:sz="4" w:space="0" w:color="000000"/>
            </w:tcBorders>
          </w:tcPr>
          <w:p w14:paraId="0500AB92" w14:textId="77777777" w:rsidR="0045673A" w:rsidRDefault="00E17DF3">
            <w:pPr>
              <w:spacing w:after="0" w:line="259" w:lineRule="auto"/>
              <w:ind w:left="53" w:firstLine="0"/>
              <w:jc w:val="left"/>
            </w:pPr>
            <w:r>
              <w:t xml:space="preserve">2 </w:t>
            </w:r>
          </w:p>
        </w:tc>
        <w:tc>
          <w:tcPr>
            <w:tcW w:w="442" w:type="dxa"/>
            <w:tcBorders>
              <w:top w:val="single" w:sz="4" w:space="0" w:color="000000"/>
              <w:left w:val="single" w:sz="4" w:space="0" w:color="000000"/>
              <w:bottom w:val="single" w:sz="4" w:space="0" w:color="000000"/>
              <w:right w:val="single" w:sz="4" w:space="0" w:color="000000"/>
            </w:tcBorders>
          </w:tcPr>
          <w:p w14:paraId="05C2C2CE" w14:textId="77777777" w:rsidR="0045673A" w:rsidRDefault="00E17DF3">
            <w:pPr>
              <w:spacing w:after="0" w:line="259" w:lineRule="auto"/>
              <w:ind w:left="53" w:firstLine="0"/>
              <w:jc w:val="left"/>
            </w:pPr>
            <w:r>
              <w:t xml:space="preserve">3 </w:t>
            </w:r>
          </w:p>
        </w:tc>
        <w:tc>
          <w:tcPr>
            <w:tcW w:w="442" w:type="dxa"/>
            <w:tcBorders>
              <w:top w:val="single" w:sz="4" w:space="0" w:color="000000"/>
              <w:left w:val="single" w:sz="4" w:space="0" w:color="000000"/>
              <w:bottom w:val="single" w:sz="4" w:space="0" w:color="000000"/>
              <w:right w:val="single" w:sz="4" w:space="0" w:color="000000"/>
            </w:tcBorders>
          </w:tcPr>
          <w:p w14:paraId="1BB81D3D" w14:textId="77777777" w:rsidR="0045673A" w:rsidRDefault="00E17DF3">
            <w:pPr>
              <w:spacing w:after="0" w:line="259" w:lineRule="auto"/>
              <w:ind w:left="53" w:firstLine="0"/>
              <w:jc w:val="left"/>
            </w:pPr>
            <w:r>
              <w:t xml:space="preserve">4 </w:t>
            </w:r>
          </w:p>
        </w:tc>
        <w:tc>
          <w:tcPr>
            <w:tcW w:w="442" w:type="dxa"/>
            <w:tcBorders>
              <w:top w:val="single" w:sz="4" w:space="0" w:color="000000"/>
              <w:left w:val="single" w:sz="4" w:space="0" w:color="000000"/>
              <w:bottom w:val="single" w:sz="4" w:space="0" w:color="000000"/>
              <w:right w:val="single" w:sz="4" w:space="0" w:color="000000"/>
            </w:tcBorders>
          </w:tcPr>
          <w:p w14:paraId="01467187" w14:textId="77777777" w:rsidR="0045673A" w:rsidRDefault="00E17DF3">
            <w:pPr>
              <w:spacing w:after="0" w:line="259" w:lineRule="auto"/>
              <w:ind w:left="55" w:firstLine="0"/>
              <w:jc w:val="left"/>
            </w:pPr>
            <w:r>
              <w:t xml:space="preserve">5 </w:t>
            </w:r>
          </w:p>
        </w:tc>
        <w:tc>
          <w:tcPr>
            <w:tcW w:w="780" w:type="dxa"/>
            <w:tcBorders>
              <w:top w:val="single" w:sz="4" w:space="0" w:color="000000"/>
              <w:left w:val="single" w:sz="4" w:space="0" w:color="000000"/>
              <w:bottom w:val="single" w:sz="4" w:space="0" w:color="000000"/>
              <w:right w:val="single" w:sz="4" w:space="0" w:color="000000"/>
            </w:tcBorders>
          </w:tcPr>
          <w:p w14:paraId="067DF5C1" w14:textId="77777777" w:rsidR="0045673A" w:rsidRDefault="00E17DF3">
            <w:pPr>
              <w:spacing w:after="0" w:line="259" w:lineRule="auto"/>
              <w:ind w:left="0" w:firstLine="0"/>
              <w:jc w:val="center"/>
            </w:pPr>
            <w:r>
              <w:t xml:space="preserve">Don’t know </w:t>
            </w:r>
          </w:p>
        </w:tc>
      </w:tr>
      <w:tr w:rsidR="00BE3AD0" w14:paraId="7EC5588D" w14:textId="77777777" w:rsidTr="001045DD">
        <w:trPr>
          <w:trHeight w:val="1087"/>
        </w:trPr>
        <w:tc>
          <w:tcPr>
            <w:tcW w:w="5671" w:type="dxa"/>
            <w:tcBorders>
              <w:top w:val="single" w:sz="8" w:space="0" w:color="000000"/>
              <w:left w:val="single" w:sz="8" w:space="0" w:color="000000"/>
              <w:bottom w:val="single" w:sz="8" w:space="0" w:color="000000"/>
              <w:right w:val="single" w:sz="4" w:space="0" w:color="000000"/>
            </w:tcBorders>
          </w:tcPr>
          <w:p w14:paraId="077D6B38" w14:textId="77777777" w:rsidR="00BE3AD0" w:rsidRDefault="00BE3AD0" w:rsidP="00BE3AD0">
            <w:pPr>
              <w:spacing w:after="0" w:line="259" w:lineRule="auto"/>
              <w:ind w:left="0" w:right="61" w:firstLine="0"/>
            </w:pPr>
            <w:r>
              <w:t xml:space="preserve">Article 3, entity level disclosures about the integration of sustainability risks policies in investment or insurance advice </w:t>
            </w:r>
          </w:p>
        </w:tc>
        <w:tc>
          <w:tcPr>
            <w:tcW w:w="442" w:type="dxa"/>
            <w:tcBorders>
              <w:top w:val="single" w:sz="4" w:space="0" w:color="000000"/>
              <w:left w:val="single" w:sz="4" w:space="0" w:color="000000"/>
              <w:bottom w:val="single" w:sz="4" w:space="0" w:color="000000"/>
              <w:right w:val="single" w:sz="4" w:space="0" w:color="000000"/>
            </w:tcBorders>
          </w:tcPr>
          <w:p w14:paraId="7186FBB9" w14:textId="77777777" w:rsidR="00BE3AD0" w:rsidRDefault="00BE3AD0" w:rsidP="00BE3AD0">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6273EF7D" w14:textId="77777777" w:rsidR="00BE3AD0" w:rsidRDefault="00BE3AD0" w:rsidP="00BE3AD0">
            <w:pPr>
              <w:spacing w:after="0" w:line="259" w:lineRule="auto"/>
              <w:ind w:left="0"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14B779A3" w14:textId="77777777" w:rsidR="00BE3AD0" w:rsidRDefault="00BE3AD0" w:rsidP="00BE3AD0">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5DC212EB" w14:textId="77777777" w:rsidR="00BE3AD0" w:rsidRDefault="00BE3AD0" w:rsidP="00BE3AD0">
            <w:pPr>
              <w:spacing w:after="0" w:line="259" w:lineRule="auto"/>
              <w:ind w:left="1"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795C9DC1" w14:textId="77777777" w:rsidR="00BE3AD0" w:rsidRDefault="00BE3AD0" w:rsidP="00BE3AD0">
            <w:pPr>
              <w:spacing w:after="0" w:line="259" w:lineRule="auto"/>
              <w:ind w:left="6"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711CF3E4" w14:textId="418671AF" w:rsidR="00BE3AD0" w:rsidRDefault="00BE3AD0" w:rsidP="00BE3AD0">
            <w:pPr>
              <w:spacing w:after="0" w:line="259" w:lineRule="auto"/>
              <w:ind w:left="3" w:firstLine="0"/>
              <w:jc w:val="center"/>
            </w:pPr>
            <w:r w:rsidRPr="00A46D3A">
              <w:t xml:space="preserve"> X</w:t>
            </w:r>
          </w:p>
        </w:tc>
      </w:tr>
      <w:tr w:rsidR="00BE3AD0" w14:paraId="506E1280" w14:textId="77777777" w:rsidTr="001045DD">
        <w:tblPrEx>
          <w:tblCellMar>
            <w:right w:w="52" w:type="dxa"/>
          </w:tblCellMar>
        </w:tblPrEx>
        <w:trPr>
          <w:trHeight w:val="812"/>
        </w:trPr>
        <w:tc>
          <w:tcPr>
            <w:tcW w:w="5671" w:type="dxa"/>
            <w:tcBorders>
              <w:top w:val="single" w:sz="8" w:space="0" w:color="000000"/>
              <w:left w:val="single" w:sz="8" w:space="0" w:color="000000"/>
              <w:bottom w:val="single" w:sz="8" w:space="0" w:color="000000"/>
              <w:right w:val="single" w:sz="4" w:space="0" w:color="000000"/>
            </w:tcBorders>
          </w:tcPr>
          <w:p w14:paraId="6A813A46" w14:textId="77777777" w:rsidR="00BE3AD0" w:rsidRDefault="00BE3AD0" w:rsidP="00BE3AD0">
            <w:pPr>
              <w:spacing w:after="0" w:line="259" w:lineRule="auto"/>
              <w:ind w:left="0" w:firstLine="0"/>
            </w:pPr>
            <w:r>
              <w:t xml:space="preserve">Article 4, entity level disclosures about consideration of principal adverse impacts </w:t>
            </w:r>
          </w:p>
        </w:tc>
        <w:tc>
          <w:tcPr>
            <w:tcW w:w="442" w:type="dxa"/>
            <w:tcBorders>
              <w:top w:val="single" w:sz="4" w:space="0" w:color="000000"/>
              <w:left w:val="single" w:sz="4" w:space="0" w:color="000000"/>
              <w:bottom w:val="single" w:sz="4" w:space="0" w:color="000000"/>
              <w:right w:val="single" w:sz="4" w:space="0" w:color="000000"/>
            </w:tcBorders>
          </w:tcPr>
          <w:p w14:paraId="7AA57AA6"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395F2FBC" w14:textId="77777777" w:rsidR="00BE3AD0" w:rsidRDefault="00BE3AD0" w:rsidP="00BE3AD0">
            <w:pPr>
              <w:spacing w:after="0" w:line="259" w:lineRule="auto"/>
              <w:ind w:left="3"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13B71BD6"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72B3A0BA"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702A046A" w14:textId="77777777" w:rsidR="00BE3AD0" w:rsidRDefault="00BE3AD0" w:rsidP="00BE3AD0">
            <w:pPr>
              <w:spacing w:after="0" w:line="259" w:lineRule="auto"/>
              <w:ind w:left="8"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16F858A9" w14:textId="490F3937" w:rsidR="00BE3AD0" w:rsidRDefault="00BE3AD0" w:rsidP="00BE3AD0">
            <w:pPr>
              <w:spacing w:after="0" w:line="259" w:lineRule="auto"/>
              <w:ind w:left="6" w:firstLine="0"/>
              <w:jc w:val="center"/>
            </w:pPr>
            <w:r w:rsidRPr="00A46D3A">
              <w:t xml:space="preserve"> X</w:t>
            </w:r>
          </w:p>
        </w:tc>
      </w:tr>
      <w:tr w:rsidR="00BE3AD0" w14:paraId="5DDE65DA" w14:textId="77777777" w:rsidTr="001045DD">
        <w:tblPrEx>
          <w:tblCellMar>
            <w:right w:w="52" w:type="dxa"/>
          </w:tblCellMar>
        </w:tblPrEx>
        <w:trPr>
          <w:trHeight w:val="1090"/>
        </w:trPr>
        <w:tc>
          <w:tcPr>
            <w:tcW w:w="5671" w:type="dxa"/>
            <w:tcBorders>
              <w:top w:val="single" w:sz="8" w:space="0" w:color="000000"/>
              <w:left w:val="single" w:sz="8" w:space="0" w:color="000000"/>
              <w:bottom w:val="single" w:sz="8" w:space="0" w:color="000000"/>
              <w:right w:val="single" w:sz="4" w:space="0" w:color="000000"/>
            </w:tcBorders>
          </w:tcPr>
          <w:p w14:paraId="29C8A0CD" w14:textId="77777777" w:rsidR="00BE3AD0" w:rsidRDefault="00BE3AD0" w:rsidP="00BE3AD0">
            <w:pPr>
              <w:spacing w:after="0" w:line="259" w:lineRule="auto"/>
              <w:ind w:left="0" w:right="60" w:firstLine="0"/>
            </w:pPr>
            <w:r>
              <w:t xml:space="preserve">Article 5, entity level disclosures about remuneration policies in relation to the integration of sustainability risks </w:t>
            </w:r>
          </w:p>
        </w:tc>
        <w:tc>
          <w:tcPr>
            <w:tcW w:w="442" w:type="dxa"/>
            <w:tcBorders>
              <w:top w:val="single" w:sz="4" w:space="0" w:color="000000"/>
              <w:left w:val="single" w:sz="4" w:space="0" w:color="000000"/>
              <w:bottom w:val="single" w:sz="4" w:space="0" w:color="000000"/>
              <w:right w:val="single" w:sz="4" w:space="0" w:color="000000"/>
            </w:tcBorders>
          </w:tcPr>
          <w:p w14:paraId="10CDAC52"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3D588315" w14:textId="77777777" w:rsidR="00BE3AD0" w:rsidRDefault="00BE3AD0" w:rsidP="00BE3AD0">
            <w:pPr>
              <w:spacing w:after="0" w:line="259" w:lineRule="auto"/>
              <w:ind w:left="3"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07A98670"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0D9726F2"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7ABDC47D" w14:textId="77777777" w:rsidR="00BE3AD0" w:rsidRDefault="00BE3AD0" w:rsidP="00BE3AD0">
            <w:pPr>
              <w:spacing w:after="0" w:line="259" w:lineRule="auto"/>
              <w:ind w:left="8"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5D27E08D" w14:textId="333FF1DC" w:rsidR="00BE3AD0" w:rsidRDefault="00BE3AD0" w:rsidP="00BE3AD0">
            <w:pPr>
              <w:spacing w:after="0" w:line="259" w:lineRule="auto"/>
              <w:ind w:left="6" w:firstLine="0"/>
              <w:jc w:val="center"/>
            </w:pPr>
            <w:r w:rsidRPr="00A46D3A">
              <w:t xml:space="preserve"> X</w:t>
            </w:r>
          </w:p>
        </w:tc>
      </w:tr>
      <w:tr w:rsidR="00BE3AD0" w14:paraId="6088CC5F" w14:textId="77777777" w:rsidTr="001045DD">
        <w:tblPrEx>
          <w:tblCellMar>
            <w:right w:w="52" w:type="dxa"/>
          </w:tblCellMar>
        </w:tblPrEx>
        <w:trPr>
          <w:trHeight w:val="1087"/>
        </w:trPr>
        <w:tc>
          <w:tcPr>
            <w:tcW w:w="5671" w:type="dxa"/>
            <w:tcBorders>
              <w:top w:val="single" w:sz="8" w:space="0" w:color="000000"/>
              <w:left w:val="single" w:sz="8" w:space="0" w:color="000000"/>
              <w:bottom w:val="single" w:sz="8" w:space="0" w:color="000000"/>
              <w:right w:val="single" w:sz="4" w:space="0" w:color="000000"/>
            </w:tcBorders>
          </w:tcPr>
          <w:p w14:paraId="37F633DD" w14:textId="77777777" w:rsidR="00BE3AD0" w:rsidRDefault="00BE3AD0" w:rsidP="00BE3AD0">
            <w:pPr>
              <w:spacing w:after="0" w:line="259" w:lineRule="auto"/>
              <w:ind w:left="0" w:right="60" w:firstLine="0"/>
            </w:pPr>
            <w:r>
              <w:t xml:space="preserve">Article 6, product level pre-contractual disclosures about the integration of sustainability risks in investment or insurance advice </w:t>
            </w:r>
          </w:p>
        </w:tc>
        <w:tc>
          <w:tcPr>
            <w:tcW w:w="442" w:type="dxa"/>
            <w:tcBorders>
              <w:top w:val="single" w:sz="4" w:space="0" w:color="000000"/>
              <w:left w:val="single" w:sz="4" w:space="0" w:color="000000"/>
              <w:bottom w:val="single" w:sz="4" w:space="0" w:color="000000"/>
              <w:right w:val="single" w:sz="4" w:space="0" w:color="000000"/>
            </w:tcBorders>
          </w:tcPr>
          <w:p w14:paraId="7B306CB0"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0BC6A01D" w14:textId="77777777" w:rsidR="00BE3AD0" w:rsidRDefault="00BE3AD0" w:rsidP="00BE3AD0">
            <w:pPr>
              <w:spacing w:after="0" w:line="259" w:lineRule="auto"/>
              <w:ind w:left="3"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5DF93BE5"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3D7BA558"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4B83030D" w14:textId="77777777" w:rsidR="00BE3AD0" w:rsidRDefault="00BE3AD0" w:rsidP="00BE3AD0">
            <w:pPr>
              <w:spacing w:after="0" w:line="259" w:lineRule="auto"/>
              <w:ind w:left="8"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7C18DAA4" w14:textId="0838790D" w:rsidR="00BE3AD0" w:rsidRDefault="00BE3AD0" w:rsidP="00BE3AD0">
            <w:pPr>
              <w:spacing w:after="0" w:line="259" w:lineRule="auto"/>
              <w:ind w:left="6" w:firstLine="0"/>
              <w:jc w:val="center"/>
            </w:pPr>
            <w:r w:rsidRPr="00A46D3A">
              <w:t xml:space="preserve"> X</w:t>
            </w:r>
          </w:p>
        </w:tc>
      </w:tr>
      <w:tr w:rsidR="00BE3AD0" w14:paraId="47E3EF85" w14:textId="77777777" w:rsidTr="001045DD">
        <w:tblPrEx>
          <w:tblCellMar>
            <w:right w:w="52" w:type="dxa"/>
          </w:tblCellMar>
        </w:tblPrEx>
        <w:trPr>
          <w:trHeight w:val="812"/>
        </w:trPr>
        <w:tc>
          <w:tcPr>
            <w:tcW w:w="5671" w:type="dxa"/>
            <w:tcBorders>
              <w:top w:val="single" w:sz="8" w:space="0" w:color="000000"/>
              <w:left w:val="single" w:sz="8" w:space="0" w:color="000000"/>
              <w:bottom w:val="single" w:sz="8" w:space="0" w:color="000000"/>
              <w:right w:val="single" w:sz="4" w:space="0" w:color="000000"/>
            </w:tcBorders>
          </w:tcPr>
          <w:p w14:paraId="7B155005" w14:textId="77777777" w:rsidR="00BE3AD0" w:rsidRDefault="00BE3AD0" w:rsidP="00BE3AD0">
            <w:pPr>
              <w:spacing w:after="0" w:line="259" w:lineRule="auto"/>
              <w:ind w:left="0" w:firstLine="0"/>
            </w:pPr>
            <w:r>
              <w:t xml:space="preserve">Article 12, requirement to keep information disclosed according to Articles 3 and 5 up to date </w:t>
            </w:r>
          </w:p>
        </w:tc>
        <w:tc>
          <w:tcPr>
            <w:tcW w:w="442" w:type="dxa"/>
            <w:tcBorders>
              <w:top w:val="single" w:sz="4" w:space="0" w:color="000000"/>
              <w:left w:val="single" w:sz="4" w:space="0" w:color="000000"/>
              <w:bottom w:val="single" w:sz="4" w:space="0" w:color="000000"/>
              <w:right w:val="single" w:sz="4" w:space="0" w:color="000000"/>
            </w:tcBorders>
          </w:tcPr>
          <w:p w14:paraId="7BABC527"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07B75465" w14:textId="77777777" w:rsidR="00BE3AD0" w:rsidRDefault="00BE3AD0" w:rsidP="00BE3AD0">
            <w:pPr>
              <w:spacing w:after="0" w:line="259" w:lineRule="auto"/>
              <w:ind w:left="3"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1F2D5779"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298179F3" w14:textId="77777777" w:rsidR="00BE3AD0" w:rsidRDefault="00BE3AD0" w:rsidP="00BE3AD0">
            <w:pPr>
              <w:spacing w:after="0" w:line="259" w:lineRule="auto"/>
              <w:ind w:left="4" w:firstLine="0"/>
              <w:jc w:val="center"/>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67303392" w14:textId="77777777" w:rsidR="00BE3AD0" w:rsidRDefault="00BE3AD0" w:rsidP="00BE3AD0">
            <w:pPr>
              <w:spacing w:after="0" w:line="259" w:lineRule="auto"/>
              <w:ind w:left="8"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3F374F24" w14:textId="0929C008" w:rsidR="00BE3AD0" w:rsidRDefault="00BE3AD0" w:rsidP="00BE3AD0">
            <w:pPr>
              <w:spacing w:after="0" w:line="259" w:lineRule="auto"/>
              <w:ind w:left="6" w:firstLine="0"/>
              <w:jc w:val="center"/>
            </w:pPr>
            <w:r w:rsidRPr="00A46D3A">
              <w:t xml:space="preserve"> X</w:t>
            </w:r>
          </w:p>
        </w:tc>
      </w:tr>
    </w:tbl>
    <w:p w14:paraId="0E689A2F" w14:textId="77777777" w:rsidR="0045673A" w:rsidRDefault="00E17DF3">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5DEFC0E2" w14:textId="77777777" w:rsidR="0045673A" w:rsidRDefault="00E17DF3">
      <w:pPr>
        <w:ind w:right="643"/>
      </w:pPr>
      <w:r>
        <w:rPr>
          <w:b/>
          <w:u w:val="single" w:color="000000"/>
        </w:rPr>
        <w:t>Question 2.6</w:t>
      </w:r>
      <w:r>
        <w:t xml:space="preserve">: Have the requirements on distributors to consider sustainability preferences of clients impacted the quality and consistency of disclosures made under SFDR? </w:t>
      </w:r>
    </w:p>
    <w:tbl>
      <w:tblPr>
        <w:tblW w:w="4417" w:type="dxa"/>
        <w:tblCellMar>
          <w:top w:w="19" w:type="dxa"/>
          <w:right w:w="98" w:type="dxa"/>
        </w:tblCellMar>
        <w:tblLook w:val="04A0" w:firstRow="1" w:lastRow="0" w:firstColumn="1" w:lastColumn="0" w:noHBand="0" w:noVBand="1"/>
      </w:tblPr>
      <w:tblGrid>
        <w:gridCol w:w="1471"/>
        <w:gridCol w:w="1474"/>
        <w:gridCol w:w="1472"/>
      </w:tblGrid>
      <w:tr w:rsidR="0045673A" w14:paraId="76239366"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51C786B3" w14:textId="77777777" w:rsidR="0045673A" w:rsidRDefault="00E17DF3">
            <w:pPr>
              <w:spacing w:after="0" w:line="259" w:lineRule="auto"/>
              <w:ind w:left="0" w:right="15" w:firstLine="0"/>
              <w:jc w:val="center"/>
            </w:pPr>
            <w:r>
              <w:t xml:space="preserve">Yes </w:t>
            </w:r>
          </w:p>
        </w:tc>
        <w:tc>
          <w:tcPr>
            <w:tcW w:w="1474" w:type="dxa"/>
            <w:tcBorders>
              <w:top w:val="single" w:sz="8" w:space="0" w:color="000000"/>
              <w:left w:val="single" w:sz="8" w:space="0" w:color="000000"/>
              <w:bottom w:val="single" w:sz="8" w:space="0" w:color="000000"/>
              <w:right w:val="single" w:sz="8" w:space="0" w:color="000000"/>
            </w:tcBorders>
          </w:tcPr>
          <w:p w14:paraId="6E8770BE" w14:textId="77777777" w:rsidR="0045673A" w:rsidRDefault="00E17DF3">
            <w:pPr>
              <w:spacing w:after="0" w:line="259" w:lineRule="auto"/>
              <w:ind w:left="0" w:right="9" w:firstLine="0"/>
              <w:jc w:val="center"/>
            </w:pPr>
            <w:r>
              <w:t xml:space="preserve">No </w:t>
            </w:r>
          </w:p>
        </w:tc>
        <w:tc>
          <w:tcPr>
            <w:tcW w:w="1472" w:type="dxa"/>
            <w:tcBorders>
              <w:top w:val="single" w:sz="8" w:space="0" w:color="000000"/>
              <w:left w:val="single" w:sz="8" w:space="0" w:color="000000"/>
              <w:bottom w:val="single" w:sz="8" w:space="0" w:color="000000"/>
              <w:right w:val="single" w:sz="8" w:space="0" w:color="000000"/>
            </w:tcBorders>
          </w:tcPr>
          <w:p w14:paraId="5CFD228E" w14:textId="77777777" w:rsidR="0045673A" w:rsidRDefault="00E17DF3">
            <w:pPr>
              <w:spacing w:after="0" w:line="259" w:lineRule="auto"/>
              <w:ind w:left="50" w:firstLine="0"/>
              <w:jc w:val="left"/>
            </w:pPr>
            <w:r>
              <w:t xml:space="preserve">Don’t know </w:t>
            </w:r>
          </w:p>
        </w:tc>
      </w:tr>
      <w:tr w:rsidR="0045673A" w14:paraId="5BAEF78B"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4DDAACE2" w14:textId="547AEF15" w:rsidR="0045673A" w:rsidRDefault="00BE3AD0">
            <w:pPr>
              <w:spacing w:after="0" w:line="259" w:lineRule="auto"/>
              <w:ind w:left="0" w:firstLine="0"/>
              <w:jc w:val="left"/>
            </w:pPr>
            <w:r>
              <w:t>X</w:t>
            </w:r>
          </w:p>
        </w:tc>
        <w:tc>
          <w:tcPr>
            <w:tcW w:w="1474" w:type="dxa"/>
            <w:tcBorders>
              <w:top w:val="single" w:sz="8" w:space="0" w:color="000000"/>
              <w:left w:val="single" w:sz="8" w:space="0" w:color="000000"/>
              <w:bottom w:val="single" w:sz="8" w:space="0" w:color="000000"/>
              <w:right w:val="single" w:sz="8" w:space="0" w:color="000000"/>
            </w:tcBorders>
          </w:tcPr>
          <w:p w14:paraId="59274B9E" w14:textId="77777777" w:rsidR="0045673A" w:rsidRDefault="00E17DF3">
            <w:pPr>
              <w:spacing w:after="0" w:line="259" w:lineRule="auto"/>
              <w:ind w:left="2" w:firstLine="0"/>
              <w:jc w:val="left"/>
            </w:pPr>
            <w:r>
              <w:t xml:space="preserve"> </w:t>
            </w:r>
          </w:p>
        </w:tc>
        <w:tc>
          <w:tcPr>
            <w:tcW w:w="1472" w:type="dxa"/>
            <w:tcBorders>
              <w:top w:val="single" w:sz="8" w:space="0" w:color="000000"/>
              <w:left w:val="single" w:sz="8" w:space="0" w:color="000000"/>
              <w:bottom w:val="single" w:sz="8" w:space="0" w:color="000000"/>
              <w:right w:val="single" w:sz="8" w:space="0" w:color="000000"/>
            </w:tcBorders>
          </w:tcPr>
          <w:p w14:paraId="538CCD5B" w14:textId="77777777" w:rsidR="0045673A" w:rsidRDefault="00E17DF3">
            <w:pPr>
              <w:spacing w:after="0" w:line="259" w:lineRule="auto"/>
              <w:ind w:left="0" w:firstLine="0"/>
              <w:jc w:val="left"/>
            </w:pPr>
            <w:r>
              <w:t xml:space="preserve"> </w:t>
            </w:r>
          </w:p>
        </w:tc>
      </w:tr>
    </w:tbl>
    <w:p w14:paraId="3F94E01E" w14:textId="77777777" w:rsidR="00983F73" w:rsidRDefault="00983F73">
      <w:pPr>
        <w:spacing w:after="216" w:line="259" w:lineRule="auto"/>
        <w:ind w:left="0" w:firstLine="0"/>
        <w:jc w:val="left"/>
        <w:rPr>
          <w:b/>
          <w:u w:val="single" w:color="000000"/>
        </w:rPr>
      </w:pPr>
    </w:p>
    <w:p w14:paraId="6C65860D" w14:textId="13264E41" w:rsidR="0045673A" w:rsidRDefault="00E17DF3">
      <w:pPr>
        <w:spacing w:after="216" w:line="259" w:lineRule="auto"/>
        <w:ind w:left="0" w:firstLine="0"/>
        <w:jc w:val="left"/>
      </w:pPr>
      <w:r>
        <w:rPr>
          <w:b/>
          <w:u w:val="single" w:color="000000"/>
        </w:rPr>
        <w:t>Question 2.6.1</w:t>
      </w:r>
      <w:r>
        <w:t xml:space="preserve">: If so, how? </w:t>
      </w:r>
    </w:p>
    <w:p w14:paraId="0DD49D8E" w14:textId="77777777" w:rsidR="0045673A" w:rsidRDefault="00E17DF3">
      <w:pPr>
        <w:spacing w:after="229"/>
        <w:ind w:right="643"/>
      </w:pPr>
      <w:r>
        <w:t xml:space="preserve">PRIIPs requires market participants to provide retail investors with </w:t>
      </w:r>
      <w:r>
        <w:rPr>
          <w:color w:val="0000FF"/>
          <w:u w:val="single" w:color="0000FF"/>
        </w:rPr>
        <w:t>key information</w:t>
      </w:r>
      <w:r>
        <w:rPr>
          <w:color w:val="0000FF"/>
        </w:rPr>
        <w:t xml:space="preserve"> </w:t>
      </w:r>
      <w:r>
        <w:rPr>
          <w:color w:val="0000FF"/>
          <w:u w:val="single" w:color="0000FF"/>
        </w:rPr>
        <w:t>documents (KIDs)</w:t>
      </w:r>
      <w:r>
        <w:t xml:space="preserve">. As part of the </w:t>
      </w:r>
      <w:hyperlink r:id="rId79">
        <w:r>
          <w:rPr>
            <w:color w:val="0000FF"/>
            <w:u w:val="single" w:color="0000FF"/>
          </w:rPr>
          <w:t>retail investment strategy</w:t>
        </w:r>
      </w:hyperlink>
      <w:r>
        <w:rPr>
          <w:vertAlign w:val="superscript"/>
        </w:rPr>
        <w:footnoteReference w:id="11"/>
      </w:r>
      <w:r>
        <w:t xml:space="preserve">, the Commission has recently proposed to include a new sustainability section in the KID to make sustainability-related information of investment products more visible, comparable and understandable for retail investors. Section 4 of this questionnaire includes questions related to PRIIPs, to seek stakeholders’ views as regards potential impacts on the content of the KID if a product categorisation system was established. </w:t>
      </w:r>
    </w:p>
    <w:p w14:paraId="30AD1BBE" w14:textId="77777777" w:rsidR="0045673A" w:rsidRDefault="00E17DF3">
      <w:pPr>
        <w:ind w:right="643"/>
      </w:pPr>
      <w:r w:rsidRPr="00BB7DE5">
        <w:t>Please clarify your replies to questions in section 2 as necessary:</w:t>
      </w:r>
      <w:r>
        <w:t xml:space="preserve"> </w:t>
      </w:r>
    </w:p>
    <w:tbl>
      <w:tblPr>
        <w:tblW w:w="7982" w:type="dxa"/>
        <w:tblCellMar>
          <w:top w:w="14" w:type="dxa"/>
          <w:left w:w="828" w:type="dxa"/>
          <w:right w:w="115" w:type="dxa"/>
        </w:tblCellMar>
        <w:tblLook w:val="04A0" w:firstRow="1" w:lastRow="0" w:firstColumn="1" w:lastColumn="0" w:noHBand="0" w:noVBand="1"/>
      </w:tblPr>
      <w:tblGrid>
        <w:gridCol w:w="7982"/>
      </w:tblGrid>
      <w:tr w:rsidR="0045673A" w14:paraId="408742E3" w14:textId="77777777" w:rsidTr="46ADC280">
        <w:trPr>
          <w:trHeight w:val="528"/>
        </w:trPr>
        <w:tc>
          <w:tcPr>
            <w:tcW w:w="7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91FA3" w14:textId="77777777" w:rsidR="003F12FC" w:rsidRDefault="00EF0751">
            <w:pPr>
              <w:spacing w:after="0" w:line="259" w:lineRule="auto"/>
              <w:ind w:left="0" w:firstLine="0"/>
              <w:jc w:val="left"/>
              <w:rPr>
                <w:sz w:val="20"/>
                <w:szCs w:val="20"/>
              </w:rPr>
            </w:pPr>
            <w:r w:rsidRPr="00A26B4E">
              <w:rPr>
                <w:sz w:val="20"/>
                <w:szCs w:val="20"/>
              </w:rPr>
              <w:t>We would</w:t>
            </w:r>
            <w:r w:rsidR="00C65B9B" w:rsidRPr="00A26B4E">
              <w:rPr>
                <w:sz w:val="20"/>
                <w:szCs w:val="20"/>
              </w:rPr>
              <w:t xml:space="preserve"> very much</w:t>
            </w:r>
            <w:r w:rsidRPr="00A26B4E">
              <w:rPr>
                <w:sz w:val="20"/>
                <w:szCs w:val="20"/>
              </w:rPr>
              <w:t xml:space="preserve"> welcome </w:t>
            </w:r>
            <w:r w:rsidR="00E35802" w:rsidRPr="00A26B4E">
              <w:rPr>
                <w:sz w:val="20"/>
                <w:szCs w:val="20"/>
              </w:rPr>
              <w:t xml:space="preserve">further </w:t>
            </w:r>
            <w:r w:rsidRPr="00A26B4E">
              <w:rPr>
                <w:sz w:val="20"/>
                <w:szCs w:val="20"/>
              </w:rPr>
              <w:t xml:space="preserve">efforts to promote greater consistency </w:t>
            </w:r>
            <w:r w:rsidR="00D51F69" w:rsidRPr="00A26B4E">
              <w:rPr>
                <w:sz w:val="20"/>
                <w:szCs w:val="20"/>
              </w:rPr>
              <w:t xml:space="preserve">between the definitions of ‘sustainable investment’ and ‘environmentally sustainable’ activities under the SFDR and ‘green taxonomy’, respectively. </w:t>
            </w:r>
          </w:p>
          <w:p w14:paraId="62D45B9D" w14:textId="77777777" w:rsidR="003F12FC" w:rsidRDefault="003F12FC">
            <w:pPr>
              <w:spacing w:after="0" w:line="259" w:lineRule="auto"/>
              <w:ind w:left="0" w:firstLine="0"/>
              <w:jc w:val="left"/>
            </w:pPr>
          </w:p>
          <w:p w14:paraId="0EB58F7A" w14:textId="76EFA686" w:rsidR="00C043CD" w:rsidRPr="00A26B4E" w:rsidRDefault="00F00900">
            <w:pPr>
              <w:spacing w:after="0" w:line="259" w:lineRule="auto"/>
              <w:ind w:left="0" w:firstLine="0"/>
              <w:jc w:val="left"/>
              <w:rPr>
                <w:sz w:val="20"/>
                <w:szCs w:val="20"/>
              </w:rPr>
            </w:pPr>
            <w:r w:rsidRPr="00A26B4E">
              <w:rPr>
                <w:sz w:val="20"/>
                <w:szCs w:val="20"/>
              </w:rPr>
              <w:t>This would assist in alleviating some of the challenges facing financial market participants reporting against the SFDR.</w:t>
            </w:r>
          </w:p>
          <w:p w14:paraId="4468FCD2" w14:textId="77777777" w:rsidR="003F12FC" w:rsidRDefault="00751B10">
            <w:pPr>
              <w:spacing w:after="0" w:line="259" w:lineRule="auto"/>
              <w:ind w:left="0" w:firstLine="0"/>
              <w:jc w:val="left"/>
              <w:rPr>
                <w:sz w:val="20"/>
                <w:szCs w:val="20"/>
              </w:rPr>
            </w:pPr>
            <w:r w:rsidRPr="00A26B4E">
              <w:rPr>
                <w:sz w:val="20"/>
                <w:szCs w:val="20"/>
              </w:rPr>
              <w:t>In terms of the SFDR and ‘green taxonomy’ specifically,</w:t>
            </w:r>
            <w:r w:rsidR="008639AD" w:rsidRPr="00A26B4E">
              <w:rPr>
                <w:sz w:val="20"/>
                <w:szCs w:val="20"/>
              </w:rPr>
              <w:t xml:space="preserve"> notable differences</w:t>
            </w:r>
            <w:r w:rsidR="00E333F2" w:rsidRPr="00A26B4E">
              <w:rPr>
                <w:sz w:val="20"/>
                <w:szCs w:val="20"/>
              </w:rPr>
              <w:t xml:space="preserve"> between these two </w:t>
            </w:r>
            <w:r w:rsidR="00ED4B61">
              <w:rPr>
                <w:sz w:val="20"/>
                <w:szCs w:val="20"/>
              </w:rPr>
              <w:t xml:space="preserve">core </w:t>
            </w:r>
            <w:r w:rsidR="00E333F2" w:rsidRPr="00A26B4E">
              <w:rPr>
                <w:sz w:val="20"/>
                <w:szCs w:val="20"/>
              </w:rPr>
              <w:t>initiatives have led to a number of challenges for financial market participants</w:t>
            </w:r>
            <w:r w:rsidR="0039031E" w:rsidRPr="00A26B4E">
              <w:rPr>
                <w:sz w:val="20"/>
                <w:szCs w:val="20"/>
              </w:rPr>
              <w:t xml:space="preserve"> and greenwashing risks in the market. </w:t>
            </w:r>
          </w:p>
          <w:p w14:paraId="48420725" w14:textId="77777777" w:rsidR="003F12FC" w:rsidRDefault="003F12FC">
            <w:pPr>
              <w:spacing w:after="0" w:line="259" w:lineRule="auto"/>
              <w:ind w:left="0" w:firstLine="0"/>
              <w:jc w:val="left"/>
              <w:rPr>
                <w:sz w:val="20"/>
                <w:szCs w:val="20"/>
              </w:rPr>
            </w:pPr>
          </w:p>
          <w:p w14:paraId="515F5412" w14:textId="0AB7CD0C" w:rsidR="00AD28E3" w:rsidRPr="00A26B4E" w:rsidRDefault="00C022DC">
            <w:pPr>
              <w:spacing w:after="0" w:line="259" w:lineRule="auto"/>
              <w:ind w:left="0" w:firstLine="0"/>
              <w:jc w:val="left"/>
              <w:rPr>
                <w:sz w:val="20"/>
                <w:szCs w:val="20"/>
              </w:rPr>
            </w:pPr>
            <w:r>
              <w:rPr>
                <w:sz w:val="20"/>
                <w:szCs w:val="20"/>
              </w:rPr>
              <w:t>We</w:t>
            </w:r>
            <w:r w:rsidR="001F1079" w:rsidRPr="00A26B4E">
              <w:rPr>
                <w:sz w:val="20"/>
                <w:szCs w:val="20"/>
              </w:rPr>
              <w:t xml:space="preserve"> would like to see greater alignment across the entity-level assessment of a ‘sustainable investment’ under the SFDR and the activity-level assessment of an ‘environmentally sustainable’ activity under the Taxonomy Regulation. </w:t>
            </w:r>
            <w:r w:rsidR="00AD28E3">
              <w:rPr>
                <w:sz w:val="20"/>
                <w:szCs w:val="20"/>
              </w:rPr>
              <w:t xml:space="preserve">This could build off </w:t>
            </w:r>
            <w:r w:rsidR="00187C1E">
              <w:rPr>
                <w:sz w:val="20"/>
                <w:szCs w:val="20"/>
              </w:rPr>
              <w:t>the advice provided by the Commission</w:t>
            </w:r>
            <w:r w:rsidR="00B36919">
              <w:rPr>
                <w:sz w:val="20"/>
                <w:szCs w:val="20"/>
              </w:rPr>
              <w:t xml:space="preserve">’s notice from June this year </w:t>
            </w:r>
            <w:r w:rsidR="00187C1E">
              <w:rPr>
                <w:sz w:val="20"/>
                <w:szCs w:val="20"/>
              </w:rPr>
              <w:t xml:space="preserve">and the ESAs that outlines a ‘safe harbour’ </w:t>
            </w:r>
            <w:r w:rsidR="00B36919">
              <w:rPr>
                <w:sz w:val="20"/>
                <w:szCs w:val="20"/>
              </w:rPr>
              <w:t xml:space="preserve">concept </w:t>
            </w:r>
            <w:r w:rsidR="00187C1E">
              <w:rPr>
                <w:sz w:val="20"/>
                <w:szCs w:val="20"/>
              </w:rPr>
              <w:t xml:space="preserve">regarding the notion of sustainable investments under the SFDR. </w:t>
            </w:r>
          </w:p>
          <w:p w14:paraId="12A314DD" w14:textId="77777777" w:rsidR="001D7395" w:rsidRPr="00A26B4E" w:rsidRDefault="001D7395">
            <w:pPr>
              <w:spacing w:after="0" w:line="259" w:lineRule="auto"/>
              <w:ind w:left="0" w:firstLine="0"/>
              <w:jc w:val="left"/>
              <w:rPr>
                <w:sz w:val="20"/>
                <w:szCs w:val="20"/>
              </w:rPr>
            </w:pPr>
          </w:p>
          <w:p w14:paraId="0C0950B6" w14:textId="04AB6AC2" w:rsidR="001D7395" w:rsidRPr="00A26B4E" w:rsidRDefault="001D7395" w:rsidP="001D7395">
            <w:pPr>
              <w:spacing w:after="0" w:line="259" w:lineRule="auto"/>
              <w:ind w:left="0" w:firstLine="0"/>
              <w:jc w:val="left"/>
              <w:rPr>
                <w:sz w:val="20"/>
                <w:szCs w:val="20"/>
              </w:rPr>
            </w:pPr>
            <w:r w:rsidRPr="00A26B4E">
              <w:rPr>
                <w:sz w:val="20"/>
                <w:szCs w:val="20"/>
              </w:rPr>
              <w:t>More broadly, the review of the SFDR should seek to avoid-as much as possible</w:t>
            </w:r>
            <w:r w:rsidR="00C022DC">
              <w:rPr>
                <w:sz w:val="20"/>
                <w:szCs w:val="20"/>
              </w:rPr>
              <w:t xml:space="preserve">- </w:t>
            </w:r>
            <w:r w:rsidRPr="00A26B4E">
              <w:rPr>
                <w:sz w:val="20"/>
                <w:szCs w:val="20"/>
              </w:rPr>
              <w:t xml:space="preserve">contrasting underlying definitions and principles for the same concepts across the SFDR, taxonomy, and other </w:t>
            </w:r>
            <w:r w:rsidR="00C022DC">
              <w:rPr>
                <w:sz w:val="20"/>
                <w:szCs w:val="20"/>
              </w:rPr>
              <w:t xml:space="preserve">linked </w:t>
            </w:r>
            <w:r w:rsidRPr="00A26B4E">
              <w:rPr>
                <w:sz w:val="20"/>
                <w:szCs w:val="20"/>
              </w:rPr>
              <w:t xml:space="preserve">regulatory initiatives, and greater coherence across these initiatives will be hugely important going forward. </w:t>
            </w:r>
          </w:p>
          <w:p w14:paraId="48FFB8F4" w14:textId="77777777" w:rsidR="00F00900" w:rsidRPr="00A26B4E" w:rsidRDefault="00F00900">
            <w:pPr>
              <w:spacing w:after="0" w:line="259" w:lineRule="auto"/>
              <w:ind w:left="0" w:firstLine="0"/>
              <w:jc w:val="left"/>
              <w:rPr>
                <w:sz w:val="20"/>
                <w:szCs w:val="20"/>
              </w:rPr>
            </w:pPr>
          </w:p>
          <w:p w14:paraId="77AFB0DC" w14:textId="2FCE0946" w:rsidR="0024211D" w:rsidRPr="00A26B4E" w:rsidRDefault="001D7395">
            <w:pPr>
              <w:spacing w:after="0" w:line="259" w:lineRule="auto"/>
              <w:ind w:left="0" w:firstLine="0"/>
              <w:jc w:val="left"/>
              <w:rPr>
                <w:sz w:val="20"/>
                <w:szCs w:val="20"/>
              </w:rPr>
            </w:pPr>
            <w:r w:rsidRPr="00A26B4E">
              <w:rPr>
                <w:sz w:val="20"/>
                <w:szCs w:val="20"/>
              </w:rPr>
              <w:t xml:space="preserve">In regards to the interaction between the SFDR and CSRD, further streamlining will be necessary </w:t>
            </w:r>
            <w:r w:rsidR="00647DE0" w:rsidRPr="00A26B4E">
              <w:rPr>
                <w:sz w:val="20"/>
                <w:szCs w:val="20"/>
              </w:rPr>
              <w:t xml:space="preserve">to avoid </w:t>
            </w:r>
            <w:r w:rsidR="00C022DC">
              <w:rPr>
                <w:sz w:val="20"/>
                <w:szCs w:val="20"/>
              </w:rPr>
              <w:t xml:space="preserve">a </w:t>
            </w:r>
            <w:r w:rsidR="00647DE0" w:rsidRPr="00A26B4E">
              <w:rPr>
                <w:sz w:val="20"/>
                <w:szCs w:val="20"/>
              </w:rPr>
              <w:t xml:space="preserve">significant over-lap of </w:t>
            </w:r>
            <w:r w:rsidR="00C022DC">
              <w:rPr>
                <w:sz w:val="20"/>
                <w:szCs w:val="20"/>
              </w:rPr>
              <w:t xml:space="preserve">sustainability </w:t>
            </w:r>
            <w:r w:rsidR="00647DE0" w:rsidRPr="00A26B4E">
              <w:rPr>
                <w:sz w:val="20"/>
                <w:szCs w:val="20"/>
              </w:rPr>
              <w:t>disclosures, particularly at the entity-level, and we would like to see the CSRD better incentivise companies to publish the necessary disclosures to ensure financial market participants can make informed investment decisions and comply with the requirements of the SFDR.</w:t>
            </w:r>
            <w:r w:rsidR="00726DE8" w:rsidRPr="00A26B4E">
              <w:rPr>
                <w:sz w:val="20"/>
                <w:szCs w:val="20"/>
              </w:rPr>
              <w:t xml:space="preserve"> </w:t>
            </w:r>
          </w:p>
          <w:p w14:paraId="367F2E9B" w14:textId="77777777" w:rsidR="0024211D" w:rsidRDefault="0024211D">
            <w:pPr>
              <w:spacing w:after="0" w:line="259" w:lineRule="auto"/>
              <w:ind w:left="0" w:firstLine="0"/>
              <w:jc w:val="left"/>
              <w:rPr>
                <w:szCs w:val="24"/>
              </w:rPr>
            </w:pPr>
          </w:p>
          <w:p w14:paraId="3B253134" w14:textId="01048701" w:rsidR="001D7395" w:rsidRPr="00943282" w:rsidRDefault="00943282">
            <w:pPr>
              <w:spacing w:after="0" w:line="259" w:lineRule="auto"/>
              <w:ind w:left="0" w:firstLine="0"/>
              <w:jc w:val="left"/>
              <w:rPr>
                <w:sz w:val="20"/>
                <w:szCs w:val="20"/>
              </w:rPr>
            </w:pPr>
            <w:r>
              <w:rPr>
                <w:sz w:val="20"/>
                <w:szCs w:val="20"/>
              </w:rPr>
              <w:t>Our</w:t>
            </w:r>
            <w:r w:rsidR="00726DE8" w:rsidRPr="00943282">
              <w:rPr>
                <w:sz w:val="20"/>
                <w:szCs w:val="20"/>
              </w:rPr>
              <w:t xml:space="preserve"> members continue to require access to high-quality </w:t>
            </w:r>
            <w:r w:rsidR="00072C31" w:rsidRPr="00943282">
              <w:rPr>
                <w:sz w:val="20"/>
                <w:szCs w:val="20"/>
              </w:rPr>
              <w:t xml:space="preserve">corporate disclosures, and will want companies to conduct objective </w:t>
            </w:r>
            <w:r w:rsidR="00EC6398" w:rsidRPr="00943282">
              <w:rPr>
                <w:sz w:val="20"/>
                <w:szCs w:val="20"/>
              </w:rPr>
              <w:t>and</w:t>
            </w:r>
            <w:r w:rsidR="00072C31" w:rsidRPr="00943282">
              <w:rPr>
                <w:sz w:val="20"/>
                <w:szCs w:val="20"/>
              </w:rPr>
              <w:t xml:space="preserve"> robust materiality assessments when complying with </w:t>
            </w:r>
            <w:r w:rsidR="008C10A1" w:rsidRPr="00943282">
              <w:rPr>
                <w:sz w:val="20"/>
                <w:szCs w:val="20"/>
              </w:rPr>
              <w:t xml:space="preserve">the European Sustainability Reporting Standards (ESRS) applying from 1 January 2024. </w:t>
            </w:r>
          </w:p>
          <w:p w14:paraId="6B7368A1" w14:textId="77777777" w:rsidR="0024211D" w:rsidRPr="00943282" w:rsidRDefault="0024211D">
            <w:pPr>
              <w:spacing w:after="0" w:line="259" w:lineRule="auto"/>
              <w:ind w:left="0" w:firstLine="0"/>
              <w:jc w:val="left"/>
              <w:rPr>
                <w:sz w:val="20"/>
                <w:szCs w:val="20"/>
              </w:rPr>
            </w:pPr>
          </w:p>
          <w:p w14:paraId="1C1ADD91" w14:textId="48C63991" w:rsidR="0024211D" w:rsidRPr="00943282" w:rsidRDefault="00C65B9B">
            <w:pPr>
              <w:spacing w:after="0" w:line="259" w:lineRule="auto"/>
              <w:ind w:left="0" w:firstLine="0"/>
              <w:jc w:val="left"/>
              <w:rPr>
                <w:sz w:val="20"/>
                <w:szCs w:val="20"/>
              </w:rPr>
            </w:pPr>
            <w:r w:rsidRPr="00943282">
              <w:rPr>
                <w:sz w:val="20"/>
                <w:szCs w:val="20"/>
              </w:rPr>
              <w:t xml:space="preserve">In terms of sustainability preferences for clients, </w:t>
            </w:r>
            <w:r w:rsidR="001C06D1" w:rsidRPr="00943282">
              <w:rPr>
                <w:sz w:val="20"/>
                <w:szCs w:val="20"/>
              </w:rPr>
              <w:t>there are question</w:t>
            </w:r>
            <w:r w:rsidR="00913C78" w:rsidRPr="00943282">
              <w:rPr>
                <w:sz w:val="20"/>
                <w:szCs w:val="20"/>
              </w:rPr>
              <w:t xml:space="preserve"> marks</w:t>
            </w:r>
            <w:r w:rsidR="001C06D1" w:rsidRPr="00943282">
              <w:rPr>
                <w:sz w:val="20"/>
                <w:szCs w:val="20"/>
              </w:rPr>
              <w:t xml:space="preserve"> over whether the three main sustainability preferences defined by MiFID II are sufficiently broad to reflect clients’ diverse sustainability preferences and values when it comes to sustainable investing approaches</w:t>
            </w:r>
            <w:r w:rsidR="00474A8C">
              <w:rPr>
                <w:sz w:val="20"/>
                <w:szCs w:val="20"/>
              </w:rPr>
              <w:t xml:space="preserve">, as well as </w:t>
            </w:r>
            <w:r w:rsidR="00D179B7">
              <w:rPr>
                <w:sz w:val="20"/>
                <w:szCs w:val="20"/>
              </w:rPr>
              <w:t xml:space="preserve">how retail investors will understand these three concepts. </w:t>
            </w:r>
          </w:p>
          <w:p w14:paraId="6FBE0D8B" w14:textId="77777777" w:rsidR="0024211D" w:rsidRPr="00943282" w:rsidRDefault="0024211D">
            <w:pPr>
              <w:spacing w:after="0" w:line="259" w:lineRule="auto"/>
              <w:ind w:left="0" w:firstLine="0"/>
              <w:jc w:val="left"/>
              <w:rPr>
                <w:sz w:val="20"/>
                <w:szCs w:val="20"/>
              </w:rPr>
            </w:pPr>
          </w:p>
          <w:p w14:paraId="5E4A8E13" w14:textId="77777777" w:rsidR="00652E55" w:rsidRDefault="00C52351">
            <w:pPr>
              <w:spacing w:after="0" w:line="259" w:lineRule="auto"/>
              <w:ind w:left="0" w:firstLine="0"/>
              <w:jc w:val="left"/>
              <w:rPr>
                <w:sz w:val="20"/>
                <w:szCs w:val="20"/>
              </w:rPr>
            </w:pPr>
            <w:r w:rsidRPr="00943282">
              <w:rPr>
                <w:sz w:val="20"/>
                <w:szCs w:val="20"/>
              </w:rPr>
              <w:t xml:space="preserve">One potential solution </w:t>
            </w:r>
            <w:r w:rsidR="00913C78" w:rsidRPr="00943282">
              <w:rPr>
                <w:sz w:val="20"/>
                <w:szCs w:val="20"/>
              </w:rPr>
              <w:t>w</w:t>
            </w:r>
            <w:r w:rsidRPr="00943282">
              <w:rPr>
                <w:sz w:val="20"/>
                <w:szCs w:val="20"/>
              </w:rPr>
              <w:t>ould be to promote alignment of the sustainability preference</w:t>
            </w:r>
            <w:r w:rsidR="00913C78" w:rsidRPr="00943282">
              <w:rPr>
                <w:sz w:val="20"/>
                <w:szCs w:val="20"/>
              </w:rPr>
              <w:t xml:space="preserve"> categories</w:t>
            </w:r>
            <w:r w:rsidRPr="00943282">
              <w:rPr>
                <w:sz w:val="20"/>
                <w:szCs w:val="20"/>
              </w:rPr>
              <w:t xml:space="preserve"> to </w:t>
            </w:r>
            <w:r w:rsidR="00913C78" w:rsidRPr="00943282">
              <w:rPr>
                <w:sz w:val="20"/>
                <w:szCs w:val="20"/>
              </w:rPr>
              <w:t xml:space="preserve">the </w:t>
            </w:r>
            <w:r w:rsidRPr="00943282">
              <w:rPr>
                <w:sz w:val="20"/>
                <w:szCs w:val="20"/>
              </w:rPr>
              <w:t>product categories under a revised SFDR framework.</w:t>
            </w:r>
            <w:r w:rsidR="00A90E2B" w:rsidRPr="00943282">
              <w:rPr>
                <w:sz w:val="20"/>
                <w:szCs w:val="20"/>
              </w:rPr>
              <w:t xml:space="preserve"> </w:t>
            </w:r>
          </w:p>
          <w:p w14:paraId="4BE19917" w14:textId="77777777" w:rsidR="00652E55" w:rsidRDefault="00652E55">
            <w:pPr>
              <w:spacing w:after="0" w:line="259" w:lineRule="auto"/>
              <w:ind w:left="0" w:firstLine="0"/>
              <w:jc w:val="left"/>
              <w:rPr>
                <w:sz w:val="20"/>
                <w:szCs w:val="20"/>
              </w:rPr>
            </w:pPr>
          </w:p>
          <w:p w14:paraId="5D9F12FB" w14:textId="28BAD668" w:rsidR="00C65B9B" w:rsidRPr="00943282" w:rsidRDefault="00A90E2B">
            <w:pPr>
              <w:spacing w:after="0" w:line="259" w:lineRule="auto"/>
              <w:ind w:left="0" w:firstLine="0"/>
              <w:jc w:val="left"/>
              <w:rPr>
                <w:sz w:val="20"/>
                <w:szCs w:val="20"/>
              </w:rPr>
            </w:pPr>
            <w:r w:rsidRPr="00943282">
              <w:rPr>
                <w:sz w:val="20"/>
                <w:szCs w:val="20"/>
              </w:rPr>
              <w:t>In future, we would like to see a clear categorisation of products with transparent sustainability objectives communicated</w:t>
            </w:r>
            <w:r w:rsidR="00B1002B" w:rsidRPr="00943282">
              <w:rPr>
                <w:sz w:val="20"/>
                <w:szCs w:val="20"/>
              </w:rPr>
              <w:t xml:space="preserve"> and for this to be reflected in the MiFID sustainability preferences advisory process. As part of this, questions based on each of the product categories could be considered to help guide </w:t>
            </w:r>
            <w:r w:rsidR="009505E8" w:rsidRPr="00943282">
              <w:rPr>
                <w:sz w:val="20"/>
                <w:szCs w:val="20"/>
              </w:rPr>
              <w:t>end clients towards those products that are best suited to their needs and preferences.</w:t>
            </w:r>
          </w:p>
          <w:p w14:paraId="7C0E029D" w14:textId="16CCB0FE" w:rsidR="007815D1" w:rsidRDefault="007815D1" w:rsidP="00EA75C2">
            <w:pPr>
              <w:spacing w:after="0" w:line="259" w:lineRule="auto"/>
              <w:ind w:left="0" w:firstLine="0"/>
              <w:jc w:val="left"/>
            </w:pPr>
          </w:p>
        </w:tc>
      </w:tr>
    </w:tbl>
    <w:p w14:paraId="1BE57825" w14:textId="4CA5ABE6" w:rsidR="0045673A" w:rsidRDefault="00E17DF3" w:rsidP="00BE3AD0">
      <w:pPr>
        <w:spacing w:after="216" w:line="259" w:lineRule="auto"/>
        <w:ind w:left="0" w:firstLine="0"/>
        <w:jc w:val="left"/>
      </w:pPr>
      <w:r>
        <w:t xml:space="preserve"> </w:t>
      </w:r>
      <w:r>
        <w:rPr>
          <w:rFonts w:ascii="Calibri" w:eastAsia="Calibri" w:hAnsi="Calibri" w:cs="Calibri"/>
          <w:noProof/>
          <w:sz w:val="22"/>
        </w:rPr>
        <mc:AlternateContent>
          <mc:Choice Requires="wpg">
            <w:drawing>
              <wp:inline distT="0" distB="0" distL="0" distR="0" wp14:anchorId="2C38A7EF" wp14:editId="148F43FC">
                <wp:extent cx="1829054" cy="7620"/>
                <wp:effectExtent l="0" t="0" r="0" b="0"/>
                <wp:docPr id="113806" name="Group 113806"/>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137421" name="Shape 137421"/>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286DCC8" id="Group 113806" o:spid="_x0000_s1026" style="width:2in;height:.6pt;mso-position-horizontal-relative:char;mso-position-vertical-relative:line" coordsize="1829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">
                <v:shape id="Shape 137421"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" path="m,l1829054,r,9144l,9144,,e" fillcolor="black" stroked="f" strokeweight="0">
                  <v:stroke miterlimit="83231f" joinstyle="miter"/>
                  <v:path arrowok="t" textboxrect="0,0,1829054,9144"/>
                </v:shape>
                <w10:anchorlock/>
              </v:group>
            </w:pict>
          </mc:Fallback>
        </mc:AlternateContent>
      </w:r>
      <w:r>
        <w:t xml:space="preserve"> </w:t>
      </w:r>
    </w:p>
    <w:p w14:paraId="4D3EEED2" w14:textId="77777777" w:rsidR="0045673A" w:rsidRDefault="00E17DF3">
      <w:pPr>
        <w:numPr>
          <w:ilvl w:val="0"/>
          <w:numId w:val="4"/>
        </w:numPr>
        <w:spacing w:after="31" w:line="265" w:lineRule="auto"/>
        <w:ind w:hanging="482"/>
        <w:jc w:val="left"/>
      </w:pPr>
      <w:r>
        <w:rPr>
          <w:b/>
        </w:rPr>
        <w:t>P</w:t>
      </w:r>
      <w:r>
        <w:rPr>
          <w:b/>
          <w:sz w:val="19"/>
        </w:rPr>
        <w:t xml:space="preserve">OTENTIAL CHANGES TO DISCLOSURE REQUIREMENTS FOR FINANCIAL MARKET </w:t>
      </w:r>
    </w:p>
    <w:p w14:paraId="025CBDCB" w14:textId="77777777" w:rsidR="0045673A" w:rsidRDefault="00E17DF3">
      <w:pPr>
        <w:spacing w:after="501" w:line="265" w:lineRule="auto"/>
        <w:ind w:left="477"/>
        <w:jc w:val="left"/>
      </w:pPr>
      <w:r>
        <w:rPr>
          <w:b/>
          <w:sz w:val="19"/>
        </w:rPr>
        <w:t>PARTICIPANTS</w:t>
      </w:r>
      <w:r>
        <w:rPr>
          <w:b/>
        </w:rPr>
        <w:t xml:space="preserve"> </w:t>
      </w:r>
    </w:p>
    <w:p w14:paraId="3AE9BD82" w14:textId="77777777" w:rsidR="0045673A" w:rsidRDefault="00E17DF3">
      <w:pPr>
        <w:tabs>
          <w:tab w:val="center" w:pos="662"/>
          <w:tab w:val="center" w:pos="2623"/>
        </w:tabs>
        <w:spacing w:after="226" w:line="265" w:lineRule="auto"/>
        <w:ind w:left="0" w:firstLine="0"/>
        <w:jc w:val="left"/>
      </w:pPr>
      <w:r>
        <w:rPr>
          <w:rFonts w:ascii="Calibri" w:eastAsia="Calibri" w:hAnsi="Calibri" w:cs="Calibri"/>
          <w:sz w:val="22"/>
        </w:rPr>
        <w:tab/>
      </w:r>
      <w:r>
        <w:rPr>
          <w:b/>
        </w:rPr>
        <w:t>3.1.</w:t>
      </w:r>
      <w:r>
        <w:rPr>
          <w:rFonts w:ascii="Arial" w:eastAsia="Arial" w:hAnsi="Arial" w:cs="Arial"/>
          <w:b/>
        </w:rPr>
        <w:t xml:space="preserve"> </w:t>
      </w:r>
      <w:r>
        <w:rPr>
          <w:rFonts w:ascii="Arial" w:eastAsia="Arial" w:hAnsi="Arial" w:cs="Arial"/>
          <w:b/>
        </w:rPr>
        <w:tab/>
      </w:r>
      <w:r>
        <w:rPr>
          <w:b/>
        </w:rPr>
        <w:t>E</w:t>
      </w:r>
      <w:r>
        <w:rPr>
          <w:b/>
          <w:sz w:val="19"/>
        </w:rPr>
        <w:t>NTITY LEVEL DISCLOSURES</w:t>
      </w:r>
      <w:r>
        <w:rPr>
          <w:b/>
        </w:rPr>
        <w:t xml:space="preserve"> </w:t>
      </w:r>
    </w:p>
    <w:p w14:paraId="3417F6E0" w14:textId="77777777" w:rsidR="0045673A" w:rsidRDefault="00E17DF3">
      <w:pPr>
        <w:spacing w:after="229"/>
        <w:ind w:right="643"/>
      </w:pPr>
      <w:r>
        <w:t xml:space="preserve">The SFDR contains entity level disclosure requirements for financial market participants and financial advisers. They shall disclose on their website their policies on the integration of sustainability risks in their investment decision-making process or their investment or insurance advice (Article 3). In addition, they shall disclose whether, and if so, how, they consider the principal adverse impacts of their investment decisions on sustainability factors. For financial market participants with 500 or more employees, the disclosure of a due diligence statement, including information of adverse impacts, is mandatory (Article 4). In addition, financial market participants and financial advisers shall disclose how their remuneration policies are consistent with the integration of sustainability risks (Article 5).  </w:t>
      </w:r>
    </w:p>
    <w:p w14:paraId="1666C745" w14:textId="77777777" w:rsidR="0045673A" w:rsidRDefault="00E17DF3">
      <w:pPr>
        <w:ind w:right="643"/>
      </w:pPr>
      <w:r>
        <w:rPr>
          <w:b/>
          <w:u w:val="single" w:color="000000"/>
        </w:rPr>
        <w:t>Question 3.1.1</w:t>
      </w:r>
      <w:r>
        <w:t xml:space="preserve">: Are these disclosures useful? </w:t>
      </w:r>
    </w:p>
    <w:tbl>
      <w:tblPr>
        <w:tblW w:w="8661" w:type="dxa"/>
        <w:tblCellMar>
          <w:top w:w="20" w:type="dxa"/>
          <w:right w:w="49" w:type="dxa"/>
        </w:tblCellMar>
        <w:tblLook w:val="04A0" w:firstRow="1" w:lastRow="0" w:firstColumn="1" w:lastColumn="0" w:noHBand="0" w:noVBand="1"/>
      </w:tblPr>
      <w:tblGrid>
        <w:gridCol w:w="5671"/>
        <w:gridCol w:w="442"/>
        <w:gridCol w:w="442"/>
        <w:gridCol w:w="442"/>
        <w:gridCol w:w="442"/>
        <w:gridCol w:w="442"/>
        <w:gridCol w:w="780"/>
      </w:tblGrid>
      <w:tr w:rsidR="0045673A" w14:paraId="2DFE1C7A" w14:textId="77777777" w:rsidTr="001F14BF">
        <w:trPr>
          <w:trHeight w:val="811"/>
        </w:trPr>
        <w:tc>
          <w:tcPr>
            <w:tcW w:w="5671" w:type="dxa"/>
            <w:tcBorders>
              <w:top w:val="single" w:sz="8" w:space="0" w:color="000000"/>
              <w:left w:val="single" w:sz="8" w:space="0" w:color="000000"/>
              <w:bottom w:val="single" w:sz="8" w:space="0" w:color="000000"/>
              <w:right w:val="single" w:sz="4" w:space="0" w:color="000000"/>
            </w:tcBorders>
          </w:tcPr>
          <w:p w14:paraId="7FF75803" w14:textId="77777777" w:rsidR="0045673A" w:rsidRDefault="00E17DF3">
            <w:pPr>
              <w:spacing w:after="0" w:line="259" w:lineRule="auto"/>
              <w:ind w:left="0" w:firstLine="0"/>
              <w:jc w:val="left"/>
            </w:pPr>
            <w:r>
              <w:t xml:space="preserve"> </w:t>
            </w:r>
          </w:p>
        </w:tc>
        <w:tc>
          <w:tcPr>
            <w:tcW w:w="442" w:type="dxa"/>
            <w:tcBorders>
              <w:top w:val="single" w:sz="4" w:space="0" w:color="000000"/>
              <w:left w:val="single" w:sz="4" w:space="0" w:color="000000"/>
              <w:bottom w:val="single" w:sz="4" w:space="0" w:color="000000"/>
              <w:right w:val="single" w:sz="4" w:space="0" w:color="000000"/>
            </w:tcBorders>
          </w:tcPr>
          <w:p w14:paraId="4EF862E6" w14:textId="77777777" w:rsidR="0045673A" w:rsidRDefault="00E17DF3">
            <w:pPr>
              <w:spacing w:after="0" w:line="259" w:lineRule="auto"/>
              <w:ind w:left="53" w:firstLine="0"/>
              <w:jc w:val="left"/>
            </w:pPr>
            <w:r>
              <w:t xml:space="preserve">1 </w:t>
            </w:r>
          </w:p>
        </w:tc>
        <w:tc>
          <w:tcPr>
            <w:tcW w:w="442" w:type="dxa"/>
            <w:tcBorders>
              <w:top w:val="single" w:sz="4" w:space="0" w:color="000000"/>
              <w:left w:val="single" w:sz="4" w:space="0" w:color="000000"/>
              <w:bottom w:val="single" w:sz="4" w:space="0" w:color="000000"/>
              <w:right w:val="single" w:sz="4" w:space="0" w:color="000000"/>
            </w:tcBorders>
          </w:tcPr>
          <w:p w14:paraId="29F6FC7B" w14:textId="77777777" w:rsidR="0045673A" w:rsidRDefault="00E17DF3">
            <w:pPr>
              <w:spacing w:after="0" w:line="259" w:lineRule="auto"/>
              <w:ind w:left="53" w:firstLine="0"/>
              <w:jc w:val="left"/>
            </w:pPr>
            <w:r>
              <w:t xml:space="preserve">2 </w:t>
            </w:r>
          </w:p>
        </w:tc>
        <w:tc>
          <w:tcPr>
            <w:tcW w:w="442" w:type="dxa"/>
            <w:tcBorders>
              <w:top w:val="single" w:sz="4" w:space="0" w:color="000000"/>
              <w:left w:val="single" w:sz="4" w:space="0" w:color="000000"/>
              <w:bottom w:val="single" w:sz="4" w:space="0" w:color="000000"/>
              <w:right w:val="single" w:sz="4" w:space="0" w:color="000000"/>
            </w:tcBorders>
          </w:tcPr>
          <w:p w14:paraId="0340B5E2" w14:textId="77777777" w:rsidR="0045673A" w:rsidRDefault="00E17DF3">
            <w:pPr>
              <w:spacing w:after="0" w:line="259" w:lineRule="auto"/>
              <w:ind w:left="53" w:firstLine="0"/>
              <w:jc w:val="left"/>
            </w:pPr>
            <w:r>
              <w:t xml:space="preserve">3 </w:t>
            </w:r>
          </w:p>
        </w:tc>
        <w:tc>
          <w:tcPr>
            <w:tcW w:w="442" w:type="dxa"/>
            <w:tcBorders>
              <w:top w:val="single" w:sz="4" w:space="0" w:color="000000"/>
              <w:left w:val="single" w:sz="4" w:space="0" w:color="000000"/>
              <w:bottom w:val="single" w:sz="4" w:space="0" w:color="000000"/>
              <w:right w:val="single" w:sz="4" w:space="0" w:color="000000"/>
            </w:tcBorders>
          </w:tcPr>
          <w:p w14:paraId="648E3F3E" w14:textId="77777777" w:rsidR="0045673A" w:rsidRDefault="00E17DF3">
            <w:pPr>
              <w:spacing w:after="0" w:line="259" w:lineRule="auto"/>
              <w:ind w:left="53" w:firstLine="0"/>
              <w:jc w:val="left"/>
            </w:pPr>
            <w:r>
              <w:t xml:space="preserve">4 </w:t>
            </w:r>
          </w:p>
        </w:tc>
        <w:tc>
          <w:tcPr>
            <w:tcW w:w="442" w:type="dxa"/>
            <w:tcBorders>
              <w:top w:val="single" w:sz="4" w:space="0" w:color="000000"/>
              <w:left w:val="single" w:sz="4" w:space="0" w:color="000000"/>
              <w:bottom w:val="single" w:sz="4" w:space="0" w:color="000000"/>
              <w:right w:val="single" w:sz="4" w:space="0" w:color="000000"/>
            </w:tcBorders>
          </w:tcPr>
          <w:p w14:paraId="401D2ACE" w14:textId="77777777" w:rsidR="0045673A" w:rsidRDefault="00E17DF3">
            <w:pPr>
              <w:spacing w:after="0" w:line="259" w:lineRule="auto"/>
              <w:ind w:left="55" w:firstLine="0"/>
              <w:jc w:val="left"/>
            </w:pPr>
            <w:r>
              <w:t xml:space="preserve">5 </w:t>
            </w:r>
          </w:p>
        </w:tc>
        <w:tc>
          <w:tcPr>
            <w:tcW w:w="780" w:type="dxa"/>
            <w:tcBorders>
              <w:top w:val="single" w:sz="4" w:space="0" w:color="000000"/>
              <w:left w:val="single" w:sz="4" w:space="0" w:color="000000"/>
              <w:bottom w:val="single" w:sz="4" w:space="0" w:color="000000"/>
              <w:right w:val="single" w:sz="4" w:space="0" w:color="000000"/>
            </w:tcBorders>
          </w:tcPr>
          <w:p w14:paraId="3A00064A" w14:textId="77777777" w:rsidR="0045673A" w:rsidRDefault="00E17DF3">
            <w:pPr>
              <w:spacing w:after="0" w:line="259" w:lineRule="auto"/>
              <w:ind w:left="0" w:firstLine="0"/>
              <w:jc w:val="center"/>
            </w:pPr>
            <w:r>
              <w:t xml:space="preserve">Don’t know </w:t>
            </w:r>
          </w:p>
        </w:tc>
      </w:tr>
      <w:tr w:rsidR="001F14BF" w14:paraId="7F3920B4" w14:textId="77777777" w:rsidTr="001F14BF">
        <w:trPr>
          <w:trHeight w:val="535"/>
        </w:trPr>
        <w:tc>
          <w:tcPr>
            <w:tcW w:w="5671" w:type="dxa"/>
            <w:tcBorders>
              <w:top w:val="single" w:sz="8" w:space="0" w:color="000000"/>
              <w:left w:val="single" w:sz="8" w:space="0" w:color="000000"/>
              <w:bottom w:val="single" w:sz="8" w:space="0" w:color="000000"/>
              <w:right w:val="single" w:sz="4" w:space="0" w:color="000000"/>
            </w:tcBorders>
          </w:tcPr>
          <w:p w14:paraId="089734C3" w14:textId="77777777" w:rsidR="001F14BF" w:rsidRDefault="001F14BF" w:rsidP="001F14BF">
            <w:pPr>
              <w:spacing w:after="0" w:line="259" w:lineRule="auto"/>
              <w:ind w:left="0" w:firstLine="0"/>
              <w:jc w:val="left"/>
            </w:pPr>
            <w:r>
              <w:t xml:space="preserve">Article 3 </w:t>
            </w:r>
          </w:p>
        </w:tc>
        <w:tc>
          <w:tcPr>
            <w:tcW w:w="442" w:type="dxa"/>
            <w:tcBorders>
              <w:top w:val="single" w:sz="4" w:space="0" w:color="000000"/>
              <w:left w:val="single" w:sz="4" w:space="0" w:color="000000"/>
              <w:bottom w:val="single" w:sz="4" w:space="0" w:color="000000"/>
              <w:right w:val="single" w:sz="4" w:space="0" w:color="000000"/>
            </w:tcBorders>
          </w:tcPr>
          <w:p w14:paraId="2BCFD869" w14:textId="1053157A" w:rsidR="001F14BF" w:rsidRDefault="001F14BF" w:rsidP="001F14BF">
            <w:pPr>
              <w:spacing w:after="0" w:line="259" w:lineRule="auto"/>
              <w:ind w:left="1"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5FADF721" w14:textId="5535E9B1" w:rsidR="001F14BF" w:rsidRDefault="001F14BF" w:rsidP="001F14BF">
            <w:pPr>
              <w:spacing w:after="0" w:line="259" w:lineRule="auto"/>
              <w:ind w:left="0"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2FEE95AA" w14:textId="23281EE5" w:rsidR="001F14BF" w:rsidRDefault="001F14BF" w:rsidP="001F14BF">
            <w:pPr>
              <w:spacing w:after="0" w:line="259" w:lineRule="auto"/>
              <w:ind w:left="1"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6EF06B14" w14:textId="63DCA80E" w:rsidR="001F14BF" w:rsidRDefault="001F14BF" w:rsidP="001F14BF">
            <w:pPr>
              <w:spacing w:after="0" w:line="259" w:lineRule="auto"/>
              <w:ind w:left="1"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1848D3AE" w14:textId="77777777" w:rsidR="001F14BF" w:rsidRDefault="001F14BF" w:rsidP="001F14BF">
            <w:pPr>
              <w:spacing w:after="0" w:line="259" w:lineRule="auto"/>
              <w:ind w:left="6"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3CED85F7" w14:textId="6DB41200" w:rsidR="001F14BF" w:rsidRDefault="001F14BF" w:rsidP="001F14BF">
            <w:pPr>
              <w:spacing w:after="0" w:line="259" w:lineRule="auto"/>
              <w:ind w:left="3" w:firstLine="0"/>
              <w:jc w:val="center"/>
            </w:pPr>
            <w:r w:rsidRPr="008B1CDE">
              <w:t xml:space="preserve"> X</w:t>
            </w:r>
          </w:p>
        </w:tc>
      </w:tr>
      <w:tr w:rsidR="001F14BF" w14:paraId="4B8DC195" w14:textId="77777777" w:rsidTr="001F14BF">
        <w:trPr>
          <w:trHeight w:val="538"/>
        </w:trPr>
        <w:tc>
          <w:tcPr>
            <w:tcW w:w="5671" w:type="dxa"/>
            <w:tcBorders>
              <w:top w:val="single" w:sz="8" w:space="0" w:color="000000"/>
              <w:left w:val="single" w:sz="8" w:space="0" w:color="000000"/>
              <w:bottom w:val="single" w:sz="8" w:space="0" w:color="000000"/>
              <w:right w:val="single" w:sz="4" w:space="0" w:color="000000"/>
            </w:tcBorders>
          </w:tcPr>
          <w:p w14:paraId="4DA8A0A3" w14:textId="77777777" w:rsidR="001F14BF" w:rsidRDefault="001F14BF" w:rsidP="001F14BF">
            <w:pPr>
              <w:spacing w:after="0" w:line="259" w:lineRule="auto"/>
              <w:ind w:left="0" w:firstLine="0"/>
              <w:jc w:val="left"/>
            </w:pPr>
            <w:r>
              <w:t xml:space="preserve">Article 4 </w:t>
            </w:r>
          </w:p>
        </w:tc>
        <w:tc>
          <w:tcPr>
            <w:tcW w:w="442" w:type="dxa"/>
            <w:tcBorders>
              <w:top w:val="single" w:sz="4" w:space="0" w:color="000000"/>
              <w:left w:val="single" w:sz="4" w:space="0" w:color="000000"/>
              <w:bottom w:val="single" w:sz="4" w:space="0" w:color="000000"/>
              <w:right w:val="single" w:sz="4" w:space="0" w:color="000000"/>
            </w:tcBorders>
          </w:tcPr>
          <w:p w14:paraId="592761CF" w14:textId="16A46388" w:rsidR="001F14BF" w:rsidRDefault="001F14BF" w:rsidP="001F14BF">
            <w:pPr>
              <w:spacing w:after="0" w:line="259" w:lineRule="auto"/>
              <w:ind w:left="1"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56E01ECF" w14:textId="3F78C182" w:rsidR="001F14BF" w:rsidRDefault="001F14BF" w:rsidP="001F14BF">
            <w:pPr>
              <w:spacing w:after="0" w:line="259" w:lineRule="auto"/>
              <w:ind w:left="0"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6F0AD884" w14:textId="63A1564D" w:rsidR="001F14BF" w:rsidRDefault="001F14BF" w:rsidP="001F14BF">
            <w:pPr>
              <w:spacing w:after="0" w:line="259" w:lineRule="auto"/>
              <w:ind w:left="1"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0E2140AF" w14:textId="5E6BAB8E" w:rsidR="001F14BF" w:rsidRDefault="001F14BF" w:rsidP="001F14BF">
            <w:pPr>
              <w:spacing w:after="0" w:line="259" w:lineRule="auto"/>
              <w:ind w:left="1"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2CBB2F73" w14:textId="77777777" w:rsidR="001F14BF" w:rsidRDefault="001F14BF" w:rsidP="001F14BF">
            <w:pPr>
              <w:spacing w:after="0" w:line="259" w:lineRule="auto"/>
              <w:ind w:left="6"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24181942" w14:textId="5D4ECC16" w:rsidR="001F14BF" w:rsidRDefault="001F14BF" w:rsidP="001F14BF">
            <w:pPr>
              <w:spacing w:after="0" w:line="259" w:lineRule="auto"/>
              <w:ind w:left="3" w:firstLine="0"/>
              <w:jc w:val="center"/>
            </w:pPr>
            <w:r w:rsidRPr="008B1CDE">
              <w:t xml:space="preserve"> X</w:t>
            </w:r>
          </w:p>
        </w:tc>
      </w:tr>
      <w:tr w:rsidR="001F14BF" w14:paraId="524F3C5D" w14:textId="77777777" w:rsidTr="001F14BF">
        <w:trPr>
          <w:trHeight w:val="535"/>
        </w:trPr>
        <w:tc>
          <w:tcPr>
            <w:tcW w:w="5671" w:type="dxa"/>
            <w:tcBorders>
              <w:top w:val="single" w:sz="8" w:space="0" w:color="000000"/>
              <w:left w:val="single" w:sz="8" w:space="0" w:color="000000"/>
              <w:bottom w:val="single" w:sz="8" w:space="0" w:color="000000"/>
              <w:right w:val="single" w:sz="4" w:space="0" w:color="000000"/>
            </w:tcBorders>
          </w:tcPr>
          <w:p w14:paraId="18484B58" w14:textId="77777777" w:rsidR="001F14BF" w:rsidRDefault="001F14BF" w:rsidP="001F14BF">
            <w:pPr>
              <w:spacing w:after="0" w:line="259" w:lineRule="auto"/>
              <w:ind w:left="0" w:firstLine="0"/>
              <w:jc w:val="left"/>
            </w:pPr>
            <w:r>
              <w:t xml:space="preserve">Article 5 </w:t>
            </w:r>
          </w:p>
        </w:tc>
        <w:tc>
          <w:tcPr>
            <w:tcW w:w="442" w:type="dxa"/>
            <w:tcBorders>
              <w:top w:val="single" w:sz="4" w:space="0" w:color="000000"/>
              <w:left w:val="single" w:sz="4" w:space="0" w:color="000000"/>
              <w:bottom w:val="single" w:sz="4" w:space="0" w:color="000000"/>
              <w:right w:val="single" w:sz="4" w:space="0" w:color="000000"/>
            </w:tcBorders>
          </w:tcPr>
          <w:p w14:paraId="287F3D1F" w14:textId="23370FFE" w:rsidR="001F14BF" w:rsidRDefault="001F14BF" w:rsidP="001F14BF">
            <w:pPr>
              <w:spacing w:after="0" w:line="259" w:lineRule="auto"/>
              <w:ind w:left="1"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3458930C" w14:textId="10AEF699" w:rsidR="001F14BF" w:rsidRDefault="001F14BF" w:rsidP="001F14BF">
            <w:pPr>
              <w:spacing w:after="0" w:line="259" w:lineRule="auto"/>
              <w:ind w:left="0"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450E0375" w14:textId="637B6A6E" w:rsidR="001F14BF" w:rsidRDefault="001F14BF" w:rsidP="001F14BF">
            <w:pPr>
              <w:spacing w:after="0" w:line="259" w:lineRule="auto"/>
              <w:ind w:left="1"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45A78003" w14:textId="3B8B20F0" w:rsidR="001F14BF" w:rsidRDefault="001F14BF" w:rsidP="001F14BF">
            <w:pPr>
              <w:spacing w:after="0" w:line="259" w:lineRule="auto"/>
              <w:ind w:left="1" w:firstLine="0"/>
              <w:jc w:val="center"/>
            </w:pPr>
          </w:p>
        </w:tc>
        <w:tc>
          <w:tcPr>
            <w:tcW w:w="442" w:type="dxa"/>
            <w:tcBorders>
              <w:top w:val="single" w:sz="4" w:space="0" w:color="000000"/>
              <w:left w:val="single" w:sz="4" w:space="0" w:color="000000"/>
              <w:bottom w:val="single" w:sz="4" w:space="0" w:color="000000"/>
              <w:right w:val="single" w:sz="4" w:space="0" w:color="000000"/>
            </w:tcBorders>
          </w:tcPr>
          <w:p w14:paraId="45E6CB21" w14:textId="77777777" w:rsidR="001F14BF" w:rsidRDefault="001F14BF" w:rsidP="001F14BF">
            <w:pPr>
              <w:spacing w:after="0" w:line="259" w:lineRule="auto"/>
              <w:ind w:left="6"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tcPr>
          <w:p w14:paraId="420B9B3D" w14:textId="7AF9636A" w:rsidR="001F14BF" w:rsidRDefault="001F14BF" w:rsidP="001F14BF">
            <w:pPr>
              <w:spacing w:after="0" w:line="259" w:lineRule="auto"/>
              <w:ind w:left="3" w:firstLine="0"/>
              <w:jc w:val="center"/>
            </w:pPr>
            <w:r w:rsidRPr="008B1CDE">
              <w:t xml:space="preserve"> X</w:t>
            </w:r>
          </w:p>
        </w:tc>
      </w:tr>
    </w:tbl>
    <w:p w14:paraId="44CBA762" w14:textId="77777777" w:rsidR="0045673A" w:rsidRDefault="00E17DF3">
      <w:pPr>
        <w:spacing w:after="10" w:line="268" w:lineRule="auto"/>
        <w:ind w:left="-5" w:right="365"/>
        <w:jc w:val="left"/>
      </w:pPr>
      <w:r>
        <w:rPr>
          <w:i/>
          <w:sz w:val="20"/>
        </w:rPr>
        <w:t xml:space="preserve">(1= not at all, 2= not really, 3= partially, 4= mostly, 5= totally) </w:t>
      </w:r>
    </w:p>
    <w:p w14:paraId="53E12E25" w14:textId="77777777" w:rsidR="0045673A" w:rsidRDefault="00E17DF3">
      <w:pPr>
        <w:spacing w:after="216" w:line="259" w:lineRule="auto"/>
        <w:ind w:left="0" w:firstLine="0"/>
        <w:jc w:val="left"/>
      </w:pPr>
      <w:r>
        <w:t xml:space="preserve"> </w:t>
      </w:r>
    </w:p>
    <w:p w14:paraId="00B42F97" w14:textId="77777777" w:rsidR="0045673A" w:rsidRDefault="00E17DF3">
      <w:pPr>
        <w:ind w:right="643"/>
      </w:pPr>
      <w:r w:rsidRPr="00C81B6B">
        <w:t>Please explain your replies to question 3.1.1 as necessary:</w:t>
      </w:r>
      <w:r>
        <w:t xml:space="preserve"> </w:t>
      </w:r>
    </w:p>
    <w:tbl>
      <w:tblPr>
        <w:tblW w:w="8836" w:type="dxa"/>
        <w:tblCellMar>
          <w:top w:w="14" w:type="dxa"/>
          <w:left w:w="828" w:type="dxa"/>
          <w:right w:w="115" w:type="dxa"/>
        </w:tblCellMar>
        <w:tblLook w:val="04A0" w:firstRow="1" w:lastRow="0" w:firstColumn="1" w:lastColumn="0" w:noHBand="0" w:noVBand="1"/>
      </w:tblPr>
      <w:tblGrid>
        <w:gridCol w:w="8836"/>
      </w:tblGrid>
      <w:tr w:rsidR="0045673A" w14:paraId="5AA438C6" w14:textId="77777777">
        <w:trPr>
          <w:trHeight w:val="528"/>
        </w:trPr>
        <w:tc>
          <w:tcPr>
            <w:tcW w:w="8836" w:type="dxa"/>
            <w:tcBorders>
              <w:top w:val="single" w:sz="4" w:space="0" w:color="000000"/>
              <w:left w:val="single" w:sz="4" w:space="0" w:color="000000"/>
              <w:bottom w:val="single" w:sz="4" w:space="0" w:color="000000"/>
              <w:right w:val="single" w:sz="4" w:space="0" w:color="000000"/>
            </w:tcBorders>
          </w:tcPr>
          <w:p w14:paraId="43063690" w14:textId="77777777" w:rsidR="00C90CE6" w:rsidRDefault="00C90CE6">
            <w:pPr>
              <w:spacing w:after="0" w:line="259" w:lineRule="auto"/>
              <w:ind w:left="0" w:firstLine="0"/>
              <w:jc w:val="left"/>
              <w:rPr>
                <w:sz w:val="20"/>
                <w:szCs w:val="20"/>
              </w:rPr>
            </w:pPr>
          </w:p>
          <w:p w14:paraId="50EF5390" w14:textId="7D3706A1" w:rsidR="00A620ED" w:rsidRPr="00652E55" w:rsidRDefault="0027205D">
            <w:pPr>
              <w:spacing w:after="0" w:line="259" w:lineRule="auto"/>
              <w:ind w:left="0" w:firstLine="0"/>
              <w:jc w:val="left"/>
              <w:rPr>
                <w:rStyle w:val="ui-provider"/>
                <w:sz w:val="20"/>
                <w:szCs w:val="20"/>
              </w:rPr>
            </w:pPr>
            <w:r w:rsidRPr="00652E55">
              <w:rPr>
                <w:sz w:val="20"/>
                <w:szCs w:val="20"/>
              </w:rPr>
              <w:t xml:space="preserve">As previously highlighted in our response, the current entity-level Principle Adverse Impact (PAI) </w:t>
            </w:r>
            <w:r w:rsidR="00336F26" w:rsidRPr="00652E55">
              <w:rPr>
                <w:sz w:val="20"/>
                <w:szCs w:val="20"/>
              </w:rPr>
              <w:t>indicators are not sufficiently decision-useful</w:t>
            </w:r>
            <w:r w:rsidR="00FA047F">
              <w:rPr>
                <w:sz w:val="20"/>
                <w:szCs w:val="20"/>
              </w:rPr>
              <w:t xml:space="preserve"> in all cases</w:t>
            </w:r>
            <w:r w:rsidR="00336F26" w:rsidRPr="00652E55">
              <w:rPr>
                <w:sz w:val="20"/>
                <w:szCs w:val="20"/>
              </w:rPr>
              <w:t xml:space="preserve"> for investors, and we would advise that these indicators are streamlined in due course</w:t>
            </w:r>
            <w:r w:rsidR="006148A8" w:rsidRPr="00652E55">
              <w:rPr>
                <w:sz w:val="20"/>
                <w:szCs w:val="20"/>
              </w:rPr>
              <w:t xml:space="preserve"> </w:t>
            </w:r>
            <w:r w:rsidR="00D73DE9" w:rsidRPr="00652E55">
              <w:rPr>
                <w:sz w:val="20"/>
                <w:szCs w:val="20"/>
              </w:rPr>
              <w:t>so that</w:t>
            </w:r>
            <w:r w:rsidR="006148A8" w:rsidRPr="00652E55">
              <w:rPr>
                <w:sz w:val="20"/>
                <w:szCs w:val="20"/>
              </w:rPr>
              <w:t xml:space="preserve"> </w:t>
            </w:r>
            <w:r w:rsidR="006148A8" w:rsidRPr="00652E55">
              <w:rPr>
                <w:rStyle w:val="ui-provider"/>
                <w:sz w:val="20"/>
                <w:szCs w:val="20"/>
              </w:rPr>
              <w:t>these disclosures are</w:t>
            </w:r>
            <w:r w:rsidR="006B2BFC">
              <w:rPr>
                <w:rStyle w:val="ui-provider"/>
                <w:sz w:val="20"/>
                <w:szCs w:val="20"/>
              </w:rPr>
              <w:t xml:space="preserve"> more </w:t>
            </w:r>
            <w:r w:rsidR="006148A8" w:rsidRPr="00652E55">
              <w:rPr>
                <w:rStyle w:val="ui-provider"/>
                <w:sz w:val="20"/>
                <w:szCs w:val="20"/>
              </w:rPr>
              <w:t>relevant to the activities of underlying investments.</w:t>
            </w:r>
          </w:p>
          <w:p w14:paraId="4D563E92" w14:textId="77777777" w:rsidR="00A620ED" w:rsidRPr="00652E55" w:rsidRDefault="00A620ED">
            <w:pPr>
              <w:spacing w:after="0" w:line="259" w:lineRule="auto"/>
              <w:ind w:left="0" w:firstLine="0"/>
              <w:jc w:val="left"/>
              <w:rPr>
                <w:rStyle w:val="ui-provider"/>
                <w:sz w:val="20"/>
                <w:szCs w:val="20"/>
              </w:rPr>
            </w:pPr>
          </w:p>
          <w:p w14:paraId="422344FE" w14:textId="4D193687" w:rsidR="00331782" w:rsidRDefault="00A620ED" w:rsidP="00EB1B40">
            <w:pPr>
              <w:spacing w:after="0" w:line="259" w:lineRule="auto"/>
              <w:ind w:left="0" w:firstLine="0"/>
              <w:jc w:val="left"/>
              <w:rPr>
                <w:rStyle w:val="ui-provider"/>
                <w:sz w:val="20"/>
                <w:szCs w:val="20"/>
              </w:rPr>
            </w:pPr>
            <w:r w:rsidRPr="00652E55">
              <w:rPr>
                <w:rStyle w:val="ui-provider"/>
                <w:sz w:val="20"/>
                <w:szCs w:val="20"/>
              </w:rPr>
              <w:t>At present, the entity-level PAI disclos</w:t>
            </w:r>
            <w:r w:rsidR="006D1619" w:rsidRPr="00652E55">
              <w:rPr>
                <w:rStyle w:val="ui-provider"/>
                <w:sz w:val="20"/>
                <w:szCs w:val="20"/>
              </w:rPr>
              <w:t>ures</w:t>
            </w:r>
            <w:r w:rsidR="004377B4" w:rsidRPr="00652E55">
              <w:rPr>
                <w:rStyle w:val="ui-provider"/>
                <w:sz w:val="20"/>
                <w:szCs w:val="20"/>
              </w:rPr>
              <w:t xml:space="preserve"> are overly broad and not </w:t>
            </w:r>
            <w:r w:rsidR="00716327" w:rsidRPr="00652E55">
              <w:rPr>
                <w:rStyle w:val="ui-provider"/>
                <w:sz w:val="20"/>
                <w:szCs w:val="20"/>
              </w:rPr>
              <w:t>fund-specific per sei</w:t>
            </w:r>
            <w:r w:rsidR="004377B4" w:rsidRPr="00652E55">
              <w:rPr>
                <w:rStyle w:val="ui-provider"/>
                <w:sz w:val="20"/>
                <w:szCs w:val="20"/>
              </w:rPr>
              <w:t xml:space="preserve">, leading to relatively limited value </w:t>
            </w:r>
            <w:r w:rsidR="006B2BFC">
              <w:rPr>
                <w:rStyle w:val="ui-provider"/>
                <w:sz w:val="20"/>
                <w:szCs w:val="20"/>
              </w:rPr>
              <w:t xml:space="preserve">in some cases </w:t>
            </w:r>
            <w:r w:rsidR="004377B4" w:rsidRPr="00652E55">
              <w:rPr>
                <w:rStyle w:val="ui-provider"/>
                <w:sz w:val="20"/>
                <w:szCs w:val="20"/>
              </w:rPr>
              <w:t>for financial market participants.</w:t>
            </w:r>
            <w:r w:rsidR="00716327" w:rsidRPr="00652E55">
              <w:rPr>
                <w:rStyle w:val="ui-provider"/>
                <w:sz w:val="20"/>
                <w:szCs w:val="20"/>
              </w:rPr>
              <w:t xml:space="preserve"> The lack of high-quality data has increased the issues in this area</w:t>
            </w:r>
            <w:r w:rsidR="008C0C10" w:rsidRPr="00652E55">
              <w:rPr>
                <w:rStyle w:val="ui-provider"/>
                <w:sz w:val="20"/>
                <w:szCs w:val="20"/>
              </w:rPr>
              <w:t>, and we have seen a ‘tick</w:t>
            </w:r>
            <w:r w:rsidR="00141153" w:rsidRPr="00652E55">
              <w:rPr>
                <w:rStyle w:val="ui-provider"/>
                <w:sz w:val="20"/>
                <w:szCs w:val="20"/>
              </w:rPr>
              <w:t>-</w:t>
            </w:r>
            <w:r w:rsidR="008C0C10" w:rsidRPr="00652E55">
              <w:rPr>
                <w:rStyle w:val="ui-provider"/>
                <w:sz w:val="20"/>
                <w:szCs w:val="20"/>
              </w:rPr>
              <w:t>box’ mentality adopted in many respects in these disclosures.</w:t>
            </w:r>
          </w:p>
          <w:p w14:paraId="1B9267C9" w14:textId="777A0154" w:rsidR="00E13DC6" w:rsidRPr="000551A2" w:rsidRDefault="00E13DC6" w:rsidP="00EB1B40">
            <w:pPr>
              <w:spacing w:after="0" w:line="259" w:lineRule="auto"/>
              <w:ind w:left="0" w:firstLine="0"/>
              <w:jc w:val="left"/>
              <w:rPr>
                <w:sz w:val="20"/>
                <w:szCs w:val="20"/>
              </w:rPr>
            </w:pPr>
          </w:p>
        </w:tc>
      </w:tr>
    </w:tbl>
    <w:p w14:paraId="6922F675" w14:textId="77777777" w:rsidR="0045673A" w:rsidRDefault="00E17DF3">
      <w:pPr>
        <w:spacing w:after="0" w:line="259" w:lineRule="auto"/>
        <w:ind w:left="0" w:firstLine="0"/>
        <w:jc w:val="left"/>
      </w:pPr>
      <w:r>
        <w:rPr>
          <w:i/>
        </w:rPr>
        <w:t xml:space="preserve"> </w:t>
      </w:r>
    </w:p>
    <w:p w14:paraId="7D55C5A9" w14:textId="77777777" w:rsidR="0045673A" w:rsidRDefault="00E17DF3">
      <w:pPr>
        <w:spacing w:after="228"/>
        <w:ind w:right="643"/>
      </w:pPr>
      <w:r>
        <w:t xml:space="preserve">Complementing the </w:t>
      </w:r>
      <w:hyperlink r:id="rId80">
        <w:r>
          <w:rPr>
            <w:color w:val="0000FF"/>
            <w:u w:val="single" w:color="0000FF"/>
          </w:rPr>
          <w:t>consultation by the European Supervisory Authorities (ESAs) on the</w:t>
        </w:r>
      </w:hyperlink>
      <w:hyperlink r:id="rId81">
        <w:r>
          <w:rPr>
            <w:color w:val="0000FF"/>
          </w:rPr>
          <w:t xml:space="preserve"> </w:t>
        </w:r>
      </w:hyperlink>
      <w:hyperlink r:id="rId82">
        <w:r>
          <w:rPr>
            <w:color w:val="0000FF"/>
            <w:u w:val="single" w:color="0000FF"/>
          </w:rPr>
          <w:t>revision of the Regulatory Technical Standards of the SFDR</w:t>
        </w:r>
      </w:hyperlink>
      <w:r>
        <w:rPr>
          <w:vertAlign w:val="superscript"/>
        </w:rPr>
        <w:footnoteReference w:id="12"/>
      </w:r>
      <w:r>
        <w:t xml:space="preserve">, the Commission is interested in respondents’ views as regards the principal adverse impact indicators required by the current Delegated Regulation. </w:t>
      </w:r>
    </w:p>
    <w:p w14:paraId="5E8CD875" w14:textId="77777777" w:rsidR="0045673A" w:rsidRDefault="00E17DF3">
      <w:pPr>
        <w:spacing w:after="46"/>
        <w:ind w:right="643"/>
      </w:pPr>
      <w:r w:rsidRPr="00C81B6B">
        <w:rPr>
          <w:b/>
          <w:u w:val="single" w:color="000000"/>
        </w:rPr>
        <w:t>Question 3.1.2</w:t>
      </w:r>
      <w:r w:rsidRPr="00C81B6B">
        <w:t xml:space="preserve">: Among the specific entity level principal adverse impact indicators required by the </w:t>
      </w:r>
      <w:hyperlink r:id="rId83">
        <w:r w:rsidRPr="00C81B6B">
          <w:rPr>
            <w:color w:val="0000FF"/>
            <w:u w:val="single" w:color="0000FF"/>
          </w:rPr>
          <w:t>Delegated Regulation of the SFDR</w:t>
        </w:r>
      </w:hyperlink>
      <w:hyperlink r:id="rId84">
        <w:r w:rsidRPr="00C81B6B">
          <w:t xml:space="preserve"> </w:t>
        </w:r>
      </w:hyperlink>
      <w:r w:rsidRPr="00C81B6B">
        <w:t>adopted pursuant to Article 4 (tables 1, 2 and 3 of Annex I), which indicators do you find the most (and least) useful?</w:t>
      </w:r>
      <w:r>
        <w:rPr>
          <w:i/>
        </w:rPr>
        <w:t xml:space="preserve"> </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59D3DB96"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488DA671" w14:textId="77777777" w:rsidR="00C90CE6" w:rsidRDefault="00C90CE6">
            <w:pPr>
              <w:spacing w:after="0" w:line="259" w:lineRule="auto"/>
              <w:ind w:left="0" w:firstLine="0"/>
              <w:jc w:val="left"/>
              <w:rPr>
                <w:sz w:val="20"/>
                <w:szCs w:val="20"/>
              </w:rPr>
            </w:pPr>
          </w:p>
          <w:p w14:paraId="7E829BF8" w14:textId="606817B0" w:rsidR="003718A8" w:rsidRPr="000551A2" w:rsidRDefault="00997DE8">
            <w:pPr>
              <w:spacing w:after="0" w:line="259" w:lineRule="auto"/>
              <w:ind w:left="0" w:firstLine="0"/>
              <w:jc w:val="left"/>
              <w:rPr>
                <w:sz w:val="20"/>
                <w:szCs w:val="20"/>
              </w:rPr>
            </w:pPr>
            <w:r w:rsidRPr="000551A2">
              <w:rPr>
                <w:sz w:val="20"/>
                <w:szCs w:val="20"/>
              </w:rPr>
              <w:t xml:space="preserve">While very prescriptive entity-level Principle Adverse Impact (PAI) indicators have not been sufficiently meaningful for end investors, we </w:t>
            </w:r>
            <w:r w:rsidR="00C757D0">
              <w:rPr>
                <w:sz w:val="20"/>
                <w:szCs w:val="20"/>
              </w:rPr>
              <w:t>would advise</w:t>
            </w:r>
            <w:r w:rsidR="003718A8" w:rsidRPr="000551A2">
              <w:rPr>
                <w:sz w:val="20"/>
                <w:szCs w:val="20"/>
              </w:rPr>
              <w:t xml:space="preserve"> retain</w:t>
            </w:r>
            <w:r w:rsidR="00C757D0">
              <w:rPr>
                <w:sz w:val="20"/>
                <w:szCs w:val="20"/>
              </w:rPr>
              <w:t>ing</w:t>
            </w:r>
            <w:r w:rsidR="003718A8" w:rsidRPr="000551A2">
              <w:rPr>
                <w:sz w:val="20"/>
                <w:szCs w:val="20"/>
              </w:rPr>
              <w:t xml:space="preserve"> a number of these disclosures in future</w:t>
            </w:r>
            <w:r w:rsidR="009C639F">
              <w:rPr>
                <w:sz w:val="20"/>
                <w:szCs w:val="20"/>
              </w:rPr>
              <w:t>, including</w:t>
            </w:r>
            <w:r w:rsidR="00C90CE6">
              <w:rPr>
                <w:sz w:val="20"/>
                <w:szCs w:val="20"/>
              </w:rPr>
              <w:t xml:space="preserve"> </w:t>
            </w:r>
            <w:r w:rsidR="009C639F">
              <w:rPr>
                <w:sz w:val="20"/>
                <w:szCs w:val="20"/>
              </w:rPr>
              <w:t>a limited number for all financial products.</w:t>
            </w:r>
            <w:r w:rsidR="003718A8" w:rsidRPr="000551A2">
              <w:rPr>
                <w:sz w:val="20"/>
                <w:szCs w:val="20"/>
              </w:rPr>
              <w:t xml:space="preserve"> </w:t>
            </w:r>
          </w:p>
          <w:p w14:paraId="23892125" w14:textId="77777777" w:rsidR="009C639F" w:rsidRPr="000551A2" w:rsidRDefault="009C639F">
            <w:pPr>
              <w:spacing w:after="0" w:line="259" w:lineRule="auto"/>
              <w:ind w:left="0" w:firstLine="0"/>
              <w:jc w:val="left"/>
              <w:rPr>
                <w:sz w:val="20"/>
                <w:szCs w:val="20"/>
              </w:rPr>
            </w:pPr>
          </w:p>
          <w:p w14:paraId="11160756" w14:textId="22A32B83" w:rsidR="00761967" w:rsidRPr="000551A2" w:rsidRDefault="003718A8">
            <w:pPr>
              <w:spacing w:after="0" w:line="259" w:lineRule="auto"/>
              <w:ind w:left="0" w:firstLine="0"/>
              <w:jc w:val="left"/>
              <w:rPr>
                <w:sz w:val="20"/>
                <w:szCs w:val="20"/>
              </w:rPr>
            </w:pPr>
            <w:r w:rsidRPr="000551A2">
              <w:rPr>
                <w:sz w:val="20"/>
                <w:szCs w:val="20"/>
              </w:rPr>
              <w:t xml:space="preserve">This includes </w:t>
            </w:r>
            <w:r w:rsidR="00997DE8" w:rsidRPr="000551A2">
              <w:rPr>
                <w:sz w:val="20"/>
                <w:szCs w:val="20"/>
              </w:rPr>
              <w:t>retain</w:t>
            </w:r>
            <w:r w:rsidRPr="000551A2">
              <w:rPr>
                <w:sz w:val="20"/>
                <w:szCs w:val="20"/>
              </w:rPr>
              <w:t>ing</w:t>
            </w:r>
            <w:r w:rsidR="00997DE8" w:rsidRPr="000551A2">
              <w:rPr>
                <w:sz w:val="20"/>
                <w:szCs w:val="20"/>
              </w:rPr>
              <w:t xml:space="preserve"> </w:t>
            </w:r>
            <w:r w:rsidR="00860949" w:rsidRPr="000551A2">
              <w:rPr>
                <w:sz w:val="20"/>
                <w:szCs w:val="20"/>
              </w:rPr>
              <w:t>requirements</w:t>
            </w:r>
            <w:r w:rsidR="00C90CE6">
              <w:rPr>
                <w:sz w:val="20"/>
                <w:szCs w:val="20"/>
              </w:rPr>
              <w:t xml:space="preserve">, for example, </w:t>
            </w:r>
            <w:r w:rsidR="00860949" w:rsidRPr="000551A2">
              <w:rPr>
                <w:sz w:val="20"/>
                <w:szCs w:val="20"/>
              </w:rPr>
              <w:t>for financial market participations to disclose the integration of sustainability risks and their remuneration policies with regards to this</w:t>
            </w:r>
            <w:r w:rsidR="00A856AA" w:rsidRPr="000551A2">
              <w:rPr>
                <w:sz w:val="20"/>
                <w:szCs w:val="20"/>
              </w:rPr>
              <w:t>.</w:t>
            </w:r>
            <w:r w:rsidRPr="000551A2">
              <w:rPr>
                <w:sz w:val="20"/>
                <w:szCs w:val="20"/>
              </w:rPr>
              <w:t xml:space="preserve"> In terms of the less useful indicators,</w:t>
            </w:r>
            <w:r w:rsidR="00252D9E" w:rsidRPr="000551A2">
              <w:rPr>
                <w:sz w:val="20"/>
                <w:szCs w:val="20"/>
              </w:rPr>
              <w:t xml:space="preserve"> these include Article 4 </w:t>
            </w:r>
            <w:r w:rsidR="0052238D" w:rsidRPr="000551A2">
              <w:rPr>
                <w:sz w:val="20"/>
                <w:szCs w:val="20"/>
              </w:rPr>
              <w:t>disclosures</w:t>
            </w:r>
            <w:r w:rsidR="00C1459A" w:rsidRPr="000551A2">
              <w:rPr>
                <w:sz w:val="20"/>
                <w:szCs w:val="20"/>
              </w:rPr>
              <w:t xml:space="preserve"> </w:t>
            </w:r>
            <w:r w:rsidR="0059338A">
              <w:rPr>
                <w:sz w:val="20"/>
                <w:szCs w:val="20"/>
              </w:rPr>
              <w:t>that</w:t>
            </w:r>
            <w:r w:rsidR="00C1459A" w:rsidRPr="000551A2">
              <w:rPr>
                <w:sz w:val="20"/>
                <w:szCs w:val="20"/>
              </w:rPr>
              <w:t xml:space="preserve"> have not allowed for meaningful </w:t>
            </w:r>
            <w:r w:rsidR="00761967" w:rsidRPr="000551A2">
              <w:rPr>
                <w:sz w:val="20"/>
                <w:szCs w:val="20"/>
              </w:rPr>
              <w:t>comparability</w:t>
            </w:r>
            <w:r w:rsidR="00C1459A" w:rsidRPr="000551A2">
              <w:rPr>
                <w:sz w:val="20"/>
                <w:szCs w:val="20"/>
              </w:rPr>
              <w:t xml:space="preserve"> between financial market participants. </w:t>
            </w:r>
          </w:p>
          <w:p w14:paraId="26FD5835" w14:textId="77777777" w:rsidR="00761967" w:rsidRPr="000551A2" w:rsidRDefault="00761967">
            <w:pPr>
              <w:spacing w:after="0" w:line="259" w:lineRule="auto"/>
              <w:ind w:left="0" w:firstLine="0"/>
              <w:jc w:val="left"/>
              <w:rPr>
                <w:sz w:val="20"/>
                <w:szCs w:val="20"/>
              </w:rPr>
            </w:pPr>
          </w:p>
          <w:p w14:paraId="45A6EC2D" w14:textId="76CAB9A7" w:rsidR="00CF5006" w:rsidRPr="000551A2" w:rsidRDefault="002D34F0">
            <w:pPr>
              <w:spacing w:after="0" w:line="259" w:lineRule="auto"/>
              <w:ind w:left="0" w:firstLine="0"/>
              <w:jc w:val="left"/>
              <w:rPr>
                <w:sz w:val="20"/>
                <w:szCs w:val="20"/>
              </w:rPr>
            </w:pPr>
            <w:r w:rsidRPr="000551A2">
              <w:rPr>
                <w:sz w:val="20"/>
                <w:szCs w:val="20"/>
              </w:rPr>
              <w:t xml:space="preserve">In terms of the more useful indicators, </w:t>
            </w:r>
            <w:r w:rsidR="00F5727B" w:rsidRPr="000551A2">
              <w:rPr>
                <w:sz w:val="20"/>
                <w:szCs w:val="20"/>
              </w:rPr>
              <w:t>these are mainly those at the product-level, including those laid out in tables 1, 2, and 3 of Annex I of the SFDR Delegated Regulations</w:t>
            </w:r>
            <w:r w:rsidR="00761967" w:rsidRPr="000551A2">
              <w:rPr>
                <w:sz w:val="20"/>
                <w:szCs w:val="20"/>
              </w:rPr>
              <w:t>, and where data availability is comparatively less of a challenge</w:t>
            </w:r>
            <w:r w:rsidR="000F1BA6" w:rsidRPr="000551A2">
              <w:rPr>
                <w:sz w:val="20"/>
                <w:szCs w:val="20"/>
              </w:rPr>
              <w:t>.</w:t>
            </w:r>
          </w:p>
          <w:p w14:paraId="5C58E847" w14:textId="6770988D" w:rsidR="00A856AA" w:rsidRPr="00A856AA" w:rsidRDefault="00A856AA">
            <w:pPr>
              <w:spacing w:after="0" w:line="259" w:lineRule="auto"/>
              <w:ind w:left="0" w:firstLine="0"/>
              <w:jc w:val="left"/>
              <w:rPr>
                <w:sz w:val="20"/>
                <w:szCs w:val="20"/>
              </w:rPr>
            </w:pPr>
          </w:p>
        </w:tc>
      </w:tr>
    </w:tbl>
    <w:p w14:paraId="2F9BE3A2" w14:textId="77777777" w:rsidR="0045673A" w:rsidRDefault="00E17DF3">
      <w:pPr>
        <w:spacing w:after="245" w:line="259" w:lineRule="auto"/>
        <w:ind w:left="0" w:firstLine="0"/>
        <w:jc w:val="left"/>
      </w:pPr>
      <w:r>
        <w:t xml:space="preserve"> </w:t>
      </w:r>
    </w:p>
    <w:p w14:paraId="0A788509" w14:textId="77777777" w:rsidR="0045673A" w:rsidRDefault="00E17DF3">
      <w:pPr>
        <w:spacing w:after="0" w:line="259" w:lineRule="auto"/>
        <w:ind w:left="0" w:firstLine="0"/>
        <w:jc w:val="left"/>
      </w:pPr>
      <w:r>
        <w:rPr>
          <w:rFonts w:ascii="Calibri" w:eastAsia="Calibri" w:hAnsi="Calibri" w:cs="Calibri"/>
          <w:noProof/>
          <w:sz w:val="22"/>
        </w:rPr>
        <mc:AlternateContent>
          <mc:Choice Requires="wpg">
            <w:drawing>
              <wp:inline distT="0" distB="0" distL="0" distR="0" wp14:anchorId="572FCAF3" wp14:editId="5F89B327">
                <wp:extent cx="1829054" cy="7620"/>
                <wp:effectExtent l="0" t="0" r="0" b="0"/>
                <wp:docPr id="106112" name="Group 106112"/>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137423" name="Shape 137423"/>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652CA3D" id="Group 106112" o:spid="_x0000_s1026" style="width:2in;height:.6pt;mso-position-horizontal-relative:char;mso-position-vertical-relative:line" coordsize="1829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">
                <v:shape id="Shape 137423"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" path="m,l1829054,r,9144l,9144,,e" fillcolor="black" stroked="f" strokeweight="0">
                  <v:stroke miterlimit="83231f" joinstyle="miter"/>
                  <v:path arrowok="t" textboxrect="0,0,1829054,9144"/>
                </v:shape>
                <w10:anchorlock/>
              </v:group>
            </w:pict>
          </mc:Fallback>
        </mc:AlternateContent>
      </w:r>
      <w:r>
        <w:t xml:space="preserve"> </w:t>
      </w:r>
    </w:p>
    <w:p w14:paraId="4C94732D" w14:textId="77777777" w:rsidR="0045673A" w:rsidRDefault="00E17DF3">
      <w:pPr>
        <w:spacing w:after="229"/>
        <w:ind w:right="643"/>
      </w:pPr>
      <w:r>
        <w:t xml:space="preserve">Several pieces of EU legislation require entity level disclosures, whether through transparency requirements on sustainability for businesses (for example the CSRD) or disclosure requirements regarding own ESG exposures (such as the Capital Requirements Regulation (CRR) and its Delegated Regulation). </w:t>
      </w:r>
    </w:p>
    <w:p w14:paraId="76135512" w14:textId="77777777" w:rsidR="0045673A" w:rsidRDefault="00E17DF3">
      <w:pPr>
        <w:ind w:right="643"/>
      </w:pPr>
      <w:r>
        <w:rPr>
          <w:b/>
          <w:u w:val="single" w:color="000000"/>
        </w:rPr>
        <w:t>Question 3.1.3</w:t>
      </w:r>
      <w:r>
        <w:t xml:space="preserve">: In this context, is the SFDR the right place to include entity level disclosures?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7F08DEA1"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5EB37791"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25FEE266"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3E402C09"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3EE62BF6"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1F315C47"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43ADD673" w14:textId="77777777" w:rsidR="0045673A" w:rsidRDefault="00E17DF3">
            <w:pPr>
              <w:spacing w:after="0" w:line="259" w:lineRule="auto"/>
              <w:ind w:left="0" w:right="3" w:firstLine="0"/>
              <w:jc w:val="center"/>
            </w:pPr>
            <w:r>
              <w:t xml:space="preserve">Don’t know </w:t>
            </w:r>
          </w:p>
        </w:tc>
      </w:tr>
      <w:tr w:rsidR="0045673A" w14:paraId="6CA44402" w14:textId="77777777">
        <w:trPr>
          <w:trHeight w:val="533"/>
        </w:trPr>
        <w:tc>
          <w:tcPr>
            <w:tcW w:w="1111" w:type="dxa"/>
            <w:tcBorders>
              <w:top w:val="single" w:sz="6" w:space="0" w:color="000000"/>
              <w:left w:val="single" w:sz="6" w:space="0" w:color="000000"/>
              <w:bottom w:val="single" w:sz="6" w:space="0" w:color="000000"/>
              <w:right w:val="single" w:sz="6" w:space="0" w:color="000000"/>
            </w:tcBorders>
          </w:tcPr>
          <w:p w14:paraId="1251B310"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634F27EE" w14:textId="0BC58783" w:rsidR="0045673A" w:rsidRDefault="00E17DF3">
            <w:pPr>
              <w:spacing w:after="0" w:line="259" w:lineRule="auto"/>
              <w:ind w:left="59" w:firstLine="0"/>
              <w:jc w:val="center"/>
            </w:pPr>
            <w:r>
              <w:t xml:space="preserve"> </w:t>
            </w:r>
          </w:p>
        </w:tc>
        <w:tc>
          <w:tcPr>
            <w:tcW w:w="1094" w:type="dxa"/>
            <w:tcBorders>
              <w:top w:val="single" w:sz="6" w:space="0" w:color="000000"/>
              <w:left w:val="single" w:sz="6" w:space="0" w:color="000000"/>
              <w:bottom w:val="single" w:sz="6" w:space="0" w:color="000000"/>
              <w:right w:val="single" w:sz="6" w:space="0" w:color="000000"/>
            </w:tcBorders>
          </w:tcPr>
          <w:p w14:paraId="6EBBBB5C" w14:textId="33EC62C4" w:rsidR="0045673A" w:rsidRDefault="00632F71">
            <w:pPr>
              <w:spacing w:after="0" w:line="259" w:lineRule="auto"/>
              <w:ind w:left="60" w:firstLine="0"/>
              <w:jc w:val="center"/>
            </w:pPr>
            <w:r>
              <w:t>X</w:t>
            </w:r>
            <w:r w:rsidR="00E17DF3">
              <w:t xml:space="preserve"> </w:t>
            </w:r>
          </w:p>
        </w:tc>
        <w:tc>
          <w:tcPr>
            <w:tcW w:w="1095" w:type="dxa"/>
            <w:tcBorders>
              <w:top w:val="single" w:sz="6" w:space="0" w:color="000000"/>
              <w:left w:val="single" w:sz="6" w:space="0" w:color="000000"/>
              <w:bottom w:val="single" w:sz="6" w:space="0" w:color="000000"/>
              <w:right w:val="single" w:sz="6" w:space="0" w:color="000000"/>
            </w:tcBorders>
          </w:tcPr>
          <w:p w14:paraId="330FB9D3" w14:textId="2AC91BEC" w:rsidR="0045673A" w:rsidRDefault="0045673A">
            <w:pPr>
              <w:spacing w:after="0" w:line="259" w:lineRule="auto"/>
              <w:ind w:left="60" w:firstLine="0"/>
              <w:jc w:val="center"/>
            </w:pPr>
          </w:p>
        </w:tc>
        <w:tc>
          <w:tcPr>
            <w:tcW w:w="1025" w:type="dxa"/>
            <w:tcBorders>
              <w:top w:val="single" w:sz="6" w:space="0" w:color="000000"/>
              <w:left w:val="single" w:sz="6" w:space="0" w:color="000000"/>
              <w:bottom w:val="single" w:sz="6" w:space="0" w:color="000000"/>
              <w:right w:val="single" w:sz="6" w:space="0" w:color="000000"/>
            </w:tcBorders>
          </w:tcPr>
          <w:p w14:paraId="7D58A1CD"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4C44209F" w14:textId="77777777" w:rsidR="0045673A" w:rsidRDefault="00E17DF3">
            <w:pPr>
              <w:spacing w:after="0" w:line="259" w:lineRule="auto"/>
              <w:ind w:left="63" w:firstLine="0"/>
              <w:jc w:val="center"/>
            </w:pPr>
            <w:r>
              <w:t xml:space="preserve"> </w:t>
            </w:r>
          </w:p>
        </w:tc>
      </w:tr>
    </w:tbl>
    <w:p w14:paraId="74D1EF2B" w14:textId="77777777" w:rsidR="0045673A" w:rsidRDefault="00E17DF3">
      <w:pPr>
        <w:spacing w:after="15" w:line="268" w:lineRule="auto"/>
        <w:ind w:left="-5" w:right="365"/>
        <w:jc w:val="left"/>
      </w:pPr>
      <w:r>
        <w:rPr>
          <w:i/>
          <w:sz w:val="20"/>
        </w:rPr>
        <w:t xml:space="preserve">(1= not at all, 2= not really, 3= partially, 4= mostly, 5= totally) </w:t>
      </w:r>
    </w:p>
    <w:p w14:paraId="34D13AEF" w14:textId="77777777" w:rsidR="0045673A" w:rsidRDefault="00E17DF3">
      <w:pPr>
        <w:spacing w:after="0" w:line="259" w:lineRule="auto"/>
        <w:ind w:left="0" w:firstLine="0"/>
        <w:jc w:val="left"/>
      </w:pPr>
      <w:r>
        <w:rPr>
          <w:rFonts w:ascii="Calibri" w:eastAsia="Calibri" w:hAnsi="Calibri" w:cs="Calibri"/>
        </w:rPr>
        <w:t xml:space="preserve"> </w:t>
      </w:r>
    </w:p>
    <w:p w14:paraId="59CEB578" w14:textId="77777777" w:rsidR="0045673A" w:rsidRDefault="00E17DF3">
      <w:pPr>
        <w:ind w:right="643"/>
      </w:pPr>
      <w:r>
        <w:rPr>
          <w:b/>
          <w:u w:val="single" w:color="000000"/>
        </w:rPr>
        <w:t>Question 3.1.4</w:t>
      </w:r>
      <w:r>
        <w:t xml:space="preserve">: To what extent is there room for streamlining sustainability-related entity level requirements across different pieces of legislation?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6D430479" w14:textId="77777777">
        <w:trPr>
          <w:trHeight w:val="533"/>
        </w:trPr>
        <w:tc>
          <w:tcPr>
            <w:tcW w:w="1111" w:type="dxa"/>
            <w:tcBorders>
              <w:top w:val="single" w:sz="6" w:space="0" w:color="000000"/>
              <w:left w:val="single" w:sz="6" w:space="0" w:color="000000"/>
              <w:bottom w:val="single" w:sz="6" w:space="0" w:color="000000"/>
              <w:right w:val="single" w:sz="6" w:space="0" w:color="000000"/>
            </w:tcBorders>
          </w:tcPr>
          <w:p w14:paraId="6A14A3D8"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34DE7AD9"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561BA774"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7DF3F80F"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13805F5F"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3ED7862B" w14:textId="77777777" w:rsidR="0045673A" w:rsidRDefault="00E17DF3">
            <w:pPr>
              <w:spacing w:after="0" w:line="259" w:lineRule="auto"/>
              <w:ind w:left="0" w:right="3" w:firstLine="0"/>
              <w:jc w:val="center"/>
            </w:pPr>
            <w:r>
              <w:t xml:space="preserve">Don’t know </w:t>
            </w:r>
          </w:p>
        </w:tc>
      </w:tr>
      <w:tr w:rsidR="0045673A" w14:paraId="7ED65C6D"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3F0F8287"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510F5686" w14:textId="77777777" w:rsidR="0045673A" w:rsidRDefault="00E17DF3">
            <w:pPr>
              <w:spacing w:after="0" w:line="259" w:lineRule="auto"/>
              <w:ind w:left="59" w:firstLine="0"/>
              <w:jc w:val="center"/>
            </w:pPr>
            <w:r>
              <w:t xml:space="preserve"> </w:t>
            </w:r>
          </w:p>
        </w:tc>
        <w:tc>
          <w:tcPr>
            <w:tcW w:w="1094" w:type="dxa"/>
            <w:tcBorders>
              <w:top w:val="single" w:sz="6" w:space="0" w:color="000000"/>
              <w:left w:val="single" w:sz="6" w:space="0" w:color="000000"/>
              <w:bottom w:val="single" w:sz="6" w:space="0" w:color="000000"/>
              <w:right w:val="single" w:sz="6" w:space="0" w:color="000000"/>
            </w:tcBorders>
          </w:tcPr>
          <w:p w14:paraId="54773895" w14:textId="77777777" w:rsidR="0045673A" w:rsidRDefault="00E17DF3">
            <w:pPr>
              <w:spacing w:after="0" w:line="259" w:lineRule="auto"/>
              <w:ind w:left="60"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7CC2872A" w14:textId="77777777" w:rsidR="0045673A" w:rsidRDefault="00E17DF3">
            <w:pPr>
              <w:spacing w:after="0" w:line="259" w:lineRule="auto"/>
              <w:ind w:left="60" w:firstLine="0"/>
              <w:jc w:val="center"/>
            </w:pPr>
            <w:r>
              <w:t xml:space="preserve"> </w:t>
            </w:r>
          </w:p>
        </w:tc>
        <w:tc>
          <w:tcPr>
            <w:tcW w:w="1025" w:type="dxa"/>
            <w:tcBorders>
              <w:top w:val="single" w:sz="6" w:space="0" w:color="000000"/>
              <w:left w:val="single" w:sz="6" w:space="0" w:color="000000"/>
              <w:bottom w:val="single" w:sz="6" w:space="0" w:color="000000"/>
              <w:right w:val="single" w:sz="6" w:space="0" w:color="000000"/>
            </w:tcBorders>
          </w:tcPr>
          <w:p w14:paraId="4DC84AB2" w14:textId="05C67D7F" w:rsidR="0045673A" w:rsidRDefault="00951B76">
            <w:pPr>
              <w:spacing w:after="0" w:line="259" w:lineRule="auto"/>
              <w:ind w:left="62" w:firstLine="0"/>
              <w:jc w:val="center"/>
            </w:pPr>
            <w:r>
              <w:t>X</w:t>
            </w:r>
            <w:r w:rsidR="00E17DF3">
              <w:t xml:space="preserve"> </w:t>
            </w:r>
          </w:p>
        </w:tc>
        <w:tc>
          <w:tcPr>
            <w:tcW w:w="2552" w:type="dxa"/>
            <w:tcBorders>
              <w:top w:val="single" w:sz="6" w:space="0" w:color="000000"/>
              <w:left w:val="single" w:sz="6" w:space="0" w:color="000000"/>
              <w:bottom w:val="single" w:sz="6" w:space="0" w:color="000000"/>
              <w:right w:val="single" w:sz="6" w:space="0" w:color="000000"/>
            </w:tcBorders>
          </w:tcPr>
          <w:p w14:paraId="17E672FF" w14:textId="6A92334A" w:rsidR="0045673A" w:rsidRDefault="0045673A" w:rsidP="00951B76">
            <w:pPr>
              <w:spacing w:after="0" w:line="259" w:lineRule="auto"/>
              <w:ind w:left="63" w:firstLine="0"/>
            </w:pPr>
          </w:p>
        </w:tc>
      </w:tr>
    </w:tbl>
    <w:p w14:paraId="00A4BFDB" w14:textId="77777777" w:rsidR="0045673A" w:rsidRDefault="00E17DF3">
      <w:pPr>
        <w:spacing w:after="30" w:line="268" w:lineRule="auto"/>
        <w:ind w:left="-5" w:right="365"/>
        <w:jc w:val="left"/>
      </w:pPr>
      <w:r w:rsidRPr="0069648B">
        <w:rPr>
          <w:i/>
          <w:sz w:val="20"/>
        </w:rPr>
        <w:t>(1= not at all, 2= to a limited extent, 3= to some extent, 4= to a large extent, 5= to a very large extent)</w:t>
      </w:r>
      <w:r w:rsidRPr="0069648B">
        <w:rPr>
          <w:sz w:val="20"/>
        </w:rPr>
        <w:t xml:space="preserve"> </w:t>
      </w:r>
      <w:r w:rsidRPr="0069648B">
        <w:t>Please explain your replies to questions in section 3.1 as necessary</w:t>
      </w:r>
      <w:r>
        <w:t xml:space="preserve"> </w:t>
      </w:r>
    </w:p>
    <w:tbl>
      <w:tblPr>
        <w:tblW w:w="8836" w:type="dxa"/>
        <w:tblInd w:w="-26" w:type="dxa"/>
        <w:tblCellMar>
          <w:top w:w="21" w:type="dxa"/>
          <w:right w:w="115" w:type="dxa"/>
        </w:tblCellMar>
        <w:tblLook w:val="04A0" w:firstRow="1" w:lastRow="0" w:firstColumn="1" w:lastColumn="0" w:noHBand="0" w:noVBand="1"/>
      </w:tblPr>
      <w:tblGrid>
        <w:gridCol w:w="8836"/>
      </w:tblGrid>
      <w:tr w:rsidR="00BB56D1" w14:paraId="60142E8B"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144463D8" w14:textId="77777777" w:rsidR="009336BA" w:rsidRDefault="009336BA">
            <w:pPr>
              <w:spacing w:after="0" w:line="259" w:lineRule="auto"/>
              <w:ind w:left="0" w:firstLine="0"/>
              <w:jc w:val="left"/>
              <w:rPr>
                <w:sz w:val="20"/>
                <w:szCs w:val="20"/>
              </w:rPr>
            </w:pPr>
          </w:p>
          <w:p w14:paraId="34F4C76A" w14:textId="630FE445" w:rsidR="0069648B" w:rsidRPr="009336BA" w:rsidRDefault="001D1D14">
            <w:pPr>
              <w:spacing w:after="0" w:line="259" w:lineRule="auto"/>
              <w:ind w:left="0" w:firstLine="0"/>
              <w:jc w:val="left"/>
              <w:rPr>
                <w:sz w:val="20"/>
                <w:szCs w:val="20"/>
              </w:rPr>
            </w:pPr>
            <w:r w:rsidRPr="009336BA">
              <w:rPr>
                <w:sz w:val="20"/>
                <w:szCs w:val="20"/>
              </w:rPr>
              <w:t>Given the issues raised in this consultation and by financial market participants in regards to the entity-level PAIs, there is merit for</w:t>
            </w:r>
            <w:r w:rsidR="00CB0CBF" w:rsidRPr="009336BA">
              <w:rPr>
                <w:sz w:val="20"/>
                <w:szCs w:val="20"/>
              </w:rPr>
              <w:t xml:space="preserve"> sustainability disclosures at the entity-level to be </w:t>
            </w:r>
            <w:r w:rsidR="0011505D" w:rsidRPr="009336BA">
              <w:rPr>
                <w:sz w:val="20"/>
                <w:szCs w:val="20"/>
              </w:rPr>
              <w:t>encompassed</w:t>
            </w:r>
            <w:r w:rsidR="00BD2ADF" w:rsidRPr="009336BA">
              <w:rPr>
                <w:sz w:val="20"/>
                <w:szCs w:val="20"/>
              </w:rPr>
              <w:t xml:space="preserve"> to a greater extent than currently</w:t>
            </w:r>
            <w:r w:rsidR="0011505D" w:rsidRPr="009336BA">
              <w:rPr>
                <w:sz w:val="20"/>
                <w:szCs w:val="20"/>
              </w:rPr>
              <w:t xml:space="preserve"> with the CRSD rather than the SFDR</w:t>
            </w:r>
            <w:r w:rsidR="00C90CE6">
              <w:rPr>
                <w:sz w:val="20"/>
                <w:szCs w:val="20"/>
              </w:rPr>
              <w:t xml:space="preserve"> framework. </w:t>
            </w:r>
          </w:p>
          <w:p w14:paraId="7B4BC17C" w14:textId="77777777" w:rsidR="0069648B" w:rsidRPr="009336BA" w:rsidRDefault="0069648B">
            <w:pPr>
              <w:spacing w:after="0" w:line="259" w:lineRule="auto"/>
              <w:ind w:left="0" w:firstLine="0"/>
              <w:jc w:val="left"/>
              <w:rPr>
                <w:sz w:val="20"/>
                <w:szCs w:val="20"/>
              </w:rPr>
            </w:pPr>
          </w:p>
          <w:p w14:paraId="05F4E05C" w14:textId="1B908521" w:rsidR="001D1D14" w:rsidRPr="009336BA" w:rsidRDefault="00DA01AF">
            <w:pPr>
              <w:spacing w:after="0" w:line="259" w:lineRule="auto"/>
              <w:ind w:left="0" w:firstLine="0"/>
              <w:jc w:val="left"/>
              <w:rPr>
                <w:sz w:val="20"/>
                <w:szCs w:val="20"/>
              </w:rPr>
            </w:pPr>
            <w:r w:rsidRPr="009336BA">
              <w:rPr>
                <w:sz w:val="20"/>
                <w:szCs w:val="20"/>
              </w:rPr>
              <w:t xml:space="preserve">This could assist in reducing duplicative reporting requirements for firms and potentially minimise confusion for end investors, with potential for the CSRD’s requirements to bring together and consolidate various different disclosures. </w:t>
            </w:r>
          </w:p>
          <w:p w14:paraId="2AF175FB" w14:textId="77777777" w:rsidR="00261087" w:rsidRPr="009336BA" w:rsidRDefault="00261087">
            <w:pPr>
              <w:spacing w:after="0" w:line="259" w:lineRule="auto"/>
              <w:ind w:left="0" w:firstLine="0"/>
              <w:jc w:val="left"/>
              <w:rPr>
                <w:sz w:val="20"/>
                <w:szCs w:val="20"/>
              </w:rPr>
            </w:pPr>
          </w:p>
          <w:p w14:paraId="29DEBF44" w14:textId="77777777" w:rsidR="00982EA1" w:rsidRPr="009336BA" w:rsidRDefault="00261087" w:rsidP="00DD14E2">
            <w:pPr>
              <w:spacing w:after="0" w:line="259" w:lineRule="auto"/>
              <w:ind w:left="0" w:firstLine="0"/>
              <w:jc w:val="left"/>
              <w:rPr>
                <w:sz w:val="20"/>
                <w:szCs w:val="20"/>
              </w:rPr>
            </w:pPr>
            <w:r w:rsidRPr="009336BA">
              <w:rPr>
                <w:sz w:val="20"/>
                <w:szCs w:val="20"/>
              </w:rPr>
              <w:t xml:space="preserve">This would be a positive outcome given the upcoming </w:t>
            </w:r>
            <w:r w:rsidR="00941529" w:rsidRPr="009336BA">
              <w:rPr>
                <w:sz w:val="20"/>
                <w:szCs w:val="20"/>
              </w:rPr>
              <w:t>implementation of the CRSD’s</w:t>
            </w:r>
            <w:r w:rsidR="00DD14E2" w:rsidRPr="009336BA">
              <w:rPr>
                <w:sz w:val="20"/>
                <w:szCs w:val="20"/>
              </w:rPr>
              <w:t xml:space="preserve"> from next year and the increased acceptance of the ESRS, as well as recent attempts to improve its compatibility with the International Sustainability Standards Board’s (ISSB’s) disclosure standards.</w:t>
            </w:r>
          </w:p>
          <w:p w14:paraId="4B60EA95" w14:textId="65440ACD" w:rsidR="00BD2ADF" w:rsidRPr="00BD2ADF" w:rsidRDefault="00BD2ADF" w:rsidP="00DD14E2">
            <w:pPr>
              <w:spacing w:after="0" w:line="259" w:lineRule="auto"/>
              <w:ind w:left="0" w:firstLine="0"/>
              <w:jc w:val="left"/>
              <w:rPr>
                <w:sz w:val="20"/>
                <w:szCs w:val="20"/>
              </w:rPr>
            </w:pPr>
          </w:p>
        </w:tc>
      </w:tr>
    </w:tbl>
    <w:p w14:paraId="014A7CB1" w14:textId="77777777" w:rsidR="0045673A" w:rsidRDefault="00E17DF3">
      <w:pPr>
        <w:spacing w:after="496" w:line="259" w:lineRule="auto"/>
        <w:ind w:left="482" w:firstLine="0"/>
        <w:jc w:val="left"/>
      </w:pPr>
      <w:r>
        <w:t xml:space="preserve"> </w:t>
      </w:r>
    </w:p>
    <w:p w14:paraId="219E3EE3" w14:textId="77777777" w:rsidR="0045673A" w:rsidRDefault="00E17DF3">
      <w:pPr>
        <w:tabs>
          <w:tab w:val="center" w:pos="662"/>
          <w:tab w:val="center" w:pos="2727"/>
        </w:tabs>
        <w:spacing w:after="226" w:line="265" w:lineRule="auto"/>
        <w:ind w:left="0" w:firstLine="0"/>
        <w:jc w:val="left"/>
      </w:pPr>
      <w:r>
        <w:rPr>
          <w:rFonts w:ascii="Calibri" w:eastAsia="Calibri" w:hAnsi="Calibri" w:cs="Calibri"/>
          <w:sz w:val="22"/>
        </w:rPr>
        <w:tab/>
      </w:r>
      <w:r>
        <w:rPr>
          <w:b/>
        </w:rPr>
        <w:t>3.2.</w:t>
      </w:r>
      <w:r>
        <w:rPr>
          <w:rFonts w:ascii="Arial" w:eastAsia="Arial" w:hAnsi="Arial" w:cs="Arial"/>
          <w:b/>
        </w:rPr>
        <w:t xml:space="preserve"> </w:t>
      </w:r>
      <w:r>
        <w:rPr>
          <w:rFonts w:ascii="Arial" w:eastAsia="Arial" w:hAnsi="Arial" w:cs="Arial"/>
          <w:b/>
        </w:rPr>
        <w:tab/>
      </w:r>
      <w:r>
        <w:rPr>
          <w:b/>
        </w:rPr>
        <w:t>P</w:t>
      </w:r>
      <w:r>
        <w:rPr>
          <w:b/>
          <w:sz w:val="19"/>
        </w:rPr>
        <w:t>RODUCT LEVEL DISCLOSURES</w:t>
      </w:r>
      <w:r>
        <w:rPr>
          <w:b/>
        </w:rPr>
        <w:t xml:space="preserve"> </w:t>
      </w:r>
    </w:p>
    <w:p w14:paraId="4EDF40DD" w14:textId="77777777" w:rsidR="0045673A" w:rsidRDefault="00E17DF3">
      <w:pPr>
        <w:spacing w:after="229"/>
        <w:ind w:right="643"/>
      </w:pPr>
      <w:r>
        <w:t xml:space="preserve">The SFDR includes product level disclosure requirements (Articles 6, 7, 8, 9, 10 and 11) that mainly concern risk and adverse impact related information, as well as information about the sustainability performance of a given financial product. The regulation determines which information should be included in precontractual and periodic documentation and on websites. </w:t>
      </w:r>
    </w:p>
    <w:p w14:paraId="65C83EAE" w14:textId="77777777" w:rsidR="0045673A" w:rsidRDefault="00E17DF3">
      <w:pPr>
        <w:spacing w:after="229"/>
        <w:ind w:right="643"/>
      </w:pPr>
      <w:r>
        <w:t xml:space="preserve">The SFDR was designed as a disclosure regime, but is being used as a labelling scheme, suggesting that there might be a demand for establishing sustainability product categories. Before assessing whether there might be merit in setting up such product categories in Section 4, Section 3 includes questions analysing the need for possible changes to disclosures, as well as any potential link between product categories and disclosures. The need to ask about potential links between disclosures and sustainability product categories is the reason why this section contains some references to ‘products making sustainability claims’. However, this does not pre-empt in any way a decision about how a potential categorisation system and an updated disclosure regime would interact if these were established. The Commission services are openly consulting on all these issues to further assess potential ways forward as regards the SFDR. </w:t>
      </w:r>
    </w:p>
    <w:p w14:paraId="4E197A05" w14:textId="77777777" w:rsidR="0045673A" w:rsidRDefault="00E17DF3">
      <w:pPr>
        <w:spacing w:after="229"/>
        <w:ind w:right="643"/>
      </w:pPr>
      <w:r>
        <w:t xml:space="preserve">The Commission services would therefore like to collect feedback on what transparency requirements stakeholders consider useful and necessary. We would also like to know respondents’ views on whether and how these transparency requirements should link to different potential categories of products. </w:t>
      </w:r>
    </w:p>
    <w:p w14:paraId="426ADF5E" w14:textId="77777777" w:rsidR="0045673A" w:rsidRDefault="00E17DF3">
      <w:pPr>
        <w:spacing w:after="228"/>
        <w:ind w:right="643"/>
      </w:pPr>
      <w:r>
        <w:t xml:space="preserve">The general principle of the SFDR is that products that make sustainability claims need to disclose information to back up those claims and combat greenwashing. This could be viewed as placing additional burden on products that factor in sustainability considerations. This is why, in the following questions, the Commission services ask respondents about the usefulness of uniform disclosure requirements for products across the board, regardless of related sustainability claims, departing from the general philosophy of the SFDR as regards product disclosures. Providing proportionate information on the sustainability profile of a product which does not make sustainability claims could make it easier for some investors to understand products’ sustainability performance, as they would get information also about products that are not designed to achieve any sustainability-related outcome. This section also contains questions exploring whether it could be useful to require financial market participants who make sustainability claims about certain products to disclose additional information (i.e. in case a categorisation system is introduced in the EU framework, the need to require additional information about products that would fall under a category). </w:t>
      </w:r>
    </w:p>
    <w:p w14:paraId="1907F2EA" w14:textId="77777777" w:rsidR="0045673A" w:rsidRDefault="00E17DF3">
      <w:pPr>
        <w:ind w:right="643"/>
      </w:pPr>
      <w:r>
        <w:rPr>
          <w:b/>
          <w:u w:val="single" w:color="000000"/>
        </w:rPr>
        <w:t>Question 3.2.1</w:t>
      </w:r>
      <w:r>
        <w:t xml:space="preserve">: Standardised product disclosures - Should the EU impose uniform disclosure requirements for </w:t>
      </w:r>
      <w:r>
        <w:rPr>
          <w:b/>
        </w:rPr>
        <w:t>all</w:t>
      </w:r>
      <w:r>
        <w:t xml:space="preserve"> financial products offered in the EU, regardless of their sustainability-related claims or any other consideration?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1403823D" w14:textId="77777777">
        <w:trPr>
          <w:trHeight w:val="531"/>
        </w:trPr>
        <w:tc>
          <w:tcPr>
            <w:tcW w:w="1111" w:type="dxa"/>
            <w:tcBorders>
              <w:top w:val="single" w:sz="6" w:space="0" w:color="000000"/>
              <w:left w:val="single" w:sz="6" w:space="0" w:color="000000"/>
              <w:bottom w:val="single" w:sz="6" w:space="0" w:color="000000"/>
              <w:right w:val="single" w:sz="6" w:space="0" w:color="000000"/>
            </w:tcBorders>
          </w:tcPr>
          <w:p w14:paraId="60FEC5B6"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28F3B4A1"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28655257"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5214A2E1"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7CB97251"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716392CC" w14:textId="77777777" w:rsidR="0045673A" w:rsidRDefault="00E17DF3">
            <w:pPr>
              <w:spacing w:after="0" w:line="259" w:lineRule="auto"/>
              <w:ind w:left="0" w:right="3" w:firstLine="0"/>
              <w:jc w:val="center"/>
            </w:pPr>
            <w:r>
              <w:t xml:space="preserve">Don’t know </w:t>
            </w:r>
          </w:p>
        </w:tc>
      </w:tr>
      <w:tr w:rsidR="0045673A" w14:paraId="088AAF17"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65A827D0" w14:textId="5B125850" w:rsidR="0045673A" w:rsidRDefault="0045673A">
            <w:pPr>
              <w:spacing w:after="0" w:line="259" w:lineRule="auto"/>
              <w:ind w:left="58" w:firstLine="0"/>
              <w:jc w:val="center"/>
            </w:pPr>
          </w:p>
        </w:tc>
        <w:tc>
          <w:tcPr>
            <w:tcW w:w="1095" w:type="dxa"/>
            <w:tcBorders>
              <w:top w:val="single" w:sz="6" w:space="0" w:color="000000"/>
              <w:left w:val="single" w:sz="6" w:space="0" w:color="000000"/>
              <w:bottom w:val="single" w:sz="6" w:space="0" w:color="000000"/>
              <w:right w:val="single" w:sz="6" w:space="0" w:color="000000"/>
            </w:tcBorders>
          </w:tcPr>
          <w:p w14:paraId="7F0C459A" w14:textId="77777777" w:rsidR="0045673A" w:rsidRDefault="00E17DF3">
            <w:pPr>
              <w:spacing w:after="0" w:line="259" w:lineRule="auto"/>
              <w:ind w:left="59" w:firstLine="0"/>
              <w:jc w:val="center"/>
            </w:pPr>
            <w:r>
              <w:t xml:space="preserve"> </w:t>
            </w:r>
          </w:p>
        </w:tc>
        <w:tc>
          <w:tcPr>
            <w:tcW w:w="1094" w:type="dxa"/>
            <w:tcBorders>
              <w:top w:val="single" w:sz="6" w:space="0" w:color="000000"/>
              <w:left w:val="single" w:sz="6" w:space="0" w:color="000000"/>
              <w:bottom w:val="single" w:sz="6" w:space="0" w:color="000000"/>
              <w:right w:val="single" w:sz="6" w:space="0" w:color="000000"/>
            </w:tcBorders>
          </w:tcPr>
          <w:p w14:paraId="14D72C7E" w14:textId="058D732D" w:rsidR="0045673A" w:rsidRDefault="00E17DF3">
            <w:pPr>
              <w:spacing w:after="0" w:line="259" w:lineRule="auto"/>
              <w:ind w:left="60" w:firstLine="0"/>
              <w:jc w:val="center"/>
            </w:pPr>
            <w:r>
              <w:t xml:space="preserve"> </w:t>
            </w:r>
            <w:r w:rsidR="00866FB7">
              <w:t>X</w:t>
            </w:r>
          </w:p>
        </w:tc>
        <w:tc>
          <w:tcPr>
            <w:tcW w:w="1095" w:type="dxa"/>
            <w:tcBorders>
              <w:top w:val="single" w:sz="6" w:space="0" w:color="000000"/>
              <w:left w:val="single" w:sz="6" w:space="0" w:color="000000"/>
              <w:bottom w:val="single" w:sz="6" w:space="0" w:color="000000"/>
              <w:right w:val="single" w:sz="6" w:space="0" w:color="000000"/>
            </w:tcBorders>
          </w:tcPr>
          <w:p w14:paraId="1DD2A7E1" w14:textId="01C74E13" w:rsidR="0045673A" w:rsidRDefault="0045673A">
            <w:pPr>
              <w:spacing w:after="0" w:line="259" w:lineRule="auto"/>
              <w:ind w:left="60" w:firstLine="0"/>
              <w:jc w:val="center"/>
            </w:pPr>
          </w:p>
        </w:tc>
        <w:tc>
          <w:tcPr>
            <w:tcW w:w="1025" w:type="dxa"/>
            <w:tcBorders>
              <w:top w:val="single" w:sz="6" w:space="0" w:color="000000"/>
              <w:left w:val="single" w:sz="6" w:space="0" w:color="000000"/>
              <w:bottom w:val="single" w:sz="6" w:space="0" w:color="000000"/>
              <w:right w:val="single" w:sz="6" w:space="0" w:color="000000"/>
            </w:tcBorders>
          </w:tcPr>
          <w:p w14:paraId="357F2EDE"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6B35C31A" w14:textId="77777777" w:rsidR="0045673A" w:rsidRDefault="00E17DF3">
            <w:pPr>
              <w:spacing w:after="0" w:line="259" w:lineRule="auto"/>
              <w:ind w:left="63" w:firstLine="0"/>
              <w:jc w:val="center"/>
            </w:pPr>
            <w:r>
              <w:t xml:space="preserve"> </w:t>
            </w:r>
          </w:p>
        </w:tc>
      </w:tr>
    </w:tbl>
    <w:p w14:paraId="4B6BB589" w14:textId="77777777" w:rsidR="0045673A" w:rsidRDefault="00E17DF3">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7E201ABD" w14:textId="77777777" w:rsidR="0045673A" w:rsidRDefault="00E17DF3">
      <w:pPr>
        <w:ind w:right="643"/>
      </w:pPr>
      <w:r>
        <w:rPr>
          <w:b/>
          <w:u w:val="single" w:color="000000"/>
        </w:rPr>
        <w:t>Question 3.2.1. a)</w:t>
      </w:r>
      <w:r>
        <w:t xml:space="preserve">: If the EU was to impose uniform disclosure requirements for </w:t>
      </w:r>
      <w:r>
        <w:rPr>
          <w:b/>
        </w:rPr>
        <w:t>all</w:t>
      </w:r>
      <w:r>
        <w:t xml:space="preserve"> financial products offered in the EU, should disclosures on a limited number of principal adverse impact indicators be required for all financial products offered in the EU?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663F3DEC"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30AEB9ED"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3A1F76EA"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6421C33A"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7E4B6833"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2DE96E74"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6F3F30C7" w14:textId="77777777" w:rsidR="0045673A" w:rsidRDefault="00E17DF3">
            <w:pPr>
              <w:spacing w:after="0" w:line="259" w:lineRule="auto"/>
              <w:ind w:left="0" w:right="2" w:firstLine="0"/>
              <w:jc w:val="center"/>
            </w:pPr>
            <w:r>
              <w:t xml:space="preserve">Don’t know </w:t>
            </w:r>
          </w:p>
        </w:tc>
      </w:tr>
      <w:tr w:rsidR="0045673A" w14:paraId="6C95FEB1" w14:textId="77777777">
        <w:trPr>
          <w:trHeight w:val="533"/>
        </w:trPr>
        <w:tc>
          <w:tcPr>
            <w:tcW w:w="1111" w:type="dxa"/>
            <w:tcBorders>
              <w:top w:val="single" w:sz="6" w:space="0" w:color="000000"/>
              <w:left w:val="single" w:sz="6" w:space="0" w:color="000000"/>
              <w:bottom w:val="single" w:sz="6" w:space="0" w:color="000000"/>
              <w:right w:val="single" w:sz="6" w:space="0" w:color="000000"/>
            </w:tcBorders>
          </w:tcPr>
          <w:p w14:paraId="23377BD9" w14:textId="4E8CB921"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22970A00" w14:textId="72A8FA4D" w:rsidR="0045673A" w:rsidRDefault="0045673A">
            <w:pPr>
              <w:spacing w:after="0" w:line="259" w:lineRule="auto"/>
              <w:ind w:left="59" w:firstLine="0"/>
              <w:jc w:val="center"/>
            </w:pPr>
          </w:p>
        </w:tc>
        <w:tc>
          <w:tcPr>
            <w:tcW w:w="1094" w:type="dxa"/>
            <w:tcBorders>
              <w:top w:val="single" w:sz="6" w:space="0" w:color="000000"/>
              <w:left w:val="single" w:sz="6" w:space="0" w:color="000000"/>
              <w:bottom w:val="single" w:sz="6" w:space="0" w:color="000000"/>
              <w:right w:val="single" w:sz="6" w:space="0" w:color="000000"/>
            </w:tcBorders>
          </w:tcPr>
          <w:p w14:paraId="1767777F" w14:textId="213B4543" w:rsidR="0045673A" w:rsidRDefault="00332841">
            <w:pPr>
              <w:spacing w:after="0" w:line="259" w:lineRule="auto"/>
              <w:ind w:left="60" w:firstLine="0"/>
              <w:jc w:val="center"/>
            </w:pPr>
            <w:r>
              <w:t>X</w:t>
            </w:r>
          </w:p>
        </w:tc>
        <w:tc>
          <w:tcPr>
            <w:tcW w:w="1095" w:type="dxa"/>
            <w:tcBorders>
              <w:top w:val="single" w:sz="6" w:space="0" w:color="000000"/>
              <w:left w:val="single" w:sz="6" w:space="0" w:color="000000"/>
              <w:bottom w:val="single" w:sz="6" w:space="0" w:color="000000"/>
              <w:right w:val="single" w:sz="6" w:space="0" w:color="000000"/>
            </w:tcBorders>
          </w:tcPr>
          <w:p w14:paraId="77600046" w14:textId="70DE74FF" w:rsidR="0045673A" w:rsidRDefault="00E17DF3">
            <w:pPr>
              <w:spacing w:after="0" w:line="259" w:lineRule="auto"/>
              <w:ind w:left="60" w:firstLine="0"/>
              <w:jc w:val="center"/>
            </w:pPr>
            <w:r>
              <w:t xml:space="preserve"> </w:t>
            </w:r>
          </w:p>
        </w:tc>
        <w:tc>
          <w:tcPr>
            <w:tcW w:w="1025" w:type="dxa"/>
            <w:tcBorders>
              <w:top w:val="single" w:sz="6" w:space="0" w:color="000000"/>
              <w:left w:val="single" w:sz="6" w:space="0" w:color="000000"/>
              <w:bottom w:val="single" w:sz="6" w:space="0" w:color="000000"/>
              <w:right w:val="single" w:sz="6" w:space="0" w:color="000000"/>
            </w:tcBorders>
          </w:tcPr>
          <w:p w14:paraId="38F78606"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0ADD731E" w14:textId="77777777" w:rsidR="0045673A" w:rsidRDefault="00E17DF3">
            <w:pPr>
              <w:spacing w:after="0" w:line="259" w:lineRule="auto"/>
              <w:ind w:left="63" w:firstLine="0"/>
              <w:jc w:val="center"/>
            </w:pPr>
            <w:r>
              <w:t xml:space="preserve"> </w:t>
            </w:r>
          </w:p>
        </w:tc>
      </w:tr>
    </w:tbl>
    <w:p w14:paraId="5158C05D" w14:textId="77777777" w:rsidR="0045673A" w:rsidRDefault="00E17DF3">
      <w:pPr>
        <w:spacing w:after="29" w:line="268" w:lineRule="auto"/>
        <w:ind w:left="-5" w:right="365"/>
        <w:jc w:val="left"/>
      </w:pPr>
      <w:r w:rsidRPr="009660E5">
        <w:rPr>
          <w:i/>
          <w:sz w:val="20"/>
        </w:rPr>
        <w:t>(1= not at all, 2= to a limited extent, 3= to some extent, 4= to a large extent, 5= to a very large extent)</w:t>
      </w:r>
      <w:r w:rsidRPr="009660E5">
        <w:rPr>
          <w:sz w:val="20"/>
        </w:rPr>
        <w:t xml:space="preserve"> </w:t>
      </w:r>
      <w:r w:rsidRPr="009660E5">
        <w:t>Please specify which ones:</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143B38BF"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63C956E2" w14:textId="77777777" w:rsidR="008D2C63" w:rsidRDefault="008D2C63" w:rsidP="00CC4FCC">
            <w:pPr>
              <w:spacing w:after="0" w:line="259" w:lineRule="auto"/>
              <w:ind w:left="0" w:firstLine="0"/>
              <w:jc w:val="left"/>
              <w:rPr>
                <w:sz w:val="20"/>
                <w:szCs w:val="20"/>
              </w:rPr>
            </w:pPr>
          </w:p>
          <w:p w14:paraId="23DF602D" w14:textId="31D56D28" w:rsidR="00C90CE6" w:rsidRDefault="00900FD5" w:rsidP="00CC4FCC">
            <w:pPr>
              <w:spacing w:after="0" w:line="259" w:lineRule="auto"/>
              <w:ind w:left="0" w:firstLine="0"/>
              <w:jc w:val="left"/>
              <w:rPr>
                <w:rStyle w:val="ui-provider"/>
                <w:sz w:val="20"/>
                <w:szCs w:val="20"/>
              </w:rPr>
            </w:pPr>
            <w:r w:rsidRPr="00BE4D3D">
              <w:rPr>
                <w:sz w:val="20"/>
                <w:szCs w:val="20"/>
              </w:rPr>
              <w:t xml:space="preserve">We think </w:t>
            </w:r>
            <w:r w:rsidR="00E25710" w:rsidRPr="00BE4D3D">
              <w:rPr>
                <w:sz w:val="20"/>
                <w:szCs w:val="20"/>
              </w:rPr>
              <w:t>there is a good case for</w:t>
            </w:r>
            <w:r w:rsidRPr="00BE4D3D">
              <w:rPr>
                <w:sz w:val="20"/>
                <w:szCs w:val="20"/>
              </w:rPr>
              <w:t xml:space="preserve"> all financial products in the EU </w:t>
            </w:r>
            <w:r w:rsidR="00E25710" w:rsidRPr="00BE4D3D">
              <w:rPr>
                <w:sz w:val="20"/>
                <w:szCs w:val="20"/>
              </w:rPr>
              <w:t>to</w:t>
            </w:r>
            <w:r w:rsidR="00BD2ADF" w:rsidRPr="00BE4D3D">
              <w:rPr>
                <w:sz w:val="20"/>
                <w:szCs w:val="20"/>
              </w:rPr>
              <w:t xml:space="preserve"> disclos</w:t>
            </w:r>
            <w:r w:rsidR="00E25710" w:rsidRPr="00BE4D3D">
              <w:rPr>
                <w:sz w:val="20"/>
                <w:szCs w:val="20"/>
              </w:rPr>
              <w:t>e</w:t>
            </w:r>
            <w:r w:rsidRPr="00BE4D3D">
              <w:rPr>
                <w:sz w:val="20"/>
                <w:szCs w:val="20"/>
              </w:rPr>
              <w:t xml:space="preserve"> against</w:t>
            </w:r>
            <w:r w:rsidR="006E6859" w:rsidRPr="00BE4D3D">
              <w:rPr>
                <w:sz w:val="20"/>
                <w:szCs w:val="20"/>
              </w:rPr>
              <w:t xml:space="preserve"> </w:t>
            </w:r>
            <w:r w:rsidR="00C90CE6">
              <w:rPr>
                <w:sz w:val="20"/>
                <w:szCs w:val="20"/>
              </w:rPr>
              <w:t>a</w:t>
            </w:r>
            <w:r w:rsidR="00107806">
              <w:rPr>
                <w:sz w:val="20"/>
                <w:szCs w:val="20"/>
              </w:rPr>
              <w:t xml:space="preserve"> </w:t>
            </w:r>
            <w:r w:rsidR="00E03450">
              <w:rPr>
                <w:sz w:val="20"/>
                <w:szCs w:val="20"/>
              </w:rPr>
              <w:t xml:space="preserve">limited </w:t>
            </w:r>
            <w:r w:rsidR="006E6859" w:rsidRPr="00BE4D3D">
              <w:rPr>
                <w:sz w:val="20"/>
                <w:szCs w:val="20"/>
              </w:rPr>
              <w:t>set of PAI indicators, including those relating to greenhouse gas (GHG) emissions</w:t>
            </w:r>
            <w:r w:rsidR="00143DC8">
              <w:rPr>
                <w:sz w:val="20"/>
                <w:szCs w:val="20"/>
              </w:rPr>
              <w:t>, carbon footprint,</w:t>
            </w:r>
            <w:r w:rsidR="006E6859" w:rsidRPr="00BE4D3D">
              <w:rPr>
                <w:sz w:val="20"/>
                <w:szCs w:val="20"/>
              </w:rPr>
              <w:t xml:space="preserve"> and human rights violations, such as </w:t>
            </w:r>
            <w:r w:rsidR="00797493" w:rsidRPr="00BE4D3D">
              <w:rPr>
                <w:sz w:val="20"/>
                <w:szCs w:val="20"/>
              </w:rPr>
              <w:t>reporting against the U</w:t>
            </w:r>
            <w:r w:rsidR="006E6859" w:rsidRPr="00BE4D3D">
              <w:rPr>
                <w:rStyle w:val="ui-provider"/>
                <w:sz w:val="20"/>
                <w:szCs w:val="20"/>
              </w:rPr>
              <w:t>N Global Compact</w:t>
            </w:r>
            <w:r w:rsidR="00797493" w:rsidRPr="00BE4D3D">
              <w:rPr>
                <w:rStyle w:val="ui-provider"/>
                <w:sz w:val="20"/>
                <w:szCs w:val="20"/>
              </w:rPr>
              <w:t>,</w:t>
            </w:r>
            <w:r w:rsidR="006E6859" w:rsidRPr="00BE4D3D">
              <w:rPr>
                <w:rStyle w:val="ui-provider"/>
                <w:sz w:val="20"/>
                <w:szCs w:val="20"/>
              </w:rPr>
              <w:t xml:space="preserve"> OECD’s</w:t>
            </w:r>
            <w:r w:rsidR="00797493" w:rsidRPr="00BE4D3D">
              <w:rPr>
                <w:rStyle w:val="ui-provider"/>
                <w:sz w:val="20"/>
                <w:szCs w:val="20"/>
              </w:rPr>
              <w:t xml:space="preserve"> guidelines, and exposure to controversial arms and weapons.</w:t>
            </w:r>
            <w:r w:rsidR="00E31117">
              <w:rPr>
                <w:rStyle w:val="ui-provider"/>
                <w:sz w:val="20"/>
                <w:szCs w:val="20"/>
              </w:rPr>
              <w:t xml:space="preserve"> </w:t>
            </w:r>
          </w:p>
          <w:p w14:paraId="0B07FD83" w14:textId="77777777" w:rsidR="00C90CE6" w:rsidRDefault="00C90CE6" w:rsidP="00CC4FCC">
            <w:pPr>
              <w:spacing w:after="0" w:line="259" w:lineRule="auto"/>
              <w:ind w:left="0" w:firstLine="0"/>
              <w:jc w:val="left"/>
              <w:rPr>
                <w:rStyle w:val="ui-provider"/>
              </w:rPr>
            </w:pPr>
          </w:p>
          <w:p w14:paraId="0193515F" w14:textId="4B796441" w:rsidR="00E31117" w:rsidRDefault="00E31117" w:rsidP="00CC4FCC">
            <w:pPr>
              <w:spacing w:after="0" w:line="259" w:lineRule="auto"/>
              <w:ind w:left="0" w:firstLine="0"/>
              <w:jc w:val="left"/>
              <w:rPr>
                <w:rStyle w:val="ui-provider"/>
                <w:sz w:val="20"/>
                <w:szCs w:val="20"/>
              </w:rPr>
            </w:pPr>
            <w:r>
              <w:rPr>
                <w:rStyle w:val="ui-provider"/>
                <w:sz w:val="20"/>
                <w:szCs w:val="20"/>
              </w:rPr>
              <w:t xml:space="preserve">For </w:t>
            </w:r>
            <w:r w:rsidRPr="00E31117">
              <w:rPr>
                <w:rStyle w:val="ui-provider"/>
                <w:sz w:val="20"/>
                <w:szCs w:val="20"/>
              </w:rPr>
              <w:t>those products that are</w:t>
            </w:r>
            <w:r>
              <w:rPr>
                <w:rStyle w:val="ui-provider"/>
                <w:sz w:val="20"/>
                <w:szCs w:val="20"/>
              </w:rPr>
              <w:t xml:space="preserve"> labelled as ‘sustainable’ and </w:t>
            </w:r>
            <w:r w:rsidRPr="00E31117">
              <w:rPr>
                <w:rStyle w:val="ui-provider"/>
                <w:sz w:val="20"/>
                <w:szCs w:val="20"/>
              </w:rPr>
              <w:t>pursuing sustainability objectives</w:t>
            </w:r>
            <w:r>
              <w:rPr>
                <w:rStyle w:val="ui-provider"/>
                <w:sz w:val="20"/>
                <w:szCs w:val="20"/>
              </w:rPr>
              <w:t xml:space="preserve"> or have these characteristics, they should be mandated </w:t>
            </w:r>
            <w:r w:rsidRPr="00E31117">
              <w:rPr>
                <w:rStyle w:val="ui-provider"/>
                <w:sz w:val="20"/>
                <w:szCs w:val="20"/>
              </w:rPr>
              <w:t>to provide additional disclosures</w:t>
            </w:r>
            <w:r>
              <w:rPr>
                <w:rStyle w:val="ui-provider"/>
                <w:sz w:val="20"/>
                <w:szCs w:val="20"/>
              </w:rPr>
              <w:t xml:space="preserve"> that are proportionate to their sustainability claims. </w:t>
            </w:r>
          </w:p>
          <w:p w14:paraId="5E3741E6" w14:textId="77777777" w:rsidR="00107806" w:rsidRDefault="00107806" w:rsidP="00CC4FCC">
            <w:pPr>
              <w:spacing w:after="0" w:line="259" w:lineRule="auto"/>
              <w:ind w:left="0" w:firstLine="0"/>
              <w:jc w:val="left"/>
              <w:rPr>
                <w:rStyle w:val="ui-provider"/>
              </w:rPr>
            </w:pPr>
          </w:p>
          <w:p w14:paraId="16D2DA15" w14:textId="1038E90B" w:rsidR="0063488C" w:rsidRPr="00BE4D3D" w:rsidRDefault="00E03450" w:rsidP="00CC4FCC">
            <w:pPr>
              <w:spacing w:after="0" w:line="259" w:lineRule="auto"/>
              <w:ind w:left="0" w:firstLine="0"/>
              <w:jc w:val="left"/>
              <w:rPr>
                <w:rStyle w:val="ui-provider"/>
                <w:sz w:val="20"/>
                <w:szCs w:val="20"/>
              </w:rPr>
            </w:pPr>
            <w:r>
              <w:rPr>
                <w:rStyle w:val="ui-provider"/>
                <w:sz w:val="20"/>
                <w:szCs w:val="20"/>
              </w:rPr>
              <w:t xml:space="preserve">This </w:t>
            </w:r>
            <w:r w:rsidR="00E31117">
              <w:rPr>
                <w:rStyle w:val="ui-provider"/>
                <w:sz w:val="20"/>
                <w:szCs w:val="20"/>
              </w:rPr>
              <w:t xml:space="preserve">limited baseline for all products in the EU </w:t>
            </w:r>
            <w:r>
              <w:rPr>
                <w:rStyle w:val="ui-provider"/>
                <w:sz w:val="20"/>
                <w:szCs w:val="20"/>
              </w:rPr>
              <w:t xml:space="preserve">would </w:t>
            </w:r>
            <w:r w:rsidR="008D2C63">
              <w:rPr>
                <w:rStyle w:val="ui-provider"/>
                <w:sz w:val="20"/>
                <w:szCs w:val="20"/>
              </w:rPr>
              <w:t>help</w:t>
            </w:r>
            <w:r w:rsidR="00E31117">
              <w:rPr>
                <w:rStyle w:val="ui-provider"/>
                <w:sz w:val="20"/>
                <w:szCs w:val="20"/>
              </w:rPr>
              <w:t xml:space="preserve"> </w:t>
            </w:r>
            <w:r>
              <w:rPr>
                <w:rStyle w:val="ui-provider"/>
                <w:sz w:val="20"/>
                <w:szCs w:val="20"/>
              </w:rPr>
              <w:t>promote comparability over time across all funds</w:t>
            </w:r>
            <w:r w:rsidR="006E1F25">
              <w:rPr>
                <w:rStyle w:val="ui-provider"/>
                <w:sz w:val="20"/>
                <w:szCs w:val="20"/>
              </w:rPr>
              <w:t xml:space="preserve"> with firms having flexibility</w:t>
            </w:r>
            <w:r w:rsidR="00B41414">
              <w:rPr>
                <w:rStyle w:val="ui-provider"/>
                <w:sz w:val="20"/>
                <w:szCs w:val="20"/>
              </w:rPr>
              <w:t>, should they wish to,</w:t>
            </w:r>
            <w:r w:rsidR="006E1F25">
              <w:rPr>
                <w:rStyle w:val="ui-provider"/>
                <w:sz w:val="20"/>
                <w:szCs w:val="20"/>
              </w:rPr>
              <w:t xml:space="preserve"> to provide narrative explanations alongside these disclosures to explain why and how certain PAI indicators</w:t>
            </w:r>
            <w:r w:rsidR="00B41414">
              <w:rPr>
                <w:rStyle w:val="ui-provider"/>
                <w:sz w:val="20"/>
                <w:szCs w:val="20"/>
              </w:rPr>
              <w:t xml:space="preserve"> beyond those highlighted above</w:t>
            </w:r>
            <w:r w:rsidR="006E1F25">
              <w:rPr>
                <w:rStyle w:val="ui-provider"/>
                <w:sz w:val="20"/>
                <w:szCs w:val="20"/>
              </w:rPr>
              <w:t xml:space="preserve"> may be relevant, or not, to their strategies, with additional valuable context necessary for these indicators.</w:t>
            </w:r>
            <w:r w:rsidR="0037181F">
              <w:rPr>
                <w:rStyle w:val="ui-provider"/>
                <w:sz w:val="20"/>
                <w:szCs w:val="20"/>
              </w:rPr>
              <w:t xml:space="preserve"> A minimum baseline approach will need to be proportionate to avoid incentivising ‘green-hushing’ practices, and emphasise simplicity and accessibility for investors.</w:t>
            </w:r>
          </w:p>
          <w:p w14:paraId="6FAE7F3C" w14:textId="77777777" w:rsidR="00B41414" w:rsidRPr="00BE4D3D" w:rsidRDefault="00B41414" w:rsidP="00CC4FCC">
            <w:pPr>
              <w:spacing w:after="0" w:line="259" w:lineRule="auto"/>
              <w:ind w:left="0" w:firstLine="0"/>
              <w:jc w:val="left"/>
              <w:rPr>
                <w:rStyle w:val="ui-provider"/>
                <w:sz w:val="20"/>
                <w:szCs w:val="20"/>
              </w:rPr>
            </w:pPr>
          </w:p>
          <w:p w14:paraId="0F7F177B" w14:textId="0192F631" w:rsidR="004A013D" w:rsidRDefault="00E25710" w:rsidP="00CC4FCC">
            <w:pPr>
              <w:spacing w:after="0" w:line="259" w:lineRule="auto"/>
              <w:ind w:left="0" w:firstLine="0"/>
              <w:jc w:val="left"/>
              <w:rPr>
                <w:rStyle w:val="ui-provider"/>
                <w:sz w:val="20"/>
                <w:szCs w:val="20"/>
              </w:rPr>
            </w:pPr>
            <w:r w:rsidRPr="00BE4D3D">
              <w:rPr>
                <w:rStyle w:val="ui-provider"/>
                <w:sz w:val="20"/>
                <w:szCs w:val="20"/>
              </w:rPr>
              <w:t xml:space="preserve">We would strongly encourage regulatory authorities to conduct extensive consumer testing, which the FCA has done for the </w:t>
            </w:r>
            <w:r w:rsidR="00BE4D3D">
              <w:rPr>
                <w:rStyle w:val="ui-provider"/>
                <w:sz w:val="20"/>
                <w:szCs w:val="20"/>
              </w:rPr>
              <w:t xml:space="preserve">finalised </w:t>
            </w:r>
            <w:r w:rsidRPr="00BE4D3D">
              <w:rPr>
                <w:rStyle w:val="ui-provider"/>
                <w:sz w:val="20"/>
                <w:szCs w:val="20"/>
              </w:rPr>
              <w:t xml:space="preserve">SDR regime </w:t>
            </w:r>
            <w:r w:rsidR="004C68B0" w:rsidRPr="00BE4D3D">
              <w:rPr>
                <w:rStyle w:val="ui-provider"/>
                <w:sz w:val="20"/>
                <w:szCs w:val="20"/>
              </w:rPr>
              <w:t xml:space="preserve">with </w:t>
            </w:r>
            <w:r w:rsidR="00B41414">
              <w:rPr>
                <w:rStyle w:val="ui-provider"/>
                <w:sz w:val="20"/>
                <w:szCs w:val="20"/>
              </w:rPr>
              <w:t xml:space="preserve">more than 15,000 </w:t>
            </w:r>
            <w:r w:rsidR="004C68B0" w:rsidRPr="00BE4D3D">
              <w:rPr>
                <w:rStyle w:val="ui-provider"/>
                <w:sz w:val="20"/>
                <w:szCs w:val="20"/>
              </w:rPr>
              <w:t>co</w:t>
            </w:r>
            <w:r w:rsidR="00531797" w:rsidRPr="00BE4D3D">
              <w:rPr>
                <w:rStyle w:val="ui-provider"/>
                <w:sz w:val="20"/>
                <w:szCs w:val="20"/>
              </w:rPr>
              <w:t xml:space="preserve">nsumers </w:t>
            </w:r>
            <w:r w:rsidRPr="00BE4D3D">
              <w:rPr>
                <w:rStyle w:val="ui-provider"/>
                <w:sz w:val="20"/>
                <w:szCs w:val="20"/>
              </w:rPr>
              <w:t xml:space="preserve">in the UK, </w:t>
            </w:r>
            <w:r w:rsidR="00C0666A" w:rsidRPr="00BE4D3D">
              <w:rPr>
                <w:rStyle w:val="ui-provider"/>
                <w:sz w:val="20"/>
                <w:szCs w:val="20"/>
              </w:rPr>
              <w:t>ahead of any disclosure requirements coming into effect for all financial products in the EU</w:t>
            </w:r>
            <w:r w:rsidR="008E4810">
              <w:rPr>
                <w:rStyle w:val="ui-provider"/>
                <w:sz w:val="20"/>
                <w:szCs w:val="20"/>
              </w:rPr>
              <w:t xml:space="preserve">. </w:t>
            </w:r>
            <w:r w:rsidR="009E6155">
              <w:rPr>
                <w:rStyle w:val="ui-provider"/>
                <w:sz w:val="20"/>
                <w:szCs w:val="20"/>
              </w:rPr>
              <w:t>Consumer testing in the EU</w:t>
            </w:r>
            <w:r w:rsidR="0099090E">
              <w:rPr>
                <w:rStyle w:val="ui-provider"/>
                <w:sz w:val="20"/>
                <w:szCs w:val="20"/>
              </w:rPr>
              <w:t xml:space="preserve"> should seek to extensively test the understanding of this group of the names of the labelling categories, the disclosure requirements, and marketing materials. </w:t>
            </w:r>
            <w:r w:rsidR="002A00A0">
              <w:rPr>
                <w:rStyle w:val="ui-provider"/>
                <w:sz w:val="20"/>
                <w:szCs w:val="20"/>
              </w:rPr>
              <w:t>As part of this, it would be interesting to consider how Articles 6, 8, and 9 are interpreted by retail investors currently, and what fund labels could resonate more effectively.</w:t>
            </w:r>
          </w:p>
          <w:p w14:paraId="3DF88B22" w14:textId="77777777" w:rsidR="004A013D" w:rsidRDefault="004A013D" w:rsidP="00CC4FCC">
            <w:pPr>
              <w:spacing w:after="0" w:line="259" w:lineRule="auto"/>
              <w:ind w:left="0" w:firstLine="0"/>
              <w:jc w:val="left"/>
              <w:rPr>
                <w:rStyle w:val="ui-provider"/>
              </w:rPr>
            </w:pPr>
          </w:p>
          <w:p w14:paraId="6DFB800F" w14:textId="190C5FC7" w:rsidR="0063488C" w:rsidRDefault="002A00A0" w:rsidP="00CC4FCC">
            <w:pPr>
              <w:spacing w:after="0" w:line="259" w:lineRule="auto"/>
              <w:ind w:left="0" w:firstLine="0"/>
              <w:jc w:val="left"/>
              <w:rPr>
                <w:rStyle w:val="ui-provider"/>
                <w:sz w:val="20"/>
                <w:szCs w:val="20"/>
              </w:rPr>
            </w:pPr>
            <w:r>
              <w:rPr>
                <w:rStyle w:val="ui-provider"/>
                <w:sz w:val="20"/>
                <w:szCs w:val="20"/>
              </w:rPr>
              <w:t>Finally, a</w:t>
            </w:r>
            <w:r w:rsidR="00352D36" w:rsidRPr="00BE4D3D">
              <w:rPr>
                <w:rStyle w:val="ui-provider"/>
                <w:sz w:val="20"/>
                <w:szCs w:val="20"/>
              </w:rPr>
              <w:t xml:space="preserve"> high-level, two</w:t>
            </w:r>
            <w:r w:rsidR="00962E69">
              <w:rPr>
                <w:rStyle w:val="ui-provider"/>
                <w:sz w:val="20"/>
                <w:szCs w:val="20"/>
              </w:rPr>
              <w:t xml:space="preserve"> </w:t>
            </w:r>
            <w:r w:rsidR="00352D36" w:rsidRPr="00BE4D3D">
              <w:rPr>
                <w:rStyle w:val="ui-provider"/>
                <w:sz w:val="20"/>
                <w:szCs w:val="20"/>
              </w:rPr>
              <w:t xml:space="preserve">page ‘factsheet’ with minimum disclosures outlined </w:t>
            </w:r>
            <w:r w:rsidR="008E4810">
              <w:rPr>
                <w:rStyle w:val="ui-provider"/>
                <w:sz w:val="20"/>
                <w:szCs w:val="20"/>
              </w:rPr>
              <w:t>c</w:t>
            </w:r>
            <w:r w:rsidR="00352D36" w:rsidRPr="00BE4D3D">
              <w:rPr>
                <w:rStyle w:val="ui-provider"/>
                <w:sz w:val="20"/>
                <w:szCs w:val="20"/>
              </w:rPr>
              <w:t>ould be explored, drawing on the FCA’s</w:t>
            </w:r>
            <w:r w:rsidR="00962E69">
              <w:rPr>
                <w:rStyle w:val="ui-provider"/>
                <w:sz w:val="20"/>
                <w:szCs w:val="20"/>
              </w:rPr>
              <w:t xml:space="preserve"> finalised</w:t>
            </w:r>
            <w:r w:rsidR="00352D36" w:rsidRPr="00BE4D3D">
              <w:rPr>
                <w:rStyle w:val="ui-provider"/>
                <w:sz w:val="20"/>
                <w:szCs w:val="20"/>
              </w:rPr>
              <w:t xml:space="preserve"> approach</w:t>
            </w:r>
            <w:r w:rsidR="00962E69">
              <w:rPr>
                <w:rStyle w:val="ui-provider"/>
                <w:sz w:val="20"/>
                <w:szCs w:val="20"/>
              </w:rPr>
              <w:t xml:space="preserve"> to consumer-facing disclosures</w:t>
            </w:r>
            <w:r w:rsidR="00025153">
              <w:rPr>
                <w:rStyle w:val="ui-provider"/>
                <w:sz w:val="20"/>
                <w:szCs w:val="20"/>
              </w:rPr>
              <w:t xml:space="preserve"> which applies to labelled funds or those funds using explicit sustainability-related terms. </w:t>
            </w:r>
          </w:p>
          <w:p w14:paraId="54D8978F" w14:textId="7F0D9D4E" w:rsidR="00BD2ADF" w:rsidRPr="00CC4FCC" w:rsidRDefault="00BD2ADF" w:rsidP="00F45D2B">
            <w:pPr>
              <w:spacing w:after="0" w:line="259" w:lineRule="auto"/>
              <w:ind w:left="0" w:firstLine="0"/>
              <w:jc w:val="left"/>
              <w:rPr>
                <w:sz w:val="20"/>
                <w:szCs w:val="20"/>
              </w:rPr>
            </w:pPr>
          </w:p>
        </w:tc>
      </w:tr>
    </w:tbl>
    <w:p w14:paraId="3EFCAB2A" w14:textId="77777777" w:rsidR="0045673A" w:rsidRDefault="00E17DF3">
      <w:pPr>
        <w:spacing w:after="216" w:line="259" w:lineRule="auto"/>
        <w:ind w:left="0" w:firstLine="0"/>
        <w:jc w:val="left"/>
      </w:pPr>
      <w:r>
        <w:rPr>
          <w:b/>
        </w:rPr>
        <w:t xml:space="preserve"> </w:t>
      </w:r>
    </w:p>
    <w:p w14:paraId="7E3F3170" w14:textId="77777777" w:rsidR="0045673A" w:rsidRDefault="00E17DF3">
      <w:pPr>
        <w:spacing w:after="229"/>
        <w:ind w:right="643"/>
      </w:pPr>
      <w:r>
        <w:rPr>
          <w:b/>
          <w:u w:val="single" w:color="000000"/>
        </w:rPr>
        <w:t>Question 3.2.1 b)</w:t>
      </w:r>
      <w:r>
        <w:t xml:space="preserve">: Please see a list of examples of disclosures that could also be required about </w:t>
      </w:r>
      <w:r>
        <w:rPr>
          <w:b/>
        </w:rPr>
        <w:t>all</w:t>
      </w:r>
      <w:r>
        <w:t xml:space="preserve"> financial products for transparency purposes. In your view, should these disclosures be mandatory, and/or should any other information be required about </w:t>
      </w:r>
      <w:r>
        <w:rPr>
          <w:b/>
        </w:rPr>
        <w:t>all</w:t>
      </w:r>
      <w:r>
        <w:t xml:space="preserve"> financial products for transparency purposes? </w:t>
      </w:r>
    </w:p>
    <w:p w14:paraId="595884F4" w14:textId="77777777" w:rsidR="0045673A" w:rsidRDefault="00E17DF3">
      <w:pPr>
        <w:spacing w:after="0" w:line="259" w:lineRule="auto"/>
        <w:ind w:left="720" w:firstLine="0"/>
        <w:jc w:val="left"/>
      </w:pPr>
      <w:r>
        <w:t xml:space="preserve"> </w:t>
      </w:r>
    </w:p>
    <w:tbl>
      <w:tblPr>
        <w:tblW w:w="8205" w:type="dxa"/>
        <w:tblCellMar>
          <w:top w:w="14" w:type="dxa"/>
          <w:left w:w="7" w:type="dxa"/>
          <w:right w:w="49" w:type="dxa"/>
        </w:tblCellMar>
        <w:tblLook w:val="04A0" w:firstRow="1" w:lastRow="0" w:firstColumn="1" w:lastColumn="0" w:noHBand="0" w:noVBand="1"/>
      </w:tblPr>
      <w:tblGrid>
        <w:gridCol w:w="5049"/>
        <w:gridCol w:w="408"/>
        <w:gridCol w:w="410"/>
        <w:gridCol w:w="410"/>
        <w:gridCol w:w="409"/>
        <w:gridCol w:w="410"/>
        <w:gridCol w:w="1109"/>
      </w:tblGrid>
      <w:tr w:rsidR="0045673A" w14:paraId="4CD0A152" w14:textId="77777777">
        <w:trPr>
          <w:trHeight w:val="812"/>
        </w:trPr>
        <w:tc>
          <w:tcPr>
            <w:tcW w:w="5048" w:type="dxa"/>
            <w:tcBorders>
              <w:top w:val="single" w:sz="8" w:space="0" w:color="000000"/>
              <w:left w:val="single" w:sz="8" w:space="0" w:color="000000"/>
              <w:bottom w:val="single" w:sz="8" w:space="0" w:color="000000"/>
              <w:right w:val="single" w:sz="4" w:space="0" w:color="000000"/>
            </w:tcBorders>
          </w:tcPr>
          <w:p w14:paraId="33F17ACE" w14:textId="77777777" w:rsidR="0045673A" w:rsidRDefault="00E17DF3">
            <w:pPr>
              <w:spacing w:after="0" w:line="259" w:lineRule="auto"/>
              <w:ind w:left="101" w:firstLine="0"/>
              <w:jc w:val="left"/>
            </w:pPr>
            <w:r>
              <w:t xml:space="preserve"> </w:t>
            </w:r>
          </w:p>
        </w:tc>
        <w:tc>
          <w:tcPr>
            <w:tcW w:w="408" w:type="dxa"/>
            <w:tcBorders>
              <w:top w:val="single" w:sz="4" w:space="0" w:color="000000"/>
              <w:left w:val="single" w:sz="4" w:space="0" w:color="000000"/>
              <w:bottom w:val="single" w:sz="4" w:space="0" w:color="000000"/>
              <w:right w:val="single" w:sz="4" w:space="0" w:color="000000"/>
            </w:tcBorders>
          </w:tcPr>
          <w:p w14:paraId="5200F578" w14:textId="77777777" w:rsidR="0045673A" w:rsidRDefault="00E17DF3">
            <w:pPr>
              <w:spacing w:after="0" w:line="259" w:lineRule="auto"/>
              <w:ind w:left="137" w:firstLine="0"/>
              <w:jc w:val="left"/>
            </w:pPr>
            <w:r>
              <w:t xml:space="preserve">1 </w:t>
            </w:r>
          </w:p>
        </w:tc>
        <w:tc>
          <w:tcPr>
            <w:tcW w:w="410" w:type="dxa"/>
            <w:tcBorders>
              <w:top w:val="single" w:sz="4" w:space="0" w:color="000000"/>
              <w:left w:val="single" w:sz="4" w:space="0" w:color="000000"/>
              <w:bottom w:val="single" w:sz="4" w:space="0" w:color="000000"/>
              <w:right w:val="single" w:sz="4" w:space="0" w:color="000000"/>
            </w:tcBorders>
          </w:tcPr>
          <w:p w14:paraId="09D5E51F" w14:textId="77777777" w:rsidR="0045673A" w:rsidRDefault="00E17DF3">
            <w:pPr>
              <w:spacing w:after="0" w:line="259" w:lineRule="auto"/>
              <w:ind w:left="137" w:firstLine="0"/>
              <w:jc w:val="left"/>
            </w:pPr>
            <w:r>
              <w:t xml:space="preserve">2 </w:t>
            </w:r>
          </w:p>
        </w:tc>
        <w:tc>
          <w:tcPr>
            <w:tcW w:w="410" w:type="dxa"/>
            <w:tcBorders>
              <w:top w:val="single" w:sz="4" w:space="0" w:color="000000"/>
              <w:left w:val="single" w:sz="4" w:space="0" w:color="000000"/>
              <w:bottom w:val="single" w:sz="4" w:space="0" w:color="000000"/>
              <w:right w:val="single" w:sz="4" w:space="0" w:color="000000"/>
            </w:tcBorders>
          </w:tcPr>
          <w:p w14:paraId="6DC398A5" w14:textId="77777777" w:rsidR="0045673A" w:rsidRDefault="00E17DF3">
            <w:pPr>
              <w:spacing w:after="0" w:line="259" w:lineRule="auto"/>
              <w:ind w:left="137" w:firstLine="0"/>
              <w:jc w:val="left"/>
            </w:pPr>
            <w:r>
              <w:t xml:space="preserve">3 </w:t>
            </w:r>
          </w:p>
        </w:tc>
        <w:tc>
          <w:tcPr>
            <w:tcW w:w="409" w:type="dxa"/>
            <w:tcBorders>
              <w:top w:val="single" w:sz="4" w:space="0" w:color="000000"/>
              <w:left w:val="single" w:sz="4" w:space="0" w:color="000000"/>
              <w:bottom w:val="single" w:sz="4" w:space="0" w:color="000000"/>
              <w:right w:val="single" w:sz="4" w:space="0" w:color="000000"/>
            </w:tcBorders>
          </w:tcPr>
          <w:p w14:paraId="03C3EF9A" w14:textId="77777777" w:rsidR="0045673A" w:rsidRDefault="00E17DF3">
            <w:pPr>
              <w:spacing w:after="0" w:line="259" w:lineRule="auto"/>
              <w:ind w:left="137" w:firstLine="0"/>
              <w:jc w:val="left"/>
            </w:pPr>
            <w:r>
              <w:t xml:space="preserve">4 </w:t>
            </w:r>
          </w:p>
        </w:tc>
        <w:tc>
          <w:tcPr>
            <w:tcW w:w="410" w:type="dxa"/>
            <w:tcBorders>
              <w:top w:val="single" w:sz="4" w:space="0" w:color="000000"/>
              <w:left w:val="single" w:sz="4" w:space="0" w:color="000000"/>
              <w:bottom w:val="single" w:sz="4" w:space="0" w:color="000000"/>
              <w:right w:val="single" w:sz="4" w:space="0" w:color="000000"/>
            </w:tcBorders>
          </w:tcPr>
          <w:p w14:paraId="0ECB8B97" w14:textId="77777777" w:rsidR="0045673A" w:rsidRDefault="00E17DF3">
            <w:pPr>
              <w:spacing w:after="0" w:line="259" w:lineRule="auto"/>
              <w:ind w:left="139" w:firstLine="0"/>
              <w:jc w:val="left"/>
            </w:pPr>
            <w:r>
              <w:t xml:space="preserve">5 </w:t>
            </w:r>
          </w:p>
        </w:tc>
        <w:tc>
          <w:tcPr>
            <w:tcW w:w="1109" w:type="dxa"/>
            <w:tcBorders>
              <w:top w:val="single" w:sz="4" w:space="0" w:color="000000"/>
              <w:left w:val="single" w:sz="4" w:space="0" w:color="000000"/>
              <w:bottom w:val="single" w:sz="4" w:space="0" w:color="000000"/>
              <w:right w:val="single" w:sz="4" w:space="0" w:color="000000"/>
            </w:tcBorders>
          </w:tcPr>
          <w:p w14:paraId="31B6CC84" w14:textId="77777777" w:rsidR="0045673A" w:rsidRDefault="00E17DF3">
            <w:pPr>
              <w:spacing w:after="0" w:line="259" w:lineRule="auto"/>
              <w:ind w:left="2" w:firstLine="0"/>
              <w:jc w:val="center"/>
            </w:pPr>
            <w:r>
              <w:t xml:space="preserve">Don’t know </w:t>
            </w:r>
          </w:p>
        </w:tc>
      </w:tr>
      <w:tr w:rsidR="0045673A" w14:paraId="0C8990E7" w14:textId="77777777">
        <w:trPr>
          <w:trHeight w:val="538"/>
        </w:trPr>
        <w:tc>
          <w:tcPr>
            <w:tcW w:w="5048" w:type="dxa"/>
            <w:tcBorders>
              <w:top w:val="single" w:sz="8" w:space="0" w:color="000000"/>
              <w:left w:val="single" w:sz="8" w:space="0" w:color="000000"/>
              <w:bottom w:val="single" w:sz="8" w:space="0" w:color="000000"/>
              <w:right w:val="single" w:sz="4" w:space="0" w:color="000000"/>
            </w:tcBorders>
          </w:tcPr>
          <w:p w14:paraId="7AC9978F" w14:textId="77777777" w:rsidR="0045673A" w:rsidRDefault="00E17DF3">
            <w:pPr>
              <w:spacing w:after="0" w:line="259" w:lineRule="auto"/>
              <w:ind w:left="101" w:firstLine="0"/>
              <w:jc w:val="left"/>
            </w:pPr>
            <w:r>
              <w:t xml:space="preserve">Taxonomy-related disclosures </w:t>
            </w:r>
          </w:p>
        </w:tc>
        <w:tc>
          <w:tcPr>
            <w:tcW w:w="408" w:type="dxa"/>
            <w:tcBorders>
              <w:top w:val="single" w:sz="4" w:space="0" w:color="000000"/>
              <w:left w:val="single" w:sz="4" w:space="0" w:color="000000"/>
              <w:bottom w:val="single" w:sz="4" w:space="0" w:color="000000"/>
              <w:right w:val="single" w:sz="4" w:space="0" w:color="000000"/>
            </w:tcBorders>
          </w:tcPr>
          <w:p w14:paraId="22C841D0" w14:textId="52A7E7DE" w:rsidR="0045673A" w:rsidRDefault="00E17DF3">
            <w:pPr>
              <w:spacing w:after="0" w:line="259" w:lineRule="auto"/>
              <w:ind w:left="102"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77917B96" w14:textId="39C853C7" w:rsidR="0045673A" w:rsidRDefault="000E4802">
            <w:pPr>
              <w:spacing w:after="0" w:line="259" w:lineRule="auto"/>
              <w:ind w:left="99" w:firstLine="0"/>
              <w:jc w:val="center"/>
            </w:pPr>
            <w:r>
              <w:t>X</w:t>
            </w:r>
            <w:r w:rsidR="00E17DF3">
              <w:t xml:space="preserve"> </w:t>
            </w:r>
          </w:p>
        </w:tc>
        <w:tc>
          <w:tcPr>
            <w:tcW w:w="410" w:type="dxa"/>
            <w:tcBorders>
              <w:top w:val="single" w:sz="4" w:space="0" w:color="000000"/>
              <w:left w:val="single" w:sz="4" w:space="0" w:color="000000"/>
              <w:bottom w:val="single" w:sz="4" w:space="0" w:color="000000"/>
              <w:right w:val="single" w:sz="4" w:space="0" w:color="000000"/>
            </w:tcBorders>
          </w:tcPr>
          <w:p w14:paraId="233F1E15" w14:textId="0252B3CC" w:rsidR="0045673A" w:rsidRDefault="00E17DF3">
            <w:pPr>
              <w:spacing w:after="0" w:line="259" w:lineRule="auto"/>
              <w:ind w:left="99" w:firstLine="0"/>
              <w:jc w:val="center"/>
            </w:pPr>
            <w:r>
              <w:t xml:space="preserve"> </w:t>
            </w:r>
          </w:p>
        </w:tc>
        <w:tc>
          <w:tcPr>
            <w:tcW w:w="409" w:type="dxa"/>
            <w:tcBorders>
              <w:top w:val="single" w:sz="4" w:space="0" w:color="000000"/>
              <w:left w:val="single" w:sz="4" w:space="0" w:color="000000"/>
              <w:bottom w:val="single" w:sz="4" w:space="0" w:color="000000"/>
              <w:right w:val="single" w:sz="4" w:space="0" w:color="000000"/>
            </w:tcBorders>
          </w:tcPr>
          <w:p w14:paraId="4771D762" w14:textId="77777777" w:rsidR="0045673A" w:rsidRDefault="00E17DF3">
            <w:pPr>
              <w:spacing w:after="0" w:line="259" w:lineRule="auto"/>
              <w:ind w:left="102"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75609693" w14:textId="77777777" w:rsidR="0045673A" w:rsidRDefault="00E17DF3">
            <w:pPr>
              <w:spacing w:after="0" w:line="259" w:lineRule="auto"/>
              <w:ind w:left="104"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157D8CA7" w14:textId="77777777" w:rsidR="0045673A" w:rsidRDefault="00E17DF3">
            <w:pPr>
              <w:spacing w:after="0" w:line="259" w:lineRule="auto"/>
              <w:ind w:left="102" w:firstLine="0"/>
              <w:jc w:val="center"/>
            </w:pPr>
            <w:r>
              <w:t xml:space="preserve"> </w:t>
            </w:r>
          </w:p>
        </w:tc>
      </w:tr>
      <w:tr w:rsidR="0045673A" w14:paraId="6BB793D8" w14:textId="77777777">
        <w:trPr>
          <w:trHeight w:val="532"/>
        </w:trPr>
        <w:tc>
          <w:tcPr>
            <w:tcW w:w="5048" w:type="dxa"/>
            <w:tcBorders>
              <w:top w:val="single" w:sz="8" w:space="0" w:color="000000"/>
              <w:left w:val="single" w:sz="4" w:space="0" w:color="000000"/>
              <w:bottom w:val="single" w:sz="4" w:space="0" w:color="000000"/>
              <w:right w:val="single" w:sz="4" w:space="0" w:color="000000"/>
            </w:tcBorders>
          </w:tcPr>
          <w:p w14:paraId="1488A42B" w14:textId="77777777" w:rsidR="0045673A" w:rsidRDefault="00E17DF3">
            <w:pPr>
              <w:spacing w:after="0" w:line="259" w:lineRule="auto"/>
              <w:ind w:left="101" w:firstLine="0"/>
              <w:jc w:val="left"/>
            </w:pPr>
            <w:r>
              <w:t xml:space="preserve">Engagement strategies </w:t>
            </w:r>
          </w:p>
        </w:tc>
        <w:tc>
          <w:tcPr>
            <w:tcW w:w="408" w:type="dxa"/>
            <w:tcBorders>
              <w:top w:val="single" w:sz="4" w:space="0" w:color="000000"/>
              <w:left w:val="single" w:sz="4" w:space="0" w:color="000000"/>
              <w:bottom w:val="single" w:sz="4" w:space="0" w:color="000000"/>
              <w:right w:val="single" w:sz="4" w:space="0" w:color="000000"/>
            </w:tcBorders>
          </w:tcPr>
          <w:p w14:paraId="590ECC94" w14:textId="7349D3E7" w:rsidR="0045673A" w:rsidRDefault="0045673A">
            <w:pPr>
              <w:spacing w:after="0" w:line="259" w:lineRule="auto"/>
              <w:ind w:left="102"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27CB2422" w14:textId="6EA60CE6" w:rsidR="0045673A" w:rsidRDefault="0045673A">
            <w:pPr>
              <w:spacing w:after="0" w:line="259" w:lineRule="auto"/>
              <w:ind w:left="99"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3735E213" w14:textId="6FC834FF" w:rsidR="0045673A" w:rsidRDefault="0045673A">
            <w:pPr>
              <w:spacing w:after="0" w:line="259" w:lineRule="auto"/>
              <w:ind w:left="99" w:firstLine="0"/>
              <w:jc w:val="center"/>
            </w:pPr>
          </w:p>
        </w:tc>
        <w:tc>
          <w:tcPr>
            <w:tcW w:w="409" w:type="dxa"/>
            <w:tcBorders>
              <w:top w:val="single" w:sz="4" w:space="0" w:color="000000"/>
              <w:left w:val="single" w:sz="4" w:space="0" w:color="000000"/>
              <w:bottom w:val="single" w:sz="4" w:space="0" w:color="000000"/>
              <w:right w:val="single" w:sz="4" w:space="0" w:color="000000"/>
            </w:tcBorders>
          </w:tcPr>
          <w:p w14:paraId="292ED5CF" w14:textId="15F41FC6" w:rsidR="0045673A" w:rsidRDefault="000B2344">
            <w:pPr>
              <w:spacing w:after="0" w:line="259" w:lineRule="auto"/>
              <w:ind w:left="102" w:firstLine="0"/>
              <w:jc w:val="center"/>
            </w:pPr>
            <w:r>
              <w:t>X</w:t>
            </w:r>
            <w:r w:rsidR="00E17DF3">
              <w:t xml:space="preserve"> </w:t>
            </w:r>
          </w:p>
        </w:tc>
        <w:tc>
          <w:tcPr>
            <w:tcW w:w="410" w:type="dxa"/>
            <w:tcBorders>
              <w:top w:val="single" w:sz="4" w:space="0" w:color="000000"/>
              <w:left w:val="single" w:sz="4" w:space="0" w:color="000000"/>
              <w:bottom w:val="single" w:sz="4" w:space="0" w:color="000000"/>
              <w:right w:val="single" w:sz="4" w:space="0" w:color="000000"/>
            </w:tcBorders>
          </w:tcPr>
          <w:p w14:paraId="04CD370D" w14:textId="77777777" w:rsidR="0045673A" w:rsidRDefault="00E17DF3">
            <w:pPr>
              <w:spacing w:after="0" w:line="259" w:lineRule="auto"/>
              <w:ind w:left="104"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4FC5A0D3" w14:textId="77777777" w:rsidR="0045673A" w:rsidRDefault="00E17DF3">
            <w:pPr>
              <w:spacing w:after="0" w:line="259" w:lineRule="auto"/>
              <w:ind w:left="0" w:firstLine="0"/>
              <w:jc w:val="left"/>
            </w:pPr>
            <w:r>
              <w:t xml:space="preserve"> </w:t>
            </w:r>
          </w:p>
        </w:tc>
      </w:tr>
      <w:tr w:rsidR="0045673A" w14:paraId="20112221" w14:textId="77777777">
        <w:trPr>
          <w:trHeight w:val="526"/>
        </w:trPr>
        <w:tc>
          <w:tcPr>
            <w:tcW w:w="5048" w:type="dxa"/>
            <w:tcBorders>
              <w:top w:val="single" w:sz="4" w:space="0" w:color="000000"/>
              <w:left w:val="single" w:sz="4" w:space="0" w:color="000000"/>
              <w:bottom w:val="single" w:sz="4" w:space="0" w:color="000000"/>
              <w:right w:val="single" w:sz="4" w:space="0" w:color="000000"/>
            </w:tcBorders>
          </w:tcPr>
          <w:p w14:paraId="7CAFB376" w14:textId="77777777" w:rsidR="0045673A" w:rsidRDefault="00E17DF3">
            <w:pPr>
              <w:spacing w:after="0" w:line="259" w:lineRule="auto"/>
              <w:ind w:left="101" w:firstLine="0"/>
              <w:jc w:val="left"/>
            </w:pPr>
            <w:r>
              <w:t xml:space="preserve">Exclusions </w:t>
            </w:r>
          </w:p>
        </w:tc>
        <w:tc>
          <w:tcPr>
            <w:tcW w:w="408" w:type="dxa"/>
            <w:tcBorders>
              <w:top w:val="single" w:sz="4" w:space="0" w:color="000000"/>
              <w:left w:val="single" w:sz="4" w:space="0" w:color="000000"/>
              <w:bottom w:val="single" w:sz="4" w:space="0" w:color="000000"/>
              <w:right w:val="single" w:sz="4" w:space="0" w:color="000000"/>
            </w:tcBorders>
          </w:tcPr>
          <w:p w14:paraId="7B84A894" w14:textId="59D5D8A1" w:rsidR="0045673A" w:rsidRDefault="0045673A">
            <w:pPr>
              <w:spacing w:after="0" w:line="259" w:lineRule="auto"/>
              <w:ind w:left="102"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2B443991" w14:textId="006FBDED" w:rsidR="0045673A" w:rsidRDefault="0045673A">
            <w:pPr>
              <w:spacing w:after="0" w:line="259" w:lineRule="auto"/>
              <w:ind w:left="99"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736136A1" w14:textId="72534AF6" w:rsidR="0045673A" w:rsidRDefault="0045673A">
            <w:pPr>
              <w:spacing w:after="0" w:line="259" w:lineRule="auto"/>
              <w:ind w:left="99" w:firstLine="0"/>
              <w:jc w:val="center"/>
            </w:pPr>
          </w:p>
        </w:tc>
        <w:tc>
          <w:tcPr>
            <w:tcW w:w="409" w:type="dxa"/>
            <w:tcBorders>
              <w:top w:val="single" w:sz="4" w:space="0" w:color="000000"/>
              <w:left w:val="single" w:sz="4" w:space="0" w:color="000000"/>
              <w:bottom w:val="single" w:sz="4" w:space="0" w:color="000000"/>
              <w:right w:val="single" w:sz="4" w:space="0" w:color="000000"/>
            </w:tcBorders>
          </w:tcPr>
          <w:p w14:paraId="7379BF36" w14:textId="5173A1BB" w:rsidR="0045673A" w:rsidRDefault="000B2344">
            <w:pPr>
              <w:spacing w:after="0" w:line="259" w:lineRule="auto"/>
              <w:ind w:left="102" w:firstLine="0"/>
              <w:jc w:val="center"/>
            </w:pPr>
            <w:r>
              <w:t>X</w:t>
            </w:r>
            <w:r w:rsidR="00E17DF3">
              <w:t xml:space="preserve"> </w:t>
            </w:r>
          </w:p>
        </w:tc>
        <w:tc>
          <w:tcPr>
            <w:tcW w:w="410" w:type="dxa"/>
            <w:tcBorders>
              <w:top w:val="single" w:sz="4" w:space="0" w:color="000000"/>
              <w:left w:val="single" w:sz="4" w:space="0" w:color="000000"/>
              <w:bottom w:val="single" w:sz="4" w:space="0" w:color="000000"/>
              <w:right w:val="single" w:sz="4" w:space="0" w:color="000000"/>
            </w:tcBorders>
          </w:tcPr>
          <w:p w14:paraId="20A97D38" w14:textId="77777777" w:rsidR="0045673A" w:rsidRDefault="00E17DF3">
            <w:pPr>
              <w:spacing w:after="0" w:line="259" w:lineRule="auto"/>
              <w:ind w:left="104"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213597E6" w14:textId="77777777" w:rsidR="0045673A" w:rsidRDefault="00E17DF3">
            <w:pPr>
              <w:spacing w:after="0" w:line="259" w:lineRule="auto"/>
              <w:ind w:left="0" w:firstLine="0"/>
              <w:jc w:val="left"/>
            </w:pPr>
            <w:r>
              <w:t xml:space="preserve"> </w:t>
            </w:r>
          </w:p>
        </w:tc>
      </w:tr>
      <w:tr w:rsidR="0045673A" w14:paraId="3D4B8E1F" w14:textId="77777777">
        <w:trPr>
          <w:trHeight w:val="802"/>
        </w:trPr>
        <w:tc>
          <w:tcPr>
            <w:tcW w:w="5048" w:type="dxa"/>
            <w:tcBorders>
              <w:top w:val="single" w:sz="4" w:space="0" w:color="000000"/>
              <w:left w:val="single" w:sz="4" w:space="0" w:color="000000"/>
              <w:bottom w:val="single" w:sz="4" w:space="0" w:color="000000"/>
              <w:right w:val="single" w:sz="4" w:space="0" w:color="000000"/>
            </w:tcBorders>
          </w:tcPr>
          <w:p w14:paraId="4C572215" w14:textId="77777777" w:rsidR="0045673A" w:rsidRDefault="00E17DF3">
            <w:pPr>
              <w:spacing w:after="0" w:line="259" w:lineRule="auto"/>
              <w:ind w:left="101" w:firstLine="0"/>
            </w:pPr>
            <w:r>
              <w:t xml:space="preserve">Information about how ESG-related information is used in the investment process </w:t>
            </w:r>
          </w:p>
        </w:tc>
        <w:tc>
          <w:tcPr>
            <w:tcW w:w="408" w:type="dxa"/>
            <w:tcBorders>
              <w:top w:val="single" w:sz="4" w:space="0" w:color="000000"/>
              <w:left w:val="single" w:sz="4" w:space="0" w:color="000000"/>
              <w:bottom w:val="single" w:sz="4" w:space="0" w:color="000000"/>
              <w:right w:val="single" w:sz="4" w:space="0" w:color="000000"/>
            </w:tcBorders>
          </w:tcPr>
          <w:p w14:paraId="45C34E27" w14:textId="50150D31" w:rsidR="0045673A" w:rsidRDefault="0045673A">
            <w:pPr>
              <w:spacing w:after="0" w:line="259" w:lineRule="auto"/>
              <w:ind w:left="102"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709A15CB" w14:textId="09139A59" w:rsidR="0045673A" w:rsidRDefault="0045673A">
            <w:pPr>
              <w:spacing w:after="0" w:line="259" w:lineRule="auto"/>
              <w:ind w:left="99"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6242EE9A" w14:textId="7BE486C8" w:rsidR="0045673A" w:rsidRDefault="0045673A">
            <w:pPr>
              <w:spacing w:after="0" w:line="259" w:lineRule="auto"/>
              <w:ind w:left="99" w:firstLine="0"/>
              <w:jc w:val="center"/>
            </w:pPr>
          </w:p>
        </w:tc>
        <w:tc>
          <w:tcPr>
            <w:tcW w:w="409" w:type="dxa"/>
            <w:tcBorders>
              <w:top w:val="single" w:sz="4" w:space="0" w:color="000000"/>
              <w:left w:val="single" w:sz="4" w:space="0" w:color="000000"/>
              <w:bottom w:val="single" w:sz="4" w:space="0" w:color="000000"/>
              <w:right w:val="single" w:sz="4" w:space="0" w:color="000000"/>
            </w:tcBorders>
          </w:tcPr>
          <w:p w14:paraId="3CC86C7A" w14:textId="5C10629E" w:rsidR="0045673A" w:rsidRDefault="000B2344">
            <w:pPr>
              <w:spacing w:after="0" w:line="259" w:lineRule="auto"/>
              <w:ind w:left="102" w:firstLine="0"/>
              <w:jc w:val="center"/>
            </w:pPr>
            <w:r>
              <w:t>X</w:t>
            </w:r>
            <w:r w:rsidR="00E17DF3">
              <w:t xml:space="preserve"> </w:t>
            </w:r>
          </w:p>
        </w:tc>
        <w:tc>
          <w:tcPr>
            <w:tcW w:w="410" w:type="dxa"/>
            <w:tcBorders>
              <w:top w:val="single" w:sz="4" w:space="0" w:color="000000"/>
              <w:left w:val="single" w:sz="4" w:space="0" w:color="000000"/>
              <w:bottom w:val="single" w:sz="4" w:space="0" w:color="000000"/>
              <w:right w:val="single" w:sz="4" w:space="0" w:color="000000"/>
            </w:tcBorders>
          </w:tcPr>
          <w:p w14:paraId="6FF658B0" w14:textId="77777777" w:rsidR="0045673A" w:rsidRDefault="00E17DF3">
            <w:pPr>
              <w:spacing w:after="0" w:line="259" w:lineRule="auto"/>
              <w:ind w:left="104"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58B54602" w14:textId="77777777" w:rsidR="0045673A" w:rsidRDefault="00E17DF3">
            <w:pPr>
              <w:spacing w:after="0" w:line="259" w:lineRule="auto"/>
              <w:ind w:left="0" w:firstLine="0"/>
              <w:jc w:val="left"/>
            </w:pPr>
            <w:r>
              <w:t xml:space="preserve"> </w:t>
            </w:r>
          </w:p>
        </w:tc>
      </w:tr>
      <w:tr w:rsidR="0045673A" w14:paraId="46215927" w14:textId="77777777">
        <w:trPr>
          <w:trHeight w:val="526"/>
        </w:trPr>
        <w:tc>
          <w:tcPr>
            <w:tcW w:w="5048" w:type="dxa"/>
            <w:tcBorders>
              <w:top w:val="single" w:sz="4" w:space="0" w:color="000000"/>
              <w:left w:val="single" w:sz="4" w:space="0" w:color="000000"/>
              <w:bottom w:val="single" w:sz="4" w:space="0" w:color="000000"/>
              <w:right w:val="single" w:sz="4" w:space="0" w:color="000000"/>
            </w:tcBorders>
          </w:tcPr>
          <w:p w14:paraId="16981B79" w14:textId="77777777" w:rsidR="0045673A" w:rsidRDefault="00E17DF3">
            <w:pPr>
              <w:spacing w:after="0" w:line="259" w:lineRule="auto"/>
              <w:ind w:left="101" w:firstLine="0"/>
              <w:jc w:val="left"/>
            </w:pPr>
            <w:r>
              <w:t xml:space="preserve">Other information  </w:t>
            </w:r>
          </w:p>
        </w:tc>
        <w:tc>
          <w:tcPr>
            <w:tcW w:w="408" w:type="dxa"/>
            <w:tcBorders>
              <w:top w:val="single" w:sz="4" w:space="0" w:color="000000"/>
              <w:left w:val="single" w:sz="4" w:space="0" w:color="000000"/>
              <w:bottom w:val="single" w:sz="4" w:space="0" w:color="000000"/>
              <w:right w:val="single" w:sz="4" w:space="0" w:color="000000"/>
            </w:tcBorders>
          </w:tcPr>
          <w:p w14:paraId="6462AD1F" w14:textId="2023C084" w:rsidR="0045673A" w:rsidRDefault="00E17DF3">
            <w:pPr>
              <w:spacing w:after="0" w:line="259" w:lineRule="auto"/>
              <w:ind w:left="102"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389878FF" w14:textId="77777777" w:rsidR="0045673A" w:rsidRDefault="00E17DF3">
            <w:pPr>
              <w:spacing w:after="0" w:line="259" w:lineRule="auto"/>
              <w:ind w:left="99"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4C669658" w14:textId="77777777" w:rsidR="0045673A" w:rsidRDefault="00E17DF3">
            <w:pPr>
              <w:spacing w:after="0" w:line="259" w:lineRule="auto"/>
              <w:ind w:left="99" w:firstLine="0"/>
              <w:jc w:val="center"/>
            </w:pPr>
            <w:r>
              <w:t xml:space="preserve"> </w:t>
            </w:r>
          </w:p>
        </w:tc>
        <w:tc>
          <w:tcPr>
            <w:tcW w:w="409" w:type="dxa"/>
            <w:tcBorders>
              <w:top w:val="single" w:sz="4" w:space="0" w:color="000000"/>
              <w:left w:val="single" w:sz="4" w:space="0" w:color="000000"/>
              <w:bottom w:val="single" w:sz="4" w:space="0" w:color="000000"/>
              <w:right w:val="single" w:sz="4" w:space="0" w:color="000000"/>
            </w:tcBorders>
          </w:tcPr>
          <w:p w14:paraId="16A2814B" w14:textId="77777777" w:rsidR="0045673A" w:rsidRDefault="00E17DF3">
            <w:pPr>
              <w:spacing w:after="0" w:line="259" w:lineRule="auto"/>
              <w:ind w:left="102"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7346CD1F" w14:textId="77777777" w:rsidR="0045673A" w:rsidRDefault="00E17DF3">
            <w:pPr>
              <w:spacing w:after="0" w:line="259" w:lineRule="auto"/>
              <w:ind w:left="104"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7E3804E9" w14:textId="5A9E764B" w:rsidR="0045673A" w:rsidRDefault="00E17DF3">
            <w:pPr>
              <w:spacing w:after="0" w:line="259" w:lineRule="auto"/>
              <w:ind w:left="0" w:firstLine="0"/>
              <w:jc w:val="left"/>
            </w:pPr>
            <w:r>
              <w:t xml:space="preserve"> </w:t>
            </w:r>
            <w:r w:rsidR="007C6DCB">
              <w:t xml:space="preserve"> </w:t>
            </w:r>
            <w:r w:rsidR="000E4802">
              <w:t>X</w:t>
            </w:r>
          </w:p>
        </w:tc>
      </w:tr>
    </w:tbl>
    <w:p w14:paraId="08660669" w14:textId="77777777" w:rsidR="0045673A" w:rsidRDefault="00E17DF3">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4D10AA6F" w14:textId="77777777" w:rsidR="0045673A" w:rsidRDefault="00E17DF3">
      <w:pPr>
        <w:spacing w:after="0" w:line="259" w:lineRule="auto"/>
        <w:ind w:left="0" w:firstLine="0"/>
        <w:jc w:val="left"/>
      </w:pPr>
      <w:r>
        <w:t xml:space="preserve"> </w:t>
      </w:r>
    </w:p>
    <w:p w14:paraId="13673852" w14:textId="77777777" w:rsidR="0045673A" w:rsidRDefault="00E17DF3">
      <w:pPr>
        <w:ind w:right="643"/>
      </w:pPr>
      <w:r>
        <w:t>If you selected ‘Other information’ please specify:</w:t>
      </w:r>
      <w:r>
        <w:rPr>
          <w:i/>
          <w:sz w:val="20"/>
        </w:rP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64AB1A60"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071E55FD" w14:textId="77777777" w:rsidR="008D2C63" w:rsidRDefault="008D2C63" w:rsidP="007C6DCB">
            <w:pPr>
              <w:spacing w:after="0" w:line="259" w:lineRule="auto"/>
              <w:ind w:left="0" w:firstLine="0"/>
              <w:jc w:val="left"/>
              <w:rPr>
                <w:sz w:val="20"/>
                <w:szCs w:val="20"/>
              </w:rPr>
            </w:pPr>
          </w:p>
          <w:p w14:paraId="79E86D04" w14:textId="0199DF76" w:rsidR="00B30787" w:rsidRPr="008D2C63" w:rsidRDefault="005C2114" w:rsidP="007C6DCB">
            <w:pPr>
              <w:spacing w:after="0" w:line="259" w:lineRule="auto"/>
              <w:ind w:left="0" w:firstLine="0"/>
              <w:jc w:val="left"/>
              <w:rPr>
                <w:sz w:val="20"/>
                <w:szCs w:val="20"/>
              </w:rPr>
            </w:pPr>
            <w:r w:rsidRPr="008D2C63">
              <w:rPr>
                <w:sz w:val="20"/>
                <w:szCs w:val="20"/>
              </w:rPr>
              <w:t>As previously highlighted, w</w:t>
            </w:r>
            <w:r w:rsidR="005952BF" w:rsidRPr="008D2C63">
              <w:rPr>
                <w:sz w:val="20"/>
                <w:szCs w:val="20"/>
              </w:rPr>
              <w:t>e think that all financial products should also disclose whether investee companies are complying</w:t>
            </w:r>
            <w:r w:rsidRPr="008D2C63">
              <w:rPr>
                <w:sz w:val="20"/>
                <w:szCs w:val="20"/>
              </w:rPr>
              <w:t xml:space="preserve"> with globally recognised frameworks for minimum business standards, such as the UN Global Impact guiding principles, O</w:t>
            </w:r>
            <w:r w:rsidRPr="008D2C63">
              <w:rPr>
                <w:rStyle w:val="ui-provider"/>
                <w:sz w:val="20"/>
                <w:szCs w:val="20"/>
              </w:rPr>
              <w:t xml:space="preserve">ECD’s guidelines, and other frameworks. </w:t>
            </w:r>
          </w:p>
        </w:tc>
      </w:tr>
    </w:tbl>
    <w:p w14:paraId="131FD2AF" w14:textId="77777777" w:rsidR="0045673A" w:rsidRDefault="00E17DF3">
      <w:pPr>
        <w:spacing w:after="216" w:line="259" w:lineRule="auto"/>
        <w:ind w:left="0" w:firstLine="0"/>
        <w:jc w:val="left"/>
      </w:pPr>
      <w:r>
        <w:t xml:space="preserve"> </w:t>
      </w:r>
    </w:p>
    <w:p w14:paraId="46E23613" w14:textId="77777777" w:rsidR="0045673A" w:rsidRDefault="00E17DF3">
      <w:pPr>
        <w:spacing w:after="46"/>
        <w:ind w:right="643"/>
      </w:pPr>
      <w:r w:rsidRPr="00D05AF5">
        <w:t>Please explain as necessary your replies to questions 3.2.1 and its sub-questions:</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3A35FE81" w14:textId="77777777">
        <w:trPr>
          <w:trHeight w:val="536"/>
        </w:trPr>
        <w:tc>
          <w:tcPr>
            <w:tcW w:w="8836" w:type="dxa"/>
            <w:tcBorders>
              <w:top w:val="single" w:sz="8" w:space="0" w:color="000000"/>
              <w:left w:val="single" w:sz="8" w:space="0" w:color="000000"/>
              <w:bottom w:val="single" w:sz="8" w:space="0" w:color="000000"/>
              <w:right w:val="single" w:sz="4" w:space="0" w:color="000000"/>
            </w:tcBorders>
          </w:tcPr>
          <w:p w14:paraId="4E612E99" w14:textId="77777777" w:rsidR="008D2C63" w:rsidRDefault="008D2C63" w:rsidP="00647719">
            <w:pPr>
              <w:spacing w:after="0" w:line="259" w:lineRule="auto"/>
              <w:ind w:left="0" w:firstLine="0"/>
              <w:jc w:val="left"/>
              <w:rPr>
                <w:sz w:val="20"/>
                <w:szCs w:val="20"/>
              </w:rPr>
            </w:pPr>
          </w:p>
          <w:p w14:paraId="594154F2" w14:textId="338D4A1E" w:rsidR="001D07AC" w:rsidRDefault="00B63EC3" w:rsidP="00647719">
            <w:pPr>
              <w:spacing w:after="0" w:line="259" w:lineRule="auto"/>
              <w:ind w:left="0" w:firstLine="0"/>
              <w:jc w:val="left"/>
              <w:rPr>
                <w:sz w:val="20"/>
                <w:szCs w:val="20"/>
              </w:rPr>
            </w:pPr>
            <w:r w:rsidRPr="00150B3B">
              <w:rPr>
                <w:sz w:val="20"/>
                <w:szCs w:val="20"/>
              </w:rPr>
              <w:t xml:space="preserve">We are supportive of a minimum baseline of disclosure requirements applying to all financial products, regardless of their sustainability objectives and profile. </w:t>
            </w:r>
          </w:p>
          <w:p w14:paraId="41FA36A6" w14:textId="77777777" w:rsidR="001D07AC" w:rsidRDefault="001D07AC" w:rsidP="00647719">
            <w:pPr>
              <w:spacing w:after="0" w:line="259" w:lineRule="auto"/>
              <w:ind w:left="0" w:firstLine="0"/>
              <w:jc w:val="left"/>
              <w:rPr>
                <w:sz w:val="20"/>
                <w:szCs w:val="20"/>
              </w:rPr>
            </w:pPr>
          </w:p>
          <w:p w14:paraId="5E316B32" w14:textId="54DF7366" w:rsidR="00B63EC3" w:rsidRPr="00150B3B" w:rsidRDefault="00B63EC3" w:rsidP="00647719">
            <w:pPr>
              <w:spacing w:after="0" w:line="259" w:lineRule="auto"/>
              <w:ind w:left="0" w:firstLine="0"/>
              <w:jc w:val="left"/>
              <w:rPr>
                <w:sz w:val="20"/>
                <w:szCs w:val="20"/>
              </w:rPr>
            </w:pPr>
            <w:r w:rsidRPr="00150B3B">
              <w:rPr>
                <w:sz w:val="20"/>
                <w:szCs w:val="20"/>
              </w:rPr>
              <w:t>A minimum baseline of disclosures would assist in the comparability across products in the EU and help to promote a level playing-field.</w:t>
            </w:r>
            <w:r w:rsidR="00CD0C28" w:rsidRPr="00150B3B">
              <w:rPr>
                <w:sz w:val="20"/>
                <w:szCs w:val="20"/>
              </w:rPr>
              <w:t xml:space="preserve"> </w:t>
            </w:r>
            <w:r w:rsidR="001D07AC">
              <w:rPr>
                <w:sz w:val="20"/>
                <w:szCs w:val="20"/>
              </w:rPr>
              <w:t>These disclosures could include reporting on how sustainability risks are integrated into investment processes</w:t>
            </w:r>
            <w:r w:rsidR="000879CC">
              <w:rPr>
                <w:sz w:val="20"/>
                <w:szCs w:val="20"/>
              </w:rPr>
              <w:t>, and reporting on a</w:t>
            </w:r>
            <w:r w:rsidR="00680D77">
              <w:rPr>
                <w:sz w:val="20"/>
                <w:szCs w:val="20"/>
              </w:rPr>
              <w:t xml:space="preserve"> very</w:t>
            </w:r>
            <w:r w:rsidR="000879CC">
              <w:rPr>
                <w:sz w:val="20"/>
                <w:szCs w:val="20"/>
              </w:rPr>
              <w:t xml:space="preserve"> limited set of PAI indicators</w:t>
            </w:r>
            <w:r w:rsidR="00680D77">
              <w:rPr>
                <w:sz w:val="20"/>
                <w:szCs w:val="20"/>
              </w:rPr>
              <w:t>, as previously mentioned in our response</w:t>
            </w:r>
            <w:r w:rsidR="00047E01">
              <w:rPr>
                <w:sz w:val="20"/>
                <w:szCs w:val="20"/>
              </w:rPr>
              <w:t xml:space="preserve">. For sustainable-labelled funds, as highlighted previously, they should face proportionately </w:t>
            </w:r>
            <w:r w:rsidR="00BC2DEC">
              <w:rPr>
                <w:sz w:val="20"/>
                <w:szCs w:val="20"/>
              </w:rPr>
              <w:t xml:space="preserve">more detailed </w:t>
            </w:r>
            <w:r w:rsidR="00047E01">
              <w:rPr>
                <w:sz w:val="20"/>
                <w:szCs w:val="20"/>
              </w:rPr>
              <w:t xml:space="preserve">disclosures </w:t>
            </w:r>
            <w:r w:rsidR="00BC2DEC">
              <w:rPr>
                <w:sz w:val="20"/>
                <w:szCs w:val="20"/>
              </w:rPr>
              <w:t>when compared with non-labelled funds.</w:t>
            </w:r>
          </w:p>
          <w:p w14:paraId="54C9EDEE" w14:textId="77777777" w:rsidR="00F414D0" w:rsidRPr="00150B3B" w:rsidRDefault="00F414D0" w:rsidP="00647719">
            <w:pPr>
              <w:spacing w:after="0" w:line="259" w:lineRule="auto"/>
              <w:ind w:left="0" w:firstLine="0"/>
              <w:jc w:val="left"/>
              <w:rPr>
                <w:sz w:val="20"/>
                <w:szCs w:val="20"/>
              </w:rPr>
            </w:pPr>
          </w:p>
          <w:p w14:paraId="5FD64B44" w14:textId="034C7BF5" w:rsidR="00993202" w:rsidRPr="00150B3B" w:rsidRDefault="00FA6EA4" w:rsidP="00B23D0F">
            <w:pPr>
              <w:spacing w:after="0" w:line="259" w:lineRule="auto"/>
              <w:ind w:left="0" w:firstLine="0"/>
              <w:jc w:val="left"/>
              <w:rPr>
                <w:sz w:val="20"/>
                <w:szCs w:val="20"/>
              </w:rPr>
            </w:pPr>
            <w:r w:rsidRPr="00150B3B">
              <w:rPr>
                <w:sz w:val="20"/>
                <w:szCs w:val="20"/>
              </w:rPr>
              <w:t xml:space="preserve">This approach should </w:t>
            </w:r>
            <w:r w:rsidR="00CB04CD" w:rsidRPr="00150B3B">
              <w:rPr>
                <w:sz w:val="20"/>
                <w:szCs w:val="20"/>
              </w:rPr>
              <w:t>actively draw</w:t>
            </w:r>
            <w:r w:rsidRPr="00150B3B">
              <w:rPr>
                <w:sz w:val="20"/>
                <w:szCs w:val="20"/>
              </w:rPr>
              <w:t xml:space="preserve"> on the UK FCA’s approach to disclosures</w:t>
            </w:r>
            <w:r w:rsidR="00B07644" w:rsidRPr="00150B3B">
              <w:rPr>
                <w:sz w:val="20"/>
                <w:szCs w:val="20"/>
              </w:rPr>
              <w:t>, which includes a high-level ‘sustainability factsheet’ that comprises a summary of a product’s key sustainability-related features to assist consumers in their understanding of the product, comparability, and their ability to hold their provider to account for its sustainability claims</w:t>
            </w:r>
            <w:r w:rsidR="00D63A1A">
              <w:rPr>
                <w:sz w:val="20"/>
                <w:szCs w:val="20"/>
              </w:rPr>
              <w:t>. This will apply to all funds qualifying for the labelling regime</w:t>
            </w:r>
            <w:r w:rsidR="00CE4EE3">
              <w:rPr>
                <w:sz w:val="20"/>
                <w:szCs w:val="20"/>
              </w:rPr>
              <w:t>,</w:t>
            </w:r>
            <w:r w:rsidR="00D63A1A">
              <w:rPr>
                <w:sz w:val="20"/>
                <w:szCs w:val="20"/>
              </w:rPr>
              <w:t xml:space="preserve"> or </w:t>
            </w:r>
            <w:r w:rsidR="000A5E26">
              <w:rPr>
                <w:sz w:val="20"/>
                <w:szCs w:val="20"/>
              </w:rPr>
              <w:t xml:space="preserve">those </w:t>
            </w:r>
            <w:r w:rsidR="00A3196E">
              <w:rPr>
                <w:sz w:val="20"/>
                <w:szCs w:val="20"/>
              </w:rPr>
              <w:t>non-labelled fun</w:t>
            </w:r>
            <w:r w:rsidR="00D63A1A">
              <w:rPr>
                <w:sz w:val="20"/>
                <w:szCs w:val="20"/>
              </w:rPr>
              <w:t xml:space="preserve">ds with sustainability-related terms highlighted </w:t>
            </w:r>
            <w:r w:rsidR="0022637E">
              <w:rPr>
                <w:sz w:val="20"/>
                <w:szCs w:val="20"/>
              </w:rPr>
              <w:t>in their fund name or marketing materials.</w:t>
            </w:r>
          </w:p>
          <w:p w14:paraId="033F0294" w14:textId="77777777" w:rsidR="00007871" w:rsidRPr="00150B3B" w:rsidRDefault="00007871" w:rsidP="00B23D0F">
            <w:pPr>
              <w:spacing w:after="0" w:line="259" w:lineRule="auto"/>
              <w:ind w:left="0" w:firstLine="0"/>
              <w:jc w:val="left"/>
              <w:rPr>
                <w:sz w:val="20"/>
                <w:szCs w:val="20"/>
              </w:rPr>
            </w:pPr>
          </w:p>
          <w:p w14:paraId="0BF95489" w14:textId="50082158" w:rsidR="0045673A" w:rsidRDefault="00007871">
            <w:pPr>
              <w:spacing w:after="0" w:line="259" w:lineRule="auto"/>
              <w:ind w:left="0" w:firstLine="0"/>
              <w:jc w:val="left"/>
              <w:rPr>
                <w:szCs w:val="24"/>
              </w:rPr>
            </w:pPr>
            <w:r w:rsidRPr="00150B3B">
              <w:rPr>
                <w:sz w:val="20"/>
                <w:szCs w:val="20"/>
              </w:rPr>
              <w:t>A ‘comply or explain’ approach could be adopted to the minimum baseline of disclosure requirements to allow funds to explain why they may not choose to integrate sustainability into their decision-making</w:t>
            </w:r>
            <w:r w:rsidR="002E4817" w:rsidRPr="00150B3B">
              <w:rPr>
                <w:sz w:val="20"/>
                <w:szCs w:val="20"/>
              </w:rPr>
              <w:t xml:space="preserve">, or for example disclose their taxonomy-alignment to end </w:t>
            </w:r>
            <w:r w:rsidR="008969E3" w:rsidRPr="00150B3B">
              <w:rPr>
                <w:sz w:val="20"/>
                <w:szCs w:val="20"/>
              </w:rPr>
              <w:t>investors</w:t>
            </w:r>
            <w:r w:rsidR="00D3222E">
              <w:rPr>
                <w:sz w:val="20"/>
                <w:szCs w:val="20"/>
              </w:rPr>
              <w:t xml:space="preserve">. This could assist end investors in understanding </w:t>
            </w:r>
            <w:r w:rsidR="001F1255">
              <w:rPr>
                <w:sz w:val="20"/>
                <w:szCs w:val="20"/>
              </w:rPr>
              <w:t>their fund disclosures.</w:t>
            </w:r>
          </w:p>
          <w:p w14:paraId="6F416113" w14:textId="44CF0F43" w:rsidR="00656229" w:rsidRPr="00590702" w:rsidRDefault="00656229">
            <w:pPr>
              <w:spacing w:after="0" w:line="259" w:lineRule="auto"/>
              <w:ind w:left="0" w:firstLine="0"/>
              <w:jc w:val="left"/>
              <w:rPr>
                <w:szCs w:val="24"/>
              </w:rPr>
            </w:pPr>
          </w:p>
        </w:tc>
      </w:tr>
    </w:tbl>
    <w:p w14:paraId="44716438" w14:textId="77777777" w:rsidR="0045673A" w:rsidRDefault="00E17DF3">
      <w:pPr>
        <w:spacing w:after="216" w:line="259" w:lineRule="auto"/>
        <w:ind w:left="0" w:firstLine="0"/>
        <w:jc w:val="left"/>
      </w:pPr>
      <w:r>
        <w:rPr>
          <w:b/>
        </w:rPr>
        <w:t xml:space="preserve"> </w:t>
      </w:r>
    </w:p>
    <w:p w14:paraId="4D1E8B84" w14:textId="4CD0E47B" w:rsidR="0045673A" w:rsidRPr="00791612" w:rsidRDefault="00E17DF3">
      <w:pPr>
        <w:ind w:right="643"/>
      </w:pPr>
      <w:r w:rsidRPr="00EC43B1">
        <w:rPr>
          <w:b/>
          <w:u w:val="single" w:color="000000"/>
        </w:rPr>
        <w:t>Question 3.2.2</w:t>
      </w:r>
      <w:r w:rsidRPr="00EC43B1">
        <w:t xml:space="preserve">: Standardised product disclosures </w:t>
      </w:r>
      <w:r w:rsidR="008D2C63">
        <w:t>–</w:t>
      </w:r>
      <w:r w:rsidRPr="00EC43B1">
        <w:t xml:space="preserve"> Would uniform disclosure requirements for </w:t>
      </w:r>
      <w:r w:rsidRPr="00EC43B1">
        <w:rPr>
          <w:b/>
        </w:rPr>
        <w:t>some</w:t>
      </w:r>
      <w:r w:rsidRPr="00EC43B1">
        <w:t xml:space="preserve"> financial products be a more appropriate approach, regardless of their sustainability-related claims (e.g. products whose assets under management, or equivalent, would exceed a certain threshold to be defined, products intended solely for retail investors…)? Please note that next question 3.2.3 asks specifically about the need for disclosures in cases of products making sustainability claims.</w:t>
      </w:r>
      <w:r w:rsidRPr="00791612">
        <w:t xml:space="preserve">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rsidRPr="00791612" w14:paraId="229B8E1B" w14:textId="77777777">
        <w:trPr>
          <w:trHeight w:val="531"/>
        </w:trPr>
        <w:tc>
          <w:tcPr>
            <w:tcW w:w="1111" w:type="dxa"/>
            <w:tcBorders>
              <w:top w:val="single" w:sz="6" w:space="0" w:color="000000"/>
              <w:left w:val="single" w:sz="6" w:space="0" w:color="000000"/>
              <w:bottom w:val="single" w:sz="6" w:space="0" w:color="000000"/>
              <w:right w:val="single" w:sz="6" w:space="0" w:color="000000"/>
            </w:tcBorders>
          </w:tcPr>
          <w:p w14:paraId="27DB1242" w14:textId="77777777" w:rsidR="0045673A" w:rsidRPr="00791612" w:rsidRDefault="00E17DF3">
            <w:pPr>
              <w:spacing w:after="0" w:line="259" w:lineRule="auto"/>
              <w:ind w:left="0" w:right="2" w:firstLine="0"/>
              <w:jc w:val="center"/>
            </w:pPr>
            <w:r w:rsidRPr="00791612">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1A583683" w14:textId="77777777" w:rsidR="0045673A" w:rsidRPr="00791612" w:rsidRDefault="00E17DF3">
            <w:pPr>
              <w:spacing w:after="0" w:line="259" w:lineRule="auto"/>
              <w:ind w:left="0" w:right="1" w:firstLine="0"/>
              <w:jc w:val="center"/>
            </w:pPr>
            <w:r w:rsidRPr="00791612">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452FEC79" w14:textId="77777777" w:rsidR="0045673A" w:rsidRPr="00791612" w:rsidRDefault="00E17DF3">
            <w:pPr>
              <w:spacing w:after="0" w:line="259" w:lineRule="auto"/>
              <w:ind w:left="0" w:firstLine="0"/>
              <w:jc w:val="center"/>
            </w:pPr>
            <w:r w:rsidRPr="00791612">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5A8FB03A" w14:textId="77777777" w:rsidR="0045673A" w:rsidRPr="00791612" w:rsidRDefault="00E17DF3">
            <w:pPr>
              <w:spacing w:after="0" w:line="259" w:lineRule="auto"/>
              <w:ind w:left="0" w:firstLine="0"/>
              <w:jc w:val="center"/>
            </w:pPr>
            <w:r w:rsidRPr="00791612">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55688BD8" w14:textId="77777777" w:rsidR="0045673A" w:rsidRPr="00791612" w:rsidRDefault="00E17DF3">
            <w:pPr>
              <w:spacing w:after="0" w:line="259" w:lineRule="auto"/>
              <w:ind w:left="2" w:firstLine="0"/>
              <w:jc w:val="center"/>
            </w:pPr>
            <w:r w:rsidRPr="00791612">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26C9B117" w14:textId="77777777" w:rsidR="0045673A" w:rsidRPr="00791612" w:rsidRDefault="00E17DF3">
            <w:pPr>
              <w:spacing w:after="0" w:line="259" w:lineRule="auto"/>
              <w:ind w:left="0" w:right="3" w:firstLine="0"/>
              <w:jc w:val="center"/>
            </w:pPr>
            <w:r w:rsidRPr="00791612">
              <w:t xml:space="preserve">Don’t know </w:t>
            </w:r>
          </w:p>
        </w:tc>
      </w:tr>
      <w:tr w:rsidR="0045673A" w:rsidRPr="00791612" w14:paraId="6AEA33E3" w14:textId="77777777">
        <w:trPr>
          <w:trHeight w:val="533"/>
        </w:trPr>
        <w:tc>
          <w:tcPr>
            <w:tcW w:w="1111" w:type="dxa"/>
            <w:tcBorders>
              <w:top w:val="single" w:sz="6" w:space="0" w:color="000000"/>
              <w:left w:val="single" w:sz="6" w:space="0" w:color="000000"/>
              <w:bottom w:val="single" w:sz="6" w:space="0" w:color="000000"/>
              <w:right w:val="single" w:sz="6" w:space="0" w:color="000000"/>
            </w:tcBorders>
          </w:tcPr>
          <w:p w14:paraId="44A777FA" w14:textId="507A51B0" w:rsidR="0045673A" w:rsidRPr="004306D9" w:rsidRDefault="00E17DF3">
            <w:pPr>
              <w:spacing w:after="0" w:line="259" w:lineRule="auto"/>
              <w:ind w:left="58" w:firstLine="0"/>
              <w:jc w:val="center"/>
            </w:pPr>
            <w:r w:rsidRPr="004306D9">
              <w:t xml:space="preserve"> </w:t>
            </w:r>
          </w:p>
        </w:tc>
        <w:tc>
          <w:tcPr>
            <w:tcW w:w="1095" w:type="dxa"/>
            <w:tcBorders>
              <w:top w:val="single" w:sz="6" w:space="0" w:color="000000"/>
              <w:left w:val="single" w:sz="6" w:space="0" w:color="000000"/>
              <w:bottom w:val="single" w:sz="6" w:space="0" w:color="000000"/>
              <w:right w:val="single" w:sz="6" w:space="0" w:color="000000"/>
            </w:tcBorders>
          </w:tcPr>
          <w:p w14:paraId="67B28750" w14:textId="6AE16DC4" w:rsidR="0045673A" w:rsidRPr="004306D9" w:rsidRDefault="00B21E51">
            <w:pPr>
              <w:spacing w:after="0" w:line="259" w:lineRule="auto"/>
              <w:ind w:left="59" w:firstLine="0"/>
              <w:jc w:val="center"/>
            </w:pPr>
            <w:r>
              <w:t>X</w:t>
            </w:r>
            <w:r w:rsidR="00E17DF3" w:rsidRPr="004306D9">
              <w:t xml:space="preserve"> </w:t>
            </w:r>
          </w:p>
        </w:tc>
        <w:tc>
          <w:tcPr>
            <w:tcW w:w="1094" w:type="dxa"/>
            <w:tcBorders>
              <w:top w:val="single" w:sz="6" w:space="0" w:color="000000"/>
              <w:left w:val="single" w:sz="6" w:space="0" w:color="000000"/>
              <w:bottom w:val="single" w:sz="6" w:space="0" w:color="000000"/>
              <w:right w:val="single" w:sz="6" w:space="0" w:color="000000"/>
            </w:tcBorders>
          </w:tcPr>
          <w:p w14:paraId="46FDEB91" w14:textId="77777777" w:rsidR="0045673A" w:rsidRPr="00791612" w:rsidRDefault="00E17DF3">
            <w:pPr>
              <w:spacing w:after="0" w:line="259" w:lineRule="auto"/>
              <w:ind w:left="60" w:firstLine="0"/>
              <w:jc w:val="center"/>
            </w:pPr>
            <w:r w:rsidRPr="00791612">
              <w:t xml:space="preserve"> </w:t>
            </w:r>
          </w:p>
        </w:tc>
        <w:tc>
          <w:tcPr>
            <w:tcW w:w="1095" w:type="dxa"/>
            <w:tcBorders>
              <w:top w:val="single" w:sz="6" w:space="0" w:color="000000"/>
              <w:left w:val="single" w:sz="6" w:space="0" w:color="000000"/>
              <w:bottom w:val="single" w:sz="6" w:space="0" w:color="000000"/>
              <w:right w:val="single" w:sz="6" w:space="0" w:color="000000"/>
            </w:tcBorders>
          </w:tcPr>
          <w:p w14:paraId="1642FBE9" w14:textId="2ED635F9" w:rsidR="0045673A" w:rsidRPr="00791612" w:rsidRDefault="0045673A">
            <w:pPr>
              <w:spacing w:after="0" w:line="259" w:lineRule="auto"/>
              <w:ind w:left="60" w:firstLine="0"/>
              <w:jc w:val="center"/>
            </w:pPr>
          </w:p>
        </w:tc>
        <w:tc>
          <w:tcPr>
            <w:tcW w:w="1025" w:type="dxa"/>
            <w:tcBorders>
              <w:top w:val="single" w:sz="6" w:space="0" w:color="000000"/>
              <w:left w:val="single" w:sz="6" w:space="0" w:color="000000"/>
              <w:bottom w:val="single" w:sz="6" w:space="0" w:color="000000"/>
              <w:right w:val="single" w:sz="6" w:space="0" w:color="000000"/>
            </w:tcBorders>
          </w:tcPr>
          <w:p w14:paraId="22C6D224" w14:textId="77777777" w:rsidR="0045673A" w:rsidRPr="00791612" w:rsidRDefault="00E17DF3">
            <w:pPr>
              <w:spacing w:after="0" w:line="259" w:lineRule="auto"/>
              <w:ind w:left="62" w:firstLine="0"/>
              <w:jc w:val="center"/>
            </w:pPr>
            <w:r w:rsidRPr="00791612">
              <w:t xml:space="preserve"> </w:t>
            </w:r>
          </w:p>
        </w:tc>
        <w:tc>
          <w:tcPr>
            <w:tcW w:w="2552" w:type="dxa"/>
            <w:tcBorders>
              <w:top w:val="single" w:sz="6" w:space="0" w:color="000000"/>
              <w:left w:val="single" w:sz="6" w:space="0" w:color="000000"/>
              <w:bottom w:val="single" w:sz="6" w:space="0" w:color="000000"/>
              <w:right w:val="single" w:sz="6" w:space="0" w:color="000000"/>
            </w:tcBorders>
          </w:tcPr>
          <w:p w14:paraId="40788745" w14:textId="77777777" w:rsidR="0045673A" w:rsidRPr="00791612" w:rsidRDefault="00E17DF3">
            <w:pPr>
              <w:spacing w:after="0" w:line="259" w:lineRule="auto"/>
              <w:ind w:left="63" w:firstLine="0"/>
              <w:jc w:val="center"/>
            </w:pPr>
            <w:r w:rsidRPr="00791612">
              <w:t xml:space="preserve"> </w:t>
            </w:r>
          </w:p>
        </w:tc>
      </w:tr>
    </w:tbl>
    <w:p w14:paraId="35D572CB" w14:textId="77777777" w:rsidR="0045673A" w:rsidRPr="00791612" w:rsidRDefault="00E17DF3">
      <w:pPr>
        <w:spacing w:after="245" w:line="268" w:lineRule="auto"/>
        <w:ind w:left="-5" w:right="365"/>
        <w:jc w:val="left"/>
      </w:pPr>
      <w:r w:rsidRPr="00791612">
        <w:rPr>
          <w:i/>
          <w:sz w:val="20"/>
        </w:rPr>
        <w:t>(1= not at all, 2= to a limited extent, 3= to some extent, 4= to a large extent, 5= to a very large extent)</w:t>
      </w:r>
      <w:r w:rsidRPr="00791612">
        <w:rPr>
          <w:sz w:val="20"/>
        </w:rPr>
        <w:t xml:space="preserve"> </w:t>
      </w:r>
    </w:p>
    <w:p w14:paraId="58A19BCE" w14:textId="77777777" w:rsidR="0045673A" w:rsidRPr="00791612" w:rsidRDefault="00E17DF3">
      <w:pPr>
        <w:spacing w:after="37" w:line="259" w:lineRule="auto"/>
        <w:ind w:left="-5" w:right="411"/>
        <w:jc w:val="left"/>
      </w:pPr>
      <w:r w:rsidRPr="00535661">
        <w:rPr>
          <w:b/>
          <w:u w:val="single" w:color="000000"/>
        </w:rPr>
        <w:t>Question 3.2.2 a)</w:t>
      </w:r>
      <w:r w:rsidRPr="00535661">
        <w:t xml:space="preserve">: If the EU was to impose uniform disclosure requirements for </w:t>
      </w:r>
      <w:r w:rsidRPr="00535661">
        <w:rPr>
          <w:b/>
        </w:rPr>
        <w:t>some</w:t>
      </w:r>
      <w:r w:rsidRPr="00535661">
        <w:t xml:space="preserve"> financial products, what would be the criterion/criteria that would trigger the reporting obligations?</w:t>
      </w:r>
      <w:r w:rsidRPr="00791612">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01B5F484"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5CF36C98" w14:textId="77777777" w:rsidR="008D2C63" w:rsidRPr="008D2C63" w:rsidRDefault="008D2C63" w:rsidP="0021620A">
            <w:pPr>
              <w:pStyle w:val="pf0"/>
              <w:rPr>
                <w:rStyle w:val="cf01"/>
                <w:rFonts w:ascii="Times New Roman" w:hAnsi="Times New Roman" w:cs="Times New Roman"/>
                <w:sz w:val="4"/>
                <w:szCs w:val="4"/>
              </w:rPr>
            </w:pPr>
          </w:p>
          <w:p w14:paraId="28B7F433" w14:textId="0B15C356" w:rsidR="00D72381" w:rsidRDefault="00BA4281" w:rsidP="0021620A">
            <w:pPr>
              <w:pStyle w:val="pf0"/>
              <w:rPr>
                <w:rStyle w:val="cf01"/>
                <w:rFonts w:ascii="Times New Roman" w:hAnsi="Times New Roman" w:cs="Times New Roman"/>
                <w:sz w:val="20"/>
                <w:szCs w:val="20"/>
              </w:rPr>
            </w:pPr>
            <w:r w:rsidRPr="008D2C63">
              <w:rPr>
                <w:rStyle w:val="cf01"/>
                <w:rFonts w:ascii="Times New Roman" w:hAnsi="Times New Roman" w:cs="Times New Roman"/>
                <w:sz w:val="20"/>
                <w:szCs w:val="20"/>
              </w:rPr>
              <w:t xml:space="preserve">A requirement </w:t>
            </w:r>
            <w:r w:rsidR="0021620A" w:rsidRPr="008D2C63">
              <w:rPr>
                <w:rStyle w:val="cf01"/>
                <w:rFonts w:ascii="Times New Roman" w:hAnsi="Times New Roman" w:cs="Times New Roman"/>
                <w:sz w:val="20"/>
                <w:szCs w:val="20"/>
              </w:rPr>
              <w:t>to have</w:t>
            </w:r>
            <w:r w:rsidR="005E2C67" w:rsidRPr="008D2C63">
              <w:rPr>
                <w:rStyle w:val="cf01"/>
                <w:rFonts w:ascii="Times New Roman" w:hAnsi="Times New Roman" w:cs="Times New Roman"/>
                <w:sz w:val="20"/>
                <w:szCs w:val="20"/>
              </w:rPr>
              <w:t xml:space="preserve"> a limited minimum set of</w:t>
            </w:r>
            <w:r w:rsidR="0021620A" w:rsidRPr="008D2C63">
              <w:rPr>
                <w:rStyle w:val="cf01"/>
                <w:rFonts w:ascii="Times New Roman" w:hAnsi="Times New Roman" w:cs="Times New Roman"/>
                <w:sz w:val="20"/>
                <w:szCs w:val="20"/>
              </w:rPr>
              <w:t xml:space="preserve"> disclosures in place for only some financial products </w:t>
            </w:r>
            <w:r w:rsidR="00590702" w:rsidRPr="008D2C63">
              <w:rPr>
                <w:rStyle w:val="cf01"/>
                <w:rFonts w:ascii="Times New Roman" w:hAnsi="Times New Roman" w:cs="Times New Roman"/>
                <w:sz w:val="20"/>
                <w:szCs w:val="20"/>
              </w:rPr>
              <w:t xml:space="preserve">may </w:t>
            </w:r>
            <w:r w:rsidR="0021620A" w:rsidRPr="008D2C63">
              <w:rPr>
                <w:rStyle w:val="cf01"/>
                <w:rFonts w:ascii="Times New Roman" w:hAnsi="Times New Roman" w:cs="Times New Roman"/>
                <w:sz w:val="20"/>
                <w:szCs w:val="20"/>
              </w:rPr>
              <w:t>damage efforts to promote comparability across products in the marke</w:t>
            </w:r>
            <w:r w:rsidR="00590702" w:rsidRPr="008D2C63">
              <w:rPr>
                <w:rStyle w:val="cf01"/>
                <w:rFonts w:ascii="Times New Roman" w:hAnsi="Times New Roman" w:cs="Times New Roman"/>
                <w:sz w:val="20"/>
                <w:szCs w:val="20"/>
              </w:rPr>
              <w:t>t for end investors.</w:t>
            </w:r>
            <w:r w:rsidR="00DC6042" w:rsidRPr="008D2C63">
              <w:rPr>
                <w:rStyle w:val="cf01"/>
                <w:rFonts w:ascii="Times New Roman" w:hAnsi="Times New Roman" w:cs="Times New Roman"/>
                <w:sz w:val="20"/>
                <w:szCs w:val="20"/>
              </w:rPr>
              <w:t xml:space="preserve"> For those funds that are marketed as sustainable and pursuing sustainable investment strategies, there should be additional disclosure requirements in place. </w:t>
            </w:r>
          </w:p>
          <w:p w14:paraId="4AE3014E" w14:textId="358DD8F0" w:rsidR="008D2C63" w:rsidRPr="008D2C63" w:rsidRDefault="008D2C63" w:rsidP="0021620A">
            <w:pPr>
              <w:pStyle w:val="pf0"/>
              <w:rPr>
                <w:sz w:val="20"/>
                <w:szCs w:val="20"/>
              </w:rPr>
            </w:pPr>
          </w:p>
        </w:tc>
      </w:tr>
    </w:tbl>
    <w:p w14:paraId="3C722400" w14:textId="77777777" w:rsidR="0045673A" w:rsidRDefault="00E17DF3">
      <w:pPr>
        <w:spacing w:after="216" w:line="259" w:lineRule="auto"/>
        <w:ind w:left="0" w:firstLine="0"/>
        <w:jc w:val="left"/>
      </w:pPr>
      <w:r>
        <w:rPr>
          <w:b/>
        </w:rPr>
        <w:t xml:space="preserve"> </w:t>
      </w:r>
    </w:p>
    <w:p w14:paraId="01DBE8C0" w14:textId="77777777" w:rsidR="0045673A" w:rsidRDefault="00E17DF3">
      <w:pPr>
        <w:ind w:right="643"/>
      </w:pPr>
      <w:r>
        <w:rPr>
          <w:b/>
          <w:u w:val="single" w:color="000000"/>
        </w:rPr>
        <w:t>Question 3.2.2</w:t>
      </w:r>
      <w:r w:rsidRPr="004355B8">
        <w:rPr>
          <w:b/>
          <w:u w:val="single" w:color="000000"/>
        </w:rPr>
        <w:t>. b)</w:t>
      </w:r>
      <w:r w:rsidRPr="004355B8">
        <w:rPr>
          <w:u w:val="single" w:color="000000"/>
        </w:rPr>
        <w:t>:</w:t>
      </w:r>
      <w:r w:rsidRPr="004355B8">
        <w:t xml:space="preserve"> If the EU was to impose uniform disclosure requirements for </w:t>
      </w:r>
      <w:r w:rsidRPr="004355B8">
        <w:rPr>
          <w:b/>
        </w:rPr>
        <w:t>some</w:t>
      </w:r>
      <w:r w:rsidRPr="004355B8">
        <w:t xml:space="preserve"> financial products, should a limited number of principal adverse impact indicators be required?</w:t>
      </w:r>
      <w:r>
        <w:t xml:space="preserve"> </w:t>
      </w:r>
    </w:p>
    <w:p w14:paraId="6C7CC292" w14:textId="77777777" w:rsidR="0045673A" w:rsidRDefault="00E17DF3">
      <w:pPr>
        <w:spacing w:after="17" w:line="259" w:lineRule="auto"/>
        <w:ind w:left="0" w:firstLine="0"/>
        <w:jc w:val="left"/>
      </w:pPr>
      <w:r>
        <w:rPr>
          <w:i/>
          <w:sz w:val="20"/>
        </w:rPr>
        <w:t xml:space="preserve"> </w:t>
      </w:r>
    </w:p>
    <w:p w14:paraId="09415D6C" w14:textId="77777777" w:rsidR="0045673A" w:rsidRDefault="00E17DF3">
      <w:pPr>
        <w:spacing w:after="0" w:line="259" w:lineRule="auto"/>
        <w:ind w:left="0" w:firstLine="0"/>
        <w:jc w:val="left"/>
      </w:pPr>
      <w:r>
        <w:t xml:space="preserve">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6A3291D5"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2BA99E86"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25334D8D"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3C32F004"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092EA279"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5D1BA757"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08EF94F8" w14:textId="77777777" w:rsidR="0045673A" w:rsidRDefault="00E17DF3">
            <w:pPr>
              <w:spacing w:after="0" w:line="259" w:lineRule="auto"/>
              <w:ind w:left="0" w:right="3" w:firstLine="0"/>
              <w:jc w:val="center"/>
            </w:pPr>
            <w:r>
              <w:t xml:space="preserve">Don’t know </w:t>
            </w:r>
          </w:p>
        </w:tc>
      </w:tr>
      <w:tr w:rsidR="0045673A" w14:paraId="4817A288"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31118ADF" w14:textId="361EC454"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09095579" w14:textId="77777777" w:rsidR="0045673A" w:rsidRDefault="00E17DF3">
            <w:pPr>
              <w:spacing w:after="0" w:line="259" w:lineRule="auto"/>
              <w:ind w:left="59" w:firstLine="0"/>
              <w:jc w:val="center"/>
            </w:pPr>
            <w:r>
              <w:t xml:space="preserve"> </w:t>
            </w:r>
          </w:p>
        </w:tc>
        <w:tc>
          <w:tcPr>
            <w:tcW w:w="1094" w:type="dxa"/>
            <w:tcBorders>
              <w:top w:val="single" w:sz="6" w:space="0" w:color="000000"/>
              <w:left w:val="single" w:sz="6" w:space="0" w:color="000000"/>
              <w:bottom w:val="single" w:sz="6" w:space="0" w:color="000000"/>
              <w:right w:val="single" w:sz="6" w:space="0" w:color="000000"/>
            </w:tcBorders>
          </w:tcPr>
          <w:p w14:paraId="4620A8DF" w14:textId="3A960880" w:rsidR="0045673A" w:rsidRDefault="00930556" w:rsidP="00C27D15">
            <w:pPr>
              <w:spacing w:after="0" w:line="259" w:lineRule="auto"/>
              <w:ind w:left="60" w:firstLine="0"/>
            </w:pPr>
            <w:r>
              <w:t>X</w:t>
            </w:r>
          </w:p>
        </w:tc>
        <w:tc>
          <w:tcPr>
            <w:tcW w:w="1095" w:type="dxa"/>
            <w:tcBorders>
              <w:top w:val="single" w:sz="6" w:space="0" w:color="000000"/>
              <w:left w:val="single" w:sz="6" w:space="0" w:color="000000"/>
              <w:bottom w:val="single" w:sz="6" w:space="0" w:color="000000"/>
              <w:right w:val="single" w:sz="6" w:space="0" w:color="000000"/>
            </w:tcBorders>
          </w:tcPr>
          <w:p w14:paraId="6DFB4967" w14:textId="771D5014" w:rsidR="0045673A" w:rsidRDefault="00E17DF3">
            <w:pPr>
              <w:spacing w:after="0" w:line="259" w:lineRule="auto"/>
              <w:ind w:left="60" w:firstLine="0"/>
              <w:jc w:val="center"/>
            </w:pPr>
            <w:r>
              <w:t xml:space="preserve"> </w:t>
            </w:r>
          </w:p>
        </w:tc>
        <w:tc>
          <w:tcPr>
            <w:tcW w:w="1025" w:type="dxa"/>
            <w:tcBorders>
              <w:top w:val="single" w:sz="6" w:space="0" w:color="000000"/>
              <w:left w:val="single" w:sz="6" w:space="0" w:color="000000"/>
              <w:bottom w:val="single" w:sz="6" w:space="0" w:color="000000"/>
              <w:right w:val="single" w:sz="6" w:space="0" w:color="000000"/>
            </w:tcBorders>
          </w:tcPr>
          <w:p w14:paraId="5C3BDED1"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7FDFCF10" w14:textId="77777777" w:rsidR="0045673A" w:rsidRDefault="00E17DF3">
            <w:pPr>
              <w:spacing w:after="0" w:line="259" w:lineRule="auto"/>
              <w:ind w:left="63" w:firstLine="0"/>
              <w:jc w:val="center"/>
            </w:pPr>
            <w:r>
              <w:t xml:space="preserve"> </w:t>
            </w:r>
          </w:p>
        </w:tc>
      </w:tr>
    </w:tbl>
    <w:p w14:paraId="4DC30FDA" w14:textId="77777777" w:rsidR="0045673A" w:rsidRDefault="00E17DF3">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4F43ECDF" w14:textId="77777777" w:rsidR="0045673A" w:rsidRDefault="00E17DF3">
      <w:pPr>
        <w:spacing w:after="0" w:line="259" w:lineRule="auto"/>
        <w:ind w:left="0" w:firstLine="0"/>
        <w:jc w:val="left"/>
      </w:pPr>
      <w:r>
        <w:rPr>
          <w:rFonts w:ascii="Calibri" w:eastAsia="Calibri" w:hAnsi="Calibri" w:cs="Calibri"/>
        </w:rPr>
        <w:t xml:space="preserve"> </w:t>
      </w:r>
    </w:p>
    <w:p w14:paraId="7BE2F635" w14:textId="77777777" w:rsidR="0045673A" w:rsidRDefault="00E17DF3">
      <w:pPr>
        <w:ind w:right="643"/>
      </w:pPr>
      <w:r w:rsidRPr="00EC43B1">
        <w:t>Please specify which ones:</w:t>
      </w:r>
      <w:r>
        <w:rPr>
          <w:i/>
          <w:sz w:val="20"/>
        </w:rPr>
        <w:t xml:space="preserve"> </w:t>
      </w:r>
    </w:p>
    <w:tbl>
      <w:tblPr>
        <w:tblW w:w="8836" w:type="dxa"/>
        <w:tblInd w:w="-26" w:type="dxa"/>
        <w:tblCellMar>
          <w:top w:w="21" w:type="dxa"/>
          <w:right w:w="115" w:type="dxa"/>
        </w:tblCellMar>
        <w:tblLook w:val="04A0" w:firstRow="1" w:lastRow="0" w:firstColumn="1" w:lastColumn="0" w:noHBand="0" w:noVBand="1"/>
      </w:tblPr>
      <w:tblGrid>
        <w:gridCol w:w="8836"/>
      </w:tblGrid>
      <w:tr w:rsidR="00BB56D1" w14:paraId="6C486D90"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746824D4" w14:textId="77777777" w:rsidR="008D2C63" w:rsidRDefault="008D2C63" w:rsidP="005D4D78">
            <w:pPr>
              <w:spacing w:after="0" w:line="259" w:lineRule="auto"/>
              <w:ind w:left="0" w:firstLine="0"/>
              <w:jc w:val="left"/>
              <w:rPr>
                <w:sz w:val="20"/>
                <w:szCs w:val="20"/>
              </w:rPr>
            </w:pPr>
          </w:p>
          <w:p w14:paraId="182ABBA4" w14:textId="217A85B5" w:rsidR="0045673A" w:rsidRPr="008D2C63" w:rsidRDefault="00535661" w:rsidP="005D4D78">
            <w:pPr>
              <w:spacing w:after="0" w:line="259" w:lineRule="auto"/>
              <w:ind w:left="0" w:firstLine="0"/>
              <w:jc w:val="left"/>
              <w:rPr>
                <w:sz w:val="20"/>
                <w:szCs w:val="20"/>
              </w:rPr>
            </w:pPr>
            <w:r w:rsidRPr="008D2C63">
              <w:rPr>
                <w:sz w:val="20"/>
                <w:szCs w:val="20"/>
              </w:rPr>
              <w:t>No comments</w:t>
            </w:r>
            <w:r w:rsidR="00930556" w:rsidRPr="008D2C63">
              <w:rPr>
                <w:sz w:val="20"/>
                <w:szCs w:val="20"/>
              </w:rPr>
              <w:t xml:space="preserve"> from UKSIF.</w:t>
            </w:r>
          </w:p>
          <w:p w14:paraId="4D0C4F3B" w14:textId="1A505DCA" w:rsidR="009F122A" w:rsidRPr="004355B8" w:rsidRDefault="009F122A" w:rsidP="005D4D78">
            <w:pPr>
              <w:spacing w:after="0" w:line="259" w:lineRule="auto"/>
              <w:ind w:left="0" w:firstLine="0"/>
              <w:jc w:val="left"/>
            </w:pPr>
          </w:p>
        </w:tc>
      </w:tr>
    </w:tbl>
    <w:p w14:paraId="31A01311" w14:textId="77777777" w:rsidR="0045673A" w:rsidRDefault="00E17DF3">
      <w:pPr>
        <w:spacing w:after="216" w:line="259" w:lineRule="auto"/>
        <w:ind w:left="0" w:firstLine="0"/>
        <w:jc w:val="left"/>
      </w:pPr>
      <w:r>
        <w:rPr>
          <w:b/>
        </w:rPr>
        <w:t xml:space="preserve"> </w:t>
      </w:r>
    </w:p>
    <w:p w14:paraId="6508406D" w14:textId="77777777" w:rsidR="0045673A" w:rsidRDefault="00E17DF3">
      <w:pPr>
        <w:ind w:right="643"/>
      </w:pPr>
      <w:r>
        <w:rPr>
          <w:b/>
          <w:u w:val="single" w:color="000000"/>
        </w:rPr>
        <w:t>Question 3.2.2. c)</w:t>
      </w:r>
      <w:r>
        <w:t xml:space="preserve">: Please see a list of examples of disclosures that could also be required about the group of financial products that would be subject to standardised disclosure obligations for transparency purposes (in line with your answer to Q 3.2.2 above). In your view, should these disclosures be mandatory, and/or should any other information be required about that group of financial products?  </w:t>
      </w:r>
    </w:p>
    <w:tbl>
      <w:tblPr>
        <w:tblW w:w="8205" w:type="dxa"/>
        <w:tblCellMar>
          <w:top w:w="14" w:type="dxa"/>
          <w:left w:w="7" w:type="dxa"/>
          <w:right w:w="49" w:type="dxa"/>
        </w:tblCellMar>
        <w:tblLook w:val="04A0" w:firstRow="1" w:lastRow="0" w:firstColumn="1" w:lastColumn="0" w:noHBand="0" w:noVBand="1"/>
      </w:tblPr>
      <w:tblGrid>
        <w:gridCol w:w="5049"/>
        <w:gridCol w:w="408"/>
        <w:gridCol w:w="410"/>
        <w:gridCol w:w="410"/>
        <w:gridCol w:w="409"/>
        <w:gridCol w:w="410"/>
        <w:gridCol w:w="1109"/>
      </w:tblGrid>
      <w:tr w:rsidR="0045673A" w14:paraId="3EABC5E8" w14:textId="77777777">
        <w:trPr>
          <w:trHeight w:val="811"/>
        </w:trPr>
        <w:tc>
          <w:tcPr>
            <w:tcW w:w="5048" w:type="dxa"/>
            <w:tcBorders>
              <w:top w:val="single" w:sz="8" w:space="0" w:color="000000"/>
              <w:left w:val="single" w:sz="8" w:space="0" w:color="000000"/>
              <w:bottom w:val="single" w:sz="8" w:space="0" w:color="000000"/>
              <w:right w:val="single" w:sz="4" w:space="0" w:color="000000"/>
            </w:tcBorders>
          </w:tcPr>
          <w:p w14:paraId="089C79DB" w14:textId="77777777" w:rsidR="0045673A" w:rsidRDefault="00E17DF3">
            <w:pPr>
              <w:spacing w:after="0" w:line="259" w:lineRule="auto"/>
              <w:ind w:left="101" w:firstLine="0"/>
              <w:jc w:val="left"/>
            </w:pPr>
            <w:r>
              <w:t xml:space="preserve"> </w:t>
            </w:r>
          </w:p>
        </w:tc>
        <w:tc>
          <w:tcPr>
            <w:tcW w:w="408" w:type="dxa"/>
            <w:tcBorders>
              <w:top w:val="single" w:sz="4" w:space="0" w:color="000000"/>
              <w:left w:val="single" w:sz="4" w:space="0" w:color="000000"/>
              <w:bottom w:val="single" w:sz="4" w:space="0" w:color="000000"/>
              <w:right w:val="single" w:sz="4" w:space="0" w:color="000000"/>
            </w:tcBorders>
          </w:tcPr>
          <w:p w14:paraId="75FB7B61" w14:textId="77777777" w:rsidR="0045673A" w:rsidRDefault="00E17DF3">
            <w:pPr>
              <w:spacing w:after="0" w:line="259" w:lineRule="auto"/>
              <w:ind w:left="137" w:firstLine="0"/>
              <w:jc w:val="left"/>
            </w:pPr>
            <w:r>
              <w:t xml:space="preserve">1 </w:t>
            </w:r>
          </w:p>
        </w:tc>
        <w:tc>
          <w:tcPr>
            <w:tcW w:w="410" w:type="dxa"/>
            <w:tcBorders>
              <w:top w:val="single" w:sz="4" w:space="0" w:color="000000"/>
              <w:left w:val="single" w:sz="4" w:space="0" w:color="000000"/>
              <w:bottom w:val="single" w:sz="4" w:space="0" w:color="000000"/>
              <w:right w:val="single" w:sz="4" w:space="0" w:color="000000"/>
            </w:tcBorders>
          </w:tcPr>
          <w:p w14:paraId="4BB93A9D" w14:textId="77777777" w:rsidR="0045673A" w:rsidRDefault="00E17DF3">
            <w:pPr>
              <w:spacing w:after="0" w:line="259" w:lineRule="auto"/>
              <w:ind w:left="137" w:firstLine="0"/>
              <w:jc w:val="left"/>
            </w:pPr>
            <w:r>
              <w:t xml:space="preserve">2 </w:t>
            </w:r>
          </w:p>
        </w:tc>
        <w:tc>
          <w:tcPr>
            <w:tcW w:w="410" w:type="dxa"/>
            <w:tcBorders>
              <w:top w:val="single" w:sz="4" w:space="0" w:color="000000"/>
              <w:left w:val="single" w:sz="4" w:space="0" w:color="000000"/>
              <w:bottom w:val="single" w:sz="4" w:space="0" w:color="000000"/>
              <w:right w:val="single" w:sz="4" w:space="0" w:color="000000"/>
            </w:tcBorders>
          </w:tcPr>
          <w:p w14:paraId="1C0A74FA" w14:textId="77777777" w:rsidR="0045673A" w:rsidRDefault="00E17DF3">
            <w:pPr>
              <w:spacing w:after="0" w:line="259" w:lineRule="auto"/>
              <w:ind w:left="137" w:firstLine="0"/>
              <w:jc w:val="left"/>
            </w:pPr>
            <w:r>
              <w:t xml:space="preserve">3 </w:t>
            </w:r>
          </w:p>
        </w:tc>
        <w:tc>
          <w:tcPr>
            <w:tcW w:w="409" w:type="dxa"/>
            <w:tcBorders>
              <w:top w:val="single" w:sz="4" w:space="0" w:color="000000"/>
              <w:left w:val="single" w:sz="4" w:space="0" w:color="000000"/>
              <w:bottom w:val="single" w:sz="4" w:space="0" w:color="000000"/>
              <w:right w:val="single" w:sz="4" w:space="0" w:color="000000"/>
            </w:tcBorders>
          </w:tcPr>
          <w:p w14:paraId="5836496D" w14:textId="77777777" w:rsidR="0045673A" w:rsidRDefault="00E17DF3">
            <w:pPr>
              <w:spacing w:after="0" w:line="259" w:lineRule="auto"/>
              <w:ind w:left="137" w:firstLine="0"/>
              <w:jc w:val="left"/>
            </w:pPr>
            <w:r>
              <w:t xml:space="preserve">4 </w:t>
            </w:r>
          </w:p>
        </w:tc>
        <w:tc>
          <w:tcPr>
            <w:tcW w:w="410" w:type="dxa"/>
            <w:tcBorders>
              <w:top w:val="single" w:sz="4" w:space="0" w:color="000000"/>
              <w:left w:val="single" w:sz="4" w:space="0" w:color="000000"/>
              <w:bottom w:val="single" w:sz="4" w:space="0" w:color="000000"/>
              <w:right w:val="single" w:sz="4" w:space="0" w:color="000000"/>
            </w:tcBorders>
          </w:tcPr>
          <w:p w14:paraId="35ABB3B0" w14:textId="77777777" w:rsidR="0045673A" w:rsidRDefault="00E17DF3">
            <w:pPr>
              <w:spacing w:after="0" w:line="259" w:lineRule="auto"/>
              <w:ind w:left="139" w:firstLine="0"/>
              <w:jc w:val="left"/>
            </w:pPr>
            <w:r>
              <w:t xml:space="preserve">5 </w:t>
            </w:r>
          </w:p>
        </w:tc>
        <w:tc>
          <w:tcPr>
            <w:tcW w:w="1109" w:type="dxa"/>
            <w:tcBorders>
              <w:top w:val="single" w:sz="4" w:space="0" w:color="000000"/>
              <w:left w:val="single" w:sz="4" w:space="0" w:color="000000"/>
              <w:bottom w:val="single" w:sz="4" w:space="0" w:color="000000"/>
              <w:right w:val="single" w:sz="4" w:space="0" w:color="000000"/>
            </w:tcBorders>
          </w:tcPr>
          <w:p w14:paraId="17193FA8" w14:textId="77777777" w:rsidR="0045673A" w:rsidRDefault="00E17DF3">
            <w:pPr>
              <w:spacing w:after="0" w:line="259" w:lineRule="auto"/>
              <w:ind w:left="2" w:firstLine="0"/>
              <w:jc w:val="center"/>
            </w:pPr>
            <w:r>
              <w:t xml:space="preserve">Don’t know </w:t>
            </w:r>
          </w:p>
        </w:tc>
      </w:tr>
      <w:tr w:rsidR="0045673A" w14:paraId="06D80296" w14:textId="77777777">
        <w:trPr>
          <w:trHeight w:val="536"/>
        </w:trPr>
        <w:tc>
          <w:tcPr>
            <w:tcW w:w="5048" w:type="dxa"/>
            <w:tcBorders>
              <w:top w:val="single" w:sz="8" w:space="0" w:color="000000"/>
              <w:left w:val="single" w:sz="8" w:space="0" w:color="000000"/>
              <w:bottom w:val="single" w:sz="8" w:space="0" w:color="000000"/>
              <w:right w:val="single" w:sz="4" w:space="0" w:color="000000"/>
            </w:tcBorders>
          </w:tcPr>
          <w:p w14:paraId="5ED41FC2" w14:textId="77777777" w:rsidR="0045673A" w:rsidRDefault="00E17DF3">
            <w:pPr>
              <w:spacing w:after="0" w:line="259" w:lineRule="auto"/>
              <w:ind w:left="101" w:firstLine="0"/>
              <w:jc w:val="left"/>
            </w:pPr>
            <w:r>
              <w:t xml:space="preserve">Taxonomy-related disclosures </w:t>
            </w:r>
          </w:p>
        </w:tc>
        <w:tc>
          <w:tcPr>
            <w:tcW w:w="408" w:type="dxa"/>
            <w:tcBorders>
              <w:top w:val="single" w:sz="4" w:space="0" w:color="000000"/>
              <w:left w:val="single" w:sz="4" w:space="0" w:color="000000"/>
              <w:bottom w:val="single" w:sz="4" w:space="0" w:color="000000"/>
              <w:right w:val="single" w:sz="4" w:space="0" w:color="000000"/>
            </w:tcBorders>
          </w:tcPr>
          <w:p w14:paraId="0AD34473" w14:textId="25001373" w:rsidR="0045673A" w:rsidRDefault="0045673A">
            <w:pPr>
              <w:spacing w:after="0" w:line="259" w:lineRule="auto"/>
              <w:ind w:left="102"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65F5A3A0" w14:textId="1604EAC2" w:rsidR="0045673A" w:rsidRDefault="00B31D33">
            <w:pPr>
              <w:spacing w:after="0" w:line="259" w:lineRule="auto"/>
              <w:ind w:left="99" w:firstLine="0"/>
              <w:jc w:val="center"/>
            </w:pPr>
            <w:r>
              <w:t>X</w:t>
            </w:r>
          </w:p>
        </w:tc>
        <w:tc>
          <w:tcPr>
            <w:tcW w:w="410" w:type="dxa"/>
            <w:tcBorders>
              <w:top w:val="single" w:sz="4" w:space="0" w:color="000000"/>
              <w:left w:val="single" w:sz="4" w:space="0" w:color="000000"/>
              <w:bottom w:val="single" w:sz="4" w:space="0" w:color="000000"/>
              <w:right w:val="single" w:sz="4" w:space="0" w:color="000000"/>
            </w:tcBorders>
          </w:tcPr>
          <w:p w14:paraId="1B9325A4" w14:textId="2264F482" w:rsidR="0045673A" w:rsidRDefault="0045673A">
            <w:pPr>
              <w:spacing w:after="0" w:line="259" w:lineRule="auto"/>
              <w:ind w:left="99" w:firstLine="0"/>
              <w:jc w:val="center"/>
            </w:pPr>
          </w:p>
        </w:tc>
        <w:tc>
          <w:tcPr>
            <w:tcW w:w="409" w:type="dxa"/>
            <w:tcBorders>
              <w:top w:val="single" w:sz="4" w:space="0" w:color="000000"/>
              <w:left w:val="single" w:sz="4" w:space="0" w:color="000000"/>
              <w:bottom w:val="single" w:sz="4" w:space="0" w:color="000000"/>
              <w:right w:val="single" w:sz="4" w:space="0" w:color="000000"/>
            </w:tcBorders>
          </w:tcPr>
          <w:p w14:paraId="7717C95C" w14:textId="2FE9F4D4" w:rsidR="0045673A" w:rsidRDefault="00E17DF3">
            <w:pPr>
              <w:spacing w:after="0" w:line="259" w:lineRule="auto"/>
              <w:ind w:left="102"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6694C4E2" w14:textId="77777777" w:rsidR="0045673A" w:rsidRDefault="00E17DF3">
            <w:pPr>
              <w:spacing w:after="0" w:line="259" w:lineRule="auto"/>
              <w:ind w:left="104"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7451F2AE" w14:textId="77777777" w:rsidR="0045673A" w:rsidRDefault="00E17DF3">
            <w:pPr>
              <w:spacing w:after="0" w:line="259" w:lineRule="auto"/>
              <w:ind w:left="102" w:firstLine="0"/>
              <w:jc w:val="center"/>
            </w:pPr>
            <w:r>
              <w:t xml:space="preserve"> </w:t>
            </w:r>
          </w:p>
        </w:tc>
      </w:tr>
      <w:tr w:rsidR="0045673A" w14:paraId="7A9C43E0" w14:textId="77777777">
        <w:trPr>
          <w:trHeight w:val="534"/>
        </w:trPr>
        <w:tc>
          <w:tcPr>
            <w:tcW w:w="5048" w:type="dxa"/>
            <w:tcBorders>
              <w:top w:val="single" w:sz="8" w:space="0" w:color="000000"/>
              <w:left w:val="single" w:sz="4" w:space="0" w:color="000000"/>
              <w:bottom w:val="single" w:sz="4" w:space="0" w:color="000000"/>
              <w:right w:val="single" w:sz="4" w:space="0" w:color="000000"/>
            </w:tcBorders>
          </w:tcPr>
          <w:p w14:paraId="27E7F442" w14:textId="77777777" w:rsidR="0045673A" w:rsidRDefault="00E17DF3">
            <w:pPr>
              <w:spacing w:after="0" w:line="259" w:lineRule="auto"/>
              <w:ind w:left="101" w:firstLine="0"/>
              <w:jc w:val="left"/>
            </w:pPr>
            <w:r>
              <w:t xml:space="preserve">Engagement strategies </w:t>
            </w:r>
          </w:p>
        </w:tc>
        <w:tc>
          <w:tcPr>
            <w:tcW w:w="408" w:type="dxa"/>
            <w:tcBorders>
              <w:top w:val="single" w:sz="4" w:space="0" w:color="000000"/>
              <w:left w:val="single" w:sz="4" w:space="0" w:color="000000"/>
              <w:bottom w:val="single" w:sz="4" w:space="0" w:color="000000"/>
              <w:right w:val="single" w:sz="4" w:space="0" w:color="000000"/>
            </w:tcBorders>
          </w:tcPr>
          <w:p w14:paraId="0892518F" w14:textId="4DBD7995" w:rsidR="0045673A" w:rsidRDefault="0045673A">
            <w:pPr>
              <w:spacing w:after="0" w:line="259" w:lineRule="auto"/>
              <w:ind w:left="102"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704F9CA9" w14:textId="2F46E49F" w:rsidR="0045673A" w:rsidRDefault="0045673A">
            <w:pPr>
              <w:spacing w:after="0" w:line="259" w:lineRule="auto"/>
              <w:ind w:left="99"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3939E4B3" w14:textId="0EF6DB47" w:rsidR="0045673A" w:rsidRDefault="0045673A">
            <w:pPr>
              <w:spacing w:after="0" w:line="259" w:lineRule="auto"/>
              <w:ind w:left="99" w:firstLine="0"/>
              <w:jc w:val="center"/>
            </w:pPr>
          </w:p>
        </w:tc>
        <w:tc>
          <w:tcPr>
            <w:tcW w:w="409" w:type="dxa"/>
            <w:tcBorders>
              <w:top w:val="single" w:sz="4" w:space="0" w:color="000000"/>
              <w:left w:val="single" w:sz="4" w:space="0" w:color="000000"/>
              <w:bottom w:val="single" w:sz="4" w:space="0" w:color="000000"/>
              <w:right w:val="single" w:sz="4" w:space="0" w:color="000000"/>
            </w:tcBorders>
          </w:tcPr>
          <w:p w14:paraId="7D0770AE" w14:textId="306BBCE5" w:rsidR="0045673A" w:rsidRDefault="003906E7">
            <w:pPr>
              <w:spacing w:after="0" w:line="259" w:lineRule="auto"/>
              <w:ind w:left="102" w:firstLine="0"/>
              <w:jc w:val="center"/>
            </w:pPr>
            <w:r>
              <w:t>X</w:t>
            </w:r>
            <w:r w:rsidR="00E17DF3">
              <w:t xml:space="preserve"> </w:t>
            </w:r>
          </w:p>
        </w:tc>
        <w:tc>
          <w:tcPr>
            <w:tcW w:w="410" w:type="dxa"/>
            <w:tcBorders>
              <w:top w:val="single" w:sz="4" w:space="0" w:color="000000"/>
              <w:left w:val="single" w:sz="4" w:space="0" w:color="000000"/>
              <w:bottom w:val="single" w:sz="4" w:space="0" w:color="000000"/>
              <w:right w:val="single" w:sz="4" w:space="0" w:color="000000"/>
            </w:tcBorders>
          </w:tcPr>
          <w:p w14:paraId="217AB242" w14:textId="77777777" w:rsidR="0045673A" w:rsidRDefault="00E17DF3">
            <w:pPr>
              <w:spacing w:after="0" w:line="259" w:lineRule="auto"/>
              <w:ind w:left="104"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7B1548F1" w14:textId="77777777" w:rsidR="0045673A" w:rsidRDefault="00E17DF3">
            <w:pPr>
              <w:spacing w:after="0" w:line="259" w:lineRule="auto"/>
              <w:ind w:left="0" w:firstLine="0"/>
              <w:jc w:val="left"/>
            </w:pPr>
            <w:r>
              <w:t xml:space="preserve"> </w:t>
            </w:r>
          </w:p>
        </w:tc>
      </w:tr>
      <w:tr w:rsidR="0045673A" w14:paraId="346823DC" w14:textId="77777777">
        <w:trPr>
          <w:trHeight w:val="526"/>
        </w:trPr>
        <w:tc>
          <w:tcPr>
            <w:tcW w:w="5048" w:type="dxa"/>
            <w:tcBorders>
              <w:top w:val="single" w:sz="4" w:space="0" w:color="000000"/>
              <w:left w:val="single" w:sz="4" w:space="0" w:color="000000"/>
              <w:bottom w:val="single" w:sz="4" w:space="0" w:color="000000"/>
              <w:right w:val="single" w:sz="4" w:space="0" w:color="000000"/>
            </w:tcBorders>
          </w:tcPr>
          <w:p w14:paraId="57E4F22B" w14:textId="77777777" w:rsidR="0045673A" w:rsidRDefault="00E17DF3">
            <w:pPr>
              <w:spacing w:after="0" w:line="259" w:lineRule="auto"/>
              <w:ind w:left="101" w:firstLine="0"/>
              <w:jc w:val="left"/>
            </w:pPr>
            <w:r>
              <w:t xml:space="preserve">Exclusions </w:t>
            </w:r>
          </w:p>
        </w:tc>
        <w:tc>
          <w:tcPr>
            <w:tcW w:w="408" w:type="dxa"/>
            <w:tcBorders>
              <w:top w:val="single" w:sz="4" w:space="0" w:color="000000"/>
              <w:left w:val="single" w:sz="4" w:space="0" w:color="000000"/>
              <w:bottom w:val="single" w:sz="4" w:space="0" w:color="000000"/>
              <w:right w:val="single" w:sz="4" w:space="0" w:color="000000"/>
            </w:tcBorders>
          </w:tcPr>
          <w:p w14:paraId="052B36F6" w14:textId="455BF32C" w:rsidR="0045673A" w:rsidRDefault="0045673A">
            <w:pPr>
              <w:spacing w:after="0" w:line="259" w:lineRule="auto"/>
              <w:ind w:left="102"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65E83EF3" w14:textId="64C5BE7C" w:rsidR="0045673A" w:rsidRDefault="0045673A">
            <w:pPr>
              <w:spacing w:after="0" w:line="259" w:lineRule="auto"/>
              <w:ind w:left="99"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19C3EA57" w14:textId="78EE3074" w:rsidR="0045673A" w:rsidRDefault="0045673A">
            <w:pPr>
              <w:spacing w:after="0" w:line="259" w:lineRule="auto"/>
              <w:ind w:left="99" w:firstLine="0"/>
              <w:jc w:val="center"/>
            </w:pPr>
          </w:p>
        </w:tc>
        <w:tc>
          <w:tcPr>
            <w:tcW w:w="409" w:type="dxa"/>
            <w:tcBorders>
              <w:top w:val="single" w:sz="4" w:space="0" w:color="000000"/>
              <w:left w:val="single" w:sz="4" w:space="0" w:color="000000"/>
              <w:bottom w:val="single" w:sz="4" w:space="0" w:color="000000"/>
              <w:right w:val="single" w:sz="4" w:space="0" w:color="000000"/>
            </w:tcBorders>
          </w:tcPr>
          <w:p w14:paraId="0C01BAF7" w14:textId="303A65A6" w:rsidR="0045673A" w:rsidRDefault="003906E7">
            <w:pPr>
              <w:spacing w:after="0" w:line="259" w:lineRule="auto"/>
              <w:ind w:left="102" w:firstLine="0"/>
              <w:jc w:val="center"/>
            </w:pPr>
            <w:r>
              <w:t>X</w:t>
            </w:r>
            <w:r w:rsidR="00E17DF3">
              <w:t xml:space="preserve"> </w:t>
            </w:r>
          </w:p>
        </w:tc>
        <w:tc>
          <w:tcPr>
            <w:tcW w:w="410" w:type="dxa"/>
            <w:tcBorders>
              <w:top w:val="single" w:sz="4" w:space="0" w:color="000000"/>
              <w:left w:val="single" w:sz="4" w:space="0" w:color="000000"/>
              <w:bottom w:val="single" w:sz="4" w:space="0" w:color="000000"/>
              <w:right w:val="single" w:sz="4" w:space="0" w:color="000000"/>
            </w:tcBorders>
          </w:tcPr>
          <w:p w14:paraId="396E416A" w14:textId="77777777" w:rsidR="0045673A" w:rsidRDefault="00E17DF3">
            <w:pPr>
              <w:spacing w:after="0" w:line="259" w:lineRule="auto"/>
              <w:ind w:left="104"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55D05560" w14:textId="77777777" w:rsidR="0045673A" w:rsidRDefault="00E17DF3">
            <w:pPr>
              <w:spacing w:after="0" w:line="259" w:lineRule="auto"/>
              <w:ind w:left="0" w:firstLine="0"/>
              <w:jc w:val="left"/>
            </w:pPr>
            <w:r>
              <w:t xml:space="preserve"> </w:t>
            </w:r>
          </w:p>
        </w:tc>
      </w:tr>
      <w:tr w:rsidR="0045673A" w14:paraId="07F877F1" w14:textId="77777777">
        <w:trPr>
          <w:trHeight w:val="802"/>
        </w:trPr>
        <w:tc>
          <w:tcPr>
            <w:tcW w:w="5048" w:type="dxa"/>
            <w:tcBorders>
              <w:top w:val="single" w:sz="4" w:space="0" w:color="000000"/>
              <w:left w:val="single" w:sz="4" w:space="0" w:color="000000"/>
              <w:bottom w:val="single" w:sz="4" w:space="0" w:color="000000"/>
              <w:right w:val="single" w:sz="4" w:space="0" w:color="000000"/>
            </w:tcBorders>
          </w:tcPr>
          <w:p w14:paraId="1A347C8D" w14:textId="77777777" w:rsidR="0045673A" w:rsidRDefault="00E17DF3">
            <w:pPr>
              <w:spacing w:after="0" w:line="259" w:lineRule="auto"/>
              <w:ind w:left="101" w:firstLine="0"/>
            </w:pPr>
            <w:r>
              <w:t xml:space="preserve">Information about how ESG-related information is used in the investment process </w:t>
            </w:r>
          </w:p>
        </w:tc>
        <w:tc>
          <w:tcPr>
            <w:tcW w:w="408" w:type="dxa"/>
            <w:tcBorders>
              <w:top w:val="single" w:sz="4" w:space="0" w:color="000000"/>
              <w:left w:val="single" w:sz="4" w:space="0" w:color="000000"/>
              <w:bottom w:val="single" w:sz="4" w:space="0" w:color="000000"/>
              <w:right w:val="single" w:sz="4" w:space="0" w:color="000000"/>
            </w:tcBorders>
          </w:tcPr>
          <w:p w14:paraId="6A9AE797" w14:textId="4B74E55E" w:rsidR="0045673A" w:rsidRDefault="0045673A">
            <w:pPr>
              <w:spacing w:after="0" w:line="259" w:lineRule="auto"/>
              <w:ind w:left="102"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53B378CD" w14:textId="023BCEB0" w:rsidR="0045673A" w:rsidRDefault="0045673A">
            <w:pPr>
              <w:spacing w:after="0" w:line="259" w:lineRule="auto"/>
              <w:ind w:left="99" w:firstLine="0"/>
              <w:jc w:val="center"/>
            </w:pPr>
          </w:p>
        </w:tc>
        <w:tc>
          <w:tcPr>
            <w:tcW w:w="410" w:type="dxa"/>
            <w:tcBorders>
              <w:top w:val="single" w:sz="4" w:space="0" w:color="000000"/>
              <w:left w:val="single" w:sz="4" w:space="0" w:color="000000"/>
              <w:bottom w:val="single" w:sz="4" w:space="0" w:color="000000"/>
              <w:right w:val="single" w:sz="4" w:space="0" w:color="000000"/>
            </w:tcBorders>
          </w:tcPr>
          <w:p w14:paraId="272E2E5C" w14:textId="11298E11" w:rsidR="0045673A" w:rsidRDefault="0045673A">
            <w:pPr>
              <w:spacing w:after="0" w:line="259" w:lineRule="auto"/>
              <w:ind w:left="99" w:firstLine="0"/>
              <w:jc w:val="center"/>
            </w:pPr>
          </w:p>
        </w:tc>
        <w:tc>
          <w:tcPr>
            <w:tcW w:w="409" w:type="dxa"/>
            <w:tcBorders>
              <w:top w:val="single" w:sz="4" w:space="0" w:color="000000"/>
              <w:left w:val="single" w:sz="4" w:space="0" w:color="000000"/>
              <w:bottom w:val="single" w:sz="4" w:space="0" w:color="000000"/>
              <w:right w:val="single" w:sz="4" w:space="0" w:color="000000"/>
            </w:tcBorders>
          </w:tcPr>
          <w:p w14:paraId="31B549C0" w14:textId="4B5A5D95" w:rsidR="0045673A" w:rsidRDefault="003906E7">
            <w:pPr>
              <w:spacing w:after="0" w:line="259" w:lineRule="auto"/>
              <w:ind w:left="102" w:firstLine="0"/>
              <w:jc w:val="center"/>
            </w:pPr>
            <w:r>
              <w:t>X</w:t>
            </w:r>
            <w:r w:rsidR="00E17DF3">
              <w:t xml:space="preserve"> </w:t>
            </w:r>
          </w:p>
        </w:tc>
        <w:tc>
          <w:tcPr>
            <w:tcW w:w="410" w:type="dxa"/>
            <w:tcBorders>
              <w:top w:val="single" w:sz="4" w:space="0" w:color="000000"/>
              <w:left w:val="single" w:sz="4" w:space="0" w:color="000000"/>
              <w:bottom w:val="single" w:sz="4" w:space="0" w:color="000000"/>
              <w:right w:val="single" w:sz="4" w:space="0" w:color="000000"/>
            </w:tcBorders>
          </w:tcPr>
          <w:p w14:paraId="12DB2BC9" w14:textId="77777777" w:rsidR="0045673A" w:rsidRDefault="00E17DF3">
            <w:pPr>
              <w:spacing w:after="0" w:line="259" w:lineRule="auto"/>
              <w:ind w:left="104"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7D2B7A1C" w14:textId="77777777" w:rsidR="0045673A" w:rsidRDefault="00E17DF3">
            <w:pPr>
              <w:spacing w:after="0" w:line="259" w:lineRule="auto"/>
              <w:ind w:left="0" w:firstLine="0"/>
              <w:jc w:val="left"/>
            </w:pPr>
            <w:r>
              <w:t xml:space="preserve"> </w:t>
            </w:r>
          </w:p>
        </w:tc>
      </w:tr>
      <w:tr w:rsidR="0045673A" w14:paraId="4539AF48" w14:textId="77777777">
        <w:trPr>
          <w:trHeight w:val="526"/>
        </w:trPr>
        <w:tc>
          <w:tcPr>
            <w:tcW w:w="5048" w:type="dxa"/>
            <w:tcBorders>
              <w:top w:val="single" w:sz="4" w:space="0" w:color="000000"/>
              <w:left w:val="single" w:sz="4" w:space="0" w:color="000000"/>
              <w:bottom w:val="single" w:sz="4" w:space="0" w:color="000000"/>
              <w:right w:val="single" w:sz="4" w:space="0" w:color="000000"/>
            </w:tcBorders>
          </w:tcPr>
          <w:p w14:paraId="621DFE17" w14:textId="77777777" w:rsidR="0045673A" w:rsidRDefault="00E17DF3">
            <w:pPr>
              <w:spacing w:after="0" w:line="259" w:lineRule="auto"/>
              <w:ind w:left="101" w:firstLine="0"/>
              <w:jc w:val="left"/>
            </w:pPr>
            <w:r>
              <w:t xml:space="preserve">Other information  </w:t>
            </w:r>
          </w:p>
        </w:tc>
        <w:tc>
          <w:tcPr>
            <w:tcW w:w="408" w:type="dxa"/>
            <w:tcBorders>
              <w:top w:val="single" w:sz="4" w:space="0" w:color="000000"/>
              <w:left w:val="single" w:sz="4" w:space="0" w:color="000000"/>
              <w:bottom w:val="single" w:sz="4" w:space="0" w:color="000000"/>
              <w:right w:val="single" w:sz="4" w:space="0" w:color="000000"/>
            </w:tcBorders>
          </w:tcPr>
          <w:p w14:paraId="33A99245" w14:textId="77777777" w:rsidR="0045673A" w:rsidRDefault="00E17DF3">
            <w:pPr>
              <w:spacing w:after="0" w:line="259" w:lineRule="auto"/>
              <w:ind w:left="102"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0B5D39B6" w14:textId="77777777" w:rsidR="0045673A" w:rsidRDefault="00E17DF3">
            <w:pPr>
              <w:spacing w:after="0" w:line="259" w:lineRule="auto"/>
              <w:ind w:left="99"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127BAA07" w14:textId="77777777" w:rsidR="0045673A" w:rsidRDefault="00E17DF3">
            <w:pPr>
              <w:spacing w:after="0" w:line="259" w:lineRule="auto"/>
              <w:ind w:left="99" w:firstLine="0"/>
              <w:jc w:val="center"/>
            </w:pPr>
            <w:r>
              <w:t xml:space="preserve"> </w:t>
            </w:r>
          </w:p>
        </w:tc>
        <w:tc>
          <w:tcPr>
            <w:tcW w:w="409" w:type="dxa"/>
            <w:tcBorders>
              <w:top w:val="single" w:sz="4" w:space="0" w:color="000000"/>
              <w:left w:val="single" w:sz="4" w:space="0" w:color="000000"/>
              <w:bottom w:val="single" w:sz="4" w:space="0" w:color="000000"/>
              <w:right w:val="single" w:sz="4" w:space="0" w:color="000000"/>
            </w:tcBorders>
          </w:tcPr>
          <w:p w14:paraId="2D3676C8" w14:textId="77777777" w:rsidR="0045673A" w:rsidRDefault="00E17DF3">
            <w:pPr>
              <w:spacing w:after="0" w:line="259" w:lineRule="auto"/>
              <w:ind w:left="102"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1D779EE4" w14:textId="77777777" w:rsidR="0045673A" w:rsidRDefault="00E17DF3">
            <w:pPr>
              <w:spacing w:after="0" w:line="259" w:lineRule="auto"/>
              <w:ind w:left="104"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11174834" w14:textId="13268C94" w:rsidR="0045673A" w:rsidRDefault="00E17DF3">
            <w:pPr>
              <w:spacing w:after="0" w:line="259" w:lineRule="auto"/>
              <w:ind w:left="0" w:firstLine="0"/>
              <w:jc w:val="left"/>
            </w:pPr>
            <w:r>
              <w:t xml:space="preserve"> </w:t>
            </w:r>
            <w:r w:rsidR="00A71E96">
              <w:t xml:space="preserve"> </w:t>
            </w:r>
            <w:r w:rsidR="00FC7C4B">
              <w:t>X</w:t>
            </w:r>
          </w:p>
        </w:tc>
      </w:tr>
    </w:tbl>
    <w:p w14:paraId="5106466E" w14:textId="77777777" w:rsidR="0045673A" w:rsidRDefault="00E17DF3">
      <w:pPr>
        <w:spacing w:after="0" w:line="268" w:lineRule="auto"/>
        <w:ind w:left="-5" w:right="791"/>
        <w:jc w:val="left"/>
      </w:pPr>
      <w:r>
        <w:rPr>
          <w:i/>
          <w:sz w:val="20"/>
        </w:rPr>
        <w:t>(1= not at all, 2= to a limited extent, 3= to some extent, 4= to a large extent, 5= to a very large extent)</w:t>
      </w:r>
      <w:r>
        <w:rPr>
          <w:sz w:val="20"/>
        </w:rPr>
        <w:t xml:space="preserve"> </w:t>
      </w:r>
      <w:r>
        <w:t>If you selected ‘Other information’ please specify:</w:t>
      </w:r>
      <w:r>
        <w:rPr>
          <w:i/>
          <w:sz w:val="20"/>
        </w:rP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4A3A3391"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78C8CBAA" w14:textId="77777777" w:rsidR="0045673A" w:rsidRDefault="00E17DF3">
            <w:pPr>
              <w:spacing w:after="0" w:line="259" w:lineRule="auto"/>
              <w:ind w:left="0" w:firstLine="0"/>
              <w:jc w:val="left"/>
            </w:pPr>
            <w:r>
              <w:t xml:space="preserve"> </w:t>
            </w:r>
          </w:p>
        </w:tc>
      </w:tr>
    </w:tbl>
    <w:p w14:paraId="35D9106D" w14:textId="77777777" w:rsidR="0045673A" w:rsidRDefault="00E17DF3">
      <w:pPr>
        <w:spacing w:after="216" w:line="259" w:lineRule="auto"/>
        <w:ind w:left="0" w:firstLine="0"/>
        <w:jc w:val="left"/>
      </w:pPr>
      <w:r>
        <w:t xml:space="preserve"> </w:t>
      </w:r>
    </w:p>
    <w:p w14:paraId="6357FBC3" w14:textId="77777777" w:rsidR="0045673A" w:rsidRDefault="00E17DF3">
      <w:pPr>
        <w:spacing w:after="44"/>
        <w:ind w:right="643"/>
      </w:pPr>
      <w:r w:rsidRPr="00535661">
        <w:t>Please explain as necessary your replies to questions 3.2.2 and its sub-questions:</w:t>
      </w:r>
      <w:r>
        <w:t xml:space="preserve"> </w:t>
      </w:r>
    </w:p>
    <w:tbl>
      <w:tblPr>
        <w:tblW w:w="8836" w:type="dxa"/>
        <w:tblInd w:w="-26" w:type="dxa"/>
        <w:tblCellMar>
          <w:top w:w="21" w:type="dxa"/>
          <w:right w:w="115" w:type="dxa"/>
        </w:tblCellMar>
        <w:tblLook w:val="04A0" w:firstRow="1" w:lastRow="0" w:firstColumn="1" w:lastColumn="0" w:noHBand="0" w:noVBand="1"/>
      </w:tblPr>
      <w:tblGrid>
        <w:gridCol w:w="8836"/>
      </w:tblGrid>
      <w:tr w:rsidR="00BB56D1" w14:paraId="7697872A"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613F7D91" w14:textId="77777777" w:rsidR="008D2C63" w:rsidRDefault="008D2C63">
            <w:pPr>
              <w:spacing w:after="0" w:line="259" w:lineRule="auto"/>
              <w:ind w:left="0" w:firstLine="0"/>
              <w:jc w:val="left"/>
              <w:rPr>
                <w:sz w:val="20"/>
                <w:szCs w:val="20"/>
              </w:rPr>
            </w:pPr>
          </w:p>
          <w:p w14:paraId="4F08C1B3" w14:textId="0339F382" w:rsidR="009F7D54" w:rsidRPr="007B007A" w:rsidRDefault="00FA61BB">
            <w:pPr>
              <w:spacing w:after="0" w:line="259" w:lineRule="auto"/>
              <w:ind w:left="0" w:firstLine="0"/>
              <w:jc w:val="left"/>
              <w:rPr>
                <w:sz w:val="20"/>
                <w:szCs w:val="20"/>
              </w:rPr>
            </w:pPr>
            <w:r w:rsidRPr="007B007A">
              <w:rPr>
                <w:sz w:val="20"/>
                <w:szCs w:val="20"/>
              </w:rPr>
              <w:t xml:space="preserve">As previously highlighted in our response, </w:t>
            </w:r>
            <w:r w:rsidR="00D03DFD" w:rsidRPr="007B007A">
              <w:rPr>
                <w:sz w:val="20"/>
                <w:szCs w:val="20"/>
              </w:rPr>
              <w:t>having in place minimum disclosures in place for all financial products, we think, would help level the playing field across products in the market and minimise risks of confusion for end investors.</w:t>
            </w:r>
          </w:p>
          <w:p w14:paraId="416263B2" w14:textId="35B3C446" w:rsidR="00042B76" w:rsidRPr="00D03DFD" w:rsidRDefault="00042B76">
            <w:pPr>
              <w:spacing w:after="0" w:line="259" w:lineRule="auto"/>
              <w:ind w:left="0" w:firstLine="0"/>
              <w:jc w:val="left"/>
              <w:rPr>
                <w:sz w:val="20"/>
                <w:szCs w:val="20"/>
              </w:rPr>
            </w:pPr>
          </w:p>
        </w:tc>
      </w:tr>
    </w:tbl>
    <w:p w14:paraId="2E295EDA" w14:textId="77777777" w:rsidR="0045673A" w:rsidRDefault="00E17DF3">
      <w:pPr>
        <w:spacing w:after="216" w:line="259" w:lineRule="auto"/>
        <w:ind w:left="0" w:firstLine="0"/>
        <w:jc w:val="left"/>
      </w:pPr>
      <w:r>
        <w:rPr>
          <w:b/>
        </w:rPr>
        <w:t xml:space="preserve"> </w:t>
      </w:r>
    </w:p>
    <w:p w14:paraId="0428B022" w14:textId="77777777" w:rsidR="0045673A" w:rsidRDefault="00E17DF3">
      <w:pPr>
        <w:spacing w:after="229"/>
        <w:ind w:right="643"/>
      </w:pPr>
      <w:r>
        <w:t>The following and last section of this questionnaire (section 4) includes questions about the potential establishment of a sustainability product categorisation system at EU level based on certain criteria that products would have to meet. It presents questions about different ways of setting up such system, including whether additional category specific disclosure requirements should be envisaged. There are therefore certain links between questions in this section (section 3) and questions in the last section of the questionnaire (section 4).</w:t>
      </w:r>
      <w:r>
        <w:rPr>
          <w:b/>
        </w:rPr>
        <w:t xml:space="preserve"> </w:t>
      </w:r>
    </w:p>
    <w:p w14:paraId="27F9C126" w14:textId="77777777" w:rsidR="0045673A" w:rsidRDefault="00E17DF3">
      <w:pPr>
        <w:ind w:right="643"/>
      </w:pPr>
      <w:r>
        <w:rPr>
          <w:b/>
          <w:u w:val="single" w:color="000000"/>
        </w:rPr>
        <w:t>Question 3.2.3</w:t>
      </w:r>
      <w:r>
        <w:t xml:space="preserve">: If requirements were imposed as per question 3.2.1 and/or 3.2.2, should there be some additional disclosure requirements when a product makes a sustainability claim? </w:t>
      </w:r>
    </w:p>
    <w:tbl>
      <w:tblPr>
        <w:tblW w:w="8829"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2826"/>
      </w:tblGrid>
      <w:tr w:rsidR="0045673A" w14:paraId="6508478A" w14:textId="77777777">
        <w:trPr>
          <w:trHeight w:val="530"/>
        </w:trPr>
        <w:tc>
          <w:tcPr>
            <w:tcW w:w="1229" w:type="dxa"/>
            <w:tcBorders>
              <w:top w:val="single" w:sz="6" w:space="0" w:color="000000"/>
              <w:left w:val="single" w:sz="6" w:space="0" w:color="000000"/>
              <w:bottom w:val="single" w:sz="6" w:space="0" w:color="000000"/>
              <w:right w:val="single" w:sz="6" w:space="0" w:color="000000"/>
            </w:tcBorders>
          </w:tcPr>
          <w:p w14:paraId="33739C82"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7547E890"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62B1C523"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58E4AE0C"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57F5F67F" w14:textId="77777777" w:rsidR="0045673A" w:rsidRDefault="00E17DF3">
            <w:pPr>
              <w:spacing w:after="0" w:line="259" w:lineRule="auto"/>
              <w:ind w:left="2" w:firstLine="0"/>
              <w:jc w:val="center"/>
            </w:pPr>
            <w:r>
              <w:t xml:space="preserve">5 </w:t>
            </w:r>
          </w:p>
        </w:tc>
        <w:tc>
          <w:tcPr>
            <w:tcW w:w="2826" w:type="dxa"/>
            <w:tcBorders>
              <w:top w:val="single" w:sz="6" w:space="0" w:color="000000"/>
              <w:left w:val="single" w:sz="6" w:space="0" w:color="000000"/>
              <w:bottom w:val="single" w:sz="6" w:space="0" w:color="000000"/>
              <w:right w:val="single" w:sz="6" w:space="0" w:color="000000"/>
            </w:tcBorders>
          </w:tcPr>
          <w:p w14:paraId="11FE54CF" w14:textId="77777777" w:rsidR="0045673A" w:rsidRDefault="00E17DF3">
            <w:pPr>
              <w:spacing w:after="0" w:line="259" w:lineRule="auto"/>
              <w:ind w:left="0" w:right="2" w:firstLine="0"/>
              <w:jc w:val="center"/>
            </w:pPr>
            <w:r>
              <w:t xml:space="preserve">Don’t know </w:t>
            </w:r>
          </w:p>
        </w:tc>
      </w:tr>
      <w:tr w:rsidR="0045673A" w14:paraId="3DB77C73" w14:textId="77777777">
        <w:trPr>
          <w:trHeight w:val="533"/>
        </w:trPr>
        <w:tc>
          <w:tcPr>
            <w:tcW w:w="1229" w:type="dxa"/>
            <w:tcBorders>
              <w:top w:val="single" w:sz="6" w:space="0" w:color="000000"/>
              <w:left w:val="single" w:sz="6" w:space="0" w:color="000000"/>
              <w:bottom w:val="single" w:sz="6" w:space="0" w:color="000000"/>
              <w:right w:val="single" w:sz="6" w:space="0" w:color="000000"/>
            </w:tcBorders>
          </w:tcPr>
          <w:p w14:paraId="09AD57C5" w14:textId="77777777" w:rsidR="0045673A" w:rsidRDefault="00E17DF3">
            <w:pPr>
              <w:spacing w:after="0" w:line="259" w:lineRule="auto"/>
              <w:ind w:left="60" w:firstLine="0"/>
              <w:jc w:val="center"/>
            </w:pPr>
            <w:r>
              <w:t xml:space="preserve"> </w:t>
            </w:r>
          </w:p>
        </w:tc>
        <w:tc>
          <w:tcPr>
            <w:tcW w:w="1215" w:type="dxa"/>
            <w:tcBorders>
              <w:top w:val="single" w:sz="6" w:space="0" w:color="000000"/>
              <w:left w:val="single" w:sz="6" w:space="0" w:color="000000"/>
              <w:bottom w:val="single" w:sz="6" w:space="0" w:color="000000"/>
              <w:right w:val="single" w:sz="6" w:space="0" w:color="000000"/>
            </w:tcBorders>
          </w:tcPr>
          <w:p w14:paraId="5A0CE3DA" w14:textId="77777777" w:rsidR="0045673A" w:rsidRDefault="00E17DF3">
            <w:pPr>
              <w:spacing w:after="0" w:line="259" w:lineRule="auto"/>
              <w:ind w:left="61"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3B8E0061" w14:textId="77777777" w:rsidR="0045673A" w:rsidRDefault="00E17DF3">
            <w:pPr>
              <w:spacing w:after="0" w:line="259" w:lineRule="auto"/>
              <w:ind w:left="62"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51B16F71" w14:textId="77777777" w:rsidR="0045673A" w:rsidRDefault="00E17DF3">
            <w:pPr>
              <w:spacing w:after="0" w:line="259" w:lineRule="auto"/>
              <w:ind w:left="63"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tcPr>
          <w:p w14:paraId="1F0D129A" w14:textId="241EBCA8" w:rsidR="0045673A" w:rsidRDefault="00A80E9B">
            <w:pPr>
              <w:spacing w:after="0" w:line="259" w:lineRule="auto"/>
              <w:ind w:left="62" w:firstLine="0"/>
              <w:jc w:val="center"/>
            </w:pPr>
            <w:r>
              <w:t>X</w:t>
            </w:r>
          </w:p>
        </w:tc>
        <w:tc>
          <w:tcPr>
            <w:tcW w:w="2826" w:type="dxa"/>
            <w:tcBorders>
              <w:top w:val="single" w:sz="6" w:space="0" w:color="000000"/>
              <w:left w:val="single" w:sz="6" w:space="0" w:color="000000"/>
              <w:bottom w:val="single" w:sz="6" w:space="0" w:color="000000"/>
              <w:right w:val="single" w:sz="6" w:space="0" w:color="000000"/>
            </w:tcBorders>
          </w:tcPr>
          <w:p w14:paraId="538F5B89" w14:textId="77777777" w:rsidR="0045673A" w:rsidRDefault="00E17DF3">
            <w:pPr>
              <w:spacing w:after="0" w:line="259" w:lineRule="auto"/>
              <w:ind w:left="63" w:firstLine="0"/>
              <w:jc w:val="center"/>
            </w:pPr>
            <w:r>
              <w:t xml:space="preserve"> </w:t>
            </w:r>
          </w:p>
        </w:tc>
      </w:tr>
    </w:tbl>
    <w:p w14:paraId="432E0DE9"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58D87E15" w14:textId="77777777" w:rsidR="0045673A" w:rsidRPr="00C742D0" w:rsidRDefault="00E17DF3">
      <w:pPr>
        <w:spacing w:after="46"/>
        <w:ind w:right="643"/>
        <w:rPr>
          <w:b/>
          <w:bCs/>
        </w:rPr>
      </w:pPr>
      <w:r w:rsidRPr="00C742D0">
        <w:rPr>
          <w:b/>
          <w:bCs/>
        </w:rPr>
        <w:t xml:space="preserve">Please explain as necessary your replies to question 3.2.3: </w:t>
      </w:r>
    </w:p>
    <w:p w14:paraId="71CC9222" w14:textId="77777777" w:rsidR="007F3CA9" w:rsidRDefault="007F3CA9">
      <w:pPr>
        <w:spacing w:after="46"/>
        <w:ind w:right="643"/>
      </w:pPr>
    </w:p>
    <w:p w14:paraId="0C0710A6" w14:textId="0CF9DAB9" w:rsidR="0045673A" w:rsidRPr="00535661" w:rsidRDefault="00C72E32">
      <w:pPr>
        <w:spacing w:after="216" w:line="259" w:lineRule="auto"/>
        <w:ind w:left="0" w:firstLine="0"/>
        <w:jc w:val="left"/>
        <w:rPr>
          <w:szCs w:val="24"/>
        </w:rPr>
      </w:pPr>
      <w:r w:rsidRPr="00535661">
        <w:rPr>
          <w:szCs w:val="24"/>
        </w:rPr>
        <w:t xml:space="preserve">Those funds which make sustainability-related claims should have to </w:t>
      </w:r>
      <w:r w:rsidR="007D7EE7" w:rsidRPr="00535661">
        <w:rPr>
          <w:szCs w:val="24"/>
        </w:rPr>
        <w:t>publish specific disclosures to support these claims, while there should be additional disclosures in place for those products that qualify for one of the sustainable product categories</w:t>
      </w:r>
      <w:r w:rsidR="00535661">
        <w:rPr>
          <w:szCs w:val="24"/>
        </w:rPr>
        <w:t xml:space="preserve">, specifically that are proportionate to their sustainability claims. </w:t>
      </w:r>
      <w:r w:rsidR="007D7EE7" w:rsidRPr="00535661">
        <w:rPr>
          <w:szCs w:val="24"/>
        </w:rPr>
        <w:t xml:space="preserve"> </w:t>
      </w:r>
    </w:p>
    <w:p w14:paraId="06165FE3" w14:textId="31250330" w:rsidR="0045673A" w:rsidRDefault="00E17DF3" w:rsidP="00C742D0">
      <w:pPr>
        <w:spacing w:after="226"/>
        <w:ind w:left="0" w:right="643" w:firstLine="0"/>
      </w:pPr>
      <w:r>
        <w:t xml:space="preserve">. </w:t>
      </w:r>
    </w:p>
    <w:p w14:paraId="2369480E" w14:textId="77777777" w:rsidR="0045673A" w:rsidRDefault="00E17DF3">
      <w:pPr>
        <w:ind w:right="643"/>
      </w:pPr>
      <w:r>
        <w:rPr>
          <w:b/>
          <w:u w:val="single" w:color="000000"/>
        </w:rPr>
        <w:t>Question 3.2.4</w:t>
      </w:r>
      <w:r>
        <w:rPr>
          <w:u w:val="single" w:color="000000"/>
        </w:rPr>
        <w:t>:</w:t>
      </w:r>
      <w:r>
        <w:t xml:space="preserve"> In general, is it appropriate to have product related information spread across these three places, i.e. in precontractual disclosures, in periodic documentation and on websites?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1BF997B9"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18FE0A98"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64E923F6"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5F157DCA"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56879E06"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2BC63EBF"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6F61F4CF" w14:textId="77777777" w:rsidR="0045673A" w:rsidRDefault="00E17DF3">
            <w:pPr>
              <w:spacing w:after="0" w:line="259" w:lineRule="auto"/>
              <w:ind w:left="0" w:right="3" w:firstLine="0"/>
              <w:jc w:val="center"/>
            </w:pPr>
            <w:r>
              <w:t xml:space="preserve">Don’t know </w:t>
            </w:r>
          </w:p>
        </w:tc>
      </w:tr>
      <w:tr w:rsidR="0045673A" w14:paraId="2BD33229"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513E44AF"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5CDDDB6B" w14:textId="77777777" w:rsidR="0045673A" w:rsidRDefault="00E17DF3">
            <w:pPr>
              <w:spacing w:after="0" w:line="259" w:lineRule="auto"/>
              <w:ind w:left="59" w:firstLine="0"/>
              <w:jc w:val="center"/>
            </w:pPr>
            <w:r>
              <w:t xml:space="preserve"> </w:t>
            </w:r>
          </w:p>
        </w:tc>
        <w:tc>
          <w:tcPr>
            <w:tcW w:w="1094" w:type="dxa"/>
            <w:tcBorders>
              <w:top w:val="single" w:sz="6" w:space="0" w:color="000000"/>
              <w:left w:val="single" w:sz="6" w:space="0" w:color="000000"/>
              <w:bottom w:val="single" w:sz="6" w:space="0" w:color="000000"/>
              <w:right w:val="single" w:sz="6" w:space="0" w:color="000000"/>
            </w:tcBorders>
          </w:tcPr>
          <w:p w14:paraId="46377CA6" w14:textId="6D2C2E0D" w:rsidR="0045673A" w:rsidRDefault="0045673A">
            <w:pPr>
              <w:spacing w:after="0" w:line="259" w:lineRule="auto"/>
              <w:ind w:left="60" w:firstLine="0"/>
              <w:jc w:val="center"/>
            </w:pPr>
          </w:p>
        </w:tc>
        <w:tc>
          <w:tcPr>
            <w:tcW w:w="1095" w:type="dxa"/>
            <w:tcBorders>
              <w:top w:val="single" w:sz="6" w:space="0" w:color="000000"/>
              <w:left w:val="single" w:sz="6" w:space="0" w:color="000000"/>
              <w:bottom w:val="single" w:sz="6" w:space="0" w:color="000000"/>
              <w:right w:val="single" w:sz="6" w:space="0" w:color="000000"/>
            </w:tcBorders>
          </w:tcPr>
          <w:p w14:paraId="59B5D1E8" w14:textId="52EFAD32" w:rsidR="0045673A" w:rsidRDefault="00E17DF3">
            <w:pPr>
              <w:spacing w:after="0" w:line="259" w:lineRule="auto"/>
              <w:ind w:left="60" w:firstLine="0"/>
              <w:jc w:val="center"/>
            </w:pPr>
            <w:r>
              <w:t xml:space="preserve"> </w:t>
            </w:r>
            <w:r w:rsidR="00A80E9B">
              <w:t>X</w:t>
            </w:r>
          </w:p>
        </w:tc>
        <w:tc>
          <w:tcPr>
            <w:tcW w:w="1025" w:type="dxa"/>
            <w:tcBorders>
              <w:top w:val="single" w:sz="6" w:space="0" w:color="000000"/>
              <w:left w:val="single" w:sz="6" w:space="0" w:color="000000"/>
              <w:bottom w:val="single" w:sz="6" w:space="0" w:color="000000"/>
              <w:right w:val="single" w:sz="6" w:space="0" w:color="000000"/>
            </w:tcBorders>
          </w:tcPr>
          <w:p w14:paraId="2F4296CF"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28A061C3" w14:textId="77777777" w:rsidR="0045673A" w:rsidRDefault="00E17DF3">
            <w:pPr>
              <w:spacing w:after="0" w:line="259" w:lineRule="auto"/>
              <w:ind w:left="63" w:firstLine="0"/>
              <w:jc w:val="center"/>
            </w:pPr>
            <w:r>
              <w:t xml:space="preserve"> </w:t>
            </w:r>
          </w:p>
        </w:tc>
      </w:tr>
    </w:tbl>
    <w:p w14:paraId="60380AD6" w14:textId="77777777" w:rsidR="0045673A" w:rsidRDefault="00E17DF3">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61049991" w14:textId="77777777" w:rsidR="0045673A" w:rsidRDefault="00E17DF3">
      <w:pPr>
        <w:ind w:right="643"/>
      </w:pPr>
      <w:r>
        <w:rPr>
          <w:b/>
          <w:u w:val="single" w:color="000000"/>
        </w:rPr>
        <w:t>Question 3.2.5</w:t>
      </w:r>
      <w:r>
        <w:rPr>
          <w:u w:val="single" w:color="000000"/>
        </w:rPr>
        <w:t>:</w:t>
      </w:r>
      <w:r>
        <w:t xml:space="preserve"> More specifically, is the current breakdown of information between precontractual, periodic documentation and website disclosures appropriate and user friendly?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484CD953"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08844A1D"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561BE65E"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076187F5"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43A97362"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56BC44FA"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0FAF0483" w14:textId="77777777" w:rsidR="0045673A" w:rsidRDefault="00E17DF3">
            <w:pPr>
              <w:spacing w:after="0" w:line="259" w:lineRule="auto"/>
              <w:ind w:left="0" w:right="2" w:firstLine="0"/>
              <w:jc w:val="center"/>
            </w:pPr>
            <w:r>
              <w:t xml:space="preserve">Don’t know </w:t>
            </w:r>
          </w:p>
        </w:tc>
      </w:tr>
      <w:tr w:rsidR="0045673A" w14:paraId="5C155EFC" w14:textId="77777777">
        <w:trPr>
          <w:trHeight w:val="533"/>
        </w:trPr>
        <w:tc>
          <w:tcPr>
            <w:tcW w:w="1111" w:type="dxa"/>
            <w:tcBorders>
              <w:top w:val="single" w:sz="6" w:space="0" w:color="000000"/>
              <w:left w:val="single" w:sz="6" w:space="0" w:color="000000"/>
              <w:bottom w:val="single" w:sz="6" w:space="0" w:color="000000"/>
              <w:right w:val="single" w:sz="6" w:space="0" w:color="000000"/>
            </w:tcBorders>
          </w:tcPr>
          <w:p w14:paraId="473A26C9"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1CEEBA7F" w14:textId="62D63552" w:rsidR="0045673A" w:rsidRDefault="00071464">
            <w:pPr>
              <w:spacing w:after="0" w:line="259" w:lineRule="auto"/>
              <w:ind w:left="59" w:firstLine="0"/>
              <w:jc w:val="center"/>
            </w:pPr>
            <w:r>
              <w:t>X</w:t>
            </w:r>
            <w:r w:rsidR="00E17DF3">
              <w:t xml:space="preserve"> </w:t>
            </w:r>
          </w:p>
        </w:tc>
        <w:tc>
          <w:tcPr>
            <w:tcW w:w="1094" w:type="dxa"/>
            <w:tcBorders>
              <w:top w:val="single" w:sz="6" w:space="0" w:color="000000"/>
              <w:left w:val="single" w:sz="6" w:space="0" w:color="000000"/>
              <w:bottom w:val="single" w:sz="6" w:space="0" w:color="000000"/>
              <w:right w:val="single" w:sz="6" w:space="0" w:color="000000"/>
            </w:tcBorders>
          </w:tcPr>
          <w:p w14:paraId="0D756CF0" w14:textId="64954506" w:rsidR="0045673A" w:rsidRDefault="00E17DF3">
            <w:pPr>
              <w:spacing w:after="0" w:line="259" w:lineRule="auto"/>
              <w:ind w:left="60"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6CE0DBA5" w14:textId="77777777" w:rsidR="0045673A" w:rsidRDefault="00E17DF3">
            <w:pPr>
              <w:spacing w:after="0" w:line="259" w:lineRule="auto"/>
              <w:ind w:left="60" w:firstLine="0"/>
              <w:jc w:val="center"/>
            </w:pPr>
            <w:r>
              <w:t xml:space="preserve"> </w:t>
            </w:r>
          </w:p>
        </w:tc>
        <w:tc>
          <w:tcPr>
            <w:tcW w:w="1025" w:type="dxa"/>
            <w:tcBorders>
              <w:top w:val="single" w:sz="6" w:space="0" w:color="000000"/>
              <w:left w:val="single" w:sz="6" w:space="0" w:color="000000"/>
              <w:bottom w:val="single" w:sz="6" w:space="0" w:color="000000"/>
              <w:right w:val="single" w:sz="6" w:space="0" w:color="000000"/>
            </w:tcBorders>
          </w:tcPr>
          <w:p w14:paraId="09574C72"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751C5C7F" w14:textId="77777777" w:rsidR="0045673A" w:rsidRDefault="00E17DF3">
            <w:pPr>
              <w:spacing w:after="0" w:line="259" w:lineRule="auto"/>
              <w:ind w:left="63" w:firstLine="0"/>
              <w:jc w:val="center"/>
            </w:pPr>
            <w:r>
              <w:t xml:space="preserve"> </w:t>
            </w:r>
          </w:p>
        </w:tc>
      </w:tr>
    </w:tbl>
    <w:p w14:paraId="3AE9C449" w14:textId="77777777" w:rsidR="0045673A" w:rsidRDefault="00E17DF3">
      <w:pPr>
        <w:spacing w:after="29" w:line="268" w:lineRule="auto"/>
        <w:ind w:left="-5" w:right="365"/>
        <w:jc w:val="left"/>
      </w:pPr>
      <w:r w:rsidRPr="007F3CA9">
        <w:rPr>
          <w:i/>
          <w:sz w:val="20"/>
        </w:rPr>
        <w:t>(1= not at all, 2= to a limited extent, 3= to some extent, 4= to a large extent, 5= to a very large extent)</w:t>
      </w:r>
      <w:r w:rsidRPr="007F3CA9">
        <w:rPr>
          <w:sz w:val="20"/>
        </w:rPr>
        <w:t xml:space="preserve"> </w:t>
      </w:r>
      <w:r w:rsidRPr="007F3CA9">
        <w:t>Please explain as necessary your replies to question 3.2.4 and 3.2.5:</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0DC9034C"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33CAB978" w14:textId="77777777" w:rsidR="008D2C63" w:rsidRDefault="008D2C63">
            <w:pPr>
              <w:spacing w:after="0" w:line="259" w:lineRule="auto"/>
              <w:ind w:left="0" w:firstLine="0"/>
              <w:jc w:val="left"/>
              <w:rPr>
                <w:sz w:val="20"/>
                <w:szCs w:val="20"/>
              </w:rPr>
            </w:pPr>
          </w:p>
          <w:p w14:paraId="6C23FBFE" w14:textId="47FF9A2E" w:rsidR="007F3CA9" w:rsidRPr="00B37D82" w:rsidRDefault="00266E93">
            <w:pPr>
              <w:spacing w:after="0" w:line="259" w:lineRule="auto"/>
              <w:ind w:left="0" w:firstLine="0"/>
              <w:jc w:val="left"/>
              <w:rPr>
                <w:sz w:val="20"/>
                <w:szCs w:val="20"/>
              </w:rPr>
            </w:pPr>
            <w:r w:rsidRPr="00B37D82">
              <w:rPr>
                <w:sz w:val="20"/>
                <w:szCs w:val="20"/>
              </w:rPr>
              <w:t>Generally speaking, we are supportive of having product-related disclosures outlined in precontractual disclosures, periodic documentation, and on webs</w:t>
            </w:r>
            <w:r w:rsidR="0015220B" w:rsidRPr="00B37D82">
              <w:rPr>
                <w:sz w:val="20"/>
                <w:szCs w:val="20"/>
              </w:rPr>
              <w:t>ites</w:t>
            </w:r>
            <w:r w:rsidR="00131C48" w:rsidRPr="00B37D82">
              <w:rPr>
                <w:sz w:val="20"/>
                <w:szCs w:val="20"/>
              </w:rPr>
              <w:t xml:space="preserve">. </w:t>
            </w:r>
          </w:p>
          <w:p w14:paraId="4D9B28A7" w14:textId="77777777" w:rsidR="007F3CA9" w:rsidRPr="00B37D82" w:rsidRDefault="007F3CA9">
            <w:pPr>
              <w:spacing w:after="0" w:line="259" w:lineRule="auto"/>
              <w:ind w:left="0" w:firstLine="0"/>
              <w:jc w:val="left"/>
              <w:rPr>
                <w:sz w:val="20"/>
                <w:szCs w:val="20"/>
              </w:rPr>
            </w:pPr>
          </w:p>
          <w:p w14:paraId="73C80791" w14:textId="7FCA67BA" w:rsidR="00C17EB5" w:rsidRDefault="00131C48">
            <w:pPr>
              <w:spacing w:after="0" w:line="259" w:lineRule="auto"/>
              <w:ind w:left="0" w:firstLine="0"/>
              <w:jc w:val="left"/>
              <w:rPr>
                <w:sz w:val="20"/>
                <w:szCs w:val="20"/>
              </w:rPr>
            </w:pPr>
            <w:r w:rsidRPr="00B37D82">
              <w:rPr>
                <w:sz w:val="20"/>
                <w:szCs w:val="20"/>
              </w:rPr>
              <w:t xml:space="preserve">We would recommend further consideration being given to improve the accessibility and streamlining of product-level disclosures, specifically drawing on the FCA’s </w:t>
            </w:r>
            <w:r w:rsidR="00DD7B7F" w:rsidRPr="00B37D82">
              <w:rPr>
                <w:sz w:val="20"/>
                <w:szCs w:val="20"/>
              </w:rPr>
              <w:t>‘tiered’ structure</w:t>
            </w:r>
            <w:r w:rsidR="005C1DB1" w:rsidRPr="00B37D82">
              <w:rPr>
                <w:sz w:val="20"/>
                <w:szCs w:val="20"/>
              </w:rPr>
              <w:t xml:space="preserve"> for disclosures in th</w:t>
            </w:r>
            <w:r w:rsidR="00DF3760">
              <w:rPr>
                <w:sz w:val="20"/>
                <w:szCs w:val="20"/>
              </w:rPr>
              <w:t xml:space="preserve">e </w:t>
            </w:r>
            <w:r w:rsidR="005C1DB1" w:rsidRPr="00B37D82">
              <w:rPr>
                <w:sz w:val="20"/>
                <w:szCs w:val="20"/>
              </w:rPr>
              <w:t>SDR regime, which includes</w:t>
            </w:r>
            <w:r w:rsidR="00C17EB5" w:rsidRPr="00B37D82">
              <w:rPr>
                <w:sz w:val="20"/>
                <w:szCs w:val="20"/>
              </w:rPr>
              <w:t xml:space="preserve"> the following:</w:t>
            </w:r>
          </w:p>
          <w:p w14:paraId="5AB43FA1" w14:textId="77777777" w:rsidR="00B37D82" w:rsidRPr="00B37D82" w:rsidRDefault="00B37D82">
            <w:pPr>
              <w:spacing w:after="0" w:line="259" w:lineRule="auto"/>
              <w:ind w:left="0" w:firstLine="0"/>
              <w:jc w:val="left"/>
              <w:rPr>
                <w:sz w:val="20"/>
                <w:szCs w:val="20"/>
              </w:rPr>
            </w:pPr>
          </w:p>
          <w:p w14:paraId="1E42C271" w14:textId="2C858A3B" w:rsidR="00C17EB5" w:rsidRPr="00B37D82" w:rsidRDefault="00C17EB5" w:rsidP="00C17EB5">
            <w:pPr>
              <w:spacing w:after="0" w:line="259" w:lineRule="auto"/>
              <w:ind w:left="0" w:firstLine="0"/>
              <w:jc w:val="left"/>
              <w:rPr>
                <w:sz w:val="20"/>
                <w:szCs w:val="20"/>
              </w:rPr>
            </w:pPr>
            <w:r w:rsidRPr="00B37D82">
              <w:rPr>
                <w:sz w:val="20"/>
                <w:szCs w:val="20"/>
              </w:rPr>
              <w:t xml:space="preserve">• </w:t>
            </w:r>
            <w:r w:rsidRPr="00B37D82">
              <w:rPr>
                <w:b/>
                <w:bCs/>
                <w:sz w:val="20"/>
                <w:szCs w:val="20"/>
              </w:rPr>
              <w:t>Consumer-facing disclosures</w:t>
            </w:r>
            <w:r w:rsidRPr="00B37D82">
              <w:rPr>
                <w:sz w:val="20"/>
                <w:szCs w:val="20"/>
              </w:rPr>
              <w:t>: summary of the products’ key sustainability-related features, helping consumers to better understand those features, compare similar products or the same product over time, and hold the provider to account for its sustainability claims.</w:t>
            </w:r>
          </w:p>
          <w:p w14:paraId="1D807389" w14:textId="77777777" w:rsidR="00C17EB5" w:rsidRPr="00B37D82" w:rsidRDefault="00C17EB5" w:rsidP="00C17EB5">
            <w:pPr>
              <w:spacing w:after="0" w:line="259" w:lineRule="auto"/>
              <w:ind w:left="0" w:firstLine="0"/>
              <w:jc w:val="left"/>
              <w:rPr>
                <w:sz w:val="20"/>
                <w:szCs w:val="20"/>
              </w:rPr>
            </w:pPr>
          </w:p>
          <w:p w14:paraId="7ECD25E5" w14:textId="3D660CCC" w:rsidR="007D7EE7" w:rsidRPr="00B37D82" w:rsidRDefault="00C17EB5">
            <w:pPr>
              <w:spacing w:after="0" w:line="259" w:lineRule="auto"/>
              <w:ind w:left="0" w:firstLine="0"/>
              <w:jc w:val="left"/>
              <w:rPr>
                <w:sz w:val="20"/>
                <w:szCs w:val="20"/>
              </w:rPr>
            </w:pPr>
            <w:r w:rsidRPr="00B37D82">
              <w:rPr>
                <w:sz w:val="20"/>
                <w:szCs w:val="20"/>
              </w:rPr>
              <w:t xml:space="preserve">• </w:t>
            </w:r>
            <w:r w:rsidRPr="00B37D82">
              <w:rPr>
                <w:b/>
                <w:bCs/>
                <w:sz w:val="20"/>
                <w:szCs w:val="20"/>
              </w:rPr>
              <w:t>Detailed disclosures:</w:t>
            </w:r>
            <w:r w:rsidRPr="00B37D82">
              <w:rPr>
                <w:sz w:val="20"/>
                <w:szCs w:val="20"/>
              </w:rPr>
              <w:t xml:space="preserve"> will provide more granular information, which could be useful to institutional investors and a broader range of stakeholders. These </w:t>
            </w:r>
            <w:r w:rsidR="004C4231">
              <w:rPr>
                <w:sz w:val="20"/>
                <w:szCs w:val="20"/>
              </w:rPr>
              <w:t>will</w:t>
            </w:r>
            <w:r w:rsidRPr="00B37D82">
              <w:rPr>
                <w:sz w:val="20"/>
                <w:szCs w:val="20"/>
              </w:rPr>
              <w:t xml:space="preserve"> be located in </w:t>
            </w:r>
            <w:r w:rsidR="004C4231">
              <w:rPr>
                <w:sz w:val="20"/>
                <w:szCs w:val="20"/>
              </w:rPr>
              <w:t xml:space="preserve">the </w:t>
            </w:r>
            <w:r w:rsidRPr="00B37D82">
              <w:rPr>
                <w:sz w:val="20"/>
                <w:szCs w:val="20"/>
              </w:rPr>
              <w:t>pre-contractual disclosures, sustainability product report and sustainability entity report.</w:t>
            </w:r>
          </w:p>
          <w:p w14:paraId="351BFD16" w14:textId="7F380513" w:rsidR="00364CCF" w:rsidRDefault="00364CCF" w:rsidP="00C17EB5">
            <w:pPr>
              <w:spacing w:after="0" w:line="259" w:lineRule="auto"/>
              <w:ind w:left="0" w:firstLine="0"/>
              <w:jc w:val="left"/>
            </w:pPr>
          </w:p>
        </w:tc>
      </w:tr>
    </w:tbl>
    <w:p w14:paraId="739026F7" w14:textId="77777777" w:rsidR="0045673A" w:rsidRDefault="00E17DF3">
      <w:pPr>
        <w:spacing w:after="216" w:line="259" w:lineRule="auto"/>
        <w:ind w:left="0" w:firstLine="0"/>
        <w:jc w:val="left"/>
      </w:pPr>
      <w:r>
        <w:t xml:space="preserve"> </w:t>
      </w:r>
    </w:p>
    <w:p w14:paraId="7C33BFF2" w14:textId="77777777" w:rsidR="0045673A" w:rsidRDefault="00E17DF3">
      <w:pPr>
        <w:spacing w:after="226"/>
        <w:ind w:right="643"/>
      </w:pPr>
      <w:r>
        <w:t xml:space="preserve">Current website disclosures make it mandatory for product sustainability information to be publicly available. This includes portfolios managed under a portfolio management mandate, which can mean a large number of disclosures, as each of the managed portfolios is considered a financial product under the SFDR. A </w:t>
      </w:r>
      <w:hyperlink r:id="rId85">
        <w:r>
          <w:rPr>
            <w:color w:val="0000FF"/>
            <w:u w:val="single" w:color="0000FF"/>
          </w:rPr>
          <w:t>Q&amp;A published by the</w:t>
        </w:r>
      </w:hyperlink>
      <w:hyperlink r:id="rId86">
        <w:r>
          <w:rPr>
            <w:color w:val="0000FF"/>
          </w:rPr>
          <w:t xml:space="preserve"> </w:t>
        </w:r>
      </w:hyperlink>
      <w:hyperlink r:id="rId87">
        <w:r>
          <w:rPr>
            <w:color w:val="0000FF"/>
            <w:u w:val="single" w:color="0000FF"/>
          </w:rPr>
          <w:t>Commission in July</w:t>
        </w:r>
      </w:hyperlink>
      <w:hyperlink r:id="rId88">
        <w:r>
          <w:rPr>
            <w:color w:val="0000FF"/>
            <w:u w:val="single" w:color="0000FF"/>
          </w:rPr>
          <w:t xml:space="preserve"> </w:t>
        </w:r>
      </w:hyperlink>
      <w:hyperlink r:id="rId89">
        <w:r>
          <w:rPr>
            <w:color w:val="0000FF"/>
            <w:u w:val="single" w:color="0000FF"/>
          </w:rPr>
          <w:t>2021</w:t>
        </w:r>
      </w:hyperlink>
      <w:r>
        <w:rPr>
          <w:color w:val="0000FF"/>
          <w:vertAlign w:val="superscript"/>
        </w:rPr>
        <w:footnoteReference w:id="13"/>
      </w:r>
      <w:r>
        <w:t xml:space="preserve"> clarified that where a financial market participant makes use of standard portfolio management strategies replicated for clients with similar investment profiles, transparency at the level of those standard strategies can be considered a way of complying with requirements on websites disclosures. This approach facilitates the compliance with Union and national law governing the data protection, and where relevant, it also ensures confidentiality owed to clients.  </w:t>
      </w:r>
    </w:p>
    <w:p w14:paraId="6857AE9B" w14:textId="77777777" w:rsidR="0045673A" w:rsidRDefault="00E17DF3">
      <w:pPr>
        <w:ind w:right="643"/>
      </w:pPr>
      <w:r>
        <w:rPr>
          <w:b/>
          <w:u w:val="single" w:color="000000"/>
        </w:rPr>
        <w:t>Question 3.2.6</w:t>
      </w:r>
      <w:r>
        <w:rPr>
          <w:u w:val="single" w:color="000000"/>
        </w:rPr>
        <w:t>:</w:t>
      </w:r>
      <w:r>
        <w:t xml:space="preserve"> To what extent do you agree with the following statements? </w:t>
      </w:r>
    </w:p>
    <w:tbl>
      <w:tblPr>
        <w:tblW w:w="8205" w:type="dxa"/>
        <w:tblCellMar>
          <w:top w:w="14" w:type="dxa"/>
          <w:left w:w="7" w:type="dxa"/>
          <w:right w:w="50" w:type="dxa"/>
        </w:tblCellMar>
        <w:tblLook w:val="04A0" w:firstRow="1" w:lastRow="0" w:firstColumn="1" w:lastColumn="0" w:noHBand="0" w:noVBand="1"/>
      </w:tblPr>
      <w:tblGrid>
        <w:gridCol w:w="5049"/>
        <w:gridCol w:w="408"/>
        <w:gridCol w:w="410"/>
        <w:gridCol w:w="410"/>
        <w:gridCol w:w="409"/>
        <w:gridCol w:w="410"/>
        <w:gridCol w:w="1109"/>
      </w:tblGrid>
      <w:tr w:rsidR="0045673A" w14:paraId="7B3A08E3" w14:textId="77777777">
        <w:trPr>
          <w:trHeight w:val="812"/>
        </w:trPr>
        <w:tc>
          <w:tcPr>
            <w:tcW w:w="5048" w:type="dxa"/>
            <w:tcBorders>
              <w:top w:val="single" w:sz="8" w:space="0" w:color="000000"/>
              <w:left w:val="single" w:sz="8" w:space="0" w:color="000000"/>
              <w:bottom w:val="single" w:sz="8" w:space="0" w:color="000000"/>
              <w:right w:val="single" w:sz="4" w:space="0" w:color="000000"/>
            </w:tcBorders>
          </w:tcPr>
          <w:p w14:paraId="06D26EB7" w14:textId="77777777" w:rsidR="0045673A" w:rsidRDefault="00E17DF3">
            <w:pPr>
              <w:spacing w:after="0" w:line="259" w:lineRule="auto"/>
              <w:ind w:left="101" w:firstLine="0"/>
              <w:jc w:val="left"/>
            </w:pPr>
            <w:r>
              <w:t xml:space="preserve"> </w:t>
            </w:r>
          </w:p>
        </w:tc>
        <w:tc>
          <w:tcPr>
            <w:tcW w:w="408" w:type="dxa"/>
            <w:tcBorders>
              <w:top w:val="single" w:sz="4" w:space="0" w:color="000000"/>
              <w:left w:val="single" w:sz="4" w:space="0" w:color="000000"/>
              <w:bottom w:val="single" w:sz="4" w:space="0" w:color="000000"/>
              <w:right w:val="single" w:sz="4" w:space="0" w:color="000000"/>
            </w:tcBorders>
          </w:tcPr>
          <w:p w14:paraId="51EE265D" w14:textId="77777777" w:rsidR="0045673A" w:rsidRDefault="00E17DF3">
            <w:pPr>
              <w:spacing w:after="0" w:line="259" w:lineRule="auto"/>
              <w:ind w:left="137" w:firstLine="0"/>
              <w:jc w:val="left"/>
            </w:pPr>
            <w:r>
              <w:t xml:space="preserve">1 </w:t>
            </w:r>
          </w:p>
        </w:tc>
        <w:tc>
          <w:tcPr>
            <w:tcW w:w="410" w:type="dxa"/>
            <w:tcBorders>
              <w:top w:val="single" w:sz="4" w:space="0" w:color="000000"/>
              <w:left w:val="single" w:sz="4" w:space="0" w:color="000000"/>
              <w:bottom w:val="single" w:sz="4" w:space="0" w:color="000000"/>
              <w:right w:val="single" w:sz="4" w:space="0" w:color="000000"/>
            </w:tcBorders>
          </w:tcPr>
          <w:p w14:paraId="3842AD5B" w14:textId="77777777" w:rsidR="0045673A" w:rsidRDefault="00E17DF3">
            <w:pPr>
              <w:spacing w:after="0" w:line="259" w:lineRule="auto"/>
              <w:ind w:left="137" w:firstLine="0"/>
              <w:jc w:val="left"/>
            </w:pPr>
            <w:r>
              <w:t xml:space="preserve">2 </w:t>
            </w:r>
          </w:p>
        </w:tc>
        <w:tc>
          <w:tcPr>
            <w:tcW w:w="410" w:type="dxa"/>
            <w:tcBorders>
              <w:top w:val="single" w:sz="4" w:space="0" w:color="000000"/>
              <w:left w:val="single" w:sz="4" w:space="0" w:color="000000"/>
              <w:bottom w:val="single" w:sz="4" w:space="0" w:color="000000"/>
              <w:right w:val="single" w:sz="4" w:space="0" w:color="000000"/>
            </w:tcBorders>
          </w:tcPr>
          <w:p w14:paraId="7101414A" w14:textId="77777777" w:rsidR="0045673A" w:rsidRDefault="00E17DF3">
            <w:pPr>
              <w:spacing w:after="0" w:line="259" w:lineRule="auto"/>
              <w:ind w:left="137" w:firstLine="0"/>
              <w:jc w:val="left"/>
            </w:pPr>
            <w:r>
              <w:t xml:space="preserve">3 </w:t>
            </w:r>
          </w:p>
        </w:tc>
        <w:tc>
          <w:tcPr>
            <w:tcW w:w="409" w:type="dxa"/>
            <w:tcBorders>
              <w:top w:val="single" w:sz="4" w:space="0" w:color="000000"/>
              <w:left w:val="single" w:sz="4" w:space="0" w:color="000000"/>
              <w:bottom w:val="single" w:sz="4" w:space="0" w:color="000000"/>
              <w:right w:val="single" w:sz="4" w:space="0" w:color="000000"/>
            </w:tcBorders>
          </w:tcPr>
          <w:p w14:paraId="5832ADCA" w14:textId="77777777" w:rsidR="0045673A" w:rsidRDefault="00E17DF3">
            <w:pPr>
              <w:spacing w:after="0" w:line="259" w:lineRule="auto"/>
              <w:ind w:left="137" w:firstLine="0"/>
              <w:jc w:val="left"/>
            </w:pPr>
            <w:r>
              <w:t xml:space="preserve">4 </w:t>
            </w:r>
          </w:p>
        </w:tc>
        <w:tc>
          <w:tcPr>
            <w:tcW w:w="410" w:type="dxa"/>
            <w:tcBorders>
              <w:top w:val="single" w:sz="4" w:space="0" w:color="000000"/>
              <w:left w:val="single" w:sz="4" w:space="0" w:color="000000"/>
              <w:bottom w:val="single" w:sz="4" w:space="0" w:color="000000"/>
              <w:right w:val="single" w:sz="4" w:space="0" w:color="000000"/>
            </w:tcBorders>
          </w:tcPr>
          <w:p w14:paraId="2B420C9B" w14:textId="77777777" w:rsidR="0045673A" w:rsidRDefault="00E17DF3">
            <w:pPr>
              <w:spacing w:after="0" w:line="259" w:lineRule="auto"/>
              <w:ind w:left="139" w:firstLine="0"/>
              <w:jc w:val="left"/>
            </w:pPr>
            <w:r>
              <w:t xml:space="preserve">5 </w:t>
            </w:r>
          </w:p>
        </w:tc>
        <w:tc>
          <w:tcPr>
            <w:tcW w:w="1109" w:type="dxa"/>
            <w:tcBorders>
              <w:top w:val="single" w:sz="4" w:space="0" w:color="000000"/>
              <w:left w:val="single" w:sz="4" w:space="0" w:color="000000"/>
              <w:bottom w:val="single" w:sz="4" w:space="0" w:color="000000"/>
              <w:right w:val="single" w:sz="4" w:space="0" w:color="000000"/>
            </w:tcBorders>
          </w:tcPr>
          <w:p w14:paraId="1FEA5134" w14:textId="77777777" w:rsidR="0045673A" w:rsidRDefault="00E17DF3">
            <w:pPr>
              <w:spacing w:after="0" w:line="259" w:lineRule="auto"/>
              <w:ind w:left="2" w:firstLine="0"/>
              <w:jc w:val="center"/>
            </w:pPr>
            <w:r>
              <w:t xml:space="preserve">Don’t know </w:t>
            </w:r>
          </w:p>
        </w:tc>
      </w:tr>
      <w:tr w:rsidR="0045673A" w14:paraId="40ED883F" w14:textId="77777777">
        <w:trPr>
          <w:trHeight w:val="1087"/>
        </w:trPr>
        <w:tc>
          <w:tcPr>
            <w:tcW w:w="5048" w:type="dxa"/>
            <w:tcBorders>
              <w:top w:val="single" w:sz="8" w:space="0" w:color="000000"/>
              <w:left w:val="single" w:sz="8" w:space="0" w:color="000000"/>
              <w:bottom w:val="single" w:sz="8" w:space="0" w:color="000000"/>
              <w:right w:val="single" w:sz="4" w:space="0" w:color="000000"/>
            </w:tcBorders>
          </w:tcPr>
          <w:p w14:paraId="7C73D3DD" w14:textId="77777777" w:rsidR="0045673A" w:rsidRDefault="00E17DF3">
            <w:pPr>
              <w:spacing w:after="0" w:line="259" w:lineRule="auto"/>
              <w:ind w:left="101" w:right="62" w:firstLine="0"/>
            </w:pPr>
            <w:r>
              <w:t xml:space="preserve">It is useful that product disclosures under SFDR are publicly available (e.g. because they have the potential to bring wider societal benefits) </w:t>
            </w:r>
          </w:p>
        </w:tc>
        <w:tc>
          <w:tcPr>
            <w:tcW w:w="408" w:type="dxa"/>
            <w:tcBorders>
              <w:top w:val="single" w:sz="4" w:space="0" w:color="000000"/>
              <w:left w:val="single" w:sz="4" w:space="0" w:color="000000"/>
              <w:bottom w:val="single" w:sz="4" w:space="0" w:color="000000"/>
              <w:right w:val="single" w:sz="4" w:space="0" w:color="000000"/>
            </w:tcBorders>
          </w:tcPr>
          <w:p w14:paraId="0293B89B" w14:textId="77777777" w:rsidR="0045673A" w:rsidRDefault="00E17DF3">
            <w:pPr>
              <w:spacing w:after="0" w:line="259" w:lineRule="auto"/>
              <w:ind w:left="103"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781DB466" w14:textId="77777777" w:rsidR="0045673A" w:rsidRDefault="00E17DF3">
            <w:pPr>
              <w:spacing w:after="0" w:line="259" w:lineRule="auto"/>
              <w:ind w:left="101"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269E9FB3" w14:textId="77777777" w:rsidR="0045673A" w:rsidRDefault="00E17DF3">
            <w:pPr>
              <w:spacing w:after="0" w:line="259" w:lineRule="auto"/>
              <w:ind w:left="101" w:firstLine="0"/>
              <w:jc w:val="center"/>
            </w:pPr>
            <w:r>
              <w:t xml:space="preserve"> </w:t>
            </w:r>
          </w:p>
        </w:tc>
        <w:tc>
          <w:tcPr>
            <w:tcW w:w="409" w:type="dxa"/>
            <w:tcBorders>
              <w:top w:val="single" w:sz="4" w:space="0" w:color="000000"/>
              <w:left w:val="single" w:sz="4" w:space="0" w:color="000000"/>
              <w:bottom w:val="single" w:sz="4" w:space="0" w:color="000000"/>
              <w:right w:val="single" w:sz="4" w:space="0" w:color="000000"/>
            </w:tcBorders>
          </w:tcPr>
          <w:p w14:paraId="2E615D23" w14:textId="3857EDF2" w:rsidR="0045673A" w:rsidRDefault="00377D20">
            <w:pPr>
              <w:spacing w:after="0" w:line="259" w:lineRule="auto"/>
              <w:ind w:left="104" w:firstLine="0"/>
              <w:jc w:val="center"/>
            </w:pPr>
            <w:r>
              <w:t>X</w:t>
            </w:r>
          </w:p>
        </w:tc>
        <w:tc>
          <w:tcPr>
            <w:tcW w:w="410" w:type="dxa"/>
            <w:tcBorders>
              <w:top w:val="single" w:sz="4" w:space="0" w:color="000000"/>
              <w:left w:val="single" w:sz="4" w:space="0" w:color="000000"/>
              <w:bottom w:val="single" w:sz="4" w:space="0" w:color="000000"/>
              <w:right w:val="single" w:sz="4" w:space="0" w:color="000000"/>
            </w:tcBorders>
          </w:tcPr>
          <w:p w14:paraId="683EC9A6" w14:textId="39777F35" w:rsidR="0045673A" w:rsidRDefault="0045673A">
            <w:pPr>
              <w:spacing w:after="0" w:line="259" w:lineRule="auto"/>
              <w:ind w:left="105" w:firstLine="0"/>
              <w:jc w:val="center"/>
            </w:pPr>
          </w:p>
        </w:tc>
        <w:tc>
          <w:tcPr>
            <w:tcW w:w="1109" w:type="dxa"/>
            <w:tcBorders>
              <w:top w:val="single" w:sz="4" w:space="0" w:color="000000"/>
              <w:left w:val="single" w:sz="4" w:space="0" w:color="000000"/>
              <w:bottom w:val="single" w:sz="4" w:space="0" w:color="000000"/>
              <w:right w:val="single" w:sz="4" w:space="0" w:color="000000"/>
            </w:tcBorders>
          </w:tcPr>
          <w:p w14:paraId="4BCADF83" w14:textId="77777777" w:rsidR="0045673A" w:rsidRDefault="00E17DF3">
            <w:pPr>
              <w:spacing w:after="0" w:line="259" w:lineRule="auto"/>
              <w:ind w:left="103" w:firstLine="0"/>
              <w:jc w:val="center"/>
            </w:pPr>
            <w:r>
              <w:t xml:space="preserve"> </w:t>
            </w:r>
          </w:p>
        </w:tc>
      </w:tr>
      <w:tr w:rsidR="0045673A" w14:paraId="7DDA02A9" w14:textId="77777777">
        <w:trPr>
          <w:trHeight w:val="1362"/>
        </w:trPr>
        <w:tc>
          <w:tcPr>
            <w:tcW w:w="5048" w:type="dxa"/>
            <w:tcBorders>
              <w:top w:val="single" w:sz="8" w:space="0" w:color="000000"/>
              <w:left w:val="single" w:sz="4" w:space="0" w:color="000000"/>
              <w:bottom w:val="single" w:sz="4" w:space="0" w:color="000000"/>
              <w:right w:val="single" w:sz="4" w:space="0" w:color="000000"/>
            </w:tcBorders>
          </w:tcPr>
          <w:p w14:paraId="7390A2B0" w14:textId="77777777" w:rsidR="0045673A" w:rsidRDefault="00E17DF3">
            <w:pPr>
              <w:spacing w:after="0" w:line="238" w:lineRule="auto"/>
              <w:ind w:left="101" w:right="60" w:firstLine="0"/>
            </w:pPr>
            <w:r>
              <w:t xml:space="preserve">Confidentiality aspects need to be taken into account when specifying the information that should be made available to the public under the </w:t>
            </w:r>
          </w:p>
          <w:p w14:paraId="0EBE36EC" w14:textId="77777777" w:rsidR="0045673A" w:rsidRDefault="00E17DF3">
            <w:pPr>
              <w:spacing w:after="0" w:line="259" w:lineRule="auto"/>
              <w:ind w:left="101" w:firstLine="0"/>
              <w:jc w:val="left"/>
            </w:pPr>
            <w:r>
              <w:t xml:space="preserve">SFDR </w:t>
            </w:r>
          </w:p>
        </w:tc>
        <w:tc>
          <w:tcPr>
            <w:tcW w:w="408" w:type="dxa"/>
            <w:tcBorders>
              <w:top w:val="single" w:sz="4" w:space="0" w:color="000000"/>
              <w:left w:val="single" w:sz="4" w:space="0" w:color="000000"/>
              <w:bottom w:val="single" w:sz="4" w:space="0" w:color="000000"/>
              <w:right w:val="single" w:sz="4" w:space="0" w:color="000000"/>
            </w:tcBorders>
          </w:tcPr>
          <w:p w14:paraId="324DAE50" w14:textId="77777777" w:rsidR="0045673A" w:rsidRDefault="00E17DF3">
            <w:pPr>
              <w:spacing w:after="0" w:line="259" w:lineRule="auto"/>
              <w:ind w:left="103"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6924FDD7" w14:textId="77777777" w:rsidR="0045673A" w:rsidRDefault="00E17DF3">
            <w:pPr>
              <w:spacing w:after="0" w:line="259" w:lineRule="auto"/>
              <w:ind w:left="101"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4B2B0595" w14:textId="77777777" w:rsidR="0045673A" w:rsidRDefault="00E17DF3">
            <w:pPr>
              <w:spacing w:after="0" w:line="259" w:lineRule="auto"/>
              <w:ind w:left="101" w:firstLine="0"/>
              <w:jc w:val="center"/>
            </w:pPr>
            <w:r>
              <w:t xml:space="preserve"> </w:t>
            </w:r>
          </w:p>
        </w:tc>
        <w:tc>
          <w:tcPr>
            <w:tcW w:w="409" w:type="dxa"/>
            <w:tcBorders>
              <w:top w:val="single" w:sz="4" w:space="0" w:color="000000"/>
              <w:left w:val="single" w:sz="4" w:space="0" w:color="000000"/>
              <w:bottom w:val="single" w:sz="4" w:space="0" w:color="000000"/>
              <w:right w:val="single" w:sz="4" w:space="0" w:color="000000"/>
            </w:tcBorders>
          </w:tcPr>
          <w:p w14:paraId="4C821539" w14:textId="193EA1C3" w:rsidR="0045673A" w:rsidRDefault="00071464">
            <w:pPr>
              <w:spacing w:after="0" w:line="259" w:lineRule="auto"/>
              <w:ind w:left="104" w:firstLine="0"/>
              <w:jc w:val="center"/>
            </w:pPr>
            <w:r>
              <w:t>X</w:t>
            </w:r>
            <w:r w:rsidR="00E17DF3">
              <w:t xml:space="preserve"> </w:t>
            </w:r>
          </w:p>
        </w:tc>
        <w:tc>
          <w:tcPr>
            <w:tcW w:w="410" w:type="dxa"/>
            <w:tcBorders>
              <w:top w:val="single" w:sz="4" w:space="0" w:color="000000"/>
              <w:left w:val="single" w:sz="4" w:space="0" w:color="000000"/>
              <w:bottom w:val="single" w:sz="4" w:space="0" w:color="000000"/>
              <w:right w:val="single" w:sz="4" w:space="0" w:color="000000"/>
            </w:tcBorders>
          </w:tcPr>
          <w:p w14:paraId="3574FB5B" w14:textId="12D08498" w:rsidR="0045673A" w:rsidRDefault="00E17DF3">
            <w:pPr>
              <w:spacing w:after="0" w:line="259" w:lineRule="auto"/>
              <w:ind w:left="105"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63DBAF1E" w14:textId="77777777" w:rsidR="0045673A" w:rsidRDefault="00E17DF3">
            <w:pPr>
              <w:spacing w:after="0" w:line="259" w:lineRule="auto"/>
              <w:ind w:left="0" w:firstLine="0"/>
              <w:jc w:val="left"/>
            </w:pPr>
            <w:r>
              <w:t xml:space="preserve"> </w:t>
            </w:r>
          </w:p>
        </w:tc>
      </w:tr>
      <w:tr w:rsidR="0045673A" w14:paraId="7700DB28" w14:textId="77777777">
        <w:trPr>
          <w:trHeight w:val="1906"/>
        </w:trPr>
        <w:tc>
          <w:tcPr>
            <w:tcW w:w="5048" w:type="dxa"/>
            <w:tcBorders>
              <w:top w:val="single" w:sz="4" w:space="0" w:color="000000"/>
              <w:left w:val="single" w:sz="4" w:space="0" w:color="000000"/>
              <w:bottom w:val="single" w:sz="4" w:space="0" w:color="000000"/>
              <w:right w:val="single" w:sz="4" w:space="0" w:color="000000"/>
            </w:tcBorders>
          </w:tcPr>
          <w:p w14:paraId="2FA51BC2" w14:textId="77777777" w:rsidR="0045673A" w:rsidRDefault="00E17DF3">
            <w:pPr>
              <w:spacing w:after="0" w:line="259" w:lineRule="auto"/>
              <w:ind w:left="101" w:right="60" w:firstLine="0"/>
            </w:pPr>
            <w:r>
              <w:t xml:space="preserve">Sustainability information about financial products should be made available to potential investors, investors or the public according to rules in sectoral legislation (e.g.: UCITS, AIFM, IORPs directives); the SFDR should not impose rules in this regard </w:t>
            </w:r>
          </w:p>
        </w:tc>
        <w:tc>
          <w:tcPr>
            <w:tcW w:w="408" w:type="dxa"/>
            <w:tcBorders>
              <w:top w:val="single" w:sz="4" w:space="0" w:color="000000"/>
              <w:left w:val="single" w:sz="4" w:space="0" w:color="000000"/>
              <w:bottom w:val="single" w:sz="4" w:space="0" w:color="000000"/>
              <w:right w:val="single" w:sz="4" w:space="0" w:color="000000"/>
            </w:tcBorders>
          </w:tcPr>
          <w:p w14:paraId="6C26BFCF" w14:textId="647B6B05" w:rsidR="0045673A" w:rsidRDefault="00E17DF3">
            <w:pPr>
              <w:spacing w:after="0" w:line="259" w:lineRule="auto"/>
              <w:ind w:left="103"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25995C57" w14:textId="065A19A3" w:rsidR="0045673A" w:rsidRDefault="00AD7B6B">
            <w:pPr>
              <w:spacing w:after="0" w:line="259" w:lineRule="auto"/>
              <w:ind w:left="101" w:firstLine="0"/>
              <w:jc w:val="center"/>
            </w:pPr>
            <w:r>
              <w:t>X</w:t>
            </w:r>
            <w:r w:rsidR="00E17DF3">
              <w:t xml:space="preserve"> </w:t>
            </w:r>
          </w:p>
        </w:tc>
        <w:tc>
          <w:tcPr>
            <w:tcW w:w="410" w:type="dxa"/>
            <w:tcBorders>
              <w:top w:val="single" w:sz="4" w:space="0" w:color="000000"/>
              <w:left w:val="single" w:sz="4" w:space="0" w:color="000000"/>
              <w:bottom w:val="single" w:sz="4" w:space="0" w:color="000000"/>
              <w:right w:val="single" w:sz="4" w:space="0" w:color="000000"/>
            </w:tcBorders>
          </w:tcPr>
          <w:p w14:paraId="07783E11" w14:textId="49962894" w:rsidR="0045673A" w:rsidRDefault="00E17DF3">
            <w:pPr>
              <w:spacing w:after="0" w:line="259" w:lineRule="auto"/>
              <w:ind w:left="101" w:firstLine="0"/>
              <w:jc w:val="center"/>
            </w:pPr>
            <w:r>
              <w:t xml:space="preserve"> </w:t>
            </w:r>
          </w:p>
        </w:tc>
        <w:tc>
          <w:tcPr>
            <w:tcW w:w="409" w:type="dxa"/>
            <w:tcBorders>
              <w:top w:val="single" w:sz="4" w:space="0" w:color="000000"/>
              <w:left w:val="single" w:sz="4" w:space="0" w:color="000000"/>
              <w:bottom w:val="single" w:sz="4" w:space="0" w:color="000000"/>
              <w:right w:val="single" w:sz="4" w:space="0" w:color="000000"/>
            </w:tcBorders>
          </w:tcPr>
          <w:p w14:paraId="2AF1B817" w14:textId="77777777" w:rsidR="0045673A" w:rsidRDefault="00E17DF3">
            <w:pPr>
              <w:spacing w:after="0" w:line="259" w:lineRule="auto"/>
              <w:ind w:left="104" w:firstLine="0"/>
              <w:jc w:val="center"/>
            </w:pPr>
            <w:r>
              <w:t xml:space="preserve"> </w:t>
            </w:r>
          </w:p>
        </w:tc>
        <w:tc>
          <w:tcPr>
            <w:tcW w:w="410" w:type="dxa"/>
            <w:tcBorders>
              <w:top w:val="single" w:sz="4" w:space="0" w:color="000000"/>
              <w:left w:val="single" w:sz="4" w:space="0" w:color="000000"/>
              <w:bottom w:val="single" w:sz="4" w:space="0" w:color="000000"/>
              <w:right w:val="single" w:sz="4" w:space="0" w:color="000000"/>
            </w:tcBorders>
          </w:tcPr>
          <w:p w14:paraId="163020C0" w14:textId="77777777" w:rsidR="0045673A" w:rsidRDefault="00E17DF3">
            <w:pPr>
              <w:spacing w:after="0" w:line="259" w:lineRule="auto"/>
              <w:ind w:left="105" w:firstLine="0"/>
              <w:jc w:val="center"/>
            </w:pPr>
            <w:r>
              <w:t xml:space="preserve"> </w:t>
            </w:r>
          </w:p>
        </w:tc>
        <w:tc>
          <w:tcPr>
            <w:tcW w:w="1109" w:type="dxa"/>
            <w:tcBorders>
              <w:top w:val="single" w:sz="4" w:space="0" w:color="000000"/>
              <w:left w:val="single" w:sz="4" w:space="0" w:color="000000"/>
              <w:bottom w:val="single" w:sz="4" w:space="0" w:color="000000"/>
              <w:right w:val="single" w:sz="4" w:space="0" w:color="000000"/>
            </w:tcBorders>
          </w:tcPr>
          <w:p w14:paraId="4F6529C9" w14:textId="77777777" w:rsidR="0045673A" w:rsidRDefault="00E17DF3">
            <w:pPr>
              <w:spacing w:after="0" w:line="259" w:lineRule="auto"/>
              <w:ind w:left="0" w:firstLine="0"/>
              <w:jc w:val="left"/>
            </w:pPr>
            <w:r>
              <w:t xml:space="preserve"> </w:t>
            </w:r>
          </w:p>
        </w:tc>
      </w:tr>
    </w:tbl>
    <w:p w14:paraId="76E4973F"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3A8B46B2" w14:textId="77777777" w:rsidR="0045673A" w:rsidRDefault="00E17DF3">
      <w:pPr>
        <w:spacing w:after="46"/>
        <w:ind w:right="643"/>
      </w:pPr>
      <w:r w:rsidRPr="006A7CE2">
        <w:t>Please explain as necessary your replies to question 3.2.6:</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58BE5DAD" w14:textId="77777777">
        <w:trPr>
          <w:trHeight w:val="536"/>
        </w:trPr>
        <w:tc>
          <w:tcPr>
            <w:tcW w:w="8836" w:type="dxa"/>
            <w:tcBorders>
              <w:top w:val="single" w:sz="8" w:space="0" w:color="000000"/>
              <w:left w:val="single" w:sz="8" w:space="0" w:color="000000"/>
              <w:bottom w:val="single" w:sz="8" w:space="0" w:color="000000"/>
              <w:right w:val="single" w:sz="4" w:space="0" w:color="000000"/>
            </w:tcBorders>
          </w:tcPr>
          <w:p w14:paraId="272EC31B" w14:textId="77777777" w:rsidR="008D2C63" w:rsidRDefault="008D2C63" w:rsidP="0063444A">
            <w:pPr>
              <w:spacing w:after="0" w:line="259" w:lineRule="auto"/>
              <w:ind w:left="0" w:firstLine="0"/>
              <w:jc w:val="left"/>
              <w:rPr>
                <w:sz w:val="20"/>
                <w:szCs w:val="20"/>
              </w:rPr>
            </w:pPr>
          </w:p>
          <w:p w14:paraId="568D44AD" w14:textId="76C2B88C" w:rsidR="002B7745" w:rsidRPr="001D0369" w:rsidRDefault="00E845DB" w:rsidP="0063444A">
            <w:pPr>
              <w:spacing w:after="0" w:line="259" w:lineRule="auto"/>
              <w:ind w:left="0" w:firstLine="0"/>
              <w:jc w:val="left"/>
              <w:rPr>
                <w:sz w:val="20"/>
                <w:szCs w:val="20"/>
              </w:rPr>
            </w:pPr>
            <w:r w:rsidRPr="001D0369">
              <w:rPr>
                <w:sz w:val="20"/>
                <w:szCs w:val="20"/>
              </w:rPr>
              <w:t xml:space="preserve">Firms’ disclosures under the SFDR should be publicly available, and we would support further efforts to facilitate wider public access to this information. The role of the European Single Access Point (ESAP) could </w:t>
            </w:r>
            <w:r w:rsidR="0063444A" w:rsidRPr="001D0369">
              <w:rPr>
                <w:sz w:val="20"/>
                <w:szCs w:val="20"/>
              </w:rPr>
              <w:t>be explored in this regard in the coming years.</w:t>
            </w:r>
          </w:p>
          <w:p w14:paraId="0C23E96B" w14:textId="2302AFB1" w:rsidR="0063444A" w:rsidRPr="0063444A" w:rsidRDefault="0063444A" w:rsidP="0063444A">
            <w:pPr>
              <w:spacing w:after="0" w:line="259" w:lineRule="auto"/>
              <w:ind w:left="0" w:firstLine="0"/>
              <w:jc w:val="left"/>
              <w:rPr>
                <w:sz w:val="20"/>
                <w:szCs w:val="20"/>
              </w:rPr>
            </w:pPr>
          </w:p>
        </w:tc>
      </w:tr>
    </w:tbl>
    <w:p w14:paraId="1A1C8B58" w14:textId="77777777" w:rsidR="0045673A" w:rsidRDefault="00E17DF3">
      <w:pPr>
        <w:spacing w:after="216" w:line="259" w:lineRule="auto"/>
        <w:ind w:left="0" w:firstLine="0"/>
        <w:jc w:val="left"/>
      </w:pPr>
      <w:r>
        <w:t xml:space="preserve"> </w:t>
      </w:r>
    </w:p>
    <w:p w14:paraId="541A6C1C" w14:textId="77777777" w:rsidR="0045673A" w:rsidRDefault="00E17DF3">
      <w:pPr>
        <w:spacing w:after="229"/>
        <w:ind w:right="643"/>
      </w:pPr>
      <w:r>
        <w:t xml:space="preserve">Current product-level disclosures have been designed to allow for comparability between financial products. The SFDR requires pre-contractual disclosures to be made in various documents for the different financial products in scope of the regulation. The disclosure requirements are the same, even though these documents have widely varying levels of detail or complexity, i.e. a UCITS prospectus can be several hundred pages long, while the Pan-European Pension Product Key Information Document (PEPP KID) comprises a few pages. </w:t>
      </w:r>
    </w:p>
    <w:p w14:paraId="14B25068" w14:textId="77777777" w:rsidR="0045673A" w:rsidRDefault="00E17DF3">
      <w:pPr>
        <w:spacing w:after="170"/>
        <w:ind w:right="643"/>
      </w:pPr>
      <w:r>
        <w:rPr>
          <w:b/>
          <w:u w:val="single" w:color="000000"/>
        </w:rPr>
        <w:t>Question 3.2.7</w:t>
      </w:r>
      <w:r>
        <w:t xml:space="preserve">: To what extent do you agree with the following statements? </w:t>
      </w:r>
    </w:p>
    <w:p w14:paraId="17C35E48" w14:textId="77777777" w:rsidR="0045673A" w:rsidRDefault="00E17DF3">
      <w:pPr>
        <w:spacing w:after="0" w:line="259" w:lineRule="auto"/>
        <w:ind w:left="0" w:firstLine="0"/>
        <w:jc w:val="left"/>
      </w:pPr>
      <w:r>
        <w:rPr>
          <w:rFonts w:ascii="Calibri" w:eastAsia="Calibri" w:hAnsi="Calibri" w:cs="Calibri"/>
          <w:noProof/>
          <w:sz w:val="22"/>
        </w:rPr>
        <mc:AlternateContent>
          <mc:Choice Requires="wpg">
            <w:drawing>
              <wp:inline distT="0" distB="0" distL="0" distR="0" wp14:anchorId="40AAC811" wp14:editId="72CA1967">
                <wp:extent cx="1829054" cy="7620"/>
                <wp:effectExtent l="0" t="0" r="0" b="0"/>
                <wp:docPr id="115987" name="Group 115987"/>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137425" name="Shape 137425"/>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6641210" id="Group 115987" o:spid="_x0000_s1026" style="width:2in;height:.6pt;mso-position-horizontal-relative:char;mso-position-vertical-relative:line" coordsize="1829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">
                <v:shape id="Shape 137425"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" path="m,l1829054,r,9144l,9144,,e" fillcolor="black" stroked="f" strokeweight="0">
                  <v:stroke miterlimit="83231f" joinstyle="miter"/>
                  <v:path arrowok="t" textboxrect="0,0,1829054,9144"/>
                </v:shape>
                <w10:anchorlock/>
              </v:group>
            </w:pict>
          </mc:Fallback>
        </mc:AlternateContent>
      </w:r>
      <w:r>
        <w:t xml:space="preserve"> </w:t>
      </w:r>
    </w:p>
    <w:p w14:paraId="3D04A1FC" w14:textId="77777777" w:rsidR="0045673A" w:rsidRDefault="00E17DF3">
      <w:pPr>
        <w:spacing w:after="0" w:line="259" w:lineRule="auto"/>
        <w:ind w:left="720" w:firstLine="0"/>
        <w:jc w:val="left"/>
      </w:pPr>
      <w:r>
        <w:t xml:space="preserve"> </w:t>
      </w:r>
    </w:p>
    <w:tbl>
      <w:tblPr>
        <w:tblW w:w="8342" w:type="dxa"/>
        <w:tblInd w:w="-108" w:type="dxa"/>
        <w:tblCellMar>
          <w:top w:w="14" w:type="dxa"/>
          <w:right w:w="52" w:type="dxa"/>
        </w:tblCellMar>
        <w:tblLook w:val="04A0" w:firstRow="1" w:lastRow="0" w:firstColumn="1" w:lastColumn="0" w:noHBand="0" w:noVBand="1"/>
      </w:tblPr>
      <w:tblGrid>
        <w:gridCol w:w="5313"/>
        <w:gridCol w:w="425"/>
        <w:gridCol w:w="427"/>
        <w:gridCol w:w="425"/>
        <w:gridCol w:w="427"/>
        <w:gridCol w:w="425"/>
        <w:gridCol w:w="900"/>
      </w:tblGrid>
      <w:tr w:rsidR="00DB53CB" w14:paraId="7063B807" w14:textId="77777777">
        <w:trPr>
          <w:trHeight w:val="802"/>
        </w:trPr>
        <w:tc>
          <w:tcPr>
            <w:tcW w:w="5312" w:type="dxa"/>
            <w:tcBorders>
              <w:top w:val="single" w:sz="4" w:space="0" w:color="000000"/>
              <w:left w:val="single" w:sz="4" w:space="0" w:color="000000"/>
              <w:bottom w:val="single" w:sz="4" w:space="0" w:color="000000"/>
              <w:right w:val="single" w:sz="4" w:space="0" w:color="000000"/>
            </w:tcBorders>
          </w:tcPr>
          <w:p w14:paraId="75C7125E" w14:textId="7777777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71188779" w14:textId="77777777" w:rsidR="0045673A" w:rsidRDefault="00E17DF3">
            <w:pPr>
              <w:spacing w:after="0" w:line="259" w:lineRule="auto"/>
              <w:ind w:left="46" w:firstLine="0"/>
              <w:jc w:val="left"/>
            </w:pPr>
            <w:r>
              <w:t xml:space="preserve">1 </w:t>
            </w:r>
          </w:p>
        </w:tc>
        <w:tc>
          <w:tcPr>
            <w:tcW w:w="427" w:type="dxa"/>
            <w:tcBorders>
              <w:top w:val="single" w:sz="4" w:space="0" w:color="000000"/>
              <w:left w:val="single" w:sz="4" w:space="0" w:color="000000"/>
              <w:bottom w:val="single" w:sz="4" w:space="0" w:color="000000"/>
              <w:right w:val="single" w:sz="4" w:space="0" w:color="000000"/>
            </w:tcBorders>
          </w:tcPr>
          <w:p w14:paraId="55121961" w14:textId="77777777" w:rsidR="0045673A" w:rsidRDefault="00E17DF3">
            <w:pPr>
              <w:spacing w:after="0" w:line="259" w:lineRule="auto"/>
              <w:ind w:left="46" w:firstLine="0"/>
              <w:jc w:val="left"/>
            </w:pPr>
            <w:r>
              <w:t xml:space="preserve">2 </w:t>
            </w:r>
          </w:p>
        </w:tc>
        <w:tc>
          <w:tcPr>
            <w:tcW w:w="425" w:type="dxa"/>
            <w:tcBorders>
              <w:top w:val="single" w:sz="4" w:space="0" w:color="000000"/>
              <w:left w:val="single" w:sz="4" w:space="0" w:color="000000"/>
              <w:bottom w:val="single" w:sz="4" w:space="0" w:color="000000"/>
              <w:right w:val="single" w:sz="4" w:space="0" w:color="000000"/>
            </w:tcBorders>
          </w:tcPr>
          <w:p w14:paraId="326471C9" w14:textId="77777777" w:rsidR="0045673A" w:rsidRDefault="00E17DF3">
            <w:pPr>
              <w:spacing w:after="0" w:line="259" w:lineRule="auto"/>
              <w:ind w:left="46" w:firstLine="0"/>
              <w:jc w:val="left"/>
            </w:pPr>
            <w:r>
              <w:t xml:space="preserve">3 </w:t>
            </w:r>
          </w:p>
        </w:tc>
        <w:tc>
          <w:tcPr>
            <w:tcW w:w="427" w:type="dxa"/>
            <w:tcBorders>
              <w:top w:val="single" w:sz="4" w:space="0" w:color="000000"/>
              <w:left w:val="single" w:sz="4" w:space="0" w:color="000000"/>
              <w:bottom w:val="single" w:sz="4" w:space="0" w:color="000000"/>
              <w:right w:val="single" w:sz="4" w:space="0" w:color="000000"/>
            </w:tcBorders>
          </w:tcPr>
          <w:p w14:paraId="526DF3CD" w14:textId="77777777" w:rsidR="0045673A" w:rsidRDefault="00E17DF3">
            <w:pPr>
              <w:spacing w:after="0" w:line="259" w:lineRule="auto"/>
              <w:ind w:left="46" w:firstLine="0"/>
              <w:jc w:val="left"/>
            </w:pPr>
            <w:r>
              <w:t xml:space="preserve">4 </w:t>
            </w:r>
          </w:p>
        </w:tc>
        <w:tc>
          <w:tcPr>
            <w:tcW w:w="425" w:type="dxa"/>
            <w:tcBorders>
              <w:top w:val="single" w:sz="4" w:space="0" w:color="000000"/>
              <w:left w:val="single" w:sz="4" w:space="0" w:color="000000"/>
              <w:bottom w:val="single" w:sz="4" w:space="0" w:color="000000"/>
              <w:right w:val="single" w:sz="4" w:space="0" w:color="000000"/>
            </w:tcBorders>
          </w:tcPr>
          <w:p w14:paraId="5F2ED9C2" w14:textId="77777777" w:rsidR="0045673A" w:rsidRDefault="00E17DF3">
            <w:pPr>
              <w:spacing w:after="0" w:line="259" w:lineRule="auto"/>
              <w:ind w:left="46" w:firstLine="0"/>
              <w:jc w:val="left"/>
            </w:pPr>
            <w:r>
              <w:t xml:space="preserve">5 </w:t>
            </w:r>
          </w:p>
        </w:tc>
        <w:tc>
          <w:tcPr>
            <w:tcW w:w="900" w:type="dxa"/>
            <w:tcBorders>
              <w:top w:val="single" w:sz="4" w:space="0" w:color="000000"/>
              <w:left w:val="single" w:sz="4" w:space="0" w:color="000000"/>
              <w:bottom w:val="single" w:sz="4" w:space="0" w:color="000000"/>
              <w:right w:val="single" w:sz="4" w:space="0" w:color="000000"/>
            </w:tcBorders>
          </w:tcPr>
          <w:p w14:paraId="2364E2F6" w14:textId="77777777" w:rsidR="0045673A" w:rsidRDefault="00E17DF3">
            <w:pPr>
              <w:spacing w:after="0" w:line="259" w:lineRule="auto"/>
              <w:ind w:left="0" w:firstLine="0"/>
              <w:jc w:val="center"/>
            </w:pPr>
            <w:r>
              <w:t xml:space="preserve">Don’t know </w:t>
            </w:r>
          </w:p>
        </w:tc>
      </w:tr>
      <w:tr w:rsidR="00DB53CB" w14:paraId="77FEF2FE" w14:textId="77777777">
        <w:trPr>
          <w:trHeight w:val="1630"/>
        </w:trPr>
        <w:tc>
          <w:tcPr>
            <w:tcW w:w="5312" w:type="dxa"/>
            <w:tcBorders>
              <w:top w:val="single" w:sz="4" w:space="0" w:color="000000"/>
              <w:left w:val="single" w:sz="4" w:space="0" w:color="000000"/>
              <w:bottom w:val="single" w:sz="4" w:space="0" w:color="000000"/>
              <w:right w:val="single" w:sz="4" w:space="0" w:color="000000"/>
            </w:tcBorders>
          </w:tcPr>
          <w:p w14:paraId="3C97DB61" w14:textId="77777777" w:rsidR="0045673A" w:rsidRDefault="00E17DF3">
            <w:pPr>
              <w:spacing w:after="0" w:line="259" w:lineRule="auto"/>
              <w:ind w:left="0" w:right="58" w:firstLine="0"/>
            </w:pPr>
            <w:r>
              <w:t xml:space="preserve">The same sustainability disclosure topics and the exact same level of granularity of sustainability information (i.e. same number of datapoints) should be required in all types of precontractual documentation to allow for comparability </w:t>
            </w:r>
          </w:p>
        </w:tc>
        <w:tc>
          <w:tcPr>
            <w:tcW w:w="425" w:type="dxa"/>
            <w:tcBorders>
              <w:top w:val="single" w:sz="4" w:space="0" w:color="000000"/>
              <w:left w:val="single" w:sz="4" w:space="0" w:color="000000"/>
              <w:bottom w:val="single" w:sz="4" w:space="0" w:color="000000"/>
              <w:right w:val="single" w:sz="4" w:space="0" w:color="000000"/>
            </w:tcBorders>
          </w:tcPr>
          <w:p w14:paraId="28C7F560" w14:textId="4D85D6DD" w:rsidR="0045673A" w:rsidRDefault="00E17DF3">
            <w:pPr>
              <w:spacing w:after="0" w:line="259" w:lineRule="auto"/>
              <w:ind w:left="0"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1A1D3540" w14:textId="1D7580CC"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6D9095C4" w14:textId="4A64546D" w:rsidR="0045673A" w:rsidRDefault="00E17DF3">
            <w:pPr>
              <w:spacing w:after="0" w:line="259" w:lineRule="auto"/>
              <w:ind w:left="0" w:firstLine="0"/>
              <w:jc w:val="left"/>
            </w:pPr>
            <w:r>
              <w:t xml:space="preserve"> </w:t>
            </w:r>
            <w:r w:rsidR="0079062C">
              <w:t>X</w:t>
            </w:r>
          </w:p>
        </w:tc>
        <w:tc>
          <w:tcPr>
            <w:tcW w:w="427" w:type="dxa"/>
            <w:tcBorders>
              <w:top w:val="single" w:sz="4" w:space="0" w:color="000000"/>
              <w:left w:val="single" w:sz="4" w:space="0" w:color="000000"/>
              <w:bottom w:val="single" w:sz="4" w:space="0" w:color="000000"/>
              <w:right w:val="single" w:sz="4" w:space="0" w:color="000000"/>
            </w:tcBorders>
          </w:tcPr>
          <w:p w14:paraId="5ECE5EE9" w14:textId="7777777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E1C0143" w14:textId="77777777" w:rsidR="0045673A" w:rsidRDefault="00E17DF3">
            <w:pPr>
              <w:spacing w:after="0" w:line="259" w:lineRule="auto"/>
              <w:ind w:left="0" w:firstLine="0"/>
              <w:jc w:val="left"/>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03694168" w14:textId="77777777" w:rsidR="0045673A" w:rsidRDefault="00E17DF3">
            <w:pPr>
              <w:spacing w:after="0" w:line="259" w:lineRule="auto"/>
              <w:ind w:left="0" w:firstLine="0"/>
              <w:jc w:val="left"/>
            </w:pPr>
            <w:r>
              <w:t xml:space="preserve"> </w:t>
            </w:r>
          </w:p>
        </w:tc>
      </w:tr>
      <w:tr w:rsidR="00DB53CB" w14:paraId="3046BD83" w14:textId="77777777">
        <w:trPr>
          <w:trHeight w:val="1078"/>
        </w:trPr>
        <w:tc>
          <w:tcPr>
            <w:tcW w:w="5312" w:type="dxa"/>
            <w:tcBorders>
              <w:top w:val="single" w:sz="4" w:space="0" w:color="000000"/>
              <w:left w:val="single" w:sz="4" w:space="0" w:color="000000"/>
              <w:bottom w:val="single" w:sz="4" w:space="0" w:color="000000"/>
              <w:right w:val="single" w:sz="4" w:space="0" w:color="000000"/>
            </w:tcBorders>
          </w:tcPr>
          <w:p w14:paraId="0ABCEDAB" w14:textId="77777777" w:rsidR="0045673A" w:rsidRDefault="00E17DF3">
            <w:pPr>
              <w:spacing w:after="0" w:line="259" w:lineRule="auto"/>
              <w:ind w:left="0" w:right="59" w:firstLine="0"/>
            </w:pPr>
            <w:r>
              <w:t xml:space="preserve">The same sustainability disclosure topics should be required in all types of precontractual documentation to allow for comparability  </w:t>
            </w:r>
          </w:p>
        </w:tc>
        <w:tc>
          <w:tcPr>
            <w:tcW w:w="425" w:type="dxa"/>
            <w:tcBorders>
              <w:top w:val="single" w:sz="4" w:space="0" w:color="000000"/>
              <w:left w:val="single" w:sz="4" w:space="0" w:color="000000"/>
              <w:bottom w:val="single" w:sz="4" w:space="0" w:color="000000"/>
              <w:right w:val="single" w:sz="4" w:space="0" w:color="000000"/>
            </w:tcBorders>
          </w:tcPr>
          <w:p w14:paraId="0CF6621C" w14:textId="2290B467" w:rsidR="0045673A" w:rsidRDefault="00E17DF3">
            <w:pPr>
              <w:spacing w:after="0" w:line="259" w:lineRule="auto"/>
              <w:ind w:left="0"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631E8D5C" w14:textId="3FDADD30"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621DD50" w14:textId="0607B936" w:rsidR="0045673A" w:rsidRDefault="00E17DF3">
            <w:pPr>
              <w:spacing w:after="0" w:line="259" w:lineRule="auto"/>
              <w:ind w:left="0" w:firstLine="0"/>
              <w:jc w:val="left"/>
            </w:pPr>
            <w:r>
              <w:t xml:space="preserve"> </w:t>
            </w:r>
            <w:r w:rsidR="0079062C">
              <w:t>X</w:t>
            </w:r>
          </w:p>
        </w:tc>
        <w:tc>
          <w:tcPr>
            <w:tcW w:w="427" w:type="dxa"/>
            <w:tcBorders>
              <w:top w:val="single" w:sz="4" w:space="0" w:color="000000"/>
              <w:left w:val="single" w:sz="4" w:space="0" w:color="000000"/>
              <w:bottom w:val="single" w:sz="4" w:space="0" w:color="000000"/>
              <w:right w:val="single" w:sz="4" w:space="0" w:color="000000"/>
            </w:tcBorders>
          </w:tcPr>
          <w:p w14:paraId="7C340633" w14:textId="7777777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72DEBEF2" w14:textId="77777777" w:rsidR="0045673A" w:rsidRDefault="00E17DF3">
            <w:pPr>
              <w:spacing w:after="0" w:line="259" w:lineRule="auto"/>
              <w:ind w:left="0" w:firstLine="0"/>
              <w:jc w:val="left"/>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665043D2" w14:textId="77777777" w:rsidR="0045673A" w:rsidRDefault="00E17DF3">
            <w:pPr>
              <w:spacing w:after="0" w:line="259" w:lineRule="auto"/>
              <w:ind w:left="0" w:firstLine="0"/>
              <w:jc w:val="left"/>
            </w:pPr>
            <w:r>
              <w:t xml:space="preserve"> </w:t>
            </w:r>
          </w:p>
        </w:tc>
      </w:tr>
    </w:tbl>
    <w:p w14:paraId="24E1057C"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679C370B" w14:textId="77777777" w:rsidR="0045673A" w:rsidRDefault="00E17DF3">
      <w:pPr>
        <w:spacing w:after="46"/>
        <w:ind w:right="643"/>
      </w:pPr>
      <w:r w:rsidRPr="006A7CE2">
        <w:t>Please explain as necessary your replies to question 3.2.7:</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4F957E01"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12577B28" w14:textId="77777777" w:rsidR="008D2C63" w:rsidRDefault="008D2C63" w:rsidP="00016085">
            <w:pPr>
              <w:spacing w:after="0" w:line="259" w:lineRule="auto"/>
              <w:ind w:left="0" w:firstLine="0"/>
              <w:jc w:val="left"/>
              <w:rPr>
                <w:sz w:val="20"/>
                <w:szCs w:val="20"/>
              </w:rPr>
            </w:pPr>
          </w:p>
          <w:p w14:paraId="4AE0F65B" w14:textId="3E16F8E7" w:rsidR="00EF3F33" w:rsidRPr="007F09F6" w:rsidRDefault="00016085" w:rsidP="00016085">
            <w:pPr>
              <w:spacing w:after="0" w:line="259" w:lineRule="auto"/>
              <w:ind w:left="0" w:firstLine="0"/>
              <w:jc w:val="left"/>
              <w:rPr>
                <w:sz w:val="20"/>
                <w:szCs w:val="20"/>
              </w:rPr>
            </w:pPr>
            <w:r w:rsidRPr="007F09F6">
              <w:rPr>
                <w:sz w:val="20"/>
                <w:szCs w:val="20"/>
              </w:rPr>
              <w:t xml:space="preserve">As mentioned in our response, consistency and comparability across all financial products in the EU should be a key objective of the revised SFDR framework, with the same information accessible across different types of precontractual documentation. </w:t>
            </w:r>
          </w:p>
          <w:p w14:paraId="6EF88865" w14:textId="692699FF" w:rsidR="00016085" w:rsidRPr="00016085" w:rsidRDefault="00016085" w:rsidP="00016085">
            <w:pPr>
              <w:spacing w:after="0" w:line="259" w:lineRule="auto"/>
              <w:ind w:left="0" w:firstLine="0"/>
              <w:jc w:val="left"/>
              <w:rPr>
                <w:sz w:val="20"/>
                <w:szCs w:val="20"/>
              </w:rPr>
            </w:pPr>
          </w:p>
        </w:tc>
      </w:tr>
    </w:tbl>
    <w:p w14:paraId="350FDB2F" w14:textId="77777777" w:rsidR="0045673A" w:rsidRDefault="00E17DF3">
      <w:pPr>
        <w:spacing w:after="216" w:line="259" w:lineRule="auto"/>
        <w:ind w:left="0" w:firstLine="0"/>
        <w:jc w:val="left"/>
      </w:pPr>
      <w:r>
        <w:rPr>
          <w:b/>
        </w:rPr>
        <w:t xml:space="preserve"> </w:t>
      </w:r>
    </w:p>
    <w:p w14:paraId="3C58665A" w14:textId="77777777" w:rsidR="0045673A" w:rsidRDefault="00E17DF3">
      <w:pPr>
        <w:ind w:right="643"/>
      </w:pPr>
      <w:r>
        <w:rPr>
          <w:b/>
          <w:u w:val="single" w:color="000000"/>
        </w:rPr>
        <w:t>Question 3.2.8</w:t>
      </w:r>
      <w:r>
        <w:t xml:space="preserve">: Do you believe that sustainability related disclosure requirements at product level should be independent from any entity level disclosure requirements, (i.e. product disclosures should not be conditional on entity disclosures, and vice-versa)?  </w:t>
      </w:r>
    </w:p>
    <w:tbl>
      <w:tblPr>
        <w:tblW w:w="4417" w:type="dxa"/>
        <w:tblCellMar>
          <w:top w:w="19" w:type="dxa"/>
          <w:right w:w="98" w:type="dxa"/>
        </w:tblCellMar>
        <w:tblLook w:val="04A0" w:firstRow="1" w:lastRow="0" w:firstColumn="1" w:lastColumn="0" w:noHBand="0" w:noVBand="1"/>
      </w:tblPr>
      <w:tblGrid>
        <w:gridCol w:w="1471"/>
        <w:gridCol w:w="1474"/>
        <w:gridCol w:w="1472"/>
      </w:tblGrid>
      <w:tr w:rsidR="0045673A" w14:paraId="2DB5D0F3" w14:textId="77777777">
        <w:trPr>
          <w:trHeight w:val="576"/>
        </w:trPr>
        <w:tc>
          <w:tcPr>
            <w:tcW w:w="1471" w:type="dxa"/>
            <w:tcBorders>
              <w:top w:val="single" w:sz="8" w:space="0" w:color="000000"/>
              <w:left w:val="single" w:sz="8" w:space="0" w:color="000000"/>
              <w:bottom w:val="single" w:sz="8" w:space="0" w:color="000000"/>
              <w:right w:val="single" w:sz="8" w:space="0" w:color="000000"/>
            </w:tcBorders>
          </w:tcPr>
          <w:p w14:paraId="265B6117" w14:textId="77777777" w:rsidR="0045673A" w:rsidRDefault="00E17DF3">
            <w:pPr>
              <w:spacing w:after="0" w:line="259" w:lineRule="auto"/>
              <w:ind w:left="0" w:right="15" w:firstLine="0"/>
              <w:jc w:val="center"/>
            </w:pPr>
            <w:r>
              <w:t xml:space="preserve">Yes </w:t>
            </w:r>
          </w:p>
        </w:tc>
        <w:tc>
          <w:tcPr>
            <w:tcW w:w="1474" w:type="dxa"/>
            <w:tcBorders>
              <w:top w:val="single" w:sz="8" w:space="0" w:color="000000"/>
              <w:left w:val="single" w:sz="8" w:space="0" w:color="000000"/>
              <w:bottom w:val="single" w:sz="8" w:space="0" w:color="000000"/>
              <w:right w:val="single" w:sz="8" w:space="0" w:color="000000"/>
            </w:tcBorders>
          </w:tcPr>
          <w:p w14:paraId="1AA87365" w14:textId="77777777" w:rsidR="0045673A" w:rsidRDefault="00E17DF3">
            <w:pPr>
              <w:spacing w:after="0" w:line="259" w:lineRule="auto"/>
              <w:ind w:left="0" w:right="9" w:firstLine="0"/>
              <w:jc w:val="center"/>
            </w:pPr>
            <w:r>
              <w:t xml:space="preserve">No </w:t>
            </w:r>
          </w:p>
        </w:tc>
        <w:tc>
          <w:tcPr>
            <w:tcW w:w="1472" w:type="dxa"/>
            <w:tcBorders>
              <w:top w:val="single" w:sz="8" w:space="0" w:color="000000"/>
              <w:left w:val="single" w:sz="8" w:space="0" w:color="000000"/>
              <w:bottom w:val="single" w:sz="8" w:space="0" w:color="000000"/>
              <w:right w:val="single" w:sz="8" w:space="0" w:color="000000"/>
            </w:tcBorders>
          </w:tcPr>
          <w:p w14:paraId="4B5F9A78" w14:textId="77777777" w:rsidR="0045673A" w:rsidRDefault="00E17DF3">
            <w:pPr>
              <w:spacing w:after="0" w:line="259" w:lineRule="auto"/>
              <w:ind w:left="50" w:firstLine="0"/>
              <w:jc w:val="left"/>
            </w:pPr>
            <w:r>
              <w:t xml:space="preserve">Don’t know </w:t>
            </w:r>
          </w:p>
        </w:tc>
      </w:tr>
      <w:tr w:rsidR="0045673A" w14:paraId="6C24A12E"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331DCE93" w14:textId="1597997B" w:rsidR="0045673A" w:rsidRDefault="00E17DF3">
            <w:pPr>
              <w:spacing w:after="0" w:line="259" w:lineRule="auto"/>
              <w:ind w:left="0" w:firstLine="0"/>
              <w:jc w:val="left"/>
            </w:pPr>
            <w:r>
              <w:t xml:space="preserve"> </w:t>
            </w:r>
            <w:r w:rsidR="00C74A35">
              <w:t>X</w:t>
            </w:r>
          </w:p>
        </w:tc>
        <w:tc>
          <w:tcPr>
            <w:tcW w:w="1474" w:type="dxa"/>
            <w:tcBorders>
              <w:top w:val="single" w:sz="8" w:space="0" w:color="000000"/>
              <w:left w:val="single" w:sz="8" w:space="0" w:color="000000"/>
              <w:bottom w:val="single" w:sz="8" w:space="0" w:color="000000"/>
              <w:right w:val="single" w:sz="8" w:space="0" w:color="000000"/>
            </w:tcBorders>
          </w:tcPr>
          <w:p w14:paraId="198A9E25" w14:textId="6975A883" w:rsidR="0045673A" w:rsidRDefault="00E17DF3">
            <w:pPr>
              <w:spacing w:after="0" w:line="259" w:lineRule="auto"/>
              <w:ind w:left="2" w:firstLine="0"/>
              <w:jc w:val="left"/>
            </w:pPr>
            <w:r>
              <w:t xml:space="preserve"> </w:t>
            </w:r>
            <w:r w:rsidR="00DF0305">
              <w:t xml:space="preserve"> </w:t>
            </w:r>
          </w:p>
        </w:tc>
        <w:tc>
          <w:tcPr>
            <w:tcW w:w="1472" w:type="dxa"/>
            <w:tcBorders>
              <w:top w:val="single" w:sz="8" w:space="0" w:color="000000"/>
              <w:left w:val="single" w:sz="8" w:space="0" w:color="000000"/>
              <w:bottom w:val="single" w:sz="8" w:space="0" w:color="000000"/>
              <w:right w:val="single" w:sz="8" w:space="0" w:color="000000"/>
            </w:tcBorders>
          </w:tcPr>
          <w:p w14:paraId="75E1A284" w14:textId="77777777" w:rsidR="0045673A" w:rsidRDefault="00E17DF3">
            <w:pPr>
              <w:spacing w:after="0" w:line="259" w:lineRule="auto"/>
              <w:ind w:left="0" w:firstLine="0"/>
              <w:jc w:val="left"/>
            </w:pPr>
            <w:r>
              <w:t xml:space="preserve"> </w:t>
            </w:r>
          </w:p>
        </w:tc>
      </w:tr>
    </w:tbl>
    <w:p w14:paraId="54484C09" w14:textId="77777777" w:rsidR="0045673A" w:rsidRDefault="00E17DF3">
      <w:pPr>
        <w:spacing w:after="216" w:line="259" w:lineRule="auto"/>
        <w:ind w:left="0" w:firstLine="0"/>
        <w:jc w:val="left"/>
      </w:pPr>
      <w:r>
        <w:t xml:space="preserve"> </w:t>
      </w:r>
    </w:p>
    <w:p w14:paraId="7499C584" w14:textId="77777777" w:rsidR="0045673A" w:rsidRDefault="00E17DF3">
      <w:pPr>
        <w:spacing w:after="46"/>
        <w:ind w:right="643"/>
      </w:pPr>
      <w:r w:rsidRPr="006A7CE2">
        <w:t>Please explain as necessary your replies to question 3.2.8:</w:t>
      </w:r>
      <w:r>
        <w:t xml:space="preserve"> </w:t>
      </w:r>
    </w:p>
    <w:tbl>
      <w:tblPr>
        <w:tblW w:w="8836" w:type="dxa"/>
        <w:tblInd w:w="-26" w:type="dxa"/>
        <w:tblCellMar>
          <w:top w:w="20" w:type="dxa"/>
          <w:right w:w="115" w:type="dxa"/>
        </w:tblCellMar>
        <w:tblLook w:val="04A0" w:firstRow="1" w:lastRow="0" w:firstColumn="1" w:lastColumn="0" w:noHBand="0" w:noVBand="1"/>
      </w:tblPr>
      <w:tblGrid>
        <w:gridCol w:w="8836"/>
      </w:tblGrid>
      <w:tr w:rsidR="00BB56D1" w14:paraId="5F2EE400"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77D0E642" w14:textId="77777777" w:rsidR="008D2C63" w:rsidRDefault="008D2C63" w:rsidP="00A15E5C">
            <w:pPr>
              <w:spacing w:after="0" w:line="259" w:lineRule="auto"/>
              <w:ind w:left="0" w:firstLine="0"/>
              <w:jc w:val="left"/>
              <w:rPr>
                <w:sz w:val="20"/>
                <w:szCs w:val="20"/>
              </w:rPr>
            </w:pPr>
          </w:p>
          <w:p w14:paraId="36ABAF42" w14:textId="0CD13AB0" w:rsidR="00A15E5C" w:rsidRPr="00000B44" w:rsidRDefault="00A15E5C" w:rsidP="00A15E5C">
            <w:pPr>
              <w:spacing w:after="0" w:line="259" w:lineRule="auto"/>
              <w:ind w:left="0" w:firstLine="0"/>
              <w:jc w:val="left"/>
              <w:rPr>
                <w:sz w:val="20"/>
                <w:szCs w:val="20"/>
              </w:rPr>
            </w:pPr>
            <w:r w:rsidRPr="00000B44">
              <w:rPr>
                <w:sz w:val="20"/>
                <w:szCs w:val="20"/>
              </w:rPr>
              <w:t xml:space="preserve">As highlighted in our response previously, </w:t>
            </w:r>
            <w:r w:rsidR="008F401A" w:rsidRPr="00000B44">
              <w:rPr>
                <w:sz w:val="20"/>
                <w:szCs w:val="20"/>
              </w:rPr>
              <w:t>we would recommend tha</w:t>
            </w:r>
            <w:r w:rsidR="00D80504">
              <w:rPr>
                <w:sz w:val="20"/>
                <w:szCs w:val="20"/>
              </w:rPr>
              <w:t>t</w:t>
            </w:r>
            <w:r w:rsidR="00497782">
              <w:rPr>
                <w:sz w:val="20"/>
                <w:szCs w:val="20"/>
              </w:rPr>
              <w:t xml:space="preserve"> </w:t>
            </w:r>
            <w:r w:rsidR="008F401A" w:rsidRPr="00000B44">
              <w:rPr>
                <w:sz w:val="20"/>
                <w:szCs w:val="20"/>
              </w:rPr>
              <w:t xml:space="preserve">firms’ sustainability disclosures, particularly in regards to the Principal Adverse Impacts (PAIs), </w:t>
            </w:r>
            <w:r w:rsidR="002279A9" w:rsidRPr="00000B44">
              <w:rPr>
                <w:sz w:val="20"/>
                <w:szCs w:val="20"/>
              </w:rPr>
              <w:t xml:space="preserve">primarily </w:t>
            </w:r>
            <w:r w:rsidR="008F401A" w:rsidRPr="00000B44">
              <w:rPr>
                <w:sz w:val="20"/>
                <w:szCs w:val="20"/>
              </w:rPr>
              <w:t xml:space="preserve">focus at the product-level rather than the entity-level. </w:t>
            </w:r>
          </w:p>
          <w:p w14:paraId="4A3B4766" w14:textId="356E90DC" w:rsidR="00A53355" w:rsidRPr="00A53355" w:rsidRDefault="00A53355" w:rsidP="00A15E5C">
            <w:pPr>
              <w:spacing w:after="0" w:line="259" w:lineRule="auto"/>
              <w:ind w:left="0" w:firstLine="0"/>
              <w:jc w:val="left"/>
              <w:rPr>
                <w:sz w:val="20"/>
                <w:szCs w:val="20"/>
              </w:rPr>
            </w:pPr>
          </w:p>
        </w:tc>
      </w:tr>
    </w:tbl>
    <w:p w14:paraId="24EDCCF0" w14:textId="77777777" w:rsidR="0045673A" w:rsidRDefault="00E17DF3">
      <w:pPr>
        <w:spacing w:after="216" w:line="259" w:lineRule="auto"/>
        <w:ind w:left="0" w:firstLine="0"/>
        <w:jc w:val="left"/>
      </w:pPr>
      <w:r>
        <w:t xml:space="preserve"> </w:t>
      </w:r>
    </w:p>
    <w:p w14:paraId="51DBCD1B" w14:textId="77777777" w:rsidR="0045673A" w:rsidRDefault="00E17DF3">
      <w:pPr>
        <w:spacing w:after="229"/>
        <w:ind w:right="643"/>
      </w:pPr>
      <w:r>
        <w:t xml:space="preserve">The SFDR is intended to facilitate comparisons between financial products based on their sustainability considerations. In practice, investors, and especially retail investors, may not always have the necessary expertise and knowledge to interpret SFDR product-level disclosures, whether it is about comparing these disclosures to industry averages or credible transition trajectories. </w:t>
      </w:r>
    </w:p>
    <w:p w14:paraId="78586E4E" w14:textId="77777777" w:rsidR="0045673A" w:rsidRDefault="00E17DF3">
      <w:pPr>
        <w:ind w:right="643"/>
      </w:pPr>
      <w:r>
        <w:rPr>
          <w:b/>
          <w:u w:val="single" w:color="000000"/>
        </w:rPr>
        <w:t>Question 3.2.9:</w:t>
      </w:r>
      <w:r>
        <w:t xml:space="preserve"> Do you think that some product-level disclosures should be expressed on a scale (e.g. if the disclosure results for similar products were put on a scale, in which decile would the product fall)? </w:t>
      </w:r>
    </w:p>
    <w:tbl>
      <w:tblPr>
        <w:tblW w:w="4417" w:type="dxa"/>
        <w:tblCellMar>
          <w:top w:w="19" w:type="dxa"/>
          <w:right w:w="98" w:type="dxa"/>
        </w:tblCellMar>
        <w:tblLook w:val="04A0" w:firstRow="1" w:lastRow="0" w:firstColumn="1" w:lastColumn="0" w:noHBand="0" w:noVBand="1"/>
      </w:tblPr>
      <w:tblGrid>
        <w:gridCol w:w="1471"/>
        <w:gridCol w:w="1474"/>
        <w:gridCol w:w="1472"/>
      </w:tblGrid>
      <w:tr w:rsidR="0045673A" w14:paraId="7DE77C2D" w14:textId="77777777">
        <w:trPr>
          <w:trHeight w:val="576"/>
        </w:trPr>
        <w:tc>
          <w:tcPr>
            <w:tcW w:w="1471" w:type="dxa"/>
            <w:tcBorders>
              <w:top w:val="single" w:sz="8" w:space="0" w:color="000000"/>
              <w:left w:val="single" w:sz="8" w:space="0" w:color="000000"/>
              <w:bottom w:val="single" w:sz="8" w:space="0" w:color="000000"/>
              <w:right w:val="single" w:sz="8" w:space="0" w:color="000000"/>
            </w:tcBorders>
          </w:tcPr>
          <w:p w14:paraId="738C9CF2" w14:textId="77777777" w:rsidR="0045673A" w:rsidRDefault="00E17DF3">
            <w:pPr>
              <w:spacing w:after="0" w:line="259" w:lineRule="auto"/>
              <w:ind w:left="0" w:right="15" w:firstLine="0"/>
              <w:jc w:val="center"/>
            </w:pPr>
            <w:r>
              <w:t xml:space="preserve">Yes </w:t>
            </w:r>
          </w:p>
        </w:tc>
        <w:tc>
          <w:tcPr>
            <w:tcW w:w="1474" w:type="dxa"/>
            <w:tcBorders>
              <w:top w:val="single" w:sz="8" w:space="0" w:color="000000"/>
              <w:left w:val="single" w:sz="8" w:space="0" w:color="000000"/>
              <w:bottom w:val="single" w:sz="8" w:space="0" w:color="000000"/>
              <w:right w:val="single" w:sz="8" w:space="0" w:color="000000"/>
            </w:tcBorders>
          </w:tcPr>
          <w:p w14:paraId="746DDE6E" w14:textId="77777777" w:rsidR="0045673A" w:rsidRDefault="00E17DF3">
            <w:pPr>
              <w:spacing w:after="0" w:line="259" w:lineRule="auto"/>
              <w:ind w:left="0" w:right="9" w:firstLine="0"/>
              <w:jc w:val="center"/>
            </w:pPr>
            <w:r>
              <w:t xml:space="preserve">No </w:t>
            </w:r>
          </w:p>
        </w:tc>
        <w:tc>
          <w:tcPr>
            <w:tcW w:w="1472" w:type="dxa"/>
            <w:tcBorders>
              <w:top w:val="single" w:sz="8" w:space="0" w:color="000000"/>
              <w:left w:val="single" w:sz="8" w:space="0" w:color="000000"/>
              <w:bottom w:val="single" w:sz="8" w:space="0" w:color="000000"/>
              <w:right w:val="single" w:sz="8" w:space="0" w:color="000000"/>
            </w:tcBorders>
          </w:tcPr>
          <w:p w14:paraId="35FB1F2B" w14:textId="77777777" w:rsidR="0045673A" w:rsidRDefault="00E17DF3">
            <w:pPr>
              <w:spacing w:after="0" w:line="259" w:lineRule="auto"/>
              <w:ind w:left="50" w:firstLine="0"/>
              <w:jc w:val="left"/>
            </w:pPr>
            <w:r>
              <w:t xml:space="preserve">Don’t know </w:t>
            </w:r>
          </w:p>
        </w:tc>
      </w:tr>
      <w:tr w:rsidR="0045673A" w14:paraId="39B0A4C8"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3493B618" w14:textId="77777777" w:rsidR="0045673A" w:rsidRDefault="00E17DF3">
            <w:pPr>
              <w:spacing w:after="0" w:line="259" w:lineRule="auto"/>
              <w:ind w:left="0" w:firstLine="0"/>
              <w:jc w:val="left"/>
            </w:pPr>
            <w:r>
              <w:t xml:space="preserve"> </w:t>
            </w:r>
          </w:p>
        </w:tc>
        <w:tc>
          <w:tcPr>
            <w:tcW w:w="1474" w:type="dxa"/>
            <w:tcBorders>
              <w:top w:val="single" w:sz="8" w:space="0" w:color="000000"/>
              <w:left w:val="single" w:sz="8" w:space="0" w:color="000000"/>
              <w:bottom w:val="single" w:sz="8" w:space="0" w:color="000000"/>
              <w:right w:val="single" w:sz="8" w:space="0" w:color="000000"/>
            </w:tcBorders>
          </w:tcPr>
          <w:p w14:paraId="21BD985A" w14:textId="661B15D0" w:rsidR="0045673A" w:rsidRDefault="00E17DF3">
            <w:pPr>
              <w:spacing w:after="0" w:line="259" w:lineRule="auto"/>
              <w:ind w:left="2" w:firstLine="0"/>
              <w:jc w:val="left"/>
            </w:pPr>
            <w:r>
              <w:t xml:space="preserve"> </w:t>
            </w:r>
            <w:r w:rsidR="001C4590">
              <w:t>X</w:t>
            </w:r>
          </w:p>
        </w:tc>
        <w:tc>
          <w:tcPr>
            <w:tcW w:w="1472" w:type="dxa"/>
            <w:tcBorders>
              <w:top w:val="single" w:sz="8" w:space="0" w:color="000000"/>
              <w:left w:val="single" w:sz="8" w:space="0" w:color="000000"/>
              <w:bottom w:val="single" w:sz="8" w:space="0" w:color="000000"/>
              <w:right w:val="single" w:sz="8" w:space="0" w:color="000000"/>
            </w:tcBorders>
          </w:tcPr>
          <w:p w14:paraId="018A822D" w14:textId="77777777" w:rsidR="0045673A" w:rsidRDefault="00E17DF3">
            <w:pPr>
              <w:spacing w:after="0" w:line="259" w:lineRule="auto"/>
              <w:ind w:left="0" w:firstLine="0"/>
              <w:jc w:val="left"/>
            </w:pPr>
            <w:r>
              <w:t xml:space="preserve"> </w:t>
            </w:r>
          </w:p>
        </w:tc>
      </w:tr>
    </w:tbl>
    <w:p w14:paraId="48AE5B7B" w14:textId="77777777" w:rsidR="0045673A" w:rsidRDefault="00E17DF3">
      <w:pPr>
        <w:spacing w:after="216" w:line="259" w:lineRule="auto"/>
        <w:ind w:left="0" w:firstLine="0"/>
        <w:jc w:val="left"/>
      </w:pPr>
      <w:r>
        <w:t xml:space="preserve"> </w:t>
      </w:r>
    </w:p>
    <w:p w14:paraId="63F86648" w14:textId="77777777" w:rsidR="0045673A" w:rsidRDefault="00E17DF3">
      <w:pPr>
        <w:spacing w:after="46"/>
        <w:ind w:right="643"/>
      </w:pPr>
      <w:r w:rsidRPr="006A7CE2">
        <w:rPr>
          <w:b/>
          <w:u w:val="single" w:color="000000"/>
        </w:rPr>
        <w:t xml:space="preserve">Question 3.2.9.1: </w:t>
      </w:r>
      <w:r w:rsidRPr="006A7CE2">
        <w:t>If so, how should those scales be established and which information should be expressed on a scale?</w:t>
      </w:r>
      <w:r>
        <w:t xml:space="preserve"> </w:t>
      </w:r>
    </w:p>
    <w:tbl>
      <w:tblPr>
        <w:tblW w:w="8836" w:type="dxa"/>
        <w:tblInd w:w="-26" w:type="dxa"/>
        <w:tblCellMar>
          <w:top w:w="21" w:type="dxa"/>
          <w:right w:w="115" w:type="dxa"/>
        </w:tblCellMar>
        <w:tblLook w:val="04A0" w:firstRow="1" w:lastRow="0" w:firstColumn="1" w:lastColumn="0" w:noHBand="0" w:noVBand="1"/>
      </w:tblPr>
      <w:tblGrid>
        <w:gridCol w:w="8836"/>
      </w:tblGrid>
      <w:tr w:rsidR="00BB56D1" w14:paraId="7398AF8B"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6E6752B8" w14:textId="77777777" w:rsidR="004F7D21" w:rsidRDefault="004F7D21">
            <w:pPr>
              <w:spacing w:after="0" w:line="259" w:lineRule="auto"/>
              <w:ind w:left="0" w:firstLine="0"/>
              <w:jc w:val="left"/>
              <w:rPr>
                <w:sz w:val="20"/>
                <w:szCs w:val="20"/>
              </w:rPr>
            </w:pPr>
          </w:p>
          <w:p w14:paraId="0A02F615" w14:textId="2D9CAB60" w:rsidR="00B14DC0" w:rsidRPr="004A29ED" w:rsidRDefault="007634E7">
            <w:pPr>
              <w:spacing w:after="0" w:line="259" w:lineRule="auto"/>
              <w:ind w:left="0" w:firstLine="0"/>
              <w:jc w:val="left"/>
              <w:rPr>
                <w:sz w:val="20"/>
                <w:szCs w:val="20"/>
              </w:rPr>
            </w:pPr>
            <w:r w:rsidRPr="004A29ED">
              <w:rPr>
                <w:sz w:val="20"/>
                <w:szCs w:val="20"/>
              </w:rPr>
              <w:t xml:space="preserve">We think it will be very important for the Commission to ensure that a revised framework does not adopt a hierarchical </w:t>
            </w:r>
            <w:r w:rsidR="00F71D49" w:rsidRPr="004A29ED">
              <w:rPr>
                <w:sz w:val="20"/>
                <w:szCs w:val="20"/>
              </w:rPr>
              <w:t>model, which a scaled approach to product-level disclosures would be</w:t>
            </w:r>
            <w:r w:rsidR="004A29ED">
              <w:rPr>
                <w:sz w:val="20"/>
                <w:szCs w:val="20"/>
              </w:rPr>
              <w:t xml:space="preserve"> very</w:t>
            </w:r>
            <w:r w:rsidR="00F71D49" w:rsidRPr="004A29ED">
              <w:rPr>
                <w:sz w:val="20"/>
                <w:szCs w:val="20"/>
              </w:rPr>
              <w:t xml:space="preserve"> likely to lead towards. </w:t>
            </w:r>
          </w:p>
          <w:p w14:paraId="61EE01FA" w14:textId="77777777" w:rsidR="00B14DC0" w:rsidRPr="004A29ED" w:rsidRDefault="00B14DC0">
            <w:pPr>
              <w:spacing w:after="0" w:line="259" w:lineRule="auto"/>
              <w:ind w:left="0" w:firstLine="0"/>
              <w:jc w:val="left"/>
              <w:rPr>
                <w:sz w:val="20"/>
                <w:szCs w:val="20"/>
              </w:rPr>
            </w:pPr>
          </w:p>
          <w:p w14:paraId="1AAE6B9C" w14:textId="50BE07ED" w:rsidR="005F7192" w:rsidRPr="004A29ED" w:rsidRDefault="00F71D49" w:rsidP="00525A2C">
            <w:pPr>
              <w:spacing w:after="0" w:line="259" w:lineRule="auto"/>
              <w:ind w:left="0" w:firstLine="0"/>
              <w:jc w:val="left"/>
              <w:rPr>
                <w:sz w:val="20"/>
                <w:szCs w:val="20"/>
              </w:rPr>
            </w:pPr>
            <w:r w:rsidRPr="004A29ED">
              <w:rPr>
                <w:sz w:val="20"/>
                <w:szCs w:val="20"/>
              </w:rPr>
              <w:t xml:space="preserve">The SDR proposals from the FCA have been very clear in specifying that the </w:t>
            </w:r>
            <w:r w:rsidR="002911E1">
              <w:rPr>
                <w:sz w:val="20"/>
                <w:szCs w:val="20"/>
              </w:rPr>
              <w:t>four</w:t>
            </w:r>
            <w:r w:rsidRPr="004A29ED">
              <w:rPr>
                <w:sz w:val="20"/>
                <w:szCs w:val="20"/>
              </w:rPr>
              <w:t xml:space="preserve"> sustainable labelling categories are non-hierarchical</w:t>
            </w:r>
            <w:r w:rsidR="00B14DC0" w:rsidRPr="004A29ED">
              <w:rPr>
                <w:sz w:val="20"/>
                <w:szCs w:val="20"/>
              </w:rPr>
              <w:t xml:space="preserve">. </w:t>
            </w:r>
            <w:r w:rsidR="00C35BC6" w:rsidRPr="004A29ED">
              <w:rPr>
                <w:sz w:val="20"/>
                <w:szCs w:val="20"/>
              </w:rPr>
              <w:t>The upcoming SFDR framework will need to avoid</w:t>
            </w:r>
            <w:r w:rsidR="00A92219">
              <w:rPr>
                <w:sz w:val="20"/>
                <w:szCs w:val="20"/>
              </w:rPr>
              <w:t xml:space="preserve"> </w:t>
            </w:r>
            <w:r w:rsidR="00C35BC6" w:rsidRPr="004A29ED">
              <w:rPr>
                <w:sz w:val="20"/>
                <w:szCs w:val="20"/>
              </w:rPr>
              <w:t>risks that certain categories, if th</w:t>
            </w:r>
            <w:r w:rsidR="00A92219">
              <w:rPr>
                <w:sz w:val="20"/>
                <w:szCs w:val="20"/>
              </w:rPr>
              <w:t>e scaled</w:t>
            </w:r>
            <w:r w:rsidR="00C35BC6" w:rsidRPr="004A29ED">
              <w:rPr>
                <w:sz w:val="20"/>
                <w:szCs w:val="20"/>
              </w:rPr>
              <w:t xml:space="preserve"> approach is </w:t>
            </w:r>
            <w:r w:rsidR="00A92219">
              <w:rPr>
                <w:sz w:val="20"/>
                <w:szCs w:val="20"/>
              </w:rPr>
              <w:t>adopted</w:t>
            </w:r>
            <w:r w:rsidR="00C35BC6" w:rsidRPr="004A29ED">
              <w:rPr>
                <w:sz w:val="20"/>
                <w:szCs w:val="20"/>
              </w:rPr>
              <w:t xml:space="preserve">, are interpreted </w:t>
            </w:r>
            <w:r w:rsidR="00976BF9" w:rsidRPr="004A29ED">
              <w:rPr>
                <w:sz w:val="20"/>
                <w:szCs w:val="20"/>
              </w:rPr>
              <w:t xml:space="preserve">by end investors </w:t>
            </w:r>
            <w:r w:rsidR="00C35BC6" w:rsidRPr="004A29ED">
              <w:rPr>
                <w:sz w:val="20"/>
                <w:szCs w:val="20"/>
              </w:rPr>
              <w:t>as ‘better’</w:t>
            </w:r>
            <w:r w:rsidR="00976BF9" w:rsidRPr="004A29ED">
              <w:rPr>
                <w:sz w:val="20"/>
                <w:szCs w:val="20"/>
              </w:rPr>
              <w:t xml:space="preserve">- </w:t>
            </w:r>
            <w:r w:rsidR="00C35BC6" w:rsidRPr="004A29ED">
              <w:rPr>
                <w:sz w:val="20"/>
                <w:szCs w:val="20"/>
              </w:rPr>
              <w:t>in some</w:t>
            </w:r>
            <w:r w:rsidR="00976BF9" w:rsidRPr="004A29ED">
              <w:rPr>
                <w:sz w:val="20"/>
                <w:szCs w:val="20"/>
              </w:rPr>
              <w:t xml:space="preserve"> form-</w:t>
            </w:r>
            <w:r w:rsidR="00C35BC6" w:rsidRPr="004A29ED">
              <w:rPr>
                <w:sz w:val="20"/>
                <w:szCs w:val="20"/>
              </w:rPr>
              <w:t xml:space="preserve"> than other categories</w:t>
            </w:r>
            <w:r w:rsidR="00976BF9" w:rsidRPr="004A29ED">
              <w:rPr>
                <w:sz w:val="20"/>
                <w:szCs w:val="20"/>
              </w:rPr>
              <w:t xml:space="preserve">, rather than simply being a ‘different’ investment approach and strategy. </w:t>
            </w:r>
          </w:p>
          <w:p w14:paraId="628F0283" w14:textId="77777777" w:rsidR="005F7192" w:rsidRPr="004A29ED" w:rsidRDefault="005F7192" w:rsidP="00525A2C">
            <w:pPr>
              <w:spacing w:after="0" w:line="259" w:lineRule="auto"/>
              <w:ind w:left="0" w:firstLine="0"/>
              <w:jc w:val="left"/>
              <w:rPr>
                <w:sz w:val="20"/>
                <w:szCs w:val="20"/>
              </w:rPr>
            </w:pPr>
          </w:p>
          <w:p w14:paraId="4B78C7E0" w14:textId="2A6A7CE9" w:rsidR="00E86EAB" w:rsidRDefault="00976BF9" w:rsidP="00525A2C">
            <w:pPr>
              <w:spacing w:after="0" w:line="259" w:lineRule="auto"/>
              <w:ind w:left="0" w:firstLine="0"/>
              <w:jc w:val="left"/>
            </w:pPr>
            <w:r w:rsidRPr="004A29ED">
              <w:rPr>
                <w:sz w:val="20"/>
                <w:szCs w:val="20"/>
              </w:rPr>
              <w:t>These considerations will need to be clearly reflected in the product disclosures</w:t>
            </w:r>
            <w:r w:rsidR="00733E53">
              <w:rPr>
                <w:sz w:val="20"/>
                <w:szCs w:val="20"/>
              </w:rPr>
              <w:t>,</w:t>
            </w:r>
            <w:r w:rsidRPr="004A29ED">
              <w:rPr>
                <w:sz w:val="20"/>
                <w:szCs w:val="20"/>
              </w:rPr>
              <w:t xml:space="preserve"> with for example neutral language adopted in these disclosures to ensure a hierarchy does not arise.</w:t>
            </w:r>
            <w:r w:rsidRPr="006A7CE2">
              <w:rPr>
                <w:szCs w:val="24"/>
              </w:rPr>
              <w:t xml:space="preserve"> </w:t>
            </w:r>
          </w:p>
        </w:tc>
      </w:tr>
    </w:tbl>
    <w:p w14:paraId="4393592A" w14:textId="77777777" w:rsidR="0045673A" w:rsidRDefault="00E17DF3">
      <w:pPr>
        <w:spacing w:after="216" w:line="259" w:lineRule="auto"/>
        <w:ind w:left="0" w:firstLine="0"/>
        <w:jc w:val="left"/>
      </w:pPr>
      <w:r>
        <w:rPr>
          <w:b/>
        </w:rPr>
        <w:t xml:space="preserve"> </w:t>
      </w:r>
    </w:p>
    <w:p w14:paraId="06D068DE" w14:textId="77777777" w:rsidR="0045673A" w:rsidRDefault="00E17DF3">
      <w:pPr>
        <w:ind w:right="643"/>
      </w:pPr>
      <w:r>
        <w:rPr>
          <w:b/>
          <w:u w:val="single" w:color="000000"/>
        </w:rPr>
        <w:t>Question 3.2.10:</w:t>
      </w:r>
      <w:r>
        <w:t xml:space="preserve"> If you are a professional investor, where do you obtain the sustainability information you find relevant?</w:t>
      </w:r>
      <w:r>
        <w:rPr>
          <w:i/>
        </w:rPr>
        <w:t xml:space="preserve"> </w:t>
      </w:r>
    </w:p>
    <w:tbl>
      <w:tblPr>
        <w:tblW w:w="8342" w:type="dxa"/>
        <w:tblCellMar>
          <w:top w:w="14" w:type="dxa"/>
          <w:right w:w="54" w:type="dxa"/>
        </w:tblCellMar>
        <w:tblLook w:val="04A0" w:firstRow="1" w:lastRow="0" w:firstColumn="1" w:lastColumn="0" w:noHBand="0" w:noVBand="1"/>
      </w:tblPr>
      <w:tblGrid>
        <w:gridCol w:w="4438"/>
        <w:gridCol w:w="829"/>
        <w:gridCol w:w="436"/>
        <w:gridCol w:w="436"/>
        <w:gridCol w:w="436"/>
        <w:gridCol w:w="436"/>
        <w:gridCol w:w="436"/>
        <w:gridCol w:w="895"/>
      </w:tblGrid>
      <w:tr w:rsidR="0045673A" w14:paraId="75C7D547" w14:textId="77777777">
        <w:trPr>
          <w:trHeight w:val="802"/>
        </w:trPr>
        <w:tc>
          <w:tcPr>
            <w:tcW w:w="4532" w:type="dxa"/>
            <w:tcBorders>
              <w:top w:val="single" w:sz="4" w:space="0" w:color="000000"/>
              <w:left w:val="single" w:sz="4" w:space="0" w:color="000000"/>
              <w:bottom w:val="single" w:sz="4" w:space="0" w:color="000000"/>
              <w:right w:val="nil"/>
            </w:tcBorders>
          </w:tcPr>
          <w:p w14:paraId="0453C081" w14:textId="77777777" w:rsidR="0045673A" w:rsidRDefault="00E17DF3">
            <w:pPr>
              <w:spacing w:after="0" w:line="259" w:lineRule="auto"/>
              <w:ind w:left="108" w:firstLine="0"/>
              <w:jc w:val="left"/>
            </w:pPr>
            <w:r>
              <w:t xml:space="preserve"> </w:t>
            </w:r>
          </w:p>
        </w:tc>
        <w:tc>
          <w:tcPr>
            <w:tcW w:w="780" w:type="dxa"/>
            <w:tcBorders>
              <w:top w:val="single" w:sz="4" w:space="0" w:color="000000"/>
              <w:left w:val="nil"/>
              <w:bottom w:val="single" w:sz="4" w:space="0" w:color="000000"/>
              <w:right w:val="single" w:sz="4" w:space="0" w:color="000000"/>
            </w:tcBorders>
          </w:tcPr>
          <w:p w14:paraId="1C0CBCA7" w14:textId="77777777" w:rsidR="0045673A" w:rsidRDefault="0045673A">
            <w:pPr>
              <w:spacing w:after="16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2FAE1774" w14:textId="77777777" w:rsidR="0045673A" w:rsidRDefault="00E17DF3">
            <w:pPr>
              <w:spacing w:after="0" w:line="259" w:lineRule="auto"/>
              <w:ind w:left="154" w:firstLine="0"/>
              <w:jc w:val="left"/>
            </w:pPr>
            <w:r>
              <w:t xml:space="preserve">1 </w:t>
            </w:r>
          </w:p>
        </w:tc>
        <w:tc>
          <w:tcPr>
            <w:tcW w:w="427" w:type="dxa"/>
            <w:tcBorders>
              <w:top w:val="single" w:sz="4" w:space="0" w:color="000000"/>
              <w:left w:val="single" w:sz="4" w:space="0" w:color="000000"/>
              <w:bottom w:val="single" w:sz="4" w:space="0" w:color="000000"/>
              <w:right w:val="single" w:sz="4" w:space="0" w:color="000000"/>
            </w:tcBorders>
          </w:tcPr>
          <w:p w14:paraId="44C68D3D" w14:textId="77777777" w:rsidR="0045673A" w:rsidRDefault="00E17DF3">
            <w:pPr>
              <w:spacing w:after="0" w:line="259" w:lineRule="auto"/>
              <w:ind w:left="154" w:firstLine="0"/>
              <w:jc w:val="left"/>
            </w:pPr>
            <w:r>
              <w:t xml:space="preserve">2 </w:t>
            </w:r>
          </w:p>
        </w:tc>
        <w:tc>
          <w:tcPr>
            <w:tcW w:w="425" w:type="dxa"/>
            <w:tcBorders>
              <w:top w:val="single" w:sz="4" w:space="0" w:color="000000"/>
              <w:left w:val="single" w:sz="4" w:space="0" w:color="000000"/>
              <w:bottom w:val="single" w:sz="4" w:space="0" w:color="000000"/>
              <w:right w:val="single" w:sz="4" w:space="0" w:color="000000"/>
            </w:tcBorders>
          </w:tcPr>
          <w:p w14:paraId="10253DAC" w14:textId="77777777" w:rsidR="0045673A" w:rsidRDefault="00E17DF3">
            <w:pPr>
              <w:spacing w:after="0" w:line="259" w:lineRule="auto"/>
              <w:ind w:left="154" w:firstLine="0"/>
              <w:jc w:val="left"/>
            </w:pPr>
            <w:r>
              <w:t xml:space="preserve">3 </w:t>
            </w:r>
          </w:p>
        </w:tc>
        <w:tc>
          <w:tcPr>
            <w:tcW w:w="427" w:type="dxa"/>
            <w:tcBorders>
              <w:top w:val="single" w:sz="4" w:space="0" w:color="000000"/>
              <w:left w:val="single" w:sz="4" w:space="0" w:color="000000"/>
              <w:bottom w:val="single" w:sz="4" w:space="0" w:color="000000"/>
              <w:right w:val="single" w:sz="4" w:space="0" w:color="000000"/>
            </w:tcBorders>
          </w:tcPr>
          <w:p w14:paraId="7FBBA129" w14:textId="77777777" w:rsidR="0045673A" w:rsidRDefault="00E17DF3">
            <w:pPr>
              <w:spacing w:after="0" w:line="259" w:lineRule="auto"/>
              <w:ind w:left="154" w:firstLine="0"/>
              <w:jc w:val="left"/>
            </w:pPr>
            <w:r>
              <w:t xml:space="preserve">4 </w:t>
            </w:r>
          </w:p>
        </w:tc>
        <w:tc>
          <w:tcPr>
            <w:tcW w:w="425" w:type="dxa"/>
            <w:tcBorders>
              <w:top w:val="single" w:sz="4" w:space="0" w:color="000000"/>
              <w:left w:val="single" w:sz="4" w:space="0" w:color="000000"/>
              <w:bottom w:val="single" w:sz="4" w:space="0" w:color="000000"/>
              <w:right w:val="single" w:sz="4" w:space="0" w:color="000000"/>
            </w:tcBorders>
          </w:tcPr>
          <w:p w14:paraId="5C228C24" w14:textId="77777777" w:rsidR="0045673A" w:rsidRDefault="00E17DF3">
            <w:pPr>
              <w:spacing w:after="0" w:line="259" w:lineRule="auto"/>
              <w:ind w:left="154" w:firstLine="0"/>
              <w:jc w:val="left"/>
            </w:pPr>
            <w:r>
              <w:t xml:space="preserve">5 </w:t>
            </w:r>
          </w:p>
        </w:tc>
        <w:tc>
          <w:tcPr>
            <w:tcW w:w="900" w:type="dxa"/>
            <w:tcBorders>
              <w:top w:val="single" w:sz="4" w:space="0" w:color="000000"/>
              <w:left w:val="single" w:sz="4" w:space="0" w:color="000000"/>
              <w:bottom w:val="single" w:sz="4" w:space="0" w:color="000000"/>
              <w:right w:val="single" w:sz="4" w:space="0" w:color="000000"/>
            </w:tcBorders>
          </w:tcPr>
          <w:p w14:paraId="346730CC" w14:textId="77777777" w:rsidR="0045673A" w:rsidRDefault="00E17DF3">
            <w:pPr>
              <w:spacing w:after="0" w:line="259" w:lineRule="auto"/>
              <w:ind w:left="0" w:firstLine="0"/>
              <w:jc w:val="center"/>
            </w:pPr>
            <w:r>
              <w:t xml:space="preserve">Don’t know </w:t>
            </w:r>
          </w:p>
        </w:tc>
      </w:tr>
      <w:tr w:rsidR="0045673A" w14:paraId="33A398F1" w14:textId="77777777">
        <w:trPr>
          <w:trHeight w:val="526"/>
        </w:trPr>
        <w:tc>
          <w:tcPr>
            <w:tcW w:w="4532" w:type="dxa"/>
            <w:tcBorders>
              <w:top w:val="single" w:sz="4" w:space="0" w:color="000000"/>
              <w:left w:val="single" w:sz="4" w:space="0" w:color="000000"/>
              <w:bottom w:val="single" w:sz="4" w:space="0" w:color="000000"/>
              <w:right w:val="nil"/>
            </w:tcBorders>
          </w:tcPr>
          <w:p w14:paraId="0E4DF676" w14:textId="77777777" w:rsidR="0045673A" w:rsidRDefault="00E17DF3">
            <w:pPr>
              <w:spacing w:after="0" w:line="259" w:lineRule="auto"/>
              <w:ind w:left="108" w:firstLine="0"/>
              <w:jc w:val="left"/>
            </w:pPr>
            <w:r>
              <w:t xml:space="preserve">From direct enquiries to market participants </w:t>
            </w:r>
          </w:p>
        </w:tc>
        <w:tc>
          <w:tcPr>
            <w:tcW w:w="780" w:type="dxa"/>
            <w:tcBorders>
              <w:top w:val="single" w:sz="4" w:space="0" w:color="000000"/>
              <w:left w:val="nil"/>
              <w:bottom w:val="single" w:sz="4" w:space="0" w:color="000000"/>
              <w:right w:val="single" w:sz="4" w:space="0" w:color="000000"/>
            </w:tcBorders>
          </w:tcPr>
          <w:p w14:paraId="5FF4D579" w14:textId="77777777" w:rsidR="0045673A" w:rsidRDefault="0045673A">
            <w:pPr>
              <w:spacing w:after="16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4EAE5D2C" w14:textId="77777777" w:rsidR="0045673A" w:rsidRDefault="00E17DF3">
            <w:pPr>
              <w:spacing w:after="0" w:line="259" w:lineRule="auto"/>
              <w:ind w:left="108"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12392F23" w14:textId="77777777" w:rsidR="0045673A" w:rsidRDefault="00E17DF3">
            <w:pPr>
              <w:spacing w:after="0" w:line="259" w:lineRule="auto"/>
              <w:ind w:left="108"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36D21680" w14:textId="77777777" w:rsidR="0045673A" w:rsidRDefault="00E17DF3">
            <w:pPr>
              <w:spacing w:after="0" w:line="259" w:lineRule="auto"/>
              <w:ind w:left="108"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34B5FC99" w14:textId="77777777" w:rsidR="0045673A" w:rsidRDefault="00E17DF3">
            <w:pPr>
              <w:spacing w:after="0" w:line="259" w:lineRule="auto"/>
              <w:ind w:left="108"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44A85A17" w14:textId="77777777" w:rsidR="0045673A" w:rsidRDefault="00E17DF3">
            <w:pPr>
              <w:spacing w:after="0" w:line="259" w:lineRule="auto"/>
              <w:ind w:left="108" w:firstLine="0"/>
              <w:jc w:val="left"/>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0994FC66" w14:textId="520E5857" w:rsidR="0045673A" w:rsidRDefault="00E17DF3">
            <w:pPr>
              <w:spacing w:after="0" w:line="259" w:lineRule="auto"/>
              <w:ind w:left="108" w:firstLine="0"/>
              <w:jc w:val="left"/>
            </w:pPr>
            <w:r>
              <w:t xml:space="preserve"> </w:t>
            </w:r>
          </w:p>
        </w:tc>
      </w:tr>
      <w:tr w:rsidR="0045673A" w14:paraId="7F4EEE1A" w14:textId="77777777">
        <w:trPr>
          <w:trHeight w:val="802"/>
        </w:trPr>
        <w:tc>
          <w:tcPr>
            <w:tcW w:w="4532" w:type="dxa"/>
            <w:tcBorders>
              <w:top w:val="single" w:sz="4" w:space="0" w:color="000000"/>
              <w:left w:val="single" w:sz="4" w:space="0" w:color="000000"/>
              <w:bottom w:val="single" w:sz="4" w:space="0" w:color="000000"/>
              <w:right w:val="nil"/>
            </w:tcBorders>
          </w:tcPr>
          <w:p w14:paraId="262F1EC2" w14:textId="77777777" w:rsidR="0045673A" w:rsidRDefault="00E17DF3">
            <w:pPr>
              <w:spacing w:after="0" w:line="259" w:lineRule="auto"/>
              <w:ind w:left="108" w:firstLine="0"/>
              <w:jc w:val="left"/>
            </w:pPr>
            <w:r>
              <w:t xml:space="preserve">Via </w:t>
            </w:r>
            <w:r>
              <w:tab/>
              <w:t xml:space="preserve">SFDR </w:t>
            </w:r>
            <w:r>
              <w:tab/>
              <w:t xml:space="preserve">disclosures </w:t>
            </w:r>
            <w:r>
              <w:tab/>
              <w:t xml:space="preserve">provided </w:t>
            </w:r>
            <w:r>
              <w:tab/>
              <w:t xml:space="preserve">by participants </w:t>
            </w:r>
          </w:p>
        </w:tc>
        <w:tc>
          <w:tcPr>
            <w:tcW w:w="780" w:type="dxa"/>
            <w:tcBorders>
              <w:top w:val="single" w:sz="4" w:space="0" w:color="000000"/>
              <w:left w:val="nil"/>
              <w:bottom w:val="single" w:sz="4" w:space="0" w:color="000000"/>
              <w:right w:val="single" w:sz="4" w:space="0" w:color="000000"/>
            </w:tcBorders>
          </w:tcPr>
          <w:p w14:paraId="78BBBDB5" w14:textId="77777777" w:rsidR="0045673A" w:rsidRDefault="00E17DF3">
            <w:pPr>
              <w:spacing w:after="0" w:line="259" w:lineRule="auto"/>
              <w:ind w:left="0" w:firstLine="0"/>
            </w:pPr>
            <w:r>
              <w:t xml:space="preserve">market </w:t>
            </w:r>
          </w:p>
        </w:tc>
        <w:tc>
          <w:tcPr>
            <w:tcW w:w="425" w:type="dxa"/>
            <w:tcBorders>
              <w:top w:val="single" w:sz="4" w:space="0" w:color="000000"/>
              <w:left w:val="single" w:sz="4" w:space="0" w:color="000000"/>
              <w:bottom w:val="single" w:sz="4" w:space="0" w:color="000000"/>
              <w:right w:val="single" w:sz="4" w:space="0" w:color="000000"/>
            </w:tcBorders>
          </w:tcPr>
          <w:p w14:paraId="5569C2A9" w14:textId="77777777" w:rsidR="0045673A" w:rsidRDefault="00E17DF3">
            <w:pPr>
              <w:spacing w:after="0" w:line="259" w:lineRule="auto"/>
              <w:ind w:left="108"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555DBB9D" w14:textId="77777777" w:rsidR="0045673A" w:rsidRDefault="00E17DF3">
            <w:pPr>
              <w:spacing w:after="0" w:line="259" w:lineRule="auto"/>
              <w:ind w:left="108"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7F3574C" w14:textId="77777777" w:rsidR="0045673A" w:rsidRDefault="00E17DF3">
            <w:pPr>
              <w:spacing w:after="0" w:line="259" w:lineRule="auto"/>
              <w:ind w:left="108"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1D68A93F" w14:textId="77777777" w:rsidR="0045673A" w:rsidRDefault="00E17DF3">
            <w:pPr>
              <w:spacing w:after="0" w:line="259" w:lineRule="auto"/>
              <w:ind w:left="108"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533196EC" w14:textId="77777777" w:rsidR="0045673A" w:rsidRDefault="00E17DF3">
            <w:pPr>
              <w:spacing w:after="0" w:line="259" w:lineRule="auto"/>
              <w:ind w:left="108" w:firstLine="0"/>
              <w:jc w:val="left"/>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3077CF0D" w14:textId="6376725D" w:rsidR="0045673A" w:rsidRDefault="00E17DF3">
            <w:pPr>
              <w:spacing w:after="0" w:line="259" w:lineRule="auto"/>
              <w:ind w:left="108" w:firstLine="0"/>
              <w:jc w:val="left"/>
            </w:pPr>
            <w:r>
              <w:t xml:space="preserve"> </w:t>
            </w:r>
          </w:p>
        </w:tc>
      </w:tr>
    </w:tbl>
    <w:p w14:paraId="1211471F" w14:textId="77777777" w:rsidR="0045673A" w:rsidRDefault="00E17DF3">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3BE2247D" w14:textId="77777777" w:rsidR="0045673A" w:rsidRDefault="00E17DF3">
      <w:pPr>
        <w:ind w:right="643"/>
      </w:pPr>
      <w:r>
        <w:rPr>
          <w:b/>
          <w:u w:val="single" w:color="000000"/>
        </w:rPr>
        <w:t>Question 3.2.11:</w:t>
      </w:r>
      <w:r>
        <w:t xml:space="preserve"> If you are a professional investor, do you find the SFDR requirements have improved the quality of information and transparency provided by financial market participants about the sustainability features of the products they offer?</w:t>
      </w:r>
      <w:r>
        <w:rPr>
          <w:rFonts w:ascii="Segoe UI" w:eastAsia="Segoe UI" w:hAnsi="Segoe UI" w:cs="Segoe UI"/>
          <w:vertAlign w:val="subscript"/>
        </w:rPr>
        <w:t xml:space="preserve"> </w:t>
      </w:r>
      <w:r>
        <w:t xml:space="preserve">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288E57B7" w14:textId="77777777">
        <w:trPr>
          <w:trHeight w:val="533"/>
        </w:trPr>
        <w:tc>
          <w:tcPr>
            <w:tcW w:w="1111" w:type="dxa"/>
            <w:tcBorders>
              <w:top w:val="single" w:sz="6" w:space="0" w:color="000000"/>
              <w:left w:val="single" w:sz="6" w:space="0" w:color="000000"/>
              <w:bottom w:val="single" w:sz="6" w:space="0" w:color="000000"/>
              <w:right w:val="single" w:sz="6" w:space="0" w:color="000000"/>
            </w:tcBorders>
          </w:tcPr>
          <w:p w14:paraId="6D9E9A09"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7888482C"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1F45B865"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50BFD0A2"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69B3BDCD"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2F855158" w14:textId="77777777" w:rsidR="0045673A" w:rsidRDefault="00E17DF3">
            <w:pPr>
              <w:spacing w:after="0" w:line="259" w:lineRule="auto"/>
              <w:ind w:left="0" w:right="3" w:firstLine="0"/>
              <w:jc w:val="center"/>
            </w:pPr>
            <w:r>
              <w:t xml:space="preserve">Don’t know </w:t>
            </w:r>
          </w:p>
        </w:tc>
      </w:tr>
      <w:tr w:rsidR="0045673A" w14:paraId="11A508E9"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77C7CA8A"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46B1FFC7" w14:textId="77777777" w:rsidR="0045673A" w:rsidRDefault="00E17DF3">
            <w:pPr>
              <w:spacing w:after="0" w:line="259" w:lineRule="auto"/>
              <w:ind w:left="59" w:firstLine="0"/>
              <w:jc w:val="center"/>
            </w:pPr>
            <w:r>
              <w:t xml:space="preserve"> </w:t>
            </w:r>
          </w:p>
        </w:tc>
        <w:tc>
          <w:tcPr>
            <w:tcW w:w="1094" w:type="dxa"/>
            <w:tcBorders>
              <w:top w:val="single" w:sz="6" w:space="0" w:color="000000"/>
              <w:left w:val="single" w:sz="6" w:space="0" w:color="000000"/>
              <w:bottom w:val="single" w:sz="6" w:space="0" w:color="000000"/>
              <w:right w:val="single" w:sz="6" w:space="0" w:color="000000"/>
            </w:tcBorders>
          </w:tcPr>
          <w:p w14:paraId="35AE41A5" w14:textId="77777777" w:rsidR="0045673A" w:rsidRDefault="00E17DF3">
            <w:pPr>
              <w:spacing w:after="0" w:line="259" w:lineRule="auto"/>
              <w:ind w:left="60"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7919344D" w14:textId="77777777" w:rsidR="0045673A" w:rsidRDefault="00E17DF3">
            <w:pPr>
              <w:spacing w:after="0" w:line="259" w:lineRule="auto"/>
              <w:ind w:left="60" w:firstLine="0"/>
              <w:jc w:val="center"/>
            </w:pPr>
            <w:r>
              <w:t xml:space="preserve"> </w:t>
            </w:r>
          </w:p>
        </w:tc>
        <w:tc>
          <w:tcPr>
            <w:tcW w:w="1025" w:type="dxa"/>
            <w:tcBorders>
              <w:top w:val="single" w:sz="6" w:space="0" w:color="000000"/>
              <w:left w:val="single" w:sz="6" w:space="0" w:color="000000"/>
              <w:bottom w:val="single" w:sz="6" w:space="0" w:color="000000"/>
              <w:right w:val="single" w:sz="6" w:space="0" w:color="000000"/>
            </w:tcBorders>
          </w:tcPr>
          <w:p w14:paraId="56F85440"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0FC4F2D8" w14:textId="763EE3EC" w:rsidR="0045673A" w:rsidRDefault="0045673A">
            <w:pPr>
              <w:spacing w:after="0" w:line="259" w:lineRule="auto"/>
              <w:ind w:left="63" w:firstLine="0"/>
              <w:jc w:val="center"/>
            </w:pPr>
          </w:p>
        </w:tc>
      </w:tr>
    </w:tbl>
    <w:p w14:paraId="03538E37" w14:textId="77777777" w:rsidR="0045673A" w:rsidRDefault="00E17DF3">
      <w:pPr>
        <w:spacing w:after="0" w:line="268" w:lineRule="auto"/>
        <w:ind w:left="-5" w:right="365"/>
        <w:jc w:val="left"/>
      </w:pPr>
      <w:r>
        <w:rPr>
          <w:i/>
          <w:sz w:val="20"/>
        </w:rPr>
        <w:t xml:space="preserve">(1= not at all, 2= not really, 3= partially, 4= mostly, 5= totally) </w:t>
      </w:r>
    </w:p>
    <w:p w14:paraId="378396F8" w14:textId="77777777" w:rsidR="0045673A" w:rsidRDefault="00E17DF3">
      <w:pPr>
        <w:spacing w:after="18" w:line="259" w:lineRule="auto"/>
        <w:ind w:left="0" w:firstLine="0"/>
        <w:jc w:val="left"/>
      </w:pPr>
      <w:r>
        <w:rPr>
          <w:i/>
          <w:sz w:val="20"/>
        </w:rPr>
        <w:t xml:space="preserve"> </w:t>
      </w:r>
    </w:p>
    <w:p w14:paraId="4E436A68" w14:textId="77777777" w:rsidR="0045673A" w:rsidRDefault="00E17DF3">
      <w:pPr>
        <w:spacing w:after="46"/>
        <w:ind w:right="643"/>
      </w:pPr>
      <w:r w:rsidRPr="004C100C">
        <w:t>Please explain as necessary your replies to question 3.2.10 and 3.2.11:</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7D289B27"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416BBD0B" w14:textId="77777777" w:rsidR="00DB69E4" w:rsidRDefault="00E17DF3">
            <w:pPr>
              <w:spacing w:after="0" w:line="259" w:lineRule="auto"/>
              <w:ind w:left="0" w:firstLine="0"/>
              <w:jc w:val="left"/>
              <w:rPr>
                <w:sz w:val="20"/>
                <w:szCs w:val="20"/>
              </w:rPr>
            </w:pPr>
            <w:r w:rsidRPr="00733E53">
              <w:rPr>
                <w:sz w:val="20"/>
                <w:szCs w:val="20"/>
              </w:rPr>
              <w:t xml:space="preserve"> </w:t>
            </w:r>
          </w:p>
          <w:p w14:paraId="0B55FF1C" w14:textId="1A517114" w:rsidR="0045673A" w:rsidRPr="00733E53" w:rsidRDefault="00D420C9">
            <w:pPr>
              <w:spacing w:after="0" w:line="259" w:lineRule="auto"/>
              <w:ind w:left="0" w:firstLine="0"/>
              <w:jc w:val="left"/>
              <w:rPr>
                <w:sz w:val="20"/>
                <w:szCs w:val="20"/>
              </w:rPr>
            </w:pPr>
            <w:r w:rsidRPr="00733E53">
              <w:rPr>
                <w:sz w:val="20"/>
                <w:szCs w:val="20"/>
              </w:rPr>
              <w:t>No comments</w:t>
            </w:r>
            <w:r w:rsidR="00B01AAF" w:rsidRPr="00733E53">
              <w:rPr>
                <w:sz w:val="20"/>
                <w:szCs w:val="20"/>
              </w:rPr>
              <w:t xml:space="preserve"> from UKSIF.</w:t>
            </w:r>
          </w:p>
        </w:tc>
      </w:tr>
    </w:tbl>
    <w:p w14:paraId="19D51A09" w14:textId="77777777" w:rsidR="0045673A" w:rsidRDefault="00E17DF3">
      <w:pPr>
        <w:spacing w:after="216" w:line="259" w:lineRule="auto"/>
        <w:ind w:left="0" w:firstLine="0"/>
        <w:jc w:val="left"/>
      </w:pPr>
      <w:r>
        <w:t xml:space="preserve"> </w:t>
      </w:r>
    </w:p>
    <w:p w14:paraId="1F549048" w14:textId="77777777" w:rsidR="0045673A" w:rsidRDefault="00E17DF3">
      <w:pPr>
        <w:spacing w:after="69"/>
        <w:ind w:right="643"/>
      </w:pPr>
      <w:r>
        <w:t xml:space="preserve">For disclosures to be effective, they need to be accessible and useable to end investors. </w:t>
      </w:r>
    </w:p>
    <w:p w14:paraId="0A2FD8CD" w14:textId="77777777" w:rsidR="0045673A" w:rsidRDefault="00E17DF3">
      <w:pPr>
        <w:spacing w:after="265"/>
        <w:ind w:right="643"/>
      </w:pPr>
      <w:r>
        <w:t>We are seeking respondents’ views about the need to further improve the accessibility and usability of this information, in particular in a digital context.</w:t>
      </w:r>
      <w:r>
        <w:rPr>
          <w:vertAlign w:val="superscript"/>
        </w:rPr>
        <w:t xml:space="preserve"> </w:t>
      </w:r>
      <w:r>
        <w:rPr>
          <w:vertAlign w:val="superscript"/>
        </w:rPr>
        <w:footnoteReference w:id="14"/>
      </w:r>
      <w:r>
        <w:t xml:space="preserve">  </w:t>
      </w:r>
    </w:p>
    <w:p w14:paraId="689CDE40" w14:textId="77777777" w:rsidR="0045673A" w:rsidRDefault="00E17DF3">
      <w:pPr>
        <w:spacing w:after="101"/>
        <w:ind w:right="643"/>
      </w:pPr>
      <w:r>
        <w:rPr>
          <w:b/>
          <w:u w:val="single" w:color="000000"/>
        </w:rPr>
        <w:t>Question 3.2.12</w:t>
      </w:r>
      <w:r>
        <w:rPr>
          <w:u w:val="single" w:color="000000"/>
        </w:rPr>
        <w:t>:</w:t>
      </w:r>
      <w:r>
        <w:t xml:space="preserve"> To what extent do you agree or disagree with the following statements? </w:t>
      </w:r>
    </w:p>
    <w:p w14:paraId="65073CC7" w14:textId="77777777" w:rsidR="0045673A" w:rsidRDefault="00E17DF3">
      <w:pPr>
        <w:spacing w:after="0" w:line="259" w:lineRule="auto"/>
        <w:ind w:left="0" w:firstLine="0"/>
        <w:jc w:val="left"/>
      </w:pPr>
      <w:r>
        <w:rPr>
          <w:rFonts w:ascii="Calibri" w:eastAsia="Calibri" w:hAnsi="Calibri" w:cs="Calibri"/>
          <w:noProof/>
          <w:sz w:val="22"/>
        </w:rPr>
        <mc:AlternateContent>
          <mc:Choice Requires="wpg">
            <w:drawing>
              <wp:inline distT="0" distB="0" distL="0" distR="0" wp14:anchorId="4E3D6D78" wp14:editId="259D618C">
                <wp:extent cx="1829054" cy="7925"/>
                <wp:effectExtent l="0" t="0" r="0" b="0"/>
                <wp:docPr id="119588" name="Group 119588"/>
                <wp:cNvGraphicFramePr/>
                <a:graphic xmlns:a="http://schemas.openxmlformats.org/drawingml/2006/main">
                  <a:graphicData uri="http://schemas.microsoft.com/office/word/2010/wordprocessingGroup">
                    <wpg:wgp>
                      <wpg:cNvGrpSpPr/>
                      <wpg:grpSpPr>
                        <a:xfrm>
                          <a:off x="0" y="0"/>
                          <a:ext cx="1829054" cy="7925"/>
                          <a:chOff x="0" y="0"/>
                          <a:chExt cx="1829054" cy="7925"/>
                        </a:xfrm>
                      </wpg:grpSpPr>
                      <wps:wsp>
                        <wps:cNvPr id="137427" name="Shape 137427"/>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4F59A82" id="Group 119588" o:spid="_x0000_s1026" style="width:2in;height:.6pt;mso-position-horizontal-relative:char;mso-position-vertical-relative:line" coordsize="1829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">
                <v:shape id="Shape 137427"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" path="m,l1829054,r,9144l,9144,,e" fillcolor="black" stroked="f" strokeweight="0">
                  <v:stroke miterlimit="83231f" joinstyle="miter"/>
                  <v:path arrowok="t" textboxrect="0,0,1829054,9144"/>
                </v:shape>
                <w10:anchorlock/>
              </v:group>
            </w:pict>
          </mc:Fallback>
        </mc:AlternateContent>
      </w:r>
      <w:r>
        <w:t xml:space="preserve"> </w:t>
      </w:r>
    </w:p>
    <w:tbl>
      <w:tblPr>
        <w:tblW w:w="8342" w:type="dxa"/>
        <w:tblCellMar>
          <w:top w:w="14" w:type="dxa"/>
          <w:right w:w="51" w:type="dxa"/>
        </w:tblCellMar>
        <w:tblLook w:val="04A0" w:firstRow="1" w:lastRow="0" w:firstColumn="1" w:lastColumn="0" w:noHBand="0" w:noVBand="1"/>
      </w:tblPr>
      <w:tblGrid>
        <w:gridCol w:w="5313"/>
        <w:gridCol w:w="425"/>
        <w:gridCol w:w="427"/>
        <w:gridCol w:w="425"/>
        <w:gridCol w:w="427"/>
        <w:gridCol w:w="425"/>
        <w:gridCol w:w="900"/>
      </w:tblGrid>
      <w:tr w:rsidR="0045673A" w14:paraId="281AD6AE" w14:textId="77777777">
        <w:trPr>
          <w:trHeight w:val="802"/>
        </w:trPr>
        <w:tc>
          <w:tcPr>
            <w:tcW w:w="5312" w:type="dxa"/>
            <w:tcBorders>
              <w:top w:val="single" w:sz="4" w:space="0" w:color="000000"/>
              <w:left w:val="single" w:sz="4" w:space="0" w:color="000000"/>
              <w:bottom w:val="single" w:sz="4" w:space="0" w:color="000000"/>
              <w:right w:val="single" w:sz="4" w:space="0" w:color="000000"/>
            </w:tcBorders>
          </w:tcPr>
          <w:p w14:paraId="61B37DFA" w14:textId="7777777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3DF4B7F0" w14:textId="77777777" w:rsidR="0045673A" w:rsidRDefault="00E17DF3">
            <w:pPr>
              <w:spacing w:after="0" w:line="259" w:lineRule="auto"/>
              <w:ind w:left="46" w:firstLine="0"/>
              <w:jc w:val="left"/>
            </w:pPr>
            <w:r>
              <w:t xml:space="preserve">1 </w:t>
            </w:r>
          </w:p>
        </w:tc>
        <w:tc>
          <w:tcPr>
            <w:tcW w:w="427" w:type="dxa"/>
            <w:tcBorders>
              <w:top w:val="single" w:sz="4" w:space="0" w:color="000000"/>
              <w:left w:val="single" w:sz="4" w:space="0" w:color="000000"/>
              <w:bottom w:val="single" w:sz="4" w:space="0" w:color="000000"/>
              <w:right w:val="single" w:sz="4" w:space="0" w:color="000000"/>
            </w:tcBorders>
          </w:tcPr>
          <w:p w14:paraId="70413D0A" w14:textId="77777777" w:rsidR="0045673A" w:rsidRDefault="00E17DF3">
            <w:pPr>
              <w:spacing w:after="0" w:line="259" w:lineRule="auto"/>
              <w:ind w:left="46" w:firstLine="0"/>
              <w:jc w:val="left"/>
            </w:pPr>
            <w:r>
              <w:t xml:space="preserve">2 </w:t>
            </w:r>
          </w:p>
        </w:tc>
        <w:tc>
          <w:tcPr>
            <w:tcW w:w="425" w:type="dxa"/>
            <w:tcBorders>
              <w:top w:val="single" w:sz="4" w:space="0" w:color="000000"/>
              <w:left w:val="single" w:sz="4" w:space="0" w:color="000000"/>
              <w:bottom w:val="single" w:sz="4" w:space="0" w:color="000000"/>
              <w:right w:val="single" w:sz="4" w:space="0" w:color="000000"/>
            </w:tcBorders>
          </w:tcPr>
          <w:p w14:paraId="11CF9415" w14:textId="77777777" w:rsidR="0045673A" w:rsidRDefault="00E17DF3">
            <w:pPr>
              <w:spacing w:after="0" w:line="259" w:lineRule="auto"/>
              <w:ind w:left="46" w:firstLine="0"/>
              <w:jc w:val="left"/>
            </w:pPr>
            <w:r>
              <w:t xml:space="preserve">3 </w:t>
            </w:r>
          </w:p>
        </w:tc>
        <w:tc>
          <w:tcPr>
            <w:tcW w:w="427" w:type="dxa"/>
            <w:tcBorders>
              <w:top w:val="single" w:sz="4" w:space="0" w:color="000000"/>
              <w:left w:val="single" w:sz="4" w:space="0" w:color="000000"/>
              <w:bottom w:val="single" w:sz="4" w:space="0" w:color="000000"/>
              <w:right w:val="single" w:sz="4" w:space="0" w:color="000000"/>
            </w:tcBorders>
          </w:tcPr>
          <w:p w14:paraId="6370AF63" w14:textId="77777777" w:rsidR="0045673A" w:rsidRDefault="00E17DF3">
            <w:pPr>
              <w:spacing w:after="0" w:line="259" w:lineRule="auto"/>
              <w:ind w:left="46" w:firstLine="0"/>
              <w:jc w:val="left"/>
            </w:pPr>
            <w:r>
              <w:t xml:space="preserve">4 </w:t>
            </w:r>
          </w:p>
        </w:tc>
        <w:tc>
          <w:tcPr>
            <w:tcW w:w="425" w:type="dxa"/>
            <w:tcBorders>
              <w:top w:val="single" w:sz="4" w:space="0" w:color="000000"/>
              <w:left w:val="single" w:sz="4" w:space="0" w:color="000000"/>
              <w:bottom w:val="single" w:sz="4" w:space="0" w:color="000000"/>
              <w:right w:val="single" w:sz="4" w:space="0" w:color="000000"/>
            </w:tcBorders>
          </w:tcPr>
          <w:p w14:paraId="750546EC" w14:textId="77777777" w:rsidR="0045673A" w:rsidRDefault="00E17DF3">
            <w:pPr>
              <w:spacing w:after="0" w:line="259" w:lineRule="auto"/>
              <w:ind w:left="46" w:firstLine="0"/>
              <w:jc w:val="left"/>
            </w:pPr>
            <w:r>
              <w:t xml:space="preserve">5 </w:t>
            </w:r>
          </w:p>
        </w:tc>
        <w:tc>
          <w:tcPr>
            <w:tcW w:w="900" w:type="dxa"/>
            <w:tcBorders>
              <w:top w:val="single" w:sz="4" w:space="0" w:color="000000"/>
              <w:left w:val="single" w:sz="4" w:space="0" w:color="000000"/>
              <w:bottom w:val="single" w:sz="4" w:space="0" w:color="000000"/>
              <w:right w:val="single" w:sz="4" w:space="0" w:color="000000"/>
            </w:tcBorders>
          </w:tcPr>
          <w:p w14:paraId="667EC365" w14:textId="77777777" w:rsidR="0045673A" w:rsidRDefault="00E17DF3">
            <w:pPr>
              <w:spacing w:after="0" w:line="259" w:lineRule="auto"/>
              <w:ind w:left="0" w:firstLine="0"/>
              <w:jc w:val="center"/>
            </w:pPr>
            <w:r>
              <w:t xml:space="preserve">Don’t know </w:t>
            </w:r>
          </w:p>
        </w:tc>
      </w:tr>
      <w:tr w:rsidR="0045673A" w14:paraId="4AEA4077" w14:textId="77777777">
        <w:trPr>
          <w:trHeight w:val="2182"/>
        </w:trPr>
        <w:tc>
          <w:tcPr>
            <w:tcW w:w="5312" w:type="dxa"/>
            <w:tcBorders>
              <w:top w:val="single" w:sz="4" w:space="0" w:color="000000"/>
              <w:left w:val="single" w:sz="4" w:space="0" w:color="000000"/>
              <w:bottom w:val="single" w:sz="4" w:space="0" w:color="000000"/>
              <w:right w:val="single" w:sz="4" w:space="0" w:color="000000"/>
            </w:tcBorders>
          </w:tcPr>
          <w:p w14:paraId="28AA94A6" w14:textId="77777777" w:rsidR="0045673A" w:rsidRDefault="00E17DF3">
            <w:pPr>
              <w:spacing w:after="0" w:line="259" w:lineRule="auto"/>
              <w:ind w:left="0" w:right="58" w:firstLine="0"/>
            </w:pPr>
            <w:r>
              <w:t xml:space="preserve">Article 2(2) of the SFDR Delegated Regulation already requires financial market participants to make disclosures under the SFDR in a searchable electronic format, unless otherwise required by sectoral legislation. This is sufficient to ensure accessibility and usability of the disclosed information. </w:t>
            </w:r>
          </w:p>
        </w:tc>
        <w:tc>
          <w:tcPr>
            <w:tcW w:w="425" w:type="dxa"/>
            <w:tcBorders>
              <w:top w:val="single" w:sz="4" w:space="0" w:color="000000"/>
              <w:left w:val="single" w:sz="4" w:space="0" w:color="000000"/>
              <w:bottom w:val="single" w:sz="4" w:space="0" w:color="000000"/>
              <w:right w:val="single" w:sz="4" w:space="0" w:color="000000"/>
            </w:tcBorders>
          </w:tcPr>
          <w:p w14:paraId="33156A10" w14:textId="77777777" w:rsidR="0045673A" w:rsidRDefault="00E17DF3">
            <w:pPr>
              <w:spacing w:after="0" w:line="259" w:lineRule="auto"/>
              <w:ind w:left="0"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5792C5C5" w14:textId="7777777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34BA0E3A" w14:textId="77777777" w:rsidR="0045673A" w:rsidRDefault="00E17DF3">
            <w:pPr>
              <w:spacing w:after="0" w:line="259" w:lineRule="auto"/>
              <w:ind w:left="0"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60C0A3FB" w14:textId="2B6D9074"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595FB703" w14:textId="77777777" w:rsidR="0045673A" w:rsidRDefault="00E17DF3">
            <w:pPr>
              <w:spacing w:after="0" w:line="259" w:lineRule="auto"/>
              <w:ind w:left="0" w:firstLine="0"/>
              <w:jc w:val="left"/>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47FCDE55" w14:textId="254B8397" w:rsidR="0045673A" w:rsidRDefault="00E17DF3">
            <w:pPr>
              <w:spacing w:after="0" w:line="259" w:lineRule="auto"/>
              <w:ind w:left="0" w:firstLine="0"/>
              <w:jc w:val="left"/>
            </w:pPr>
            <w:r>
              <w:t xml:space="preserve"> </w:t>
            </w:r>
            <w:r w:rsidR="005F27B3">
              <w:t>X</w:t>
            </w:r>
          </w:p>
        </w:tc>
      </w:tr>
      <w:tr w:rsidR="0045673A" w14:paraId="54B31609" w14:textId="77777777">
        <w:trPr>
          <w:trHeight w:val="1078"/>
        </w:trPr>
        <w:tc>
          <w:tcPr>
            <w:tcW w:w="5312" w:type="dxa"/>
            <w:tcBorders>
              <w:top w:val="single" w:sz="4" w:space="0" w:color="000000"/>
              <w:left w:val="single" w:sz="4" w:space="0" w:color="000000"/>
              <w:bottom w:val="single" w:sz="4" w:space="0" w:color="000000"/>
              <w:right w:val="single" w:sz="4" w:space="0" w:color="000000"/>
            </w:tcBorders>
          </w:tcPr>
          <w:p w14:paraId="17B7EA0D" w14:textId="77777777" w:rsidR="0045673A" w:rsidRDefault="00E17DF3">
            <w:pPr>
              <w:spacing w:after="0" w:line="259" w:lineRule="auto"/>
              <w:ind w:left="0" w:right="57" w:firstLine="0"/>
            </w:pPr>
            <w:r>
              <w:t xml:space="preserve">It would be useful for all product information disclosed under the SFDR to be machine-readable, searchable and ready for digital use. </w:t>
            </w:r>
          </w:p>
        </w:tc>
        <w:tc>
          <w:tcPr>
            <w:tcW w:w="425" w:type="dxa"/>
            <w:tcBorders>
              <w:top w:val="single" w:sz="4" w:space="0" w:color="000000"/>
              <w:left w:val="single" w:sz="4" w:space="0" w:color="000000"/>
              <w:bottom w:val="single" w:sz="4" w:space="0" w:color="000000"/>
              <w:right w:val="single" w:sz="4" w:space="0" w:color="000000"/>
            </w:tcBorders>
          </w:tcPr>
          <w:p w14:paraId="059ABFE1" w14:textId="77777777" w:rsidR="0045673A" w:rsidRDefault="00E17DF3">
            <w:pPr>
              <w:spacing w:after="0" w:line="259" w:lineRule="auto"/>
              <w:ind w:left="0"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1CBFD556" w14:textId="7777777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667F95F" w14:textId="77777777" w:rsidR="0045673A" w:rsidRDefault="00E17DF3">
            <w:pPr>
              <w:spacing w:after="0" w:line="259" w:lineRule="auto"/>
              <w:ind w:left="0"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5DD65CAB" w14:textId="7F8133D1" w:rsidR="0045673A" w:rsidRDefault="00E17DF3">
            <w:pPr>
              <w:spacing w:after="0" w:line="259" w:lineRule="auto"/>
              <w:ind w:left="0" w:firstLine="0"/>
              <w:jc w:val="left"/>
            </w:pPr>
            <w:r>
              <w:t xml:space="preserve"> </w:t>
            </w:r>
            <w:r w:rsidR="00684CA2">
              <w:t>X</w:t>
            </w:r>
          </w:p>
        </w:tc>
        <w:tc>
          <w:tcPr>
            <w:tcW w:w="425" w:type="dxa"/>
            <w:tcBorders>
              <w:top w:val="single" w:sz="4" w:space="0" w:color="000000"/>
              <w:left w:val="single" w:sz="4" w:space="0" w:color="000000"/>
              <w:bottom w:val="single" w:sz="4" w:space="0" w:color="000000"/>
              <w:right w:val="single" w:sz="4" w:space="0" w:color="000000"/>
            </w:tcBorders>
          </w:tcPr>
          <w:p w14:paraId="03ADFDF1" w14:textId="77777777" w:rsidR="0045673A" w:rsidRDefault="00E17DF3">
            <w:pPr>
              <w:spacing w:after="0" w:line="259" w:lineRule="auto"/>
              <w:ind w:left="0" w:firstLine="0"/>
              <w:jc w:val="left"/>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44F3B6A8" w14:textId="77777777" w:rsidR="0045673A" w:rsidRDefault="00E17DF3">
            <w:pPr>
              <w:spacing w:after="0" w:line="259" w:lineRule="auto"/>
              <w:ind w:left="0" w:firstLine="0"/>
              <w:jc w:val="left"/>
            </w:pPr>
            <w:r>
              <w:t xml:space="preserve"> </w:t>
            </w:r>
          </w:p>
        </w:tc>
      </w:tr>
      <w:tr w:rsidR="0045673A" w14:paraId="1CE4A39C" w14:textId="77777777">
        <w:trPr>
          <w:trHeight w:val="1078"/>
        </w:trPr>
        <w:tc>
          <w:tcPr>
            <w:tcW w:w="5312" w:type="dxa"/>
            <w:tcBorders>
              <w:top w:val="single" w:sz="4" w:space="0" w:color="000000"/>
              <w:left w:val="single" w:sz="4" w:space="0" w:color="000000"/>
              <w:bottom w:val="single" w:sz="4" w:space="0" w:color="000000"/>
              <w:right w:val="single" w:sz="4" w:space="0" w:color="000000"/>
            </w:tcBorders>
          </w:tcPr>
          <w:p w14:paraId="75612A4A" w14:textId="77777777" w:rsidR="0045673A" w:rsidRDefault="00E17DF3">
            <w:pPr>
              <w:spacing w:after="0" w:line="259" w:lineRule="auto"/>
              <w:ind w:left="0" w:right="62" w:firstLine="0"/>
            </w:pPr>
            <w:r>
              <w:t xml:space="preserve">It would be useful for some of the product information disclosed under the SFDR to be machine-readable and ready for digital use. </w:t>
            </w: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BA03C9D"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3D4223E2"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D676E91"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740985DE" w14:textId="1C4143C9" w:rsidR="0045673A" w:rsidRDefault="00684CA2">
            <w:pPr>
              <w:spacing w:after="0" w:line="259" w:lineRule="auto"/>
              <w:ind w:left="0" w:firstLine="0"/>
              <w:jc w:val="left"/>
            </w:pPr>
            <w:r>
              <w:t>X</w:t>
            </w:r>
          </w:p>
        </w:tc>
        <w:tc>
          <w:tcPr>
            <w:tcW w:w="425" w:type="dxa"/>
            <w:tcBorders>
              <w:top w:val="single" w:sz="4" w:space="0" w:color="000000"/>
              <w:left w:val="single" w:sz="4" w:space="0" w:color="000000"/>
              <w:bottom w:val="single" w:sz="4" w:space="0" w:color="000000"/>
              <w:right w:val="single" w:sz="4" w:space="0" w:color="000000"/>
            </w:tcBorders>
          </w:tcPr>
          <w:p w14:paraId="2C6183A5" w14:textId="77777777" w:rsidR="0045673A" w:rsidRDefault="00E17DF3">
            <w:pPr>
              <w:spacing w:after="0" w:line="259" w:lineRule="auto"/>
              <w:ind w:left="0" w:firstLine="0"/>
              <w:jc w:val="left"/>
            </w:pPr>
            <w:r>
              <w:rPr>
                <w:rFonts w:ascii="Calibri" w:eastAsia="Calibri" w:hAnsi="Calibri" w:cs="Calibri"/>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34041D4B" w14:textId="77777777" w:rsidR="0045673A" w:rsidRDefault="00E17DF3">
            <w:pPr>
              <w:spacing w:after="0" w:line="259" w:lineRule="auto"/>
              <w:ind w:left="0" w:firstLine="0"/>
              <w:jc w:val="left"/>
            </w:pPr>
            <w:r>
              <w:rPr>
                <w:rFonts w:ascii="Calibri" w:eastAsia="Calibri" w:hAnsi="Calibri" w:cs="Calibri"/>
              </w:rPr>
              <w:t xml:space="preserve"> </w:t>
            </w:r>
          </w:p>
        </w:tc>
      </w:tr>
      <w:tr w:rsidR="0045673A" w14:paraId="523B0A20" w14:textId="77777777">
        <w:trPr>
          <w:trHeight w:val="1080"/>
        </w:trPr>
        <w:tc>
          <w:tcPr>
            <w:tcW w:w="5312" w:type="dxa"/>
            <w:tcBorders>
              <w:top w:val="single" w:sz="4" w:space="0" w:color="000000"/>
              <w:left w:val="single" w:sz="4" w:space="0" w:color="000000"/>
              <w:bottom w:val="single" w:sz="4" w:space="0" w:color="000000"/>
              <w:right w:val="single" w:sz="4" w:space="0" w:color="000000"/>
            </w:tcBorders>
          </w:tcPr>
          <w:p w14:paraId="0A655797" w14:textId="29283047" w:rsidR="0045673A" w:rsidRDefault="00E17DF3">
            <w:pPr>
              <w:spacing w:after="0" w:line="259" w:lineRule="auto"/>
              <w:ind w:left="0" w:right="59" w:firstLine="0"/>
            </w:pPr>
            <w:r>
              <w:t>It would be useful to prescribe a specific machine</w:t>
            </w:r>
            <w:r w:rsidR="002B7745">
              <w:t xml:space="preserve"> </w:t>
            </w:r>
            <w:r>
              <w:t>readable format for all (or some parts) of the reporting under the SFDR (e.g. iXBRL).</w:t>
            </w: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6CDDED02"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18DA4590"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8AB6515"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325179D9" w14:textId="33F86BFC" w:rsidR="0045673A" w:rsidRDefault="00684CA2">
            <w:pPr>
              <w:spacing w:after="0" w:line="259" w:lineRule="auto"/>
              <w:ind w:left="0" w:firstLine="0"/>
              <w:jc w:val="left"/>
            </w:pPr>
            <w:r>
              <w:t>X</w:t>
            </w:r>
          </w:p>
        </w:tc>
        <w:tc>
          <w:tcPr>
            <w:tcW w:w="425" w:type="dxa"/>
            <w:tcBorders>
              <w:top w:val="single" w:sz="4" w:space="0" w:color="000000"/>
              <w:left w:val="single" w:sz="4" w:space="0" w:color="000000"/>
              <w:bottom w:val="single" w:sz="4" w:space="0" w:color="000000"/>
              <w:right w:val="single" w:sz="4" w:space="0" w:color="000000"/>
            </w:tcBorders>
          </w:tcPr>
          <w:p w14:paraId="7ABC3B8A" w14:textId="77777777" w:rsidR="0045673A" w:rsidRDefault="00E17DF3">
            <w:pPr>
              <w:spacing w:after="0" w:line="259" w:lineRule="auto"/>
              <w:ind w:left="0" w:firstLine="0"/>
              <w:jc w:val="left"/>
            </w:pPr>
            <w:r>
              <w:rPr>
                <w:rFonts w:ascii="Calibri" w:eastAsia="Calibri" w:hAnsi="Calibri" w:cs="Calibri"/>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224528CD" w14:textId="77777777" w:rsidR="0045673A" w:rsidRDefault="00E17DF3">
            <w:pPr>
              <w:spacing w:after="0" w:line="259" w:lineRule="auto"/>
              <w:ind w:left="0" w:firstLine="0"/>
              <w:jc w:val="left"/>
            </w:pPr>
            <w:r>
              <w:rPr>
                <w:rFonts w:ascii="Calibri" w:eastAsia="Calibri" w:hAnsi="Calibri" w:cs="Calibri"/>
              </w:rPr>
              <w:t xml:space="preserve"> </w:t>
            </w:r>
          </w:p>
        </w:tc>
      </w:tr>
      <w:tr w:rsidR="0045673A" w14:paraId="4AD7F7DF" w14:textId="77777777">
        <w:trPr>
          <w:trHeight w:val="1078"/>
        </w:trPr>
        <w:tc>
          <w:tcPr>
            <w:tcW w:w="5312" w:type="dxa"/>
            <w:tcBorders>
              <w:top w:val="single" w:sz="4" w:space="0" w:color="000000"/>
              <w:left w:val="single" w:sz="4" w:space="0" w:color="000000"/>
              <w:bottom w:val="single" w:sz="4" w:space="0" w:color="000000"/>
              <w:right w:val="single" w:sz="4" w:space="0" w:color="000000"/>
            </w:tcBorders>
          </w:tcPr>
          <w:p w14:paraId="3E005CAB" w14:textId="77777777" w:rsidR="0045673A" w:rsidRDefault="00E17DF3">
            <w:pPr>
              <w:spacing w:after="0" w:line="259" w:lineRule="auto"/>
              <w:ind w:left="0" w:right="58" w:firstLine="0"/>
            </w:pPr>
            <w:r>
              <w:t>It w</w:t>
            </w:r>
            <w:r>
              <w:rPr>
                <w:color w:val="333333"/>
              </w:rPr>
              <w:t>o</w:t>
            </w:r>
            <w:r>
              <w:t xml:space="preserve">uld </w:t>
            </w:r>
            <w:r>
              <w:rPr>
                <w:color w:val="333333"/>
              </w:rPr>
              <w:t>b</w:t>
            </w:r>
            <w:r>
              <w:t xml:space="preserve">e </w:t>
            </w:r>
            <w:r>
              <w:rPr>
                <w:color w:val="333333"/>
              </w:rPr>
              <w:t>u</w:t>
            </w:r>
            <w:r>
              <w:t xml:space="preserve">seful to </w:t>
            </w:r>
            <w:r>
              <w:rPr>
                <w:color w:val="333333"/>
              </w:rPr>
              <w:t>m</w:t>
            </w:r>
            <w:r>
              <w:t xml:space="preserve">ake </w:t>
            </w:r>
            <w:r>
              <w:rPr>
                <w:u w:val="single" w:color="000000"/>
              </w:rPr>
              <w:t>all</w:t>
            </w:r>
            <w:r>
              <w:t xml:space="preserve"> product information disclosed under the SFDR </w:t>
            </w:r>
            <w:r>
              <w:rPr>
                <w:color w:val="333333"/>
              </w:rPr>
              <w:t>ava</w:t>
            </w:r>
            <w:r>
              <w:t>ilable in the u</w:t>
            </w:r>
            <w:r>
              <w:rPr>
                <w:color w:val="333333"/>
              </w:rPr>
              <w:t>pc</w:t>
            </w:r>
            <w:r>
              <w:t xml:space="preserve">oming European Single </w:t>
            </w:r>
            <w:r>
              <w:rPr>
                <w:color w:val="333333"/>
              </w:rPr>
              <w:t>Acc</w:t>
            </w:r>
            <w:r>
              <w:t xml:space="preserve">ess </w:t>
            </w:r>
            <w:r>
              <w:rPr>
                <w:color w:val="333333"/>
              </w:rPr>
              <w:t>Po</w:t>
            </w:r>
            <w:r>
              <w:t xml:space="preserve">int as </w:t>
            </w:r>
            <w:r>
              <w:rPr>
                <w:color w:val="333333"/>
              </w:rPr>
              <w:t>s</w:t>
            </w:r>
            <w:r>
              <w:t>oon as possible.</w:t>
            </w: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EEFED4E"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456F935D"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6475424E"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017D9D48"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4B0778B2" w14:textId="77777777" w:rsidR="0045673A" w:rsidRDefault="00E17DF3">
            <w:pPr>
              <w:spacing w:after="0" w:line="259" w:lineRule="auto"/>
              <w:ind w:left="0" w:firstLine="0"/>
              <w:jc w:val="left"/>
            </w:pPr>
            <w:r>
              <w:rPr>
                <w:rFonts w:ascii="Calibri" w:eastAsia="Calibri" w:hAnsi="Calibri" w:cs="Calibri"/>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78AE1E93" w14:textId="088762C6" w:rsidR="0045673A" w:rsidRDefault="00684CA2">
            <w:pPr>
              <w:spacing w:after="0" w:line="259" w:lineRule="auto"/>
              <w:ind w:left="0" w:firstLine="0"/>
              <w:jc w:val="left"/>
            </w:pPr>
            <w:r>
              <w:t>X</w:t>
            </w:r>
          </w:p>
        </w:tc>
      </w:tr>
      <w:tr w:rsidR="0045673A" w14:paraId="19EBF536" w14:textId="77777777">
        <w:trPr>
          <w:trHeight w:val="1354"/>
        </w:trPr>
        <w:tc>
          <w:tcPr>
            <w:tcW w:w="5312" w:type="dxa"/>
            <w:tcBorders>
              <w:top w:val="single" w:sz="4" w:space="0" w:color="000000"/>
              <w:left w:val="single" w:sz="4" w:space="0" w:color="000000"/>
              <w:bottom w:val="single" w:sz="4" w:space="0" w:color="000000"/>
              <w:right w:val="single" w:sz="4" w:space="0" w:color="000000"/>
            </w:tcBorders>
          </w:tcPr>
          <w:p w14:paraId="5A4CF343" w14:textId="77777777" w:rsidR="0045673A" w:rsidRDefault="00E17DF3">
            <w:pPr>
              <w:spacing w:after="0" w:line="259" w:lineRule="auto"/>
              <w:ind w:left="0" w:right="59" w:firstLine="0"/>
            </w:pPr>
            <w:r>
              <w:t xml:space="preserve">Entity and product disclosures on websites should be interactive and offer a layered approach enabling investors to access additional information easily on demand. </w:t>
            </w: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551D3598" w14:textId="4CE4E865"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5C9DE368"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3029E8CB"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52D48FAF" w14:textId="04B459D0" w:rsidR="0045673A" w:rsidRDefault="00E17DF3">
            <w:pPr>
              <w:spacing w:after="0" w:line="259" w:lineRule="auto"/>
              <w:ind w:left="0" w:firstLine="0"/>
              <w:jc w:val="left"/>
            </w:pPr>
            <w:r>
              <w:rPr>
                <w:rFonts w:ascii="Calibri" w:eastAsia="Calibri" w:hAnsi="Calibri" w:cs="Calibri"/>
              </w:rPr>
              <w:t xml:space="preserve"> </w:t>
            </w:r>
            <w:r w:rsidR="00684CA2">
              <w:t>X</w:t>
            </w:r>
          </w:p>
        </w:tc>
        <w:tc>
          <w:tcPr>
            <w:tcW w:w="425" w:type="dxa"/>
            <w:tcBorders>
              <w:top w:val="single" w:sz="4" w:space="0" w:color="000000"/>
              <w:left w:val="single" w:sz="4" w:space="0" w:color="000000"/>
              <w:bottom w:val="single" w:sz="4" w:space="0" w:color="000000"/>
              <w:right w:val="single" w:sz="4" w:space="0" w:color="000000"/>
            </w:tcBorders>
          </w:tcPr>
          <w:p w14:paraId="3F99018B" w14:textId="77777777" w:rsidR="0045673A" w:rsidRDefault="00E17DF3">
            <w:pPr>
              <w:spacing w:after="0" w:line="259" w:lineRule="auto"/>
              <w:ind w:left="0" w:firstLine="0"/>
              <w:jc w:val="left"/>
            </w:pPr>
            <w:r>
              <w:rPr>
                <w:rFonts w:ascii="Calibri" w:eastAsia="Calibri" w:hAnsi="Calibri" w:cs="Calibri"/>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6BDD0A95" w14:textId="77777777" w:rsidR="0045673A" w:rsidRDefault="00E17DF3">
            <w:pPr>
              <w:spacing w:after="0" w:line="259" w:lineRule="auto"/>
              <w:ind w:left="0" w:firstLine="0"/>
              <w:jc w:val="left"/>
            </w:pPr>
            <w:r>
              <w:rPr>
                <w:rFonts w:ascii="Calibri" w:eastAsia="Calibri" w:hAnsi="Calibri" w:cs="Calibri"/>
              </w:rPr>
              <w:t xml:space="preserve"> </w:t>
            </w:r>
          </w:p>
        </w:tc>
      </w:tr>
      <w:tr w:rsidR="0045673A" w14:paraId="12D4ED5A" w14:textId="77777777">
        <w:trPr>
          <w:trHeight w:val="2182"/>
        </w:trPr>
        <w:tc>
          <w:tcPr>
            <w:tcW w:w="5312" w:type="dxa"/>
            <w:tcBorders>
              <w:top w:val="single" w:sz="4" w:space="0" w:color="000000"/>
              <w:left w:val="single" w:sz="4" w:space="0" w:color="000000"/>
              <w:bottom w:val="single" w:sz="4" w:space="0" w:color="000000"/>
              <w:right w:val="single" w:sz="4" w:space="0" w:color="000000"/>
            </w:tcBorders>
          </w:tcPr>
          <w:p w14:paraId="0C2ACE7E" w14:textId="77777777" w:rsidR="0045673A" w:rsidRDefault="00E17DF3">
            <w:pPr>
              <w:spacing w:after="0" w:line="259" w:lineRule="auto"/>
              <w:ind w:left="0" w:right="59" w:firstLine="0"/>
            </w:pPr>
            <w:r>
              <w:t xml:space="preserve">It would be useful that a potential regulatory attempt to digitalise sustainability disclosures by financial market participants building on the European ESG Template (EET) which has been developed by the financial industry to facilitate the exchange of data between financial market participants and stakeholders regarding sustainability disclosures. </w:t>
            </w: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61408240"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02D1C039"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43C7FE8F"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6A7D8219" w14:textId="33CCCB93" w:rsidR="0045673A" w:rsidRDefault="00E17DF3">
            <w:pPr>
              <w:spacing w:after="0" w:line="259" w:lineRule="auto"/>
              <w:ind w:left="0" w:firstLine="0"/>
              <w:jc w:val="left"/>
            </w:pPr>
            <w:r>
              <w:rPr>
                <w:rFonts w:ascii="Calibri" w:eastAsia="Calibri" w:hAnsi="Calibri" w:cs="Calibri"/>
              </w:rPr>
              <w:t xml:space="preserve"> </w:t>
            </w:r>
            <w:r w:rsidR="000824AA">
              <w:t>X</w:t>
            </w:r>
          </w:p>
        </w:tc>
        <w:tc>
          <w:tcPr>
            <w:tcW w:w="425" w:type="dxa"/>
            <w:tcBorders>
              <w:top w:val="single" w:sz="4" w:space="0" w:color="000000"/>
              <w:left w:val="single" w:sz="4" w:space="0" w:color="000000"/>
              <w:bottom w:val="single" w:sz="4" w:space="0" w:color="000000"/>
              <w:right w:val="single" w:sz="4" w:space="0" w:color="000000"/>
            </w:tcBorders>
          </w:tcPr>
          <w:p w14:paraId="6BF4FB3B" w14:textId="77777777" w:rsidR="0045673A" w:rsidRDefault="00E17DF3">
            <w:pPr>
              <w:spacing w:after="0" w:line="259" w:lineRule="auto"/>
              <w:ind w:left="0" w:firstLine="0"/>
              <w:jc w:val="left"/>
            </w:pPr>
            <w:r>
              <w:rPr>
                <w:rFonts w:ascii="Calibri" w:eastAsia="Calibri" w:hAnsi="Calibri" w:cs="Calibri"/>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3056F3D5" w14:textId="7761F5BA" w:rsidR="0045673A" w:rsidRDefault="00E17DF3">
            <w:pPr>
              <w:spacing w:after="0" w:line="259" w:lineRule="auto"/>
              <w:ind w:left="0" w:firstLine="0"/>
              <w:jc w:val="left"/>
            </w:pPr>
            <w:r>
              <w:rPr>
                <w:rFonts w:ascii="Calibri" w:eastAsia="Calibri" w:hAnsi="Calibri" w:cs="Calibri"/>
              </w:rPr>
              <w:t xml:space="preserve"> </w:t>
            </w:r>
          </w:p>
        </w:tc>
      </w:tr>
    </w:tbl>
    <w:p w14:paraId="0DA2474D"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259611E4" w14:textId="77777777" w:rsidR="0045673A" w:rsidRDefault="00E17DF3">
      <w:pPr>
        <w:ind w:right="643"/>
      </w:pPr>
      <w:r>
        <w:rPr>
          <w:b/>
          <w:u w:val="single" w:color="000000"/>
        </w:rPr>
        <w:t>Question 3.2.13</w:t>
      </w:r>
      <w:r>
        <w:t xml:space="preserve">: Do you think the costs of introducing a machine-readable format for the disclosed information would be proportionate to the benefits it would entail?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58AA2704"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09392528"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70533463"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430DB765"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00417A3B"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6AFAE96C"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36D9B2B9" w14:textId="77777777" w:rsidR="0045673A" w:rsidRDefault="00E17DF3">
            <w:pPr>
              <w:spacing w:after="0" w:line="259" w:lineRule="auto"/>
              <w:ind w:left="0" w:right="3" w:firstLine="0"/>
              <w:jc w:val="center"/>
            </w:pPr>
            <w:r>
              <w:t xml:space="preserve">Don’t know </w:t>
            </w:r>
          </w:p>
        </w:tc>
      </w:tr>
      <w:tr w:rsidR="0045673A" w14:paraId="66BD4BFF" w14:textId="77777777">
        <w:trPr>
          <w:trHeight w:val="531"/>
        </w:trPr>
        <w:tc>
          <w:tcPr>
            <w:tcW w:w="1111" w:type="dxa"/>
            <w:tcBorders>
              <w:top w:val="single" w:sz="6" w:space="0" w:color="000000"/>
              <w:left w:val="single" w:sz="6" w:space="0" w:color="000000"/>
              <w:bottom w:val="single" w:sz="6" w:space="0" w:color="000000"/>
              <w:right w:val="single" w:sz="6" w:space="0" w:color="000000"/>
            </w:tcBorders>
          </w:tcPr>
          <w:p w14:paraId="12A7AD0E"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45A6BB71" w14:textId="77777777" w:rsidR="0045673A" w:rsidRDefault="00E17DF3">
            <w:pPr>
              <w:spacing w:after="0" w:line="259" w:lineRule="auto"/>
              <w:ind w:left="59" w:firstLine="0"/>
              <w:jc w:val="center"/>
            </w:pPr>
            <w:r>
              <w:t xml:space="preserve"> </w:t>
            </w:r>
          </w:p>
        </w:tc>
        <w:tc>
          <w:tcPr>
            <w:tcW w:w="1094" w:type="dxa"/>
            <w:tcBorders>
              <w:top w:val="single" w:sz="6" w:space="0" w:color="000000"/>
              <w:left w:val="single" w:sz="6" w:space="0" w:color="000000"/>
              <w:bottom w:val="single" w:sz="6" w:space="0" w:color="000000"/>
              <w:right w:val="single" w:sz="6" w:space="0" w:color="000000"/>
            </w:tcBorders>
          </w:tcPr>
          <w:p w14:paraId="2871B139" w14:textId="77777777" w:rsidR="0045673A" w:rsidRDefault="00E17DF3">
            <w:pPr>
              <w:spacing w:after="0" w:line="259" w:lineRule="auto"/>
              <w:ind w:left="60"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2CA8A303" w14:textId="77777777" w:rsidR="0045673A" w:rsidRDefault="00E17DF3">
            <w:pPr>
              <w:spacing w:after="0" w:line="259" w:lineRule="auto"/>
              <w:ind w:left="60" w:firstLine="0"/>
              <w:jc w:val="center"/>
            </w:pPr>
            <w:r>
              <w:t xml:space="preserve"> </w:t>
            </w:r>
          </w:p>
        </w:tc>
        <w:tc>
          <w:tcPr>
            <w:tcW w:w="1025" w:type="dxa"/>
            <w:tcBorders>
              <w:top w:val="single" w:sz="6" w:space="0" w:color="000000"/>
              <w:left w:val="single" w:sz="6" w:space="0" w:color="000000"/>
              <w:bottom w:val="single" w:sz="6" w:space="0" w:color="000000"/>
              <w:right w:val="single" w:sz="6" w:space="0" w:color="000000"/>
            </w:tcBorders>
          </w:tcPr>
          <w:p w14:paraId="5C82729E"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13741103" w14:textId="163EE63B" w:rsidR="0045673A" w:rsidRDefault="000824AA">
            <w:pPr>
              <w:spacing w:after="0" w:line="259" w:lineRule="auto"/>
              <w:ind w:left="63" w:firstLine="0"/>
              <w:jc w:val="center"/>
            </w:pPr>
            <w:r>
              <w:t>X</w:t>
            </w:r>
          </w:p>
        </w:tc>
      </w:tr>
    </w:tbl>
    <w:p w14:paraId="0719606A" w14:textId="77777777" w:rsidR="0045673A" w:rsidRDefault="00E17DF3">
      <w:pPr>
        <w:spacing w:after="10" w:line="268" w:lineRule="auto"/>
        <w:ind w:left="-5" w:right="365"/>
        <w:jc w:val="left"/>
      </w:pPr>
      <w:r>
        <w:rPr>
          <w:i/>
          <w:sz w:val="20"/>
        </w:rPr>
        <w:t xml:space="preserve">(1= not at all, 2= not really, 3= partially, 4= mostly, 5= totally) </w:t>
      </w:r>
    </w:p>
    <w:p w14:paraId="73946FC3" w14:textId="77777777" w:rsidR="0045673A" w:rsidRDefault="00E17DF3">
      <w:pPr>
        <w:spacing w:after="0" w:line="259" w:lineRule="auto"/>
        <w:ind w:left="0" w:firstLine="0"/>
        <w:jc w:val="left"/>
      </w:pPr>
      <w:r>
        <w:t xml:space="preserve"> </w:t>
      </w:r>
    </w:p>
    <w:p w14:paraId="209080F4" w14:textId="77777777" w:rsidR="0045673A" w:rsidRDefault="00E17DF3">
      <w:pPr>
        <w:spacing w:after="49"/>
        <w:ind w:right="643"/>
      </w:pPr>
      <w:r w:rsidRPr="004C100C">
        <w:t>Please provide any comments or explanations to explain your answers to questions 3.2.12 and 3.2.13:</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11394891"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7FA67AE8" w14:textId="79C7C1D7" w:rsidR="0045673A" w:rsidRPr="00730010" w:rsidRDefault="00D17614">
            <w:pPr>
              <w:spacing w:after="0" w:line="259" w:lineRule="auto"/>
              <w:ind w:left="0" w:firstLine="0"/>
              <w:jc w:val="left"/>
              <w:rPr>
                <w:sz w:val="20"/>
                <w:szCs w:val="20"/>
              </w:rPr>
            </w:pPr>
            <w:r w:rsidRPr="00730010">
              <w:rPr>
                <w:sz w:val="20"/>
                <w:szCs w:val="20"/>
              </w:rPr>
              <w:t>No comments</w:t>
            </w:r>
            <w:r w:rsidR="00A80474" w:rsidRPr="00730010">
              <w:rPr>
                <w:sz w:val="20"/>
                <w:szCs w:val="20"/>
              </w:rPr>
              <w:t xml:space="preserve"> from UKSIF.</w:t>
            </w:r>
          </w:p>
          <w:p w14:paraId="62AFE6E2" w14:textId="0CFDCCCD" w:rsidR="006A280A" w:rsidRDefault="006A280A">
            <w:pPr>
              <w:spacing w:after="0" w:line="259" w:lineRule="auto"/>
              <w:ind w:left="0" w:firstLine="0"/>
              <w:jc w:val="left"/>
            </w:pPr>
          </w:p>
        </w:tc>
      </w:tr>
    </w:tbl>
    <w:p w14:paraId="5DA19BB2" w14:textId="77777777" w:rsidR="0045673A" w:rsidRDefault="00E17DF3">
      <w:pPr>
        <w:spacing w:after="0" w:line="259" w:lineRule="auto"/>
        <w:ind w:left="0" w:firstLine="0"/>
        <w:jc w:val="left"/>
      </w:pPr>
      <w:r>
        <w:t xml:space="preserve"> </w:t>
      </w:r>
    </w:p>
    <w:p w14:paraId="1BDEDE46" w14:textId="77777777" w:rsidR="0045673A" w:rsidRDefault="00E17DF3">
      <w:pPr>
        <w:ind w:right="643"/>
      </w:pPr>
      <w:r>
        <w:t xml:space="preserve">Current product-level disclosures have been designed to allow for comparability between financial products. These financial products and the types of investments they pursue can present differences. </w:t>
      </w:r>
    </w:p>
    <w:p w14:paraId="5001D867" w14:textId="77777777" w:rsidR="0045673A" w:rsidRDefault="00E17DF3">
      <w:pPr>
        <w:spacing w:after="3" w:line="259" w:lineRule="auto"/>
        <w:ind w:left="720" w:firstLine="0"/>
        <w:jc w:val="left"/>
      </w:pPr>
      <w:r>
        <w:t xml:space="preserve"> </w:t>
      </w:r>
    </w:p>
    <w:p w14:paraId="71D7D15D" w14:textId="77777777" w:rsidR="0045673A" w:rsidRDefault="00E17DF3">
      <w:pPr>
        <w:ind w:right="643"/>
      </w:pPr>
      <w:r>
        <w:rPr>
          <w:b/>
          <w:u w:val="single" w:color="000000"/>
        </w:rPr>
        <w:t>Question 3.2.14</w:t>
      </w:r>
      <w:r>
        <w:rPr>
          <w:b/>
        </w:rPr>
        <w:t>:</w:t>
      </w:r>
      <w:r>
        <w:t xml:space="preserve"> To what extent do you agree with the following statement? “When determining what disclosures should be required at product level it should be taken into account: ...” </w:t>
      </w:r>
    </w:p>
    <w:tbl>
      <w:tblPr>
        <w:tblW w:w="7737" w:type="dxa"/>
        <w:tblCellMar>
          <w:top w:w="14" w:type="dxa"/>
          <w:right w:w="49" w:type="dxa"/>
        </w:tblCellMar>
        <w:tblLook w:val="04A0" w:firstRow="1" w:lastRow="0" w:firstColumn="1" w:lastColumn="0" w:noHBand="0" w:noVBand="1"/>
      </w:tblPr>
      <w:tblGrid>
        <w:gridCol w:w="4598"/>
        <w:gridCol w:w="422"/>
        <w:gridCol w:w="425"/>
        <w:gridCol w:w="422"/>
        <w:gridCol w:w="425"/>
        <w:gridCol w:w="425"/>
        <w:gridCol w:w="1020"/>
      </w:tblGrid>
      <w:tr w:rsidR="0045673A" w14:paraId="793D0099" w14:textId="77777777">
        <w:trPr>
          <w:trHeight w:val="802"/>
        </w:trPr>
        <w:tc>
          <w:tcPr>
            <w:tcW w:w="4597" w:type="dxa"/>
            <w:tcBorders>
              <w:top w:val="single" w:sz="4" w:space="0" w:color="000000"/>
              <w:left w:val="single" w:sz="4" w:space="0" w:color="000000"/>
              <w:bottom w:val="single" w:sz="4" w:space="0" w:color="000000"/>
              <w:right w:val="single" w:sz="4" w:space="0" w:color="000000"/>
            </w:tcBorders>
          </w:tcPr>
          <w:p w14:paraId="7F87D6D7" w14:textId="77777777" w:rsidR="0045673A" w:rsidRDefault="00E17DF3">
            <w:pPr>
              <w:spacing w:after="0" w:line="259" w:lineRule="auto"/>
              <w:ind w:left="0" w:firstLine="0"/>
              <w:jc w:val="left"/>
            </w:pPr>
            <w:r>
              <w:t xml:space="preserve"> </w:t>
            </w:r>
          </w:p>
        </w:tc>
        <w:tc>
          <w:tcPr>
            <w:tcW w:w="422" w:type="dxa"/>
            <w:tcBorders>
              <w:top w:val="single" w:sz="4" w:space="0" w:color="000000"/>
              <w:left w:val="single" w:sz="4" w:space="0" w:color="000000"/>
              <w:bottom w:val="single" w:sz="4" w:space="0" w:color="000000"/>
              <w:right w:val="single" w:sz="4" w:space="0" w:color="000000"/>
            </w:tcBorders>
          </w:tcPr>
          <w:p w14:paraId="1949F244" w14:textId="77777777" w:rsidR="0045673A" w:rsidRDefault="00E17DF3">
            <w:pPr>
              <w:spacing w:after="0" w:line="259" w:lineRule="auto"/>
              <w:ind w:left="43" w:firstLine="0"/>
              <w:jc w:val="left"/>
            </w:pPr>
            <w:r>
              <w:t xml:space="preserve">1 </w:t>
            </w:r>
          </w:p>
        </w:tc>
        <w:tc>
          <w:tcPr>
            <w:tcW w:w="425" w:type="dxa"/>
            <w:tcBorders>
              <w:top w:val="single" w:sz="4" w:space="0" w:color="000000"/>
              <w:left w:val="single" w:sz="4" w:space="0" w:color="000000"/>
              <w:bottom w:val="single" w:sz="4" w:space="0" w:color="000000"/>
              <w:right w:val="single" w:sz="4" w:space="0" w:color="000000"/>
            </w:tcBorders>
          </w:tcPr>
          <w:p w14:paraId="44DFCD6E" w14:textId="77777777" w:rsidR="0045673A" w:rsidRDefault="00E17DF3">
            <w:pPr>
              <w:spacing w:after="0" w:line="259" w:lineRule="auto"/>
              <w:ind w:left="43" w:firstLine="0"/>
              <w:jc w:val="left"/>
            </w:pPr>
            <w:r>
              <w:t xml:space="preserve">2 </w:t>
            </w:r>
          </w:p>
        </w:tc>
        <w:tc>
          <w:tcPr>
            <w:tcW w:w="422" w:type="dxa"/>
            <w:tcBorders>
              <w:top w:val="single" w:sz="4" w:space="0" w:color="000000"/>
              <w:left w:val="single" w:sz="4" w:space="0" w:color="000000"/>
              <w:bottom w:val="single" w:sz="4" w:space="0" w:color="000000"/>
              <w:right w:val="single" w:sz="4" w:space="0" w:color="000000"/>
            </w:tcBorders>
          </w:tcPr>
          <w:p w14:paraId="58D8CDAD" w14:textId="77777777" w:rsidR="0045673A" w:rsidRDefault="00E17DF3">
            <w:pPr>
              <w:spacing w:after="0" w:line="259" w:lineRule="auto"/>
              <w:ind w:left="43" w:firstLine="0"/>
              <w:jc w:val="left"/>
            </w:pPr>
            <w:r>
              <w:t xml:space="preserve">3 </w:t>
            </w:r>
          </w:p>
        </w:tc>
        <w:tc>
          <w:tcPr>
            <w:tcW w:w="425" w:type="dxa"/>
            <w:tcBorders>
              <w:top w:val="single" w:sz="4" w:space="0" w:color="000000"/>
              <w:left w:val="single" w:sz="4" w:space="0" w:color="000000"/>
              <w:bottom w:val="single" w:sz="4" w:space="0" w:color="000000"/>
              <w:right w:val="single" w:sz="4" w:space="0" w:color="000000"/>
            </w:tcBorders>
          </w:tcPr>
          <w:p w14:paraId="10574216" w14:textId="77777777" w:rsidR="0045673A" w:rsidRDefault="00E17DF3">
            <w:pPr>
              <w:spacing w:after="0" w:line="259" w:lineRule="auto"/>
              <w:ind w:left="43" w:firstLine="0"/>
              <w:jc w:val="left"/>
            </w:pPr>
            <w:r>
              <w:t xml:space="preserve">4 </w:t>
            </w:r>
          </w:p>
        </w:tc>
        <w:tc>
          <w:tcPr>
            <w:tcW w:w="425" w:type="dxa"/>
            <w:tcBorders>
              <w:top w:val="single" w:sz="4" w:space="0" w:color="000000"/>
              <w:left w:val="single" w:sz="4" w:space="0" w:color="000000"/>
              <w:bottom w:val="single" w:sz="4" w:space="0" w:color="000000"/>
              <w:right w:val="single" w:sz="4" w:space="0" w:color="000000"/>
            </w:tcBorders>
          </w:tcPr>
          <w:p w14:paraId="7E8F1078" w14:textId="77777777" w:rsidR="0045673A" w:rsidRDefault="00E17DF3">
            <w:pPr>
              <w:spacing w:after="0" w:line="259" w:lineRule="auto"/>
              <w:ind w:left="44" w:firstLine="0"/>
              <w:jc w:val="left"/>
            </w:pPr>
            <w:r>
              <w:t xml:space="preserve">5 </w:t>
            </w:r>
          </w:p>
        </w:tc>
        <w:tc>
          <w:tcPr>
            <w:tcW w:w="1020" w:type="dxa"/>
            <w:tcBorders>
              <w:top w:val="single" w:sz="4" w:space="0" w:color="000000"/>
              <w:left w:val="single" w:sz="4" w:space="0" w:color="000000"/>
              <w:bottom w:val="single" w:sz="4" w:space="0" w:color="000000"/>
              <w:right w:val="single" w:sz="4" w:space="0" w:color="000000"/>
            </w:tcBorders>
          </w:tcPr>
          <w:p w14:paraId="5177BA90" w14:textId="77777777" w:rsidR="0045673A" w:rsidRDefault="00E17DF3">
            <w:pPr>
              <w:spacing w:after="0" w:line="259" w:lineRule="auto"/>
              <w:ind w:left="0" w:firstLine="0"/>
              <w:jc w:val="center"/>
            </w:pPr>
            <w:r>
              <w:t xml:space="preserve">Don’t know </w:t>
            </w:r>
          </w:p>
        </w:tc>
      </w:tr>
      <w:tr w:rsidR="0045673A" w14:paraId="3E125A92" w14:textId="77777777">
        <w:trPr>
          <w:trHeight w:val="1078"/>
        </w:trPr>
        <w:tc>
          <w:tcPr>
            <w:tcW w:w="4597" w:type="dxa"/>
            <w:tcBorders>
              <w:top w:val="single" w:sz="4" w:space="0" w:color="000000"/>
              <w:left w:val="single" w:sz="4" w:space="0" w:color="000000"/>
              <w:bottom w:val="single" w:sz="4" w:space="0" w:color="000000"/>
              <w:right w:val="single" w:sz="4" w:space="0" w:color="000000"/>
            </w:tcBorders>
          </w:tcPr>
          <w:p w14:paraId="344CE911" w14:textId="77777777" w:rsidR="0045673A" w:rsidRDefault="00E17DF3">
            <w:pPr>
              <w:spacing w:after="0" w:line="238" w:lineRule="auto"/>
              <w:ind w:left="0" w:firstLine="0"/>
            </w:pPr>
            <w:r>
              <w:t xml:space="preserve">Whether the product is a wrapper offering choices between underlying investment </w:t>
            </w:r>
          </w:p>
          <w:p w14:paraId="0595F1D8" w14:textId="77777777" w:rsidR="0045673A" w:rsidRDefault="00E17DF3">
            <w:pPr>
              <w:spacing w:after="0" w:line="259" w:lineRule="auto"/>
              <w:ind w:left="0" w:firstLine="0"/>
              <w:jc w:val="left"/>
            </w:pPr>
            <w:r>
              <w:t xml:space="preserve">options like a Multi-Option Product </w:t>
            </w:r>
          </w:p>
        </w:tc>
        <w:tc>
          <w:tcPr>
            <w:tcW w:w="422" w:type="dxa"/>
            <w:tcBorders>
              <w:top w:val="single" w:sz="4" w:space="0" w:color="000000"/>
              <w:left w:val="single" w:sz="4" w:space="0" w:color="000000"/>
              <w:bottom w:val="single" w:sz="4" w:space="0" w:color="000000"/>
              <w:right w:val="single" w:sz="4" w:space="0" w:color="000000"/>
            </w:tcBorders>
          </w:tcPr>
          <w:p w14:paraId="646B9594" w14:textId="24A7003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E562BC1" w14:textId="77777777" w:rsidR="0045673A" w:rsidRDefault="00E17DF3">
            <w:pPr>
              <w:spacing w:after="0" w:line="259" w:lineRule="auto"/>
              <w:ind w:left="0" w:firstLine="0"/>
              <w:jc w:val="left"/>
            </w:pPr>
            <w:r>
              <w:t xml:space="preserve"> </w:t>
            </w:r>
          </w:p>
        </w:tc>
        <w:tc>
          <w:tcPr>
            <w:tcW w:w="422" w:type="dxa"/>
            <w:tcBorders>
              <w:top w:val="single" w:sz="4" w:space="0" w:color="000000"/>
              <w:left w:val="single" w:sz="4" w:space="0" w:color="000000"/>
              <w:bottom w:val="single" w:sz="4" w:space="0" w:color="000000"/>
              <w:right w:val="single" w:sz="4" w:space="0" w:color="000000"/>
            </w:tcBorders>
          </w:tcPr>
          <w:p w14:paraId="1AD94E8D" w14:textId="42DE0CCE"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1DA73CFC" w14:textId="66212141" w:rsidR="0045673A" w:rsidRDefault="00191185">
            <w:pPr>
              <w:spacing w:after="0" w:line="259" w:lineRule="auto"/>
              <w:ind w:left="0" w:firstLine="0"/>
              <w:jc w:val="left"/>
            </w:pPr>
            <w:r>
              <w:t>X</w:t>
            </w:r>
          </w:p>
        </w:tc>
        <w:tc>
          <w:tcPr>
            <w:tcW w:w="425" w:type="dxa"/>
            <w:tcBorders>
              <w:top w:val="single" w:sz="4" w:space="0" w:color="000000"/>
              <w:left w:val="single" w:sz="4" w:space="0" w:color="000000"/>
              <w:bottom w:val="single" w:sz="4" w:space="0" w:color="000000"/>
              <w:right w:val="single" w:sz="4" w:space="0" w:color="000000"/>
            </w:tcBorders>
          </w:tcPr>
          <w:p w14:paraId="33DB4725" w14:textId="2B188937" w:rsidR="0045673A" w:rsidRDefault="00E17DF3">
            <w:pPr>
              <w:spacing w:after="0" w:line="259" w:lineRule="auto"/>
              <w:ind w:left="1" w:firstLine="0"/>
              <w:jc w:val="left"/>
            </w:pPr>
            <w:r>
              <w:t xml:space="preserve"> </w:t>
            </w:r>
          </w:p>
        </w:tc>
        <w:tc>
          <w:tcPr>
            <w:tcW w:w="1020" w:type="dxa"/>
            <w:tcBorders>
              <w:top w:val="single" w:sz="4" w:space="0" w:color="000000"/>
              <w:left w:val="single" w:sz="4" w:space="0" w:color="000000"/>
              <w:bottom w:val="single" w:sz="4" w:space="0" w:color="000000"/>
              <w:right w:val="single" w:sz="4" w:space="0" w:color="000000"/>
            </w:tcBorders>
          </w:tcPr>
          <w:p w14:paraId="7E4527BC" w14:textId="77777777" w:rsidR="0045673A" w:rsidRDefault="00E17DF3">
            <w:pPr>
              <w:spacing w:after="0" w:line="259" w:lineRule="auto"/>
              <w:ind w:left="0" w:firstLine="0"/>
              <w:jc w:val="left"/>
            </w:pPr>
            <w:r>
              <w:t xml:space="preserve"> </w:t>
            </w:r>
          </w:p>
        </w:tc>
      </w:tr>
      <w:tr w:rsidR="0045673A" w14:paraId="320F0387" w14:textId="77777777">
        <w:trPr>
          <w:trHeight w:val="804"/>
        </w:trPr>
        <w:tc>
          <w:tcPr>
            <w:tcW w:w="4597" w:type="dxa"/>
            <w:tcBorders>
              <w:top w:val="single" w:sz="4" w:space="0" w:color="000000"/>
              <w:left w:val="single" w:sz="4" w:space="0" w:color="000000"/>
              <w:bottom w:val="single" w:sz="4" w:space="0" w:color="000000"/>
              <w:right w:val="single" w:sz="4" w:space="0" w:color="000000"/>
            </w:tcBorders>
          </w:tcPr>
          <w:p w14:paraId="612975DE" w14:textId="77777777" w:rsidR="0045673A" w:rsidRDefault="00E17DF3">
            <w:pPr>
              <w:spacing w:after="0" w:line="259" w:lineRule="auto"/>
              <w:ind w:left="0" w:firstLine="0"/>
            </w:pPr>
            <w:r>
              <w:t xml:space="preserve">Whether some of the underlying investments are outside the EU </w:t>
            </w:r>
          </w:p>
        </w:tc>
        <w:tc>
          <w:tcPr>
            <w:tcW w:w="422" w:type="dxa"/>
            <w:tcBorders>
              <w:top w:val="single" w:sz="4" w:space="0" w:color="000000"/>
              <w:left w:val="single" w:sz="4" w:space="0" w:color="000000"/>
              <w:bottom w:val="single" w:sz="4" w:space="0" w:color="000000"/>
              <w:right w:val="single" w:sz="4" w:space="0" w:color="000000"/>
            </w:tcBorders>
          </w:tcPr>
          <w:p w14:paraId="0E9BB5E5" w14:textId="57CFA515"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069DC96B" w14:textId="77777777" w:rsidR="0045673A" w:rsidRDefault="00E17DF3">
            <w:pPr>
              <w:spacing w:after="0" w:line="259" w:lineRule="auto"/>
              <w:ind w:left="0" w:firstLine="0"/>
              <w:jc w:val="left"/>
            </w:pPr>
            <w:r>
              <w:t xml:space="preserve"> </w:t>
            </w:r>
          </w:p>
        </w:tc>
        <w:tc>
          <w:tcPr>
            <w:tcW w:w="422" w:type="dxa"/>
            <w:tcBorders>
              <w:top w:val="single" w:sz="4" w:space="0" w:color="000000"/>
              <w:left w:val="single" w:sz="4" w:space="0" w:color="000000"/>
              <w:bottom w:val="single" w:sz="4" w:space="0" w:color="000000"/>
              <w:right w:val="single" w:sz="4" w:space="0" w:color="000000"/>
            </w:tcBorders>
          </w:tcPr>
          <w:p w14:paraId="6E44BC53" w14:textId="58C01736"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5DF9ADAB" w14:textId="20059AC0" w:rsidR="0045673A" w:rsidRDefault="00191185">
            <w:pPr>
              <w:spacing w:after="0" w:line="259" w:lineRule="auto"/>
              <w:ind w:left="0" w:firstLine="0"/>
              <w:jc w:val="left"/>
            </w:pPr>
            <w:r>
              <w:t>X</w:t>
            </w:r>
          </w:p>
        </w:tc>
        <w:tc>
          <w:tcPr>
            <w:tcW w:w="425" w:type="dxa"/>
            <w:tcBorders>
              <w:top w:val="single" w:sz="4" w:space="0" w:color="000000"/>
              <w:left w:val="single" w:sz="4" w:space="0" w:color="000000"/>
              <w:bottom w:val="single" w:sz="4" w:space="0" w:color="000000"/>
              <w:right w:val="single" w:sz="4" w:space="0" w:color="000000"/>
            </w:tcBorders>
          </w:tcPr>
          <w:p w14:paraId="4E885A27" w14:textId="77777777" w:rsidR="0045673A" w:rsidRDefault="00E17DF3">
            <w:pPr>
              <w:spacing w:after="0" w:line="259" w:lineRule="auto"/>
              <w:ind w:left="1" w:firstLine="0"/>
              <w:jc w:val="left"/>
            </w:pPr>
            <w:r>
              <w:t xml:space="preserve"> </w:t>
            </w:r>
          </w:p>
        </w:tc>
        <w:tc>
          <w:tcPr>
            <w:tcW w:w="1020" w:type="dxa"/>
            <w:tcBorders>
              <w:top w:val="single" w:sz="4" w:space="0" w:color="000000"/>
              <w:left w:val="single" w:sz="4" w:space="0" w:color="000000"/>
              <w:bottom w:val="single" w:sz="4" w:space="0" w:color="000000"/>
              <w:right w:val="single" w:sz="4" w:space="0" w:color="000000"/>
            </w:tcBorders>
          </w:tcPr>
          <w:p w14:paraId="5FF76C9F" w14:textId="77777777" w:rsidR="0045673A" w:rsidRDefault="00E17DF3">
            <w:pPr>
              <w:spacing w:after="0" w:line="259" w:lineRule="auto"/>
              <w:ind w:left="0" w:firstLine="0"/>
              <w:jc w:val="left"/>
            </w:pPr>
            <w:r>
              <w:t xml:space="preserve"> </w:t>
            </w:r>
          </w:p>
        </w:tc>
      </w:tr>
      <w:tr w:rsidR="0045673A" w14:paraId="55DFE310" w14:textId="77777777">
        <w:trPr>
          <w:trHeight w:val="802"/>
        </w:trPr>
        <w:tc>
          <w:tcPr>
            <w:tcW w:w="4597" w:type="dxa"/>
            <w:tcBorders>
              <w:top w:val="single" w:sz="4" w:space="0" w:color="000000"/>
              <w:left w:val="single" w:sz="4" w:space="0" w:color="000000"/>
              <w:bottom w:val="single" w:sz="4" w:space="0" w:color="000000"/>
              <w:right w:val="single" w:sz="4" w:space="0" w:color="000000"/>
            </w:tcBorders>
          </w:tcPr>
          <w:p w14:paraId="05071DE0" w14:textId="77777777" w:rsidR="0045673A" w:rsidRDefault="00E17DF3">
            <w:pPr>
              <w:spacing w:after="0" w:line="259" w:lineRule="auto"/>
              <w:ind w:left="0" w:firstLine="0"/>
            </w:pPr>
            <w:r>
              <w:t xml:space="preserve">Whether some of the underlying investments are in an emerging economy </w:t>
            </w:r>
          </w:p>
        </w:tc>
        <w:tc>
          <w:tcPr>
            <w:tcW w:w="422" w:type="dxa"/>
            <w:tcBorders>
              <w:top w:val="single" w:sz="4" w:space="0" w:color="000000"/>
              <w:left w:val="single" w:sz="4" w:space="0" w:color="000000"/>
              <w:bottom w:val="single" w:sz="4" w:space="0" w:color="000000"/>
              <w:right w:val="single" w:sz="4" w:space="0" w:color="000000"/>
            </w:tcBorders>
          </w:tcPr>
          <w:p w14:paraId="7D11C6F4" w14:textId="53FCF39D"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2E0A81C4" w14:textId="77777777" w:rsidR="0045673A" w:rsidRDefault="00E17DF3">
            <w:pPr>
              <w:spacing w:after="0" w:line="259" w:lineRule="auto"/>
              <w:ind w:left="0" w:firstLine="0"/>
              <w:jc w:val="left"/>
            </w:pPr>
            <w:r>
              <w:t xml:space="preserve"> </w:t>
            </w:r>
          </w:p>
        </w:tc>
        <w:tc>
          <w:tcPr>
            <w:tcW w:w="422" w:type="dxa"/>
            <w:tcBorders>
              <w:top w:val="single" w:sz="4" w:space="0" w:color="000000"/>
              <w:left w:val="single" w:sz="4" w:space="0" w:color="000000"/>
              <w:bottom w:val="single" w:sz="4" w:space="0" w:color="000000"/>
              <w:right w:val="single" w:sz="4" w:space="0" w:color="000000"/>
            </w:tcBorders>
          </w:tcPr>
          <w:p w14:paraId="6421113F" w14:textId="6867915A"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639F7DF1" w14:textId="68402ACB" w:rsidR="0045673A" w:rsidRDefault="00A7751F">
            <w:pPr>
              <w:spacing w:after="0" w:line="259" w:lineRule="auto"/>
              <w:ind w:left="0" w:firstLine="0"/>
              <w:jc w:val="left"/>
            </w:pPr>
            <w:r>
              <w:t>X</w:t>
            </w:r>
          </w:p>
        </w:tc>
        <w:tc>
          <w:tcPr>
            <w:tcW w:w="425" w:type="dxa"/>
            <w:tcBorders>
              <w:top w:val="single" w:sz="4" w:space="0" w:color="000000"/>
              <w:left w:val="single" w:sz="4" w:space="0" w:color="000000"/>
              <w:bottom w:val="single" w:sz="4" w:space="0" w:color="000000"/>
              <w:right w:val="single" w:sz="4" w:space="0" w:color="000000"/>
            </w:tcBorders>
          </w:tcPr>
          <w:p w14:paraId="78AF8181" w14:textId="6754C1C5" w:rsidR="0045673A" w:rsidRDefault="00E17DF3">
            <w:pPr>
              <w:spacing w:after="0" w:line="259" w:lineRule="auto"/>
              <w:ind w:left="1" w:firstLine="0"/>
              <w:jc w:val="left"/>
            </w:pPr>
            <w:r>
              <w:t xml:space="preserve"> </w:t>
            </w:r>
          </w:p>
        </w:tc>
        <w:tc>
          <w:tcPr>
            <w:tcW w:w="1020" w:type="dxa"/>
            <w:tcBorders>
              <w:top w:val="single" w:sz="4" w:space="0" w:color="000000"/>
              <w:left w:val="single" w:sz="4" w:space="0" w:color="000000"/>
              <w:bottom w:val="single" w:sz="4" w:space="0" w:color="000000"/>
              <w:right w:val="single" w:sz="4" w:space="0" w:color="000000"/>
            </w:tcBorders>
          </w:tcPr>
          <w:p w14:paraId="000834D8" w14:textId="77777777" w:rsidR="0045673A" w:rsidRDefault="00E17DF3">
            <w:pPr>
              <w:spacing w:after="0" w:line="259" w:lineRule="auto"/>
              <w:ind w:left="0" w:firstLine="0"/>
              <w:jc w:val="left"/>
            </w:pPr>
            <w:r>
              <w:t xml:space="preserve"> </w:t>
            </w:r>
          </w:p>
        </w:tc>
      </w:tr>
      <w:tr w:rsidR="0045673A" w14:paraId="3BD908AE" w14:textId="77777777">
        <w:trPr>
          <w:trHeight w:val="802"/>
        </w:trPr>
        <w:tc>
          <w:tcPr>
            <w:tcW w:w="4597" w:type="dxa"/>
            <w:tcBorders>
              <w:top w:val="single" w:sz="4" w:space="0" w:color="000000"/>
              <w:left w:val="single" w:sz="4" w:space="0" w:color="000000"/>
              <w:bottom w:val="single" w:sz="4" w:space="0" w:color="000000"/>
              <w:right w:val="single" w:sz="4" w:space="0" w:color="000000"/>
            </w:tcBorders>
          </w:tcPr>
          <w:p w14:paraId="0916B72E" w14:textId="77777777" w:rsidR="0045673A" w:rsidRDefault="00E17DF3">
            <w:pPr>
              <w:spacing w:after="0" w:line="259" w:lineRule="auto"/>
              <w:ind w:left="0" w:firstLine="0"/>
            </w:pPr>
            <w:r>
              <w:t xml:space="preserve">Whether some of the underlying investments are in SMEs  </w:t>
            </w:r>
          </w:p>
        </w:tc>
        <w:tc>
          <w:tcPr>
            <w:tcW w:w="422" w:type="dxa"/>
            <w:tcBorders>
              <w:top w:val="single" w:sz="4" w:space="0" w:color="000000"/>
              <w:left w:val="single" w:sz="4" w:space="0" w:color="000000"/>
              <w:bottom w:val="single" w:sz="4" w:space="0" w:color="000000"/>
              <w:right w:val="single" w:sz="4" w:space="0" w:color="000000"/>
            </w:tcBorders>
          </w:tcPr>
          <w:p w14:paraId="477E2312" w14:textId="2A1AB7D6"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4D144EB1" w14:textId="77777777" w:rsidR="0045673A" w:rsidRDefault="00E17DF3">
            <w:pPr>
              <w:spacing w:after="0" w:line="259" w:lineRule="auto"/>
              <w:ind w:left="0" w:firstLine="0"/>
              <w:jc w:val="left"/>
            </w:pPr>
            <w:r>
              <w:t xml:space="preserve"> </w:t>
            </w:r>
          </w:p>
        </w:tc>
        <w:tc>
          <w:tcPr>
            <w:tcW w:w="422" w:type="dxa"/>
            <w:tcBorders>
              <w:top w:val="single" w:sz="4" w:space="0" w:color="000000"/>
              <w:left w:val="single" w:sz="4" w:space="0" w:color="000000"/>
              <w:bottom w:val="single" w:sz="4" w:space="0" w:color="000000"/>
              <w:right w:val="single" w:sz="4" w:space="0" w:color="000000"/>
            </w:tcBorders>
          </w:tcPr>
          <w:p w14:paraId="1F1BBE62" w14:textId="00905423"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06638687" w14:textId="215917A4" w:rsidR="0045673A" w:rsidRDefault="00975914">
            <w:pPr>
              <w:spacing w:after="0" w:line="259" w:lineRule="auto"/>
              <w:ind w:left="0" w:firstLine="0"/>
              <w:jc w:val="left"/>
            </w:pPr>
            <w:r>
              <w:t>X</w:t>
            </w:r>
          </w:p>
        </w:tc>
        <w:tc>
          <w:tcPr>
            <w:tcW w:w="425" w:type="dxa"/>
            <w:tcBorders>
              <w:top w:val="single" w:sz="4" w:space="0" w:color="000000"/>
              <w:left w:val="single" w:sz="4" w:space="0" w:color="000000"/>
              <w:bottom w:val="single" w:sz="4" w:space="0" w:color="000000"/>
              <w:right w:val="single" w:sz="4" w:space="0" w:color="000000"/>
            </w:tcBorders>
          </w:tcPr>
          <w:p w14:paraId="332CA31D" w14:textId="77777777" w:rsidR="0045673A" w:rsidRDefault="00E17DF3">
            <w:pPr>
              <w:spacing w:after="0" w:line="259" w:lineRule="auto"/>
              <w:ind w:left="1" w:firstLine="0"/>
              <w:jc w:val="left"/>
            </w:pPr>
            <w:r>
              <w:t xml:space="preserve"> </w:t>
            </w:r>
          </w:p>
        </w:tc>
        <w:tc>
          <w:tcPr>
            <w:tcW w:w="1020" w:type="dxa"/>
            <w:tcBorders>
              <w:top w:val="single" w:sz="4" w:space="0" w:color="000000"/>
              <w:left w:val="single" w:sz="4" w:space="0" w:color="000000"/>
              <w:bottom w:val="single" w:sz="4" w:space="0" w:color="000000"/>
              <w:right w:val="single" w:sz="4" w:space="0" w:color="000000"/>
            </w:tcBorders>
          </w:tcPr>
          <w:p w14:paraId="527A609B" w14:textId="77777777" w:rsidR="0045673A" w:rsidRDefault="00E17DF3">
            <w:pPr>
              <w:spacing w:after="0" w:line="259" w:lineRule="auto"/>
              <w:ind w:left="0" w:firstLine="0"/>
              <w:jc w:val="left"/>
            </w:pPr>
            <w:r>
              <w:t xml:space="preserve"> </w:t>
            </w:r>
          </w:p>
        </w:tc>
      </w:tr>
      <w:tr w:rsidR="0045673A" w14:paraId="3B6203AB" w14:textId="77777777">
        <w:trPr>
          <w:trHeight w:val="1078"/>
        </w:trPr>
        <w:tc>
          <w:tcPr>
            <w:tcW w:w="4597" w:type="dxa"/>
            <w:tcBorders>
              <w:top w:val="single" w:sz="4" w:space="0" w:color="000000"/>
              <w:left w:val="single" w:sz="4" w:space="0" w:color="000000"/>
              <w:bottom w:val="single" w:sz="4" w:space="0" w:color="000000"/>
              <w:right w:val="single" w:sz="4" w:space="0" w:color="000000"/>
            </w:tcBorders>
          </w:tcPr>
          <w:p w14:paraId="102EC40B" w14:textId="77777777" w:rsidR="0045673A" w:rsidRDefault="00E17DF3">
            <w:pPr>
              <w:spacing w:after="0" w:line="259" w:lineRule="auto"/>
              <w:ind w:left="0" w:right="60" w:firstLine="0"/>
            </w:pPr>
            <w:r>
              <w:t xml:space="preserve">Whether the underlying investments are in certain economic activities or in companies active in certain sectors </w:t>
            </w:r>
          </w:p>
        </w:tc>
        <w:tc>
          <w:tcPr>
            <w:tcW w:w="422" w:type="dxa"/>
            <w:tcBorders>
              <w:top w:val="single" w:sz="4" w:space="0" w:color="000000"/>
              <w:left w:val="single" w:sz="4" w:space="0" w:color="000000"/>
              <w:bottom w:val="single" w:sz="4" w:space="0" w:color="000000"/>
              <w:right w:val="single" w:sz="4" w:space="0" w:color="000000"/>
            </w:tcBorders>
          </w:tcPr>
          <w:p w14:paraId="6D23A2C0" w14:textId="5E0B5280"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0B2787E7" w14:textId="77777777" w:rsidR="0045673A" w:rsidRDefault="00E17DF3">
            <w:pPr>
              <w:spacing w:after="0" w:line="259" w:lineRule="auto"/>
              <w:ind w:left="0" w:firstLine="0"/>
              <w:jc w:val="left"/>
            </w:pPr>
            <w:r>
              <w:t xml:space="preserve"> </w:t>
            </w:r>
          </w:p>
        </w:tc>
        <w:tc>
          <w:tcPr>
            <w:tcW w:w="422" w:type="dxa"/>
            <w:tcBorders>
              <w:top w:val="single" w:sz="4" w:space="0" w:color="000000"/>
              <w:left w:val="single" w:sz="4" w:space="0" w:color="000000"/>
              <w:bottom w:val="single" w:sz="4" w:space="0" w:color="000000"/>
              <w:right w:val="single" w:sz="4" w:space="0" w:color="000000"/>
            </w:tcBorders>
          </w:tcPr>
          <w:p w14:paraId="06956EFB" w14:textId="1EEF1ACD" w:rsidR="0045673A" w:rsidRDefault="00975914">
            <w:pPr>
              <w:spacing w:after="0" w:line="259" w:lineRule="auto"/>
              <w:ind w:left="0" w:firstLine="0"/>
              <w:jc w:val="left"/>
            </w:pPr>
            <w:r>
              <w:t>X</w:t>
            </w:r>
          </w:p>
        </w:tc>
        <w:tc>
          <w:tcPr>
            <w:tcW w:w="425" w:type="dxa"/>
            <w:tcBorders>
              <w:top w:val="single" w:sz="4" w:space="0" w:color="000000"/>
              <w:left w:val="single" w:sz="4" w:space="0" w:color="000000"/>
              <w:bottom w:val="single" w:sz="4" w:space="0" w:color="000000"/>
              <w:right w:val="single" w:sz="4" w:space="0" w:color="000000"/>
            </w:tcBorders>
          </w:tcPr>
          <w:p w14:paraId="2DCF404B" w14:textId="3BF8846D"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02E23E10" w14:textId="77777777" w:rsidR="0045673A" w:rsidRDefault="00E17DF3">
            <w:pPr>
              <w:spacing w:after="0" w:line="259" w:lineRule="auto"/>
              <w:ind w:left="1" w:firstLine="0"/>
              <w:jc w:val="left"/>
            </w:pPr>
            <w:r>
              <w:t xml:space="preserve"> </w:t>
            </w:r>
          </w:p>
        </w:tc>
        <w:tc>
          <w:tcPr>
            <w:tcW w:w="1020" w:type="dxa"/>
            <w:tcBorders>
              <w:top w:val="single" w:sz="4" w:space="0" w:color="000000"/>
              <w:left w:val="single" w:sz="4" w:space="0" w:color="000000"/>
              <w:bottom w:val="single" w:sz="4" w:space="0" w:color="000000"/>
              <w:right w:val="single" w:sz="4" w:space="0" w:color="000000"/>
            </w:tcBorders>
          </w:tcPr>
          <w:p w14:paraId="3C73A3DC" w14:textId="77777777" w:rsidR="0045673A" w:rsidRDefault="00E17DF3">
            <w:pPr>
              <w:spacing w:after="0" w:line="259" w:lineRule="auto"/>
              <w:ind w:left="0" w:firstLine="0"/>
              <w:jc w:val="left"/>
            </w:pPr>
            <w:r>
              <w:t xml:space="preserve"> </w:t>
            </w:r>
          </w:p>
        </w:tc>
      </w:tr>
      <w:tr w:rsidR="0045673A" w14:paraId="33BA3258" w14:textId="77777777">
        <w:trPr>
          <w:trHeight w:val="802"/>
        </w:trPr>
        <w:tc>
          <w:tcPr>
            <w:tcW w:w="4597" w:type="dxa"/>
            <w:tcBorders>
              <w:top w:val="single" w:sz="4" w:space="0" w:color="000000"/>
              <w:left w:val="single" w:sz="4" w:space="0" w:color="000000"/>
              <w:bottom w:val="single" w:sz="4" w:space="0" w:color="000000"/>
              <w:right w:val="single" w:sz="4" w:space="0" w:color="000000"/>
            </w:tcBorders>
          </w:tcPr>
          <w:p w14:paraId="3A33924F" w14:textId="77777777" w:rsidR="0045673A" w:rsidRDefault="00E17DF3">
            <w:pPr>
              <w:spacing w:after="0" w:line="259" w:lineRule="auto"/>
              <w:ind w:left="0" w:firstLine="0"/>
            </w:pPr>
            <w:r>
              <w:t xml:space="preserve">Other considerations as regards the type of product or underlying investments </w:t>
            </w:r>
          </w:p>
        </w:tc>
        <w:tc>
          <w:tcPr>
            <w:tcW w:w="422" w:type="dxa"/>
            <w:tcBorders>
              <w:top w:val="single" w:sz="4" w:space="0" w:color="000000"/>
              <w:left w:val="single" w:sz="4" w:space="0" w:color="000000"/>
              <w:bottom w:val="single" w:sz="4" w:space="0" w:color="000000"/>
              <w:right w:val="single" w:sz="4" w:space="0" w:color="000000"/>
            </w:tcBorders>
          </w:tcPr>
          <w:p w14:paraId="6780BCB6" w14:textId="7368D675"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50D46E0E" w14:textId="77777777" w:rsidR="0045673A" w:rsidRDefault="00E17DF3">
            <w:pPr>
              <w:spacing w:after="0" w:line="259" w:lineRule="auto"/>
              <w:ind w:left="0" w:firstLine="0"/>
              <w:jc w:val="left"/>
            </w:pPr>
            <w:r>
              <w:t xml:space="preserve"> </w:t>
            </w:r>
          </w:p>
        </w:tc>
        <w:tc>
          <w:tcPr>
            <w:tcW w:w="422" w:type="dxa"/>
            <w:tcBorders>
              <w:top w:val="single" w:sz="4" w:space="0" w:color="000000"/>
              <w:left w:val="single" w:sz="4" w:space="0" w:color="000000"/>
              <w:bottom w:val="single" w:sz="4" w:space="0" w:color="000000"/>
              <w:right w:val="single" w:sz="4" w:space="0" w:color="000000"/>
            </w:tcBorders>
          </w:tcPr>
          <w:p w14:paraId="008EE40F" w14:textId="491C254C"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04CFC62E" w14:textId="56FD2909"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31F28511" w14:textId="77777777" w:rsidR="0045673A" w:rsidRDefault="00E17DF3">
            <w:pPr>
              <w:spacing w:after="0" w:line="259" w:lineRule="auto"/>
              <w:ind w:left="1" w:firstLine="0"/>
              <w:jc w:val="left"/>
            </w:pPr>
            <w:r>
              <w:t xml:space="preserve"> </w:t>
            </w:r>
          </w:p>
        </w:tc>
        <w:tc>
          <w:tcPr>
            <w:tcW w:w="1020" w:type="dxa"/>
            <w:tcBorders>
              <w:top w:val="single" w:sz="4" w:space="0" w:color="000000"/>
              <w:left w:val="single" w:sz="4" w:space="0" w:color="000000"/>
              <w:bottom w:val="single" w:sz="4" w:space="0" w:color="000000"/>
              <w:right w:val="single" w:sz="4" w:space="0" w:color="000000"/>
            </w:tcBorders>
          </w:tcPr>
          <w:p w14:paraId="3FE79E8C" w14:textId="55E3F985" w:rsidR="0045673A" w:rsidRDefault="00E17DF3">
            <w:pPr>
              <w:spacing w:after="0" w:line="259" w:lineRule="auto"/>
              <w:ind w:left="0" w:firstLine="0"/>
              <w:jc w:val="left"/>
            </w:pPr>
            <w:r>
              <w:t xml:space="preserve"> </w:t>
            </w:r>
            <w:r w:rsidR="00975914">
              <w:t>X</w:t>
            </w:r>
          </w:p>
        </w:tc>
      </w:tr>
    </w:tbl>
    <w:p w14:paraId="092A3516"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33433BAC" w14:textId="77777777" w:rsidR="0045673A" w:rsidRDefault="00E17DF3">
      <w:pPr>
        <w:spacing w:after="46"/>
        <w:ind w:right="643"/>
      </w:pPr>
      <w:r w:rsidRPr="004C100C">
        <w:t>Please explain your reply to question 3.2.14:</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1C284A18"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02D87AFE" w14:textId="77777777" w:rsidR="00DB69E4" w:rsidRDefault="00DB69E4">
            <w:pPr>
              <w:spacing w:after="0" w:line="259" w:lineRule="auto"/>
              <w:ind w:left="0" w:firstLine="0"/>
              <w:jc w:val="left"/>
              <w:rPr>
                <w:sz w:val="20"/>
                <w:szCs w:val="20"/>
              </w:rPr>
            </w:pPr>
          </w:p>
          <w:p w14:paraId="456CB30F" w14:textId="5D403259" w:rsidR="00733974" w:rsidRPr="00BC1105" w:rsidRDefault="00733974">
            <w:pPr>
              <w:spacing w:after="0" w:line="259" w:lineRule="auto"/>
              <w:ind w:left="0" w:firstLine="0"/>
              <w:jc w:val="left"/>
              <w:rPr>
                <w:sz w:val="20"/>
                <w:szCs w:val="20"/>
              </w:rPr>
            </w:pPr>
            <w:r w:rsidRPr="00BC1105">
              <w:rPr>
                <w:sz w:val="20"/>
                <w:szCs w:val="20"/>
              </w:rPr>
              <w:t>Similarly to the approach adopted in the FCA’s</w:t>
            </w:r>
            <w:r w:rsidR="00BC1105">
              <w:rPr>
                <w:sz w:val="20"/>
                <w:szCs w:val="20"/>
              </w:rPr>
              <w:t xml:space="preserve"> </w:t>
            </w:r>
            <w:r w:rsidRPr="00BC1105">
              <w:rPr>
                <w:sz w:val="20"/>
                <w:szCs w:val="20"/>
              </w:rPr>
              <w:t>SDR proposals, there will naturally need to be some certain</w:t>
            </w:r>
            <w:r w:rsidR="00994AD2">
              <w:rPr>
                <w:sz w:val="20"/>
                <w:szCs w:val="20"/>
              </w:rPr>
              <w:t>,</w:t>
            </w:r>
            <w:r w:rsidR="008321CD">
              <w:rPr>
                <w:sz w:val="20"/>
                <w:szCs w:val="20"/>
              </w:rPr>
              <w:t xml:space="preserve"> </w:t>
            </w:r>
            <w:r w:rsidRPr="00BC1105">
              <w:rPr>
                <w:sz w:val="20"/>
                <w:szCs w:val="20"/>
              </w:rPr>
              <w:t>limited differences between the approach to disclosures across a range of investment strategies, including for multi-asset funds</w:t>
            </w:r>
            <w:r w:rsidR="00441F71">
              <w:rPr>
                <w:sz w:val="20"/>
                <w:szCs w:val="20"/>
              </w:rPr>
              <w:t xml:space="preserve"> and blended investment strategies</w:t>
            </w:r>
            <w:r w:rsidRPr="00BC1105">
              <w:rPr>
                <w:sz w:val="20"/>
                <w:szCs w:val="20"/>
              </w:rPr>
              <w:t xml:space="preserve">, those funds domiciled outside of the EU, and </w:t>
            </w:r>
            <w:r w:rsidR="000571C7" w:rsidRPr="00BC1105">
              <w:rPr>
                <w:sz w:val="20"/>
                <w:szCs w:val="20"/>
              </w:rPr>
              <w:t xml:space="preserve">emerging-markets focused funds. </w:t>
            </w:r>
          </w:p>
          <w:p w14:paraId="5D1F6F6E" w14:textId="77777777" w:rsidR="00975914" w:rsidRPr="00BC1105" w:rsidRDefault="00975914">
            <w:pPr>
              <w:spacing w:after="0" w:line="259" w:lineRule="auto"/>
              <w:ind w:left="0" w:firstLine="0"/>
              <w:jc w:val="left"/>
              <w:rPr>
                <w:sz w:val="20"/>
                <w:szCs w:val="20"/>
              </w:rPr>
            </w:pPr>
          </w:p>
          <w:p w14:paraId="2C83D7B9" w14:textId="114D9ABA" w:rsidR="000571C7" w:rsidRPr="00BC1105" w:rsidRDefault="000571C7">
            <w:pPr>
              <w:spacing w:after="0" w:line="259" w:lineRule="auto"/>
              <w:ind w:left="0" w:firstLine="0"/>
              <w:jc w:val="left"/>
              <w:rPr>
                <w:sz w:val="20"/>
                <w:szCs w:val="20"/>
              </w:rPr>
            </w:pPr>
            <w:r w:rsidRPr="00BC1105">
              <w:rPr>
                <w:sz w:val="20"/>
                <w:szCs w:val="20"/>
              </w:rPr>
              <w:t xml:space="preserve">For example in regards to multi-asset funds, </w:t>
            </w:r>
            <w:r w:rsidR="007B762C" w:rsidRPr="00BC1105">
              <w:rPr>
                <w:sz w:val="20"/>
                <w:szCs w:val="20"/>
              </w:rPr>
              <w:t>the approach to disclosure</w:t>
            </w:r>
            <w:r w:rsidR="0089289A" w:rsidRPr="00BC1105">
              <w:rPr>
                <w:sz w:val="20"/>
                <w:szCs w:val="20"/>
              </w:rPr>
              <w:t>s at the product-level would need to take particular care to demonstrate the breakdown of the fund by asset type, geography, etc, and the extent to which the</w:t>
            </w:r>
            <w:r w:rsidR="0060501B">
              <w:rPr>
                <w:sz w:val="20"/>
                <w:szCs w:val="20"/>
              </w:rPr>
              <w:t xml:space="preserve"> sustainable labelled</w:t>
            </w:r>
            <w:r w:rsidR="0089289A" w:rsidRPr="00BC1105">
              <w:rPr>
                <w:sz w:val="20"/>
                <w:szCs w:val="20"/>
              </w:rPr>
              <w:t xml:space="preserve"> fund </w:t>
            </w:r>
            <w:r w:rsidR="0060501B">
              <w:rPr>
                <w:sz w:val="20"/>
                <w:szCs w:val="20"/>
              </w:rPr>
              <w:t xml:space="preserve">could </w:t>
            </w:r>
            <w:r w:rsidR="0089289A" w:rsidRPr="00BC1105">
              <w:rPr>
                <w:sz w:val="20"/>
                <w:szCs w:val="20"/>
              </w:rPr>
              <w:t xml:space="preserve">encompass various elements and </w:t>
            </w:r>
            <w:r w:rsidR="00CC5F49">
              <w:rPr>
                <w:sz w:val="20"/>
                <w:szCs w:val="20"/>
              </w:rPr>
              <w:t xml:space="preserve">investment </w:t>
            </w:r>
            <w:r w:rsidR="0089289A" w:rsidRPr="00BC1105">
              <w:rPr>
                <w:sz w:val="20"/>
                <w:szCs w:val="20"/>
              </w:rPr>
              <w:t xml:space="preserve">approaches adopted across other sustainability product categories. </w:t>
            </w:r>
          </w:p>
          <w:p w14:paraId="78AF880B" w14:textId="77777777" w:rsidR="009172BC" w:rsidRPr="00BC1105" w:rsidRDefault="009172BC">
            <w:pPr>
              <w:spacing w:after="0" w:line="259" w:lineRule="auto"/>
              <w:ind w:left="0" w:firstLine="0"/>
              <w:jc w:val="left"/>
              <w:rPr>
                <w:sz w:val="20"/>
                <w:szCs w:val="20"/>
              </w:rPr>
            </w:pPr>
          </w:p>
          <w:p w14:paraId="0C25CF9E" w14:textId="3E7A544F" w:rsidR="00C91B7C" w:rsidRDefault="009172BC">
            <w:pPr>
              <w:spacing w:after="0" w:line="259" w:lineRule="auto"/>
              <w:ind w:left="0" w:firstLine="0"/>
              <w:jc w:val="left"/>
              <w:rPr>
                <w:sz w:val="20"/>
                <w:szCs w:val="20"/>
              </w:rPr>
            </w:pPr>
            <w:r w:rsidRPr="00BC1105">
              <w:rPr>
                <w:sz w:val="20"/>
                <w:szCs w:val="20"/>
              </w:rPr>
              <w:t>We expect it will be more challenging to have a consistent set of labels and disclosures in place for these funds given that the targeted, multiple investment strategies could be very different,</w:t>
            </w:r>
            <w:r w:rsidR="006C7E77">
              <w:rPr>
                <w:sz w:val="20"/>
                <w:szCs w:val="20"/>
              </w:rPr>
              <w:t xml:space="preserve"> </w:t>
            </w:r>
            <w:r w:rsidRPr="00BC1105">
              <w:rPr>
                <w:sz w:val="20"/>
                <w:szCs w:val="20"/>
              </w:rPr>
              <w:t>as well as the types of funds here (e.g. third-party managed funds and directly managed funds). There is the question of whether the barriers to qualify for a sustainability</w:t>
            </w:r>
            <w:r w:rsidR="006E1411">
              <w:rPr>
                <w:sz w:val="20"/>
                <w:szCs w:val="20"/>
              </w:rPr>
              <w:t xml:space="preserve"> </w:t>
            </w:r>
            <w:r w:rsidRPr="00BC1105">
              <w:rPr>
                <w:sz w:val="20"/>
                <w:szCs w:val="20"/>
              </w:rPr>
              <w:t>product category could be disproportionately high for multi-asset funds when compared with single asset funds</w:t>
            </w:r>
            <w:r w:rsidR="003217FB">
              <w:rPr>
                <w:sz w:val="20"/>
                <w:szCs w:val="20"/>
              </w:rPr>
              <w:t xml:space="preserve">, and accommodation will be necessary for these funds under the revised SFDR. </w:t>
            </w:r>
          </w:p>
          <w:p w14:paraId="77169D26" w14:textId="77777777" w:rsidR="006F1D1B" w:rsidRDefault="006F1D1B">
            <w:pPr>
              <w:spacing w:after="0" w:line="259" w:lineRule="auto"/>
              <w:ind w:left="0" w:firstLine="0"/>
              <w:jc w:val="left"/>
              <w:rPr>
                <w:sz w:val="20"/>
                <w:szCs w:val="20"/>
              </w:rPr>
            </w:pPr>
          </w:p>
          <w:p w14:paraId="2D37D9B7" w14:textId="1E8FD196" w:rsidR="00506F5F" w:rsidRPr="00BC1105" w:rsidRDefault="006F1D1B">
            <w:pPr>
              <w:spacing w:after="0" w:line="259" w:lineRule="auto"/>
              <w:ind w:left="0" w:firstLine="0"/>
              <w:jc w:val="left"/>
              <w:rPr>
                <w:sz w:val="20"/>
                <w:szCs w:val="20"/>
              </w:rPr>
            </w:pPr>
            <w:r>
              <w:rPr>
                <w:sz w:val="20"/>
                <w:szCs w:val="20"/>
              </w:rPr>
              <w:t>Another consideration is passive strategies</w:t>
            </w:r>
            <w:r w:rsidR="00506F5F">
              <w:rPr>
                <w:sz w:val="20"/>
                <w:szCs w:val="20"/>
              </w:rPr>
              <w:t xml:space="preserve"> and making sure the </w:t>
            </w:r>
            <w:r w:rsidR="00506F5F" w:rsidRPr="00506F5F">
              <w:rPr>
                <w:sz w:val="20"/>
                <w:szCs w:val="20"/>
              </w:rPr>
              <w:t>qualifying criteria can effectively accommodate passive funds</w:t>
            </w:r>
            <w:r w:rsidR="00506F5F">
              <w:rPr>
                <w:sz w:val="20"/>
                <w:szCs w:val="20"/>
              </w:rPr>
              <w:t xml:space="preserve">. </w:t>
            </w:r>
            <w:r w:rsidR="00980B7B">
              <w:rPr>
                <w:sz w:val="20"/>
                <w:szCs w:val="20"/>
              </w:rPr>
              <w:t xml:space="preserve">Finally for </w:t>
            </w:r>
            <w:r w:rsidR="00571F24">
              <w:rPr>
                <w:sz w:val="20"/>
                <w:szCs w:val="20"/>
              </w:rPr>
              <w:t xml:space="preserve">funds with some underlying investment in SMEs, </w:t>
            </w:r>
            <w:r w:rsidR="0028262A">
              <w:rPr>
                <w:sz w:val="20"/>
                <w:szCs w:val="20"/>
              </w:rPr>
              <w:t>there will be some data availability challenges</w:t>
            </w:r>
            <w:r w:rsidR="00202F2A">
              <w:rPr>
                <w:sz w:val="20"/>
                <w:szCs w:val="20"/>
              </w:rPr>
              <w:t>,</w:t>
            </w:r>
            <w:r w:rsidR="00B40218">
              <w:rPr>
                <w:sz w:val="20"/>
                <w:szCs w:val="20"/>
              </w:rPr>
              <w:t xml:space="preserve"> and capacity-building continues to</w:t>
            </w:r>
            <w:r w:rsidR="00202F2A">
              <w:rPr>
                <w:sz w:val="20"/>
                <w:szCs w:val="20"/>
              </w:rPr>
              <w:t xml:space="preserve"> be needed </w:t>
            </w:r>
            <w:r w:rsidR="00B40218">
              <w:rPr>
                <w:sz w:val="20"/>
                <w:szCs w:val="20"/>
              </w:rPr>
              <w:t xml:space="preserve">to </w:t>
            </w:r>
            <w:r w:rsidR="007D730E">
              <w:rPr>
                <w:sz w:val="20"/>
                <w:szCs w:val="20"/>
              </w:rPr>
              <w:t>enhance</w:t>
            </w:r>
            <w:r w:rsidR="00B40218">
              <w:rPr>
                <w:sz w:val="20"/>
                <w:szCs w:val="20"/>
              </w:rPr>
              <w:t xml:space="preserve"> capacity and understanding among small businesses to report and </w:t>
            </w:r>
            <w:r w:rsidR="00202F2A">
              <w:rPr>
                <w:sz w:val="20"/>
                <w:szCs w:val="20"/>
              </w:rPr>
              <w:t xml:space="preserve">measure PAI-relevant data. There is also the issue of the </w:t>
            </w:r>
            <w:r w:rsidR="0028262A">
              <w:rPr>
                <w:sz w:val="20"/>
                <w:szCs w:val="20"/>
              </w:rPr>
              <w:t xml:space="preserve">relative size of small businesses in developing countries </w:t>
            </w:r>
            <w:r w:rsidR="00BE04F0">
              <w:rPr>
                <w:sz w:val="20"/>
                <w:szCs w:val="20"/>
              </w:rPr>
              <w:t xml:space="preserve">being smaller than their equivalents in the EU. </w:t>
            </w:r>
          </w:p>
          <w:p w14:paraId="3555158B" w14:textId="0A87842A" w:rsidR="00EB1259" w:rsidRPr="00EB1259" w:rsidRDefault="00EB1259">
            <w:pPr>
              <w:spacing w:after="0" w:line="259" w:lineRule="auto"/>
              <w:ind w:left="0" w:firstLine="0"/>
              <w:jc w:val="left"/>
              <w:rPr>
                <w:sz w:val="20"/>
                <w:szCs w:val="20"/>
              </w:rPr>
            </w:pPr>
          </w:p>
        </w:tc>
      </w:tr>
    </w:tbl>
    <w:p w14:paraId="50AF30F7" w14:textId="77777777" w:rsidR="0045673A" w:rsidRDefault="00E17DF3">
      <w:pPr>
        <w:spacing w:after="216" w:line="259" w:lineRule="auto"/>
        <w:ind w:left="0" w:firstLine="0"/>
        <w:jc w:val="left"/>
      </w:pPr>
      <w:r>
        <w:t xml:space="preserve"> </w:t>
      </w:r>
    </w:p>
    <w:p w14:paraId="6BF6610C" w14:textId="77777777" w:rsidR="0045673A" w:rsidRDefault="00E17DF3">
      <w:pPr>
        <w:spacing w:after="0" w:line="259" w:lineRule="auto"/>
        <w:ind w:left="0" w:firstLine="0"/>
        <w:jc w:val="left"/>
      </w:pPr>
      <w:r>
        <w:t xml:space="preserve"> </w:t>
      </w:r>
      <w:r>
        <w:tab/>
        <w:t xml:space="preserve"> </w:t>
      </w:r>
    </w:p>
    <w:p w14:paraId="65F60A16" w14:textId="77777777" w:rsidR="0045673A" w:rsidRDefault="00E17DF3">
      <w:pPr>
        <w:numPr>
          <w:ilvl w:val="0"/>
          <w:numId w:val="5"/>
        </w:numPr>
        <w:spacing w:after="30" w:line="265" w:lineRule="auto"/>
        <w:ind w:hanging="482"/>
        <w:jc w:val="left"/>
      </w:pPr>
      <w:r>
        <w:rPr>
          <w:b/>
        </w:rPr>
        <w:t>P</w:t>
      </w:r>
      <w:r>
        <w:rPr>
          <w:b/>
          <w:sz w:val="19"/>
        </w:rPr>
        <w:t xml:space="preserve">OTENTIAL ESTABLISHMENT OF A CATEGORISATION SYSTEM FOR FINANCIAL </w:t>
      </w:r>
    </w:p>
    <w:p w14:paraId="2AEDCA3B" w14:textId="77777777" w:rsidR="0045673A" w:rsidRDefault="00E17DF3">
      <w:pPr>
        <w:spacing w:after="498" w:line="265" w:lineRule="auto"/>
        <w:ind w:left="477"/>
        <w:jc w:val="left"/>
      </w:pPr>
      <w:r>
        <w:rPr>
          <w:b/>
          <w:sz w:val="19"/>
        </w:rPr>
        <w:t>PRODUCTS</w:t>
      </w:r>
      <w:r>
        <w:rPr>
          <w:b/>
        </w:rPr>
        <w:t xml:space="preserve"> </w:t>
      </w:r>
    </w:p>
    <w:p w14:paraId="7F7403E9" w14:textId="77777777" w:rsidR="0045673A" w:rsidRDefault="00E17DF3">
      <w:pPr>
        <w:tabs>
          <w:tab w:val="center" w:pos="662"/>
          <w:tab w:val="center" w:pos="2226"/>
        </w:tabs>
        <w:spacing w:after="226" w:line="265" w:lineRule="auto"/>
        <w:ind w:left="0" w:firstLine="0"/>
        <w:jc w:val="left"/>
      </w:pPr>
      <w:r>
        <w:rPr>
          <w:rFonts w:ascii="Calibri" w:eastAsia="Calibri" w:hAnsi="Calibri" w:cs="Calibri"/>
          <w:sz w:val="22"/>
        </w:rPr>
        <w:tab/>
      </w:r>
      <w:r>
        <w:rPr>
          <w:b/>
        </w:rPr>
        <w:t>4.1.</w:t>
      </w:r>
      <w:r>
        <w:rPr>
          <w:rFonts w:ascii="Arial" w:eastAsia="Arial" w:hAnsi="Arial" w:cs="Arial"/>
          <w:b/>
        </w:rPr>
        <w:t xml:space="preserve"> </w:t>
      </w:r>
      <w:r>
        <w:rPr>
          <w:rFonts w:ascii="Arial" w:eastAsia="Arial" w:hAnsi="Arial" w:cs="Arial"/>
          <w:b/>
        </w:rPr>
        <w:tab/>
      </w:r>
      <w:r>
        <w:rPr>
          <w:b/>
        </w:rPr>
        <w:t>P</w:t>
      </w:r>
      <w:r>
        <w:rPr>
          <w:b/>
          <w:sz w:val="19"/>
        </w:rPr>
        <w:t>OTENTIAL OPTIONS</w:t>
      </w:r>
      <w:r>
        <w:rPr>
          <w:b/>
        </w:rPr>
        <w:t xml:space="preserve"> </w:t>
      </w:r>
    </w:p>
    <w:p w14:paraId="20C6F09E" w14:textId="77777777" w:rsidR="0045673A" w:rsidRDefault="00E17DF3">
      <w:pPr>
        <w:spacing w:after="228"/>
        <w:ind w:right="643"/>
      </w:pPr>
      <w:r>
        <w:t xml:space="preserve">The fact that Articles 8 and 9 of the SFDR are being used as de facto product labels, together with the proliferation of national ESG/sustainability labels, suggests that there is a market demand for such tools in order to communicate the ESG/sustainability performance of financial products. However, there are persistent concerns that the current market use of the SFDR as a labelling scheme might lead to risks of greenwashing (the Commission services seek respondents’ views on this in section 1). This is partly because the existing concepts and definitions in the regulation were not conceived for that purpose. Instead, the intention behind them was to encompass as wide a range of products as possible, so that any sustainability claims had to be substantiated. In addition, a proliferation of national labels risks fragmenting the European market and thereby undermining the development of the </w:t>
      </w:r>
      <w:hyperlink r:id="rId90">
        <w:r>
          <w:rPr>
            <w:color w:val="0000FF"/>
            <w:u w:val="single" w:color="0000FF"/>
          </w:rPr>
          <w:t>capital markets union</w:t>
        </w:r>
      </w:hyperlink>
      <w:hyperlink r:id="rId91">
        <w:r>
          <w:t>.</w:t>
        </w:r>
      </w:hyperlink>
      <w:r>
        <w:t xml:space="preserve"> </w:t>
      </w:r>
    </w:p>
    <w:p w14:paraId="0B099154" w14:textId="77777777" w:rsidR="0045673A" w:rsidRDefault="00E17DF3">
      <w:pPr>
        <w:spacing w:after="228"/>
        <w:ind w:right="643"/>
      </w:pPr>
      <w:r>
        <w:t xml:space="preserve">The Commission services therefore seek views on the merits of developing a more precise EU-level product categorisation system based on precise criteria. This section of the questionnaire asks for stakeholders’ views about both the advantages of establishing sustainability product categories and about how these categories should work. When asking about sustainability product categories, the Commission is referring to a possible distinction between products depending on their sustainability objectives or sustainability performances. </w:t>
      </w:r>
    </w:p>
    <w:p w14:paraId="0918F246" w14:textId="77777777" w:rsidR="0045673A" w:rsidRDefault="00E17DF3">
      <w:pPr>
        <w:spacing w:after="229"/>
        <w:ind w:right="643"/>
      </w:pPr>
      <w:r>
        <w:t xml:space="preserve">Replies to questions in this section will help assess which type of investor would find product categories useful. Some questions relate to different possibilities as to how the system could be set-up, including whether disclosure requirements about products making sustainability claims should play a role. There are therefore certain links between questions in this section and section 3 on disclosures. Accordingly, respondents are invited to reply to questions in both sections, so that the Commission services can get insights into how they view disclosures and product categories separately, but also how they see the interlinkages between the two. </w:t>
      </w:r>
    </w:p>
    <w:p w14:paraId="1D132818" w14:textId="77777777" w:rsidR="0045673A" w:rsidRDefault="00E17DF3">
      <w:pPr>
        <w:spacing w:after="227"/>
        <w:ind w:right="643"/>
      </w:pPr>
      <w:r>
        <w:t xml:space="preserve">Given the high demand for sustainability products, questions in this section assume that any potential categorisation system would be voluntary. This is because financial market participants would likely have an interest in offering products with a sustainability claim. The questions in this section presume that only products that claim to fall under a given sustainability product category would be required to meet the corresponding requirements. However, this should not be seen as the Commission’s preferred policy approach, as the Commission is only consulting on these topics at this stage. </w:t>
      </w:r>
    </w:p>
    <w:p w14:paraId="02F5F132" w14:textId="77777777" w:rsidR="0045673A" w:rsidRDefault="00E17DF3">
      <w:pPr>
        <w:spacing w:after="228"/>
        <w:ind w:right="643"/>
      </w:pPr>
      <w:r>
        <w:t xml:space="preserve">If the Commission was to propose the development of a more precise product categorisation system, two broad strategies could be envisaged. On the one hand, the product categorisation system could build on and develop the distinction between Articles 8 and 9 and the existing concepts embedded in them (such as environmental/social characteristics, sustainable investment or do no significant harm), complemented by additional (minimum) criteria that more clearly define the products falling within the scope of each article. On the other hand, the product categorisation system could be based on a different approach, for instance focused on the type of investment strategy (promise of positive contribution to certain sustainability objectives, transition focus, etc.), based on criteria that do not necessarily relate to those existing concepts. In such a scenario, concepts such as environmental/social characteristics or sustainable investment and the distinction between current Articles 8 and 9 of SFDR may disappear altogether from the transparency framework. </w:t>
      </w:r>
    </w:p>
    <w:p w14:paraId="3032C1CA" w14:textId="77777777" w:rsidR="0045673A" w:rsidRDefault="00E17DF3">
      <w:pPr>
        <w:ind w:right="643"/>
      </w:pPr>
      <w:r>
        <w:rPr>
          <w:b/>
          <w:u w:val="single" w:color="000000"/>
        </w:rPr>
        <w:t>Question 4.1.1</w:t>
      </w:r>
      <w:r>
        <w:t xml:space="preserve">: To what extent do you agree with the following statements? </w:t>
      </w:r>
    </w:p>
    <w:tbl>
      <w:tblPr>
        <w:tblW w:w="8610" w:type="dxa"/>
        <w:tblCellMar>
          <w:top w:w="14" w:type="dxa"/>
          <w:right w:w="48" w:type="dxa"/>
        </w:tblCellMar>
        <w:tblLook w:val="04A0" w:firstRow="1" w:lastRow="0" w:firstColumn="1" w:lastColumn="0" w:noHBand="0" w:noVBand="1"/>
      </w:tblPr>
      <w:tblGrid>
        <w:gridCol w:w="5432"/>
        <w:gridCol w:w="451"/>
        <w:gridCol w:w="451"/>
        <w:gridCol w:w="452"/>
        <w:gridCol w:w="451"/>
        <w:gridCol w:w="451"/>
        <w:gridCol w:w="922"/>
      </w:tblGrid>
      <w:tr w:rsidR="0045673A" w14:paraId="4AF32C91"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264125D3"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2C54C60D"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4B3EB59E"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3FCA4085"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4D1A0B27"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7B2AB307"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302307E8" w14:textId="77777777" w:rsidR="0045673A" w:rsidRDefault="00E17DF3">
            <w:pPr>
              <w:spacing w:after="0" w:line="259" w:lineRule="auto"/>
              <w:ind w:left="0" w:firstLine="0"/>
              <w:jc w:val="center"/>
            </w:pPr>
            <w:r>
              <w:t xml:space="preserve">Don’t know </w:t>
            </w:r>
          </w:p>
        </w:tc>
      </w:tr>
      <w:tr w:rsidR="0045673A" w14:paraId="5FCEC06A" w14:textId="77777777">
        <w:trPr>
          <w:trHeight w:val="1354"/>
        </w:trPr>
        <w:tc>
          <w:tcPr>
            <w:tcW w:w="5432" w:type="dxa"/>
            <w:tcBorders>
              <w:top w:val="single" w:sz="4" w:space="0" w:color="000000"/>
              <w:left w:val="single" w:sz="4" w:space="0" w:color="000000"/>
              <w:bottom w:val="single" w:sz="4" w:space="0" w:color="000000"/>
              <w:right w:val="single" w:sz="4" w:space="0" w:color="000000"/>
            </w:tcBorders>
          </w:tcPr>
          <w:p w14:paraId="6E0195FB" w14:textId="77777777" w:rsidR="0045673A" w:rsidRDefault="00E17DF3">
            <w:pPr>
              <w:spacing w:after="0" w:line="259" w:lineRule="auto"/>
              <w:ind w:left="0" w:right="58" w:firstLine="0"/>
            </w:pPr>
            <w:r>
              <w:t xml:space="preserve">Sustainability product categories regulated at EU level would facilitate retail investor understanding of products’ sustainability-related strategies and objectives </w:t>
            </w:r>
          </w:p>
        </w:tc>
        <w:tc>
          <w:tcPr>
            <w:tcW w:w="451" w:type="dxa"/>
            <w:tcBorders>
              <w:top w:val="single" w:sz="4" w:space="0" w:color="000000"/>
              <w:left w:val="single" w:sz="4" w:space="0" w:color="000000"/>
              <w:bottom w:val="single" w:sz="4" w:space="0" w:color="000000"/>
              <w:right w:val="single" w:sz="4" w:space="0" w:color="000000"/>
            </w:tcBorders>
          </w:tcPr>
          <w:p w14:paraId="4DE3C02F" w14:textId="77777777" w:rsidR="0045673A" w:rsidRDefault="00E17DF3">
            <w:pPr>
              <w:spacing w:after="0" w:line="259" w:lineRule="auto"/>
              <w:ind w:left="5"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550AA9C" w14:textId="77777777" w:rsidR="0045673A" w:rsidRDefault="00E17DF3">
            <w:pPr>
              <w:spacing w:after="0" w:line="259" w:lineRule="auto"/>
              <w:ind w:left="0"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72ADECD9" w14:textId="5D488FC5" w:rsidR="0045673A" w:rsidRDefault="00E17DF3">
            <w:pPr>
              <w:spacing w:after="0" w:line="259" w:lineRule="auto"/>
              <w:ind w:left="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15643A4B" w14:textId="43C05015" w:rsidR="0045673A" w:rsidRDefault="00FA3628">
            <w:pPr>
              <w:spacing w:after="0" w:line="259" w:lineRule="auto"/>
              <w:ind w:left="0" w:firstLine="0"/>
              <w:jc w:val="center"/>
            </w:pPr>
            <w:r>
              <w:t>X</w:t>
            </w:r>
            <w:r w:rsidR="00E17DF3">
              <w:t xml:space="preserve"> </w:t>
            </w:r>
          </w:p>
        </w:tc>
        <w:tc>
          <w:tcPr>
            <w:tcW w:w="451" w:type="dxa"/>
            <w:tcBorders>
              <w:top w:val="single" w:sz="4" w:space="0" w:color="000000"/>
              <w:left w:val="single" w:sz="4" w:space="0" w:color="000000"/>
              <w:bottom w:val="single" w:sz="4" w:space="0" w:color="000000"/>
              <w:right w:val="single" w:sz="4" w:space="0" w:color="000000"/>
            </w:tcBorders>
          </w:tcPr>
          <w:p w14:paraId="411D13A8" w14:textId="357DAE8B" w:rsidR="0045673A" w:rsidRDefault="00E17DF3">
            <w:pPr>
              <w:spacing w:after="0" w:line="259" w:lineRule="auto"/>
              <w:ind w:left="0"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1387E7A7" w14:textId="77777777" w:rsidR="0045673A" w:rsidRDefault="00E17DF3">
            <w:pPr>
              <w:spacing w:after="0" w:line="259" w:lineRule="auto"/>
              <w:ind w:left="0" w:firstLine="0"/>
              <w:jc w:val="center"/>
            </w:pPr>
            <w:r>
              <w:t xml:space="preserve"> </w:t>
            </w:r>
          </w:p>
        </w:tc>
      </w:tr>
      <w:tr w:rsidR="0045673A" w14:paraId="134B971B" w14:textId="77777777">
        <w:trPr>
          <w:trHeight w:val="1354"/>
        </w:trPr>
        <w:tc>
          <w:tcPr>
            <w:tcW w:w="5432" w:type="dxa"/>
            <w:tcBorders>
              <w:top w:val="single" w:sz="4" w:space="0" w:color="000000"/>
              <w:left w:val="single" w:sz="4" w:space="0" w:color="000000"/>
              <w:bottom w:val="single" w:sz="4" w:space="0" w:color="000000"/>
              <w:right w:val="single" w:sz="4" w:space="0" w:color="000000"/>
            </w:tcBorders>
          </w:tcPr>
          <w:p w14:paraId="19B89F0B" w14:textId="77777777" w:rsidR="0045673A" w:rsidRDefault="00E17DF3">
            <w:pPr>
              <w:spacing w:after="0" w:line="259" w:lineRule="auto"/>
              <w:ind w:left="0" w:right="60" w:firstLine="0"/>
            </w:pPr>
            <w:r>
              <w:t xml:space="preserve">Sustainability product categories regulated at EU level would facilitate professional investor understanding of products’ sustainability-related strategies and objectives </w:t>
            </w:r>
          </w:p>
        </w:tc>
        <w:tc>
          <w:tcPr>
            <w:tcW w:w="451" w:type="dxa"/>
            <w:tcBorders>
              <w:top w:val="single" w:sz="4" w:space="0" w:color="000000"/>
              <w:left w:val="single" w:sz="4" w:space="0" w:color="000000"/>
              <w:bottom w:val="single" w:sz="4" w:space="0" w:color="000000"/>
              <w:right w:val="single" w:sz="4" w:space="0" w:color="000000"/>
            </w:tcBorders>
          </w:tcPr>
          <w:p w14:paraId="5ABA1820" w14:textId="77777777" w:rsidR="0045673A" w:rsidRDefault="00E17DF3">
            <w:pPr>
              <w:spacing w:after="0" w:line="259" w:lineRule="auto"/>
              <w:ind w:left="5"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03C6722" w14:textId="77777777" w:rsidR="0045673A" w:rsidRDefault="00E17DF3">
            <w:pPr>
              <w:spacing w:after="0" w:line="259" w:lineRule="auto"/>
              <w:ind w:left="0"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184D3F39" w14:textId="2DBD35EC" w:rsidR="0045673A" w:rsidRDefault="00E17DF3">
            <w:pPr>
              <w:spacing w:after="0" w:line="259" w:lineRule="auto"/>
              <w:ind w:left="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67F2633" w14:textId="43CD1576" w:rsidR="0045673A" w:rsidRDefault="00FA3628">
            <w:pPr>
              <w:spacing w:after="0" w:line="259" w:lineRule="auto"/>
              <w:ind w:left="0" w:firstLine="0"/>
              <w:jc w:val="center"/>
            </w:pPr>
            <w:r>
              <w:t>X</w:t>
            </w:r>
            <w:r w:rsidR="00E17DF3">
              <w:t xml:space="preserve"> </w:t>
            </w:r>
          </w:p>
        </w:tc>
        <w:tc>
          <w:tcPr>
            <w:tcW w:w="451" w:type="dxa"/>
            <w:tcBorders>
              <w:top w:val="single" w:sz="4" w:space="0" w:color="000000"/>
              <w:left w:val="single" w:sz="4" w:space="0" w:color="000000"/>
              <w:bottom w:val="single" w:sz="4" w:space="0" w:color="000000"/>
              <w:right w:val="single" w:sz="4" w:space="0" w:color="000000"/>
            </w:tcBorders>
          </w:tcPr>
          <w:p w14:paraId="36E97115" w14:textId="263271E7" w:rsidR="0045673A" w:rsidRDefault="0045673A">
            <w:pPr>
              <w:spacing w:after="0" w:line="259" w:lineRule="auto"/>
              <w:ind w:left="0" w:firstLine="0"/>
              <w:jc w:val="center"/>
            </w:pPr>
          </w:p>
        </w:tc>
        <w:tc>
          <w:tcPr>
            <w:tcW w:w="922" w:type="dxa"/>
            <w:tcBorders>
              <w:top w:val="single" w:sz="4" w:space="0" w:color="000000"/>
              <w:left w:val="single" w:sz="4" w:space="0" w:color="000000"/>
              <w:bottom w:val="single" w:sz="4" w:space="0" w:color="000000"/>
              <w:right w:val="single" w:sz="4" w:space="0" w:color="000000"/>
            </w:tcBorders>
          </w:tcPr>
          <w:p w14:paraId="34A40474" w14:textId="77777777" w:rsidR="0045673A" w:rsidRDefault="00E17DF3">
            <w:pPr>
              <w:spacing w:after="0" w:line="259" w:lineRule="auto"/>
              <w:ind w:left="0" w:firstLine="0"/>
              <w:jc w:val="center"/>
            </w:pPr>
            <w:r>
              <w:t xml:space="preserve"> </w:t>
            </w:r>
          </w:p>
        </w:tc>
      </w:tr>
      <w:tr w:rsidR="0045673A" w14:paraId="67E93466"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55F0ACCA" w14:textId="77777777" w:rsidR="0045673A" w:rsidRDefault="00E17DF3">
            <w:pPr>
              <w:spacing w:after="0" w:line="259" w:lineRule="auto"/>
              <w:ind w:left="0" w:firstLine="0"/>
            </w:pPr>
            <w:r>
              <w:t xml:space="preserve">Sustainability product categories regulated at EU level are necessary to combat greenwashing  </w:t>
            </w:r>
          </w:p>
        </w:tc>
        <w:tc>
          <w:tcPr>
            <w:tcW w:w="451" w:type="dxa"/>
            <w:tcBorders>
              <w:top w:val="single" w:sz="4" w:space="0" w:color="000000"/>
              <w:left w:val="single" w:sz="4" w:space="0" w:color="000000"/>
              <w:bottom w:val="single" w:sz="4" w:space="0" w:color="000000"/>
              <w:right w:val="single" w:sz="4" w:space="0" w:color="000000"/>
            </w:tcBorders>
          </w:tcPr>
          <w:p w14:paraId="0D21B440"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10CC02F"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4135A91C" w14:textId="3BA42254"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2A56F70" w14:textId="22C5D06D" w:rsidR="0045673A" w:rsidRDefault="00E17DF3">
            <w:pPr>
              <w:spacing w:after="0" w:line="259" w:lineRule="auto"/>
              <w:ind w:left="0" w:firstLine="0"/>
              <w:jc w:val="left"/>
            </w:pPr>
            <w:r>
              <w:t xml:space="preserve"> </w:t>
            </w:r>
            <w:r w:rsidR="00722059">
              <w:t>X</w:t>
            </w:r>
          </w:p>
        </w:tc>
        <w:tc>
          <w:tcPr>
            <w:tcW w:w="451" w:type="dxa"/>
            <w:tcBorders>
              <w:top w:val="single" w:sz="4" w:space="0" w:color="000000"/>
              <w:left w:val="single" w:sz="4" w:space="0" w:color="000000"/>
              <w:bottom w:val="single" w:sz="4" w:space="0" w:color="000000"/>
              <w:right w:val="single" w:sz="4" w:space="0" w:color="000000"/>
            </w:tcBorders>
          </w:tcPr>
          <w:p w14:paraId="5FB0F47A"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229FCF87" w14:textId="77777777" w:rsidR="0045673A" w:rsidRDefault="00E17DF3">
            <w:pPr>
              <w:spacing w:after="0" w:line="259" w:lineRule="auto"/>
              <w:ind w:left="0" w:firstLine="0"/>
              <w:jc w:val="left"/>
            </w:pPr>
            <w:r>
              <w:t xml:space="preserve"> </w:t>
            </w:r>
          </w:p>
        </w:tc>
      </w:tr>
      <w:tr w:rsidR="0045673A" w14:paraId="02068908" w14:textId="77777777">
        <w:trPr>
          <w:trHeight w:val="1080"/>
        </w:trPr>
        <w:tc>
          <w:tcPr>
            <w:tcW w:w="5432" w:type="dxa"/>
            <w:tcBorders>
              <w:top w:val="single" w:sz="4" w:space="0" w:color="000000"/>
              <w:left w:val="single" w:sz="4" w:space="0" w:color="000000"/>
              <w:bottom w:val="single" w:sz="4" w:space="0" w:color="000000"/>
              <w:right w:val="single" w:sz="4" w:space="0" w:color="000000"/>
            </w:tcBorders>
          </w:tcPr>
          <w:p w14:paraId="788C1C65" w14:textId="77777777" w:rsidR="0045673A" w:rsidRDefault="00E17DF3">
            <w:pPr>
              <w:spacing w:after="0" w:line="259" w:lineRule="auto"/>
              <w:ind w:left="0" w:right="60" w:firstLine="0"/>
            </w:pPr>
            <w:r>
              <w:t xml:space="preserve">Sustainability product categories regulated at EU level are necessary to avoid fragmenting the capital markets union. </w:t>
            </w:r>
          </w:p>
        </w:tc>
        <w:tc>
          <w:tcPr>
            <w:tcW w:w="451" w:type="dxa"/>
            <w:tcBorders>
              <w:top w:val="single" w:sz="4" w:space="0" w:color="000000"/>
              <w:left w:val="single" w:sz="4" w:space="0" w:color="000000"/>
              <w:bottom w:val="single" w:sz="4" w:space="0" w:color="000000"/>
              <w:right w:val="single" w:sz="4" w:space="0" w:color="000000"/>
            </w:tcBorders>
          </w:tcPr>
          <w:p w14:paraId="322A4BBF"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1BA8BE5F"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339C1023" w14:textId="47A7DBB6" w:rsidR="0045673A" w:rsidRDefault="00E17DF3">
            <w:pPr>
              <w:spacing w:after="0" w:line="259" w:lineRule="auto"/>
              <w:ind w:left="1" w:firstLine="0"/>
              <w:jc w:val="left"/>
            </w:pPr>
            <w:r>
              <w:t xml:space="preserve"> </w:t>
            </w:r>
            <w:r w:rsidR="00115F77">
              <w:t>X</w:t>
            </w:r>
          </w:p>
        </w:tc>
        <w:tc>
          <w:tcPr>
            <w:tcW w:w="451" w:type="dxa"/>
            <w:tcBorders>
              <w:top w:val="single" w:sz="4" w:space="0" w:color="000000"/>
              <w:left w:val="single" w:sz="4" w:space="0" w:color="000000"/>
              <w:bottom w:val="single" w:sz="4" w:space="0" w:color="000000"/>
              <w:right w:val="single" w:sz="4" w:space="0" w:color="000000"/>
            </w:tcBorders>
          </w:tcPr>
          <w:p w14:paraId="0523EF74" w14:textId="0DA4BFAB"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EA5D55C" w14:textId="4D8AE35E" w:rsidR="0045673A" w:rsidRDefault="0045673A">
            <w:pPr>
              <w:spacing w:after="0" w:line="259" w:lineRule="auto"/>
              <w:ind w:left="0" w:firstLine="0"/>
              <w:jc w:val="left"/>
            </w:pPr>
          </w:p>
        </w:tc>
        <w:tc>
          <w:tcPr>
            <w:tcW w:w="922" w:type="dxa"/>
            <w:tcBorders>
              <w:top w:val="single" w:sz="4" w:space="0" w:color="000000"/>
              <w:left w:val="single" w:sz="4" w:space="0" w:color="000000"/>
              <w:bottom w:val="single" w:sz="4" w:space="0" w:color="000000"/>
              <w:right w:val="single" w:sz="4" w:space="0" w:color="000000"/>
            </w:tcBorders>
          </w:tcPr>
          <w:p w14:paraId="4AF7084F" w14:textId="77777777" w:rsidR="0045673A" w:rsidRDefault="00E17DF3">
            <w:pPr>
              <w:spacing w:after="0" w:line="259" w:lineRule="auto"/>
              <w:ind w:left="0" w:firstLine="0"/>
              <w:jc w:val="left"/>
            </w:pPr>
            <w:r>
              <w:t xml:space="preserve"> </w:t>
            </w:r>
          </w:p>
        </w:tc>
      </w:tr>
      <w:tr w:rsidR="0045673A" w14:paraId="22639ACE" w14:textId="77777777">
        <w:trPr>
          <w:trHeight w:val="1354"/>
        </w:trPr>
        <w:tc>
          <w:tcPr>
            <w:tcW w:w="5432" w:type="dxa"/>
            <w:tcBorders>
              <w:top w:val="single" w:sz="4" w:space="0" w:color="000000"/>
              <w:left w:val="single" w:sz="4" w:space="0" w:color="000000"/>
              <w:bottom w:val="single" w:sz="4" w:space="0" w:color="000000"/>
              <w:right w:val="single" w:sz="4" w:space="0" w:color="000000"/>
            </w:tcBorders>
          </w:tcPr>
          <w:p w14:paraId="4FC3B293" w14:textId="77777777" w:rsidR="0045673A" w:rsidRDefault="00E17DF3">
            <w:pPr>
              <w:spacing w:after="0" w:line="259" w:lineRule="auto"/>
              <w:ind w:left="0" w:right="60" w:firstLine="0"/>
            </w:pPr>
            <w:r>
              <w:t xml:space="preserve">Sustainability product categories regulated at EU level are necessary to have efficient distribution systems based on investors’ sustainability preferences. </w:t>
            </w:r>
          </w:p>
        </w:tc>
        <w:tc>
          <w:tcPr>
            <w:tcW w:w="451" w:type="dxa"/>
            <w:tcBorders>
              <w:top w:val="single" w:sz="4" w:space="0" w:color="000000"/>
              <w:left w:val="single" w:sz="4" w:space="0" w:color="000000"/>
              <w:bottom w:val="single" w:sz="4" w:space="0" w:color="000000"/>
              <w:right w:val="single" w:sz="4" w:space="0" w:color="000000"/>
            </w:tcBorders>
          </w:tcPr>
          <w:p w14:paraId="21A693DD"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E834354"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5CBAB046" w14:textId="19D9AC42"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1096791" w14:textId="4EB21E77" w:rsidR="0045673A" w:rsidRDefault="00722059">
            <w:pPr>
              <w:spacing w:after="0" w:line="259" w:lineRule="auto"/>
              <w:ind w:left="0" w:firstLine="0"/>
              <w:jc w:val="left"/>
            </w:pPr>
            <w:r>
              <w:t>X</w:t>
            </w:r>
          </w:p>
        </w:tc>
        <w:tc>
          <w:tcPr>
            <w:tcW w:w="451" w:type="dxa"/>
            <w:tcBorders>
              <w:top w:val="single" w:sz="4" w:space="0" w:color="000000"/>
              <w:left w:val="single" w:sz="4" w:space="0" w:color="000000"/>
              <w:bottom w:val="single" w:sz="4" w:space="0" w:color="000000"/>
              <w:right w:val="single" w:sz="4" w:space="0" w:color="000000"/>
            </w:tcBorders>
          </w:tcPr>
          <w:p w14:paraId="60D6DBFF"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2DC2B9EE" w14:textId="77777777" w:rsidR="0045673A" w:rsidRDefault="00E17DF3">
            <w:pPr>
              <w:spacing w:after="0" w:line="259" w:lineRule="auto"/>
              <w:ind w:left="0" w:firstLine="0"/>
              <w:jc w:val="left"/>
            </w:pPr>
            <w:r>
              <w:t xml:space="preserve"> </w:t>
            </w:r>
          </w:p>
        </w:tc>
      </w:tr>
      <w:tr w:rsidR="0045673A" w14:paraId="749FEA91" w14:textId="77777777">
        <w:trPr>
          <w:trHeight w:val="1078"/>
        </w:trPr>
        <w:tc>
          <w:tcPr>
            <w:tcW w:w="5432" w:type="dxa"/>
            <w:tcBorders>
              <w:top w:val="single" w:sz="4" w:space="0" w:color="000000"/>
              <w:left w:val="single" w:sz="4" w:space="0" w:color="000000"/>
              <w:bottom w:val="single" w:sz="4" w:space="0" w:color="000000"/>
              <w:right w:val="single" w:sz="4" w:space="0" w:color="000000"/>
            </w:tcBorders>
          </w:tcPr>
          <w:p w14:paraId="6236A547" w14:textId="77777777" w:rsidR="0045673A" w:rsidRDefault="00E17DF3">
            <w:pPr>
              <w:spacing w:after="0" w:line="259" w:lineRule="auto"/>
              <w:ind w:left="0" w:right="60" w:firstLine="0"/>
            </w:pPr>
            <w:r>
              <w:t xml:space="preserve">There is no need for product categories. Pure disclosure requirements of sustainability information are sufficient. </w:t>
            </w:r>
          </w:p>
        </w:tc>
        <w:tc>
          <w:tcPr>
            <w:tcW w:w="451" w:type="dxa"/>
            <w:tcBorders>
              <w:top w:val="single" w:sz="4" w:space="0" w:color="000000"/>
              <w:left w:val="single" w:sz="4" w:space="0" w:color="000000"/>
              <w:bottom w:val="single" w:sz="4" w:space="0" w:color="000000"/>
              <w:right w:val="single" w:sz="4" w:space="0" w:color="000000"/>
            </w:tcBorders>
          </w:tcPr>
          <w:p w14:paraId="656F89D4" w14:textId="1FE838F6" w:rsidR="0045673A" w:rsidRDefault="00E17DF3">
            <w:pPr>
              <w:spacing w:after="0" w:line="259" w:lineRule="auto"/>
              <w:ind w:left="2" w:firstLine="0"/>
              <w:jc w:val="left"/>
            </w:pPr>
            <w:r>
              <w:t xml:space="preserve"> </w:t>
            </w:r>
            <w:r w:rsidR="00115F77">
              <w:t>X</w:t>
            </w:r>
          </w:p>
        </w:tc>
        <w:tc>
          <w:tcPr>
            <w:tcW w:w="451" w:type="dxa"/>
            <w:tcBorders>
              <w:top w:val="single" w:sz="4" w:space="0" w:color="000000"/>
              <w:left w:val="single" w:sz="4" w:space="0" w:color="000000"/>
              <w:bottom w:val="single" w:sz="4" w:space="0" w:color="000000"/>
              <w:right w:val="single" w:sz="4" w:space="0" w:color="000000"/>
            </w:tcBorders>
          </w:tcPr>
          <w:p w14:paraId="03077F95" w14:textId="1D675302"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51B62A61" w14:textId="77777777"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5484AE5F"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12248E8"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1B53B052" w14:textId="77777777" w:rsidR="0045673A" w:rsidRDefault="00E17DF3">
            <w:pPr>
              <w:spacing w:after="0" w:line="259" w:lineRule="auto"/>
              <w:ind w:left="0" w:firstLine="0"/>
              <w:jc w:val="left"/>
            </w:pPr>
            <w:r>
              <w:t xml:space="preserve"> </w:t>
            </w:r>
          </w:p>
        </w:tc>
      </w:tr>
    </w:tbl>
    <w:p w14:paraId="35F6AB88"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531F6363" w14:textId="77777777" w:rsidR="0045673A" w:rsidRDefault="00E17DF3">
      <w:pPr>
        <w:ind w:right="643"/>
      </w:pPr>
      <w:r>
        <w:rPr>
          <w:b/>
          <w:u w:val="single" w:color="000000"/>
        </w:rPr>
        <w:t>Question 4.1.2</w:t>
      </w:r>
      <w:r>
        <w:t xml:space="preserve">: If a categorisation system was established, how do you think categories should be designed? </w:t>
      </w:r>
    </w:p>
    <w:tbl>
      <w:tblPr>
        <w:tblW w:w="9158" w:type="dxa"/>
        <w:tblCellMar>
          <w:top w:w="14" w:type="dxa"/>
          <w:left w:w="5" w:type="dxa"/>
        </w:tblCellMar>
        <w:tblLook w:val="04A0" w:firstRow="1" w:lastRow="0" w:firstColumn="1" w:lastColumn="0" w:noHBand="0" w:noVBand="1"/>
      </w:tblPr>
      <w:tblGrid>
        <w:gridCol w:w="5323"/>
        <w:gridCol w:w="630"/>
        <w:gridCol w:w="633"/>
        <w:gridCol w:w="636"/>
        <w:gridCol w:w="630"/>
        <w:gridCol w:w="633"/>
        <w:gridCol w:w="673"/>
      </w:tblGrid>
      <w:tr w:rsidR="0045673A" w14:paraId="0E7A744A" w14:textId="77777777" w:rsidTr="00E46421">
        <w:trPr>
          <w:trHeight w:val="811"/>
        </w:trPr>
        <w:tc>
          <w:tcPr>
            <w:tcW w:w="5389" w:type="dxa"/>
            <w:tcBorders>
              <w:top w:val="single" w:sz="8" w:space="0" w:color="000000"/>
              <w:left w:val="single" w:sz="8" w:space="0" w:color="000000"/>
              <w:bottom w:val="single" w:sz="8" w:space="0" w:color="000000"/>
              <w:right w:val="single" w:sz="4" w:space="0" w:color="000000"/>
            </w:tcBorders>
          </w:tcPr>
          <w:p w14:paraId="7634A4C7" w14:textId="77777777" w:rsidR="0045673A" w:rsidRDefault="00E17DF3">
            <w:pPr>
              <w:spacing w:after="0" w:line="259" w:lineRule="auto"/>
              <w:ind w:left="823" w:firstLine="0"/>
              <w:jc w:val="left"/>
            </w:pPr>
            <w:r>
              <w:t xml:space="preserve"> </w:t>
            </w:r>
          </w:p>
        </w:tc>
        <w:tc>
          <w:tcPr>
            <w:tcW w:w="638" w:type="dxa"/>
            <w:tcBorders>
              <w:top w:val="single" w:sz="4" w:space="0" w:color="000000"/>
              <w:left w:val="single" w:sz="4" w:space="0" w:color="000000"/>
              <w:bottom w:val="single" w:sz="4" w:space="0" w:color="000000"/>
              <w:right w:val="single" w:sz="4" w:space="0" w:color="000000"/>
            </w:tcBorders>
          </w:tcPr>
          <w:p w14:paraId="5CA26200" w14:textId="77777777" w:rsidR="0045673A" w:rsidRDefault="00E17DF3">
            <w:pPr>
              <w:spacing w:after="0" w:line="259" w:lineRule="auto"/>
              <w:ind w:left="0" w:right="5" w:firstLine="0"/>
              <w:jc w:val="center"/>
            </w:pPr>
            <w:r>
              <w:t xml:space="preserve">1 </w:t>
            </w:r>
          </w:p>
        </w:tc>
        <w:tc>
          <w:tcPr>
            <w:tcW w:w="641" w:type="dxa"/>
            <w:tcBorders>
              <w:top w:val="single" w:sz="4" w:space="0" w:color="000000"/>
              <w:left w:val="single" w:sz="4" w:space="0" w:color="000000"/>
              <w:bottom w:val="single" w:sz="4" w:space="0" w:color="000000"/>
              <w:right w:val="single" w:sz="4" w:space="0" w:color="000000"/>
            </w:tcBorders>
          </w:tcPr>
          <w:p w14:paraId="5C966FA4" w14:textId="77777777" w:rsidR="0045673A" w:rsidRDefault="00E17DF3">
            <w:pPr>
              <w:spacing w:after="0" w:line="259" w:lineRule="auto"/>
              <w:ind w:left="0" w:right="3" w:firstLine="0"/>
              <w:jc w:val="center"/>
            </w:pPr>
            <w:r>
              <w:t xml:space="preserve">2 </w:t>
            </w:r>
          </w:p>
        </w:tc>
        <w:tc>
          <w:tcPr>
            <w:tcW w:w="641" w:type="dxa"/>
            <w:tcBorders>
              <w:top w:val="single" w:sz="4" w:space="0" w:color="000000"/>
              <w:left w:val="single" w:sz="4" w:space="0" w:color="000000"/>
              <w:bottom w:val="single" w:sz="4" w:space="0" w:color="000000"/>
              <w:right w:val="single" w:sz="4" w:space="0" w:color="000000"/>
            </w:tcBorders>
          </w:tcPr>
          <w:p w14:paraId="1245D806" w14:textId="77777777" w:rsidR="0045673A" w:rsidRDefault="00E17DF3">
            <w:pPr>
              <w:spacing w:after="0" w:line="259" w:lineRule="auto"/>
              <w:ind w:left="0" w:right="7" w:firstLine="0"/>
              <w:jc w:val="center"/>
            </w:pPr>
            <w:r>
              <w:t xml:space="preserve">3 </w:t>
            </w:r>
          </w:p>
        </w:tc>
        <w:tc>
          <w:tcPr>
            <w:tcW w:w="638" w:type="dxa"/>
            <w:tcBorders>
              <w:top w:val="single" w:sz="4" w:space="0" w:color="000000"/>
              <w:left w:val="single" w:sz="4" w:space="0" w:color="000000"/>
              <w:bottom w:val="single" w:sz="4" w:space="0" w:color="000000"/>
              <w:right w:val="single" w:sz="4" w:space="0" w:color="000000"/>
            </w:tcBorders>
          </w:tcPr>
          <w:p w14:paraId="1C7D11CF" w14:textId="77777777" w:rsidR="0045673A" w:rsidRDefault="00E17DF3">
            <w:pPr>
              <w:spacing w:after="0" w:line="259" w:lineRule="auto"/>
              <w:ind w:left="0" w:right="5" w:firstLine="0"/>
              <w:jc w:val="center"/>
            </w:pPr>
            <w:r>
              <w:t xml:space="preserve">4 </w:t>
            </w:r>
          </w:p>
        </w:tc>
        <w:tc>
          <w:tcPr>
            <w:tcW w:w="641" w:type="dxa"/>
            <w:tcBorders>
              <w:top w:val="single" w:sz="4" w:space="0" w:color="000000"/>
              <w:left w:val="single" w:sz="4" w:space="0" w:color="000000"/>
              <w:bottom w:val="single" w:sz="4" w:space="0" w:color="000000"/>
              <w:right w:val="single" w:sz="4" w:space="0" w:color="000000"/>
            </w:tcBorders>
          </w:tcPr>
          <w:p w14:paraId="0520EB73" w14:textId="77777777" w:rsidR="0045673A" w:rsidRDefault="00E17DF3">
            <w:pPr>
              <w:spacing w:after="0" w:line="259" w:lineRule="auto"/>
              <w:ind w:left="0" w:right="2" w:firstLine="0"/>
              <w:jc w:val="center"/>
            </w:pPr>
            <w:r>
              <w:t xml:space="preserve">5 </w:t>
            </w:r>
          </w:p>
        </w:tc>
        <w:tc>
          <w:tcPr>
            <w:tcW w:w="570" w:type="dxa"/>
            <w:tcBorders>
              <w:top w:val="single" w:sz="4" w:space="0" w:color="000000"/>
              <w:left w:val="single" w:sz="4" w:space="0" w:color="000000"/>
              <w:bottom w:val="single" w:sz="4" w:space="0" w:color="000000"/>
              <w:right w:val="single" w:sz="4" w:space="0" w:color="000000"/>
            </w:tcBorders>
          </w:tcPr>
          <w:p w14:paraId="5AF5458F" w14:textId="77777777" w:rsidR="0045673A" w:rsidRDefault="00E17DF3">
            <w:pPr>
              <w:spacing w:after="0" w:line="259" w:lineRule="auto"/>
              <w:ind w:left="0" w:firstLine="0"/>
              <w:jc w:val="center"/>
            </w:pPr>
            <w:r>
              <w:t>Don’t know</w:t>
            </w:r>
          </w:p>
        </w:tc>
      </w:tr>
      <w:tr w:rsidR="0045673A" w14:paraId="054E7B45" w14:textId="77777777" w:rsidTr="00E46421">
        <w:trPr>
          <w:trHeight w:val="1672"/>
        </w:trPr>
        <w:tc>
          <w:tcPr>
            <w:tcW w:w="5389" w:type="dxa"/>
            <w:tcBorders>
              <w:top w:val="single" w:sz="8" w:space="0" w:color="000000"/>
              <w:left w:val="single" w:sz="8" w:space="0" w:color="000000"/>
              <w:bottom w:val="single" w:sz="4" w:space="0" w:color="000000"/>
              <w:right w:val="single" w:sz="4" w:space="0" w:color="000000"/>
            </w:tcBorders>
          </w:tcPr>
          <w:p w14:paraId="0ACBFF98" w14:textId="732B2BBA" w:rsidR="0045673A" w:rsidRDefault="00E17DF3">
            <w:pPr>
              <w:spacing w:after="0" w:line="259" w:lineRule="auto"/>
              <w:ind w:left="103" w:right="109" w:firstLine="0"/>
            </w:pPr>
            <w:r>
              <w:rPr>
                <w:b/>
              </w:rPr>
              <w:t>Approach 1</w:t>
            </w:r>
            <w:r>
              <w:t xml:space="preserve">: Splitting categories in a different way than according to existing concepts used in Articles 8 and 9, for example, focusing on the type of investment strategy of the product (promise of positive contribution to certain sustainability objectives, transition, etc.) based on criteria that do </w:t>
            </w:r>
            <w:r w:rsidR="00E46421">
              <w:t>not necessarily relate to those existing concepts.</w:t>
            </w:r>
          </w:p>
        </w:tc>
        <w:tc>
          <w:tcPr>
            <w:tcW w:w="638" w:type="dxa"/>
            <w:tcBorders>
              <w:top w:val="single" w:sz="4" w:space="0" w:color="000000"/>
              <w:left w:val="single" w:sz="4" w:space="0" w:color="000000"/>
              <w:bottom w:val="single" w:sz="4" w:space="0" w:color="000000"/>
              <w:right w:val="single" w:sz="4" w:space="0" w:color="000000"/>
            </w:tcBorders>
          </w:tcPr>
          <w:p w14:paraId="4F193359" w14:textId="77777777" w:rsidR="0045673A" w:rsidRDefault="00E17DF3">
            <w:pPr>
              <w:spacing w:after="0" w:line="259" w:lineRule="auto"/>
              <w:ind w:left="103" w:firstLine="0"/>
              <w:jc w:val="left"/>
            </w:pPr>
            <w:r>
              <w:t xml:space="preserve"> </w:t>
            </w:r>
          </w:p>
        </w:tc>
        <w:tc>
          <w:tcPr>
            <w:tcW w:w="641" w:type="dxa"/>
            <w:tcBorders>
              <w:top w:val="single" w:sz="4" w:space="0" w:color="000000"/>
              <w:left w:val="single" w:sz="4" w:space="0" w:color="000000"/>
              <w:bottom w:val="single" w:sz="4" w:space="0" w:color="000000"/>
              <w:right w:val="single" w:sz="4" w:space="0" w:color="000000"/>
            </w:tcBorders>
          </w:tcPr>
          <w:p w14:paraId="14D3C1F7" w14:textId="6DA73613" w:rsidR="0045673A" w:rsidRDefault="00E17DF3">
            <w:pPr>
              <w:spacing w:after="0" w:line="259" w:lineRule="auto"/>
              <w:ind w:left="106" w:firstLine="0"/>
              <w:jc w:val="left"/>
            </w:pPr>
            <w:r>
              <w:t xml:space="preserve"> </w:t>
            </w:r>
          </w:p>
        </w:tc>
        <w:tc>
          <w:tcPr>
            <w:tcW w:w="641" w:type="dxa"/>
            <w:tcBorders>
              <w:top w:val="single" w:sz="4" w:space="0" w:color="000000"/>
              <w:left w:val="single" w:sz="4" w:space="0" w:color="000000"/>
              <w:bottom w:val="single" w:sz="4" w:space="0" w:color="000000"/>
              <w:right w:val="single" w:sz="4" w:space="0" w:color="000000"/>
            </w:tcBorders>
          </w:tcPr>
          <w:p w14:paraId="1AC4D209" w14:textId="5685FF7D" w:rsidR="0045673A" w:rsidRDefault="00E17DF3">
            <w:pPr>
              <w:spacing w:after="0" w:line="259" w:lineRule="auto"/>
              <w:ind w:left="103" w:firstLine="0"/>
              <w:jc w:val="left"/>
            </w:pPr>
            <w:r>
              <w:t xml:space="preserve"> </w:t>
            </w:r>
            <w:r w:rsidR="00796671">
              <w:t>X</w:t>
            </w:r>
          </w:p>
        </w:tc>
        <w:tc>
          <w:tcPr>
            <w:tcW w:w="638" w:type="dxa"/>
            <w:tcBorders>
              <w:top w:val="single" w:sz="4" w:space="0" w:color="000000"/>
              <w:left w:val="single" w:sz="4" w:space="0" w:color="000000"/>
              <w:bottom w:val="single" w:sz="4" w:space="0" w:color="000000"/>
              <w:right w:val="single" w:sz="4" w:space="0" w:color="000000"/>
            </w:tcBorders>
          </w:tcPr>
          <w:p w14:paraId="0BBA6AAE" w14:textId="2ADE08EA" w:rsidR="0045673A" w:rsidRDefault="00E17DF3">
            <w:pPr>
              <w:spacing w:after="0" w:line="259" w:lineRule="auto"/>
              <w:ind w:left="103" w:firstLine="0"/>
              <w:jc w:val="left"/>
            </w:pPr>
            <w:r>
              <w:t xml:space="preserve"> </w:t>
            </w:r>
          </w:p>
        </w:tc>
        <w:tc>
          <w:tcPr>
            <w:tcW w:w="641" w:type="dxa"/>
            <w:tcBorders>
              <w:top w:val="single" w:sz="4" w:space="0" w:color="000000"/>
              <w:left w:val="single" w:sz="4" w:space="0" w:color="000000"/>
              <w:bottom w:val="single" w:sz="4" w:space="0" w:color="000000"/>
              <w:right w:val="single" w:sz="4" w:space="0" w:color="000000"/>
            </w:tcBorders>
          </w:tcPr>
          <w:p w14:paraId="099B4CA9" w14:textId="77777777" w:rsidR="0045673A" w:rsidRDefault="00E17DF3">
            <w:pPr>
              <w:spacing w:after="0" w:line="259" w:lineRule="auto"/>
              <w:ind w:left="58" w:firstLine="0"/>
              <w:jc w:val="center"/>
            </w:pPr>
            <w:r>
              <w:t xml:space="preserve"> </w:t>
            </w:r>
          </w:p>
        </w:tc>
        <w:tc>
          <w:tcPr>
            <w:tcW w:w="570" w:type="dxa"/>
            <w:tcBorders>
              <w:top w:val="single" w:sz="4" w:space="0" w:color="000000"/>
              <w:left w:val="single" w:sz="4" w:space="0" w:color="000000"/>
              <w:bottom w:val="single" w:sz="4" w:space="0" w:color="000000"/>
              <w:right w:val="single" w:sz="4" w:space="0" w:color="000000"/>
            </w:tcBorders>
          </w:tcPr>
          <w:p w14:paraId="25D8B2C2" w14:textId="77777777" w:rsidR="0045673A" w:rsidRDefault="00E17DF3">
            <w:pPr>
              <w:spacing w:after="0" w:line="259" w:lineRule="auto"/>
              <w:ind w:left="104" w:firstLine="0"/>
              <w:jc w:val="left"/>
            </w:pPr>
            <w:r>
              <w:t xml:space="preserve"> </w:t>
            </w:r>
          </w:p>
        </w:tc>
      </w:tr>
      <w:tr w:rsidR="0045673A" w14:paraId="077979A1" w14:textId="77777777" w:rsidTr="00E46421">
        <w:trPr>
          <w:trHeight w:val="1630"/>
        </w:trPr>
        <w:tc>
          <w:tcPr>
            <w:tcW w:w="5389" w:type="dxa"/>
            <w:tcBorders>
              <w:top w:val="single" w:sz="4" w:space="0" w:color="000000"/>
              <w:left w:val="single" w:sz="8" w:space="0" w:color="000000"/>
              <w:bottom w:val="single" w:sz="4" w:space="0" w:color="000000"/>
              <w:right w:val="single" w:sz="4" w:space="0" w:color="000000"/>
            </w:tcBorders>
          </w:tcPr>
          <w:p w14:paraId="19057A9B" w14:textId="77777777" w:rsidR="0045673A" w:rsidRDefault="00E17DF3">
            <w:pPr>
              <w:spacing w:after="0" w:line="259" w:lineRule="auto"/>
              <w:ind w:left="0" w:right="60" w:firstLine="0"/>
            </w:pPr>
            <w:r>
              <w:rPr>
                <w:b/>
              </w:rPr>
              <w:t>Approach 2</w:t>
            </w:r>
            <w:r>
              <w:t xml:space="preserve">: Converting Articles 8 and 9 into formal product categories, and clarifying and adding criteria to underpin the existing concepts of environmental/social characteristics, sustainable investment, do no significant harm, etc. </w:t>
            </w:r>
          </w:p>
        </w:tc>
        <w:tc>
          <w:tcPr>
            <w:tcW w:w="638" w:type="dxa"/>
            <w:tcBorders>
              <w:top w:val="single" w:sz="4" w:space="0" w:color="000000"/>
              <w:left w:val="single" w:sz="4" w:space="0" w:color="000000"/>
              <w:bottom w:val="single" w:sz="4" w:space="0" w:color="000000"/>
              <w:right w:val="single" w:sz="4" w:space="0" w:color="000000"/>
            </w:tcBorders>
          </w:tcPr>
          <w:p w14:paraId="023D51D9" w14:textId="77777777" w:rsidR="0045673A" w:rsidRDefault="00E17DF3">
            <w:pPr>
              <w:spacing w:after="0" w:line="259" w:lineRule="auto"/>
              <w:ind w:left="0" w:firstLine="0"/>
              <w:jc w:val="left"/>
            </w:pPr>
            <w:r>
              <w:t xml:space="preserve"> </w:t>
            </w:r>
          </w:p>
        </w:tc>
        <w:tc>
          <w:tcPr>
            <w:tcW w:w="641" w:type="dxa"/>
            <w:tcBorders>
              <w:top w:val="single" w:sz="4" w:space="0" w:color="000000"/>
              <w:left w:val="single" w:sz="4" w:space="0" w:color="000000"/>
              <w:bottom w:val="single" w:sz="4" w:space="0" w:color="000000"/>
              <w:right w:val="single" w:sz="4" w:space="0" w:color="000000"/>
            </w:tcBorders>
          </w:tcPr>
          <w:p w14:paraId="05799487" w14:textId="49039847" w:rsidR="0045673A" w:rsidRDefault="00E17DF3">
            <w:pPr>
              <w:spacing w:after="0" w:line="259" w:lineRule="auto"/>
              <w:ind w:left="2" w:firstLine="0"/>
              <w:jc w:val="left"/>
            </w:pPr>
            <w:r>
              <w:t xml:space="preserve"> </w:t>
            </w:r>
          </w:p>
        </w:tc>
        <w:tc>
          <w:tcPr>
            <w:tcW w:w="641" w:type="dxa"/>
            <w:tcBorders>
              <w:top w:val="single" w:sz="4" w:space="0" w:color="000000"/>
              <w:left w:val="single" w:sz="4" w:space="0" w:color="000000"/>
              <w:bottom w:val="single" w:sz="4" w:space="0" w:color="000000"/>
              <w:right w:val="single" w:sz="4" w:space="0" w:color="000000"/>
            </w:tcBorders>
          </w:tcPr>
          <w:p w14:paraId="2443B658" w14:textId="42D264AC" w:rsidR="0045673A" w:rsidRDefault="00E17DF3">
            <w:pPr>
              <w:spacing w:after="0" w:line="259" w:lineRule="auto"/>
              <w:ind w:left="0" w:firstLine="0"/>
              <w:jc w:val="left"/>
            </w:pPr>
            <w:r>
              <w:t xml:space="preserve"> </w:t>
            </w:r>
            <w:r w:rsidR="00796671">
              <w:t>X</w:t>
            </w:r>
          </w:p>
        </w:tc>
        <w:tc>
          <w:tcPr>
            <w:tcW w:w="638" w:type="dxa"/>
            <w:tcBorders>
              <w:top w:val="single" w:sz="4" w:space="0" w:color="000000"/>
              <w:left w:val="single" w:sz="4" w:space="0" w:color="000000"/>
              <w:bottom w:val="single" w:sz="4" w:space="0" w:color="000000"/>
              <w:right w:val="single" w:sz="4" w:space="0" w:color="000000"/>
            </w:tcBorders>
          </w:tcPr>
          <w:p w14:paraId="54B71A63" w14:textId="1C6CF85F" w:rsidR="0045673A" w:rsidRDefault="00E17DF3">
            <w:pPr>
              <w:spacing w:after="0" w:line="259" w:lineRule="auto"/>
              <w:ind w:left="0" w:firstLine="0"/>
              <w:jc w:val="left"/>
            </w:pPr>
            <w:r>
              <w:t xml:space="preserve"> </w:t>
            </w:r>
          </w:p>
        </w:tc>
        <w:tc>
          <w:tcPr>
            <w:tcW w:w="641" w:type="dxa"/>
            <w:tcBorders>
              <w:top w:val="single" w:sz="4" w:space="0" w:color="000000"/>
              <w:left w:val="single" w:sz="4" w:space="0" w:color="000000"/>
              <w:bottom w:val="single" w:sz="4" w:space="0" w:color="000000"/>
              <w:right w:val="single" w:sz="4" w:space="0" w:color="000000"/>
            </w:tcBorders>
          </w:tcPr>
          <w:p w14:paraId="0F7C1D0D" w14:textId="77777777" w:rsidR="0045673A" w:rsidRDefault="00E17DF3">
            <w:pPr>
              <w:spacing w:after="0" w:line="259" w:lineRule="auto"/>
              <w:ind w:left="4" w:firstLine="0"/>
              <w:jc w:val="center"/>
            </w:pPr>
            <w:r>
              <w:t xml:space="preserve"> </w:t>
            </w:r>
          </w:p>
        </w:tc>
        <w:tc>
          <w:tcPr>
            <w:tcW w:w="570" w:type="dxa"/>
            <w:tcBorders>
              <w:top w:val="single" w:sz="4" w:space="0" w:color="000000"/>
              <w:left w:val="single" w:sz="4" w:space="0" w:color="000000"/>
              <w:bottom w:val="single" w:sz="4" w:space="0" w:color="000000"/>
              <w:right w:val="single" w:sz="4" w:space="0" w:color="000000"/>
            </w:tcBorders>
          </w:tcPr>
          <w:p w14:paraId="277325AF" w14:textId="77777777" w:rsidR="0045673A" w:rsidRDefault="00E17DF3">
            <w:pPr>
              <w:spacing w:after="0" w:line="259" w:lineRule="auto"/>
              <w:ind w:left="0" w:firstLine="0"/>
              <w:jc w:val="left"/>
            </w:pPr>
            <w:r>
              <w:t xml:space="preserve"> </w:t>
            </w:r>
          </w:p>
        </w:tc>
      </w:tr>
    </w:tbl>
    <w:p w14:paraId="407A35D8" w14:textId="327A5916" w:rsidR="0045673A" w:rsidRDefault="00E17DF3" w:rsidP="00CA1B26">
      <w:pPr>
        <w:spacing w:after="245" w:line="268" w:lineRule="auto"/>
        <w:ind w:left="-5" w:right="365"/>
        <w:jc w:val="left"/>
      </w:pPr>
      <w:r>
        <w:rPr>
          <w:i/>
          <w:sz w:val="20"/>
        </w:rPr>
        <w:t xml:space="preserve">(1= totally disagree, 2= mostly disagree, 3= partially disagree and partially agree, 4= mostly agree, 5= totally agree) </w:t>
      </w:r>
    </w:p>
    <w:p w14:paraId="2B708479" w14:textId="77777777" w:rsidR="0045673A" w:rsidRDefault="00E17DF3">
      <w:pPr>
        <w:spacing w:after="46"/>
        <w:ind w:right="643"/>
      </w:pPr>
      <w:r w:rsidRPr="004C100C">
        <w:t>Please explain your reply to questions 4.1.2 and 4.2.2:</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369FC09C"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294BF5B1" w14:textId="77777777" w:rsidR="00697B3C" w:rsidRDefault="00697B3C" w:rsidP="00F54A43">
            <w:pPr>
              <w:ind w:left="0" w:firstLine="0"/>
              <w:rPr>
                <w:sz w:val="20"/>
                <w:szCs w:val="20"/>
              </w:rPr>
            </w:pPr>
            <w:bookmarkStart w:id="1" w:name="_Hlk148084627"/>
          </w:p>
          <w:p w14:paraId="093EADC5" w14:textId="5D2E1AF9" w:rsidR="00EF65AE" w:rsidRPr="0086033C" w:rsidRDefault="00E91487" w:rsidP="00F54A43">
            <w:pPr>
              <w:ind w:left="0" w:firstLine="0"/>
              <w:rPr>
                <w:sz w:val="20"/>
                <w:szCs w:val="20"/>
              </w:rPr>
            </w:pPr>
            <w:r w:rsidRPr="0086033C">
              <w:rPr>
                <w:sz w:val="20"/>
                <w:szCs w:val="20"/>
              </w:rPr>
              <w:t>We very much welcome the opportunity afforded by the Commission’s consultation to consider how the existing SFDR framework could be clarified and reformed i</w:t>
            </w:r>
            <w:r w:rsidR="0045393E">
              <w:rPr>
                <w:sz w:val="20"/>
                <w:szCs w:val="20"/>
              </w:rPr>
              <w:t>n future</w:t>
            </w:r>
            <w:r w:rsidRPr="0086033C">
              <w:rPr>
                <w:sz w:val="20"/>
                <w:szCs w:val="20"/>
              </w:rPr>
              <w:t xml:space="preserve"> to ensure it can deliver </w:t>
            </w:r>
            <w:r w:rsidR="00E44EDE">
              <w:rPr>
                <w:sz w:val="20"/>
                <w:szCs w:val="20"/>
              </w:rPr>
              <w:t>more effectively</w:t>
            </w:r>
            <w:r w:rsidR="00481B1B">
              <w:rPr>
                <w:sz w:val="20"/>
                <w:szCs w:val="20"/>
              </w:rPr>
              <w:t xml:space="preserve"> </w:t>
            </w:r>
            <w:r w:rsidRPr="0086033C">
              <w:rPr>
                <w:sz w:val="20"/>
                <w:szCs w:val="20"/>
              </w:rPr>
              <w:t xml:space="preserve">on its original, intended objectives. </w:t>
            </w:r>
          </w:p>
          <w:p w14:paraId="15A1108F" w14:textId="77777777" w:rsidR="00E91487" w:rsidRPr="0086033C" w:rsidRDefault="00E91487" w:rsidP="00F54A43">
            <w:pPr>
              <w:ind w:left="0" w:firstLine="0"/>
              <w:rPr>
                <w:sz w:val="20"/>
                <w:szCs w:val="20"/>
              </w:rPr>
            </w:pPr>
          </w:p>
          <w:p w14:paraId="083C726A" w14:textId="77777777" w:rsidR="00DC08A2" w:rsidRDefault="00BF057E" w:rsidP="00F54A43">
            <w:pPr>
              <w:ind w:left="0" w:firstLine="0"/>
              <w:rPr>
                <w:sz w:val="20"/>
                <w:szCs w:val="20"/>
              </w:rPr>
            </w:pPr>
            <w:r w:rsidRPr="0086033C">
              <w:rPr>
                <w:sz w:val="20"/>
                <w:szCs w:val="20"/>
              </w:rPr>
              <w:t>We are supportive of a ‘hybrid’ approach drawing on both ‘Approach 1’ and ‘Approach 2’</w:t>
            </w:r>
            <w:r w:rsidR="00AF6CF1" w:rsidRPr="0086033C">
              <w:rPr>
                <w:sz w:val="20"/>
                <w:szCs w:val="20"/>
              </w:rPr>
              <w:t xml:space="preserve"> highlighted by the Commission;</w:t>
            </w:r>
            <w:r w:rsidR="009B20EA" w:rsidRPr="0086033C">
              <w:rPr>
                <w:sz w:val="20"/>
                <w:szCs w:val="20"/>
              </w:rPr>
              <w:t xml:space="preserve"> specifically</w:t>
            </w:r>
            <w:r w:rsidR="001B10BD" w:rsidRPr="0086033C">
              <w:rPr>
                <w:sz w:val="20"/>
                <w:szCs w:val="20"/>
              </w:rPr>
              <w:t xml:space="preserve">, building on the main concepts and notions of the current framework, including the definition of ‘sustainable investments’ and the Principle Adverse Impact (PAI) indicators, while moving away from the de-facto labels </w:t>
            </w:r>
            <w:r w:rsidR="00707B29" w:rsidRPr="0086033C">
              <w:rPr>
                <w:sz w:val="20"/>
                <w:szCs w:val="20"/>
              </w:rPr>
              <w:t xml:space="preserve">that ‘Article 8’ and ‘Article 9’ have evolved towards. </w:t>
            </w:r>
          </w:p>
          <w:p w14:paraId="5638B067" w14:textId="77777777" w:rsidR="00DC08A2" w:rsidRDefault="00DC08A2" w:rsidP="00F54A43">
            <w:pPr>
              <w:ind w:left="0" w:firstLine="0"/>
              <w:rPr>
                <w:sz w:val="20"/>
                <w:szCs w:val="20"/>
              </w:rPr>
            </w:pPr>
          </w:p>
          <w:p w14:paraId="5C1BEF5B" w14:textId="11FDF1FA" w:rsidR="00E91487" w:rsidRPr="0086033C" w:rsidRDefault="00DC6C76" w:rsidP="00F54A43">
            <w:pPr>
              <w:ind w:left="0" w:firstLine="0"/>
              <w:rPr>
                <w:sz w:val="20"/>
                <w:szCs w:val="20"/>
              </w:rPr>
            </w:pPr>
            <w:r>
              <w:rPr>
                <w:sz w:val="20"/>
                <w:szCs w:val="20"/>
              </w:rPr>
              <w:t>This new approach to the SFDR would need to be implemented over time to allow financial market participants</w:t>
            </w:r>
            <w:r w:rsidR="005F2E0B">
              <w:rPr>
                <w:sz w:val="20"/>
                <w:szCs w:val="20"/>
              </w:rPr>
              <w:t xml:space="preserve"> a sufficient period</w:t>
            </w:r>
            <w:r>
              <w:rPr>
                <w:sz w:val="20"/>
                <w:szCs w:val="20"/>
              </w:rPr>
              <w:t xml:space="preserve"> to make changes to their existing fund disclosures, documentation, and undertake any other necessary changes</w:t>
            </w:r>
            <w:r w:rsidR="005F2E0B">
              <w:rPr>
                <w:sz w:val="20"/>
                <w:szCs w:val="20"/>
              </w:rPr>
              <w:t xml:space="preserve"> in advance of a new framework coming into effect.</w:t>
            </w:r>
          </w:p>
          <w:p w14:paraId="0AC2D4A1" w14:textId="77777777" w:rsidR="0080358A" w:rsidRPr="0086033C" w:rsidRDefault="0080358A" w:rsidP="00F54A43">
            <w:pPr>
              <w:ind w:left="0" w:firstLine="0"/>
              <w:rPr>
                <w:sz w:val="20"/>
                <w:szCs w:val="20"/>
              </w:rPr>
            </w:pPr>
          </w:p>
          <w:p w14:paraId="6DB3D6A1" w14:textId="12B8DCAB" w:rsidR="002E6BD4" w:rsidRPr="0086033C" w:rsidRDefault="0080358A" w:rsidP="00F54A43">
            <w:pPr>
              <w:ind w:left="0" w:firstLine="0"/>
              <w:rPr>
                <w:sz w:val="20"/>
                <w:szCs w:val="20"/>
              </w:rPr>
            </w:pPr>
            <w:r w:rsidRPr="0086033C">
              <w:rPr>
                <w:sz w:val="20"/>
                <w:szCs w:val="20"/>
              </w:rPr>
              <w:t>A shift towards distinct labelling categories</w:t>
            </w:r>
            <w:r w:rsidR="00AF6CF1" w:rsidRPr="0086033C">
              <w:rPr>
                <w:sz w:val="20"/>
                <w:szCs w:val="20"/>
              </w:rPr>
              <w:t xml:space="preserve"> similarly to the FCA’</w:t>
            </w:r>
            <w:r w:rsidR="003A545B">
              <w:rPr>
                <w:sz w:val="20"/>
                <w:szCs w:val="20"/>
              </w:rPr>
              <w:t>s</w:t>
            </w:r>
            <w:r w:rsidR="00AF6CF1" w:rsidRPr="0086033C">
              <w:rPr>
                <w:sz w:val="20"/>
                <w:szCs w:val="20"/>
              </w:rPr>
              <w:t xml:space="preserve"> SDRs and SEC’s draft ESG fund disclosure rules</w:t>
            </w:r>
            <w:r w:rsidRPr="0086033C">
              <w:rPr>
                <w:sz w:val="20"/>
                <w:szCs w:val="20"/>
              </w:rPr>
              <w:t>, centred around the investment objectives and sustainability objectives of funds, under a revised SFDR framework would be a positive step forward, in our view</w:t>
            </w:r>
            <w:r w:rsidR="00AF6CF1" w:rsidRPr="0086033C">
              <w:rPr>
                <w:sz w:val="20"/>
                <w:szCs w:val="20"/>
              </w:rPr>
              <w:t>.</w:t>
            </w:r>
            <w:r w:rsidR="00082E84" w:rsidRPr="0086033C">
              <w:rPr>
                <w:sz w:val="20"/>
                <w:szCs w:val="20"/>
              </w:rPr>
              <w:t xml:space="preserve"> </w:t>
            </w:r>
            <w:r w:rsidR="0054542A" w:rsidRPr="0086033C">
              <w:rPr>
                <w:sz w:val="20"/>
                <w:szCs w:val="20"/>
              </w:rPr>
              <w:t xml:space="preserve">More specifically, a ‘hybrid’ approach from the Commission </w:t>
            </w:r>
            <w:r w:rsidR="00891BED" w:rsidRPr="0086033C">
              <w:rPr>
                <w:sz w:val="20"/>
                <w:szCs w:val="20"/>
              </w:rPr>
              <w:t>shou</w:t>
            </w:r>
            <w:r w:rsidR="0054542A" w:rsidRPr="0086033C">
              <w:rPr>
                <w:sz w:val="20"/>
                <w:szCs w:val="20"/>
              </w:rPr>
              <w:t>ld consider the following elements under a revised framework:</w:t>
            </w:r>
          </w:p>
          <w:p w14:paraId="67E05110" w14:textId="77777777" w:rsidR="002E6BD4" w:rsidRPr="0086033C" w:rsidRDefault="002E6BD4" w:rsidP="00F54A43">
            <w:pPr>
              <w:ind w:left="0" w:firstLine="0"/>
              <w:rPr>
                <w:sz w:val="20"/>
                <w:szCs w:val="20"/>
              </w:rPr>
            </w:pPr>
          </w:p>
          <w:p w14:paraId="3729E0E4" w14:textId="77777777" w:rsidR="00DC08A2" w:rsidRDefault="00383AAC" w:rsidP="0054542A">
            <w:pPr>
              <w:pStyle w:val="ListParagraph"/>
              <w:numPr>
                <w:ilvl w:val="0"/>
                <w:numId w:val="10"/>
              </w:numPr>
              <w:rPr>
                <w:sz w:val="20"/>
                <w:szCs w:val="20"/>
              </w:rPr>
            </w:pPr>
            <w:r w:rsidRPr="0086033C">
              <w:rPr>
                <w:sz w:val="20"/>
                <w:szCs w:val="20"/>
              </w:rPr>
              <w:t>A distinct</w:t>
            </w:r>
            <w:r w:rsidR="00DC08A2">
              <w:rPr>
                <w:sz w:val="20"/>
                <w:szCs w:val="20"/>
              </w:rPr>
              <w:t>, voluntary</w:t>
            </w:r>
            <w:r w:rsidR="008D14CB" w:rsidRPr="0086033C">
              <w:rPr>
                <w:sz w:val="20"/>
                <w:szCs w:val="20"/>
              </w:rPr>
              <w:t xml:space="preserve"> product</w:t>
            </w:r>
            <w:r w:rsidRPr="0086033C">
              <w:rPr>
                <w:sz w:val="20"/>
                <w:szCs w:val="20"/>
              </w:rPr>
              <w:t xml:space="preserve"> </w:t>
            </w:r>
            <w:r w:rsidR="00770130" w:rsidRPr="0086033C">
              <w:rPr>
                <w:sz w:val="20"/>
                <w:szCs w:val="20"/>
              </w:rPr>
              <w:t xml:space="preserve">categorisation system based </w:t>
            </w:r>
            <w:r w:rsidR="00673189" w:rsidRPr="0086033C">
              <w:rPr>
                <w:sz w:val="20"/>
                <w:szCs w:val="20"/>
              </w:rPr>
              <w:t>on</w:t>
            </w:r>
            <w:r w:rsidR="00770130" w:rsidRPr="0086033C">
              <w:rPr>
                <w:sz w:val="20"/>
                <w:szCs w:val="20"/>
              </w:rPr>
              <w:t xml:space="preserve"> funds’ objectives</w:t>
            </w:r>
            <w:r w:rsidR="0066450C" w:rsidRPr="0086033C">
              <w:rPr>
                <w:sz w:val="20"/>
                <w:szCs w:val="20"/>
              </w:rPr>
              <w:t>,</w:t>
            </w:r>
            <w:r w:rsidR="00770130" w:rsidRPr="0086033C">
              <w:rPr>
                <w:sz w:val="20"/>
                <w:szCs w:val="20"/>
              </w:rPr>
              <w:t xml:space="preserve"> investment strat</w:t>
            </w:r>
            <w:r w:rsidR="00327D2F" w:rsidRPr="0086033C">
              <w:rPr>
                <w:sz w:val="20"/>
                <w:szCs w:val="20"/>
              </w:rPr>
              <w:t>egie</w:t>
            </w:r>
            <w:r w:rsidR="007E1F89" w:rsidRPr="0086033C">
              <w:rPr>
                <w:sz w:val="20"/>
                <w:szCs w:val="20"/>
              </w:rPr>
              <w:t xml:space="preserve">s, </w:t>
            </w:r>
            <w:r w:rsidR="0066450C" w:rsidRPr="0086033C">
              <w:rPr>
                <w:sz w:val="20"/>
                <w:szCs w:val="20"/>
              </w:rPr>
              <w:t xml:space="preserve">and sustainability profile and claims, </w:t>
            </w:r>
            <w:r w:rsidR="007E1F89" w:rsidRPr="0086033C">
              <w:rPr>
                <w:sz w:val="20"/>
                <w:szCs w:val="20"/>
              </w:rPr>
              <w:t>with specific</w:t>
            </w:r>
            <w:r w:rsidR="003A18B5" w:rsidRPr="0086033C">
              <w:rPr>
                <w:sz w:val="20"/>
                <w:szCs w:val="20"/>
              </w:rPr>
              <w:t xml:space="preserve"> disclosure requirements </w:t>
            </w:r>
            <w:r w:rsidR="00673189" w:rsidRPr="0086033C">
              <w:rPr>
                <w:sz w:val="20"/>
                <w:szCs w:val="20"/>
              </w:rPr>
              <w:t>linked to the various categories</w:t>
            </w:r>
            <w:r w:rsidR="0066450C" w:rsidRPr="0086033C">
              <w:rPr>
                <w:sz w:val="20"/>
                <w:szCs w:val="20"/>
              </w:rPr>
              <w:t xml:space="preserve">. </w:t>
            </w:r>
          </w:p>
          <w:p w14:paraId="50E2BC7B" w14:textId="77777777" w:rsidR="00DC08A2" w:rsidRDefault="0066450C" w:rsidP="0054542A">
            <w:pPr>
              <w:pStyle w:val="ListParagraph"/>
              <w:numPr>
                <w:ilvl w:val="0"/>
                <w:numId w:val="10"/>
              </w:numPr>
              <w:rPr>
                <w:sz w:val="20"/>
                <w:szCs w:val="20"/>
              </w:rPr>
            </w:pPr>
            <w:r w:rsidRPr="0086033C">
              <w:rPr>
                <w:sz w:val="20"/>
                <w:szCs w:val="20"/>
              </w:rPr>
              <w:t xml:space="preserve">This should include a new ‘transitioning’ category </w:t>
            </w:r>
            <w:r w:rsidR="00F647D1" w:rsidRPr="0086033C">
              <w:rPr>
                <w:sz w:val="20"/>
                <w:szCs w:val="20"/>
              </w:rPr>
              <w:t>to recognise</w:t>
            </w:r>
            <w:r w:rsidR="00AE6980" w:rsidRPr="0086033C">
              <w:rPr>
                <w:sz w:val="20"/>
                <w:szCs w:val="20"/>
              </w:rPr>
              <w:t>, crucially,</w:t>
            </w:r>
            <w:r w:rsidR="00F647D1" w:rsidRPr="0086033C">
              <w:rPr>
                <w:sz w:val="20"/>
                <w:szCs w:val="20"/>
              </w:rPr>
              <w:t xml:space="preserve"> those funds and strategies </w:t>
            </w:r>
            <w:r w:rsidR="00AE6980" w:rsidRPr="0086033C">
              <w:rPr>
                <w:sz w:val="20"/>
                <w:szCs w:val="20"/>
              </w:rPr>
              <w:t>that have a specific</w:t>
            </w:r>
            <w:r w:rsidR="00F647D1" w:rsidRPr="0086033C">
              <w:rPr>
                <w:sz w:val="20"/>
                <w:szCs w:val="20"/>
              </w:rPr>
              <w:t xml:space="preserve"> objective to support the transition to</w:t>
            </w:r>
            <w:r w:rsidR="00AE6980" w:rsidRPr="0086033C">
              <w:rPr>
                <w:sz w:val="20"/>
                <w:szCs w:val="20"/>
              </w:rPr>
              <w:t xml:space="preserve">wards a more sustainable future, drawing on the FCA’s ‘Sustainable Improvers’ </w:t>
            </w:r>
            <w:r w:rsidR="003A545B">
              <w:rPr>
                <w:sz w:val="20"/>
                <w:szCs w:val="20"/>
              </w:rPr>
              <w:t>category</w:t>
            </w:r>
            <w:r w:rsidR="00AE6980" w:rsidRPr="0086033C">
              <w:rPr>
                <w:sz w:val="20"/>
                <w:szCs w:val="20"/>
              </w:rPr>
              <w:t>.</w:t>
            </w:r>
            <w:r w:rsidR="00DB76CA">
              <w:rPr>
                <w:sz w:val="20"/>
                <w:szCs w:val="20"/>
              </w:rPr>
              <w:t xml:space="preserve">  </w:t>
            </w:r>
          </w:p>
          <w:p w14:paraId="026EF4D1" w14:textId="5CA56A10" w:rsidR="0054542A" w:rsidRPr="0086033C" w:rsidRDefault="00AE6980" w:rsidP="0054542A">
            <w:pPr>
              <w:pStyle w:val="ListParagraph"/>
              <w:numPr>
                <w:ilvl w:val="0"/>
                <w:numId w:val="10"/>
              </w:numPr>
              <w:rPr>
                <w:sz w:val="20"/>
                <w:szCs w:val="20"/>
              </w:rPr>
            </w:pPr>
            <w:r w:rsidRPr="0086033C">
              <w:rPr>
                <w:sz w:val="20"/>
                <w:szCs w:val="20"/>
              </w:rPr>
              <w:t>The categor</w:t>
            </w:r>
            <w:r w:rsidR="00081137" w:rsidRPr="0086033C">
              <w:rPr>
                <w:sz w:val="20"/>
                <w:szCs w:val="20"/>
              </w:rPr>
              <w:t xml:space="preserve">ies should </w:t>
            </w:r>
            <w:r w:rsidR="00671C7C" w:rsidRPr="0086033C">
              <w:rPr>
                <w:sz w:val="20"/>
                <w:szCs w:val="20"/>
              </w:rPr>
              <w:t>aim to apply to a wide range of sustainab</w:t>
            </w:r>
            <w:r w:rsidR="00E54F94" w:rsidRPr="0086033C">
              <w:rPr>
                <w:sz w:val="20"/>
                <w:szCs w:val="20"/>
              </w:rPr>
              <w:t>le</w:t>
            </w:r>
            <w:r w:rsidR="00671C7C" w:rsidRPr="0086033C">
              <w:rPr>
                <w:sz w:val="20"/>
                <w:szCs w:val="20"/>
              </w:rPr>
              <w:t xml:space="preserve"> investment strategies</w:t>
            </w:r>
            <w:r w:rsidR="00E54F94" w:rsidRPr="0086033C">
              <w:rPr>
                <w:sz w:val="20"/>
                <w:szCs w:val="20"/>
              </w:rPr>
              <w:t>, approaches,</w:t>
            </w:r>
            <w:r w:rsidR="00671C7C" w:rsidRPr="0086033C">
              <w:rPr>
                <w:sz w:val="20"/>
                <w:szCs w:val="20"/>
              </w:rPr>
              <w:t xml:space="preserve"> and asset classes, for example beyond single asset funds and actively</w:t>
            </w:r>
            <w:r w:rsidR="005B3BD6">
              <w:rPr>
                <w:sz w:val="20"/>
                <w:szCs w:val="20"/>
              </w:rPr>
              <w:t>-</w:t>
            </w:r>
            <w:r w:rsidR="00671C7C" w:rsidRPr="0086033C">
              <w:rPr>
                <w:sz w:val="20"/>
                <w:szCs w:val="20"/>
              </w:rPr>
              <w:t>managed listed equity funds</w:t>
            </w:r>
            <w:r w:rsidR="008344AA">
              <w:rPr>
                <w:sz w:val="20"/>
                <w:szCs w:val="20"/>
              </w:rPr>
              <w:t xml:space="preserve">, such as multi-asset funds and passive strategies, </w:t>
            </w:r>
            <w:r w:rsidR="00671C7C" w:rsidRPr="0086033C">
              <w:rPr>
                <w:sz w:val="20"/>
                <w:szCs w:val="20"/>
              </w:rPr>
              <w:t>recognising the growing diversity in the sustainable funds market today.</w:t>
            </w:r>
            <w:r w:rsidR="00C735E6">
              <w:rPr>
                <w:sz w:val="20"/>
                <w:szCs w:val="20"/>
              </w:rPr>
              <w:t xml:space="preserve"> We support funds in the categories having a sustainability objective in place </w:t>
            </w:r>
            <w:r w:rsidR="00D01DE7">
              <w:rPr>
                <w:sz w:val="20"/>
                <w:szCs w:val="20"/>
              </w:rPr>
              <w:t>as part of the fund’s investment objective.</w:t>
            </w:r>
            <w:r w:rsidR="00C40FD6">
              <w:rPr>
                <w:sz w:val="20"/>
                <w:szCs w:val="20"/>
              </w:rPr>
              <w:t xml:space="preserve"> </w:t>
            </w:r>
          </w:p>
          <w:p w14:paraId="3036ABB8" w14:textId="4B67E057" w:rsidR="0020305B" w:rsidRPr="004A6438" w:rsidRDefault="00C9773C" w:rsidP="004A6438">
            <w:pPr>
              <w:pStyle w:val="ListParagraph"/>
              <w:numPr>
                <w:ilvl w:val="0"/>
                <w:numId w:val="10"/>
              </w:numPr>
              <w:rPr>
                <w:sz w:val="20"/>
                <w:szCs w:val="20"/>
              </w:rPr>
            </w:pPr>
            <w:r w:rsidRPr="0086033C">
              <w:rPr>
                <w:sz w:val="20"/>
                <w:szCs w:val="20"/>
              </w:rPr>
              <w:t xml:space="preserve">Minimum </w:t>
            </w:r>
            <w:r w:rsidR="00C56562" w:rsidRPr="0086033C">
              <w:rPr>
                <w:sz w:val="20"/>
                <w:szCs w:val="20"/>
              </w:rPr>
              <w:t>criteria underpinning the new product categories</w:t>
            </w:r>
            <w:r w:rsidR="00BE1D22" w:rsidRPr="0086033C">
              <w:rPr>
                <w:sz w:val="20"/>
                <w:szCs w:val="20"/>
              </w:rPr>
              <w:t xml:space="preserve"> which funds would need to fulfil in order for qualify for. </w:t>
            </w:r>
            <w:r w:rsidR="004A6438">
              <w:rPr>
                <w:sz w:val="20"/>
                <w:szCs w:val="20"/>
              </w:rPr>
              <w:t>In addition, e</w:t>
            </w:r>
            <w:r w:rsidR="000B4ED8" w:rsidRPr="004A6438">
              <w:rPr>
                <w:sz w:val="20"/>
                <w:szCs w:val="20"/>
              </w:rPr>
              <w:t>volving</w:t>
            </w:r>
            <w:r w:rsidR="00320078" w:rsidRPr="004A6438">
              <w:rPr>
                <w:sz w:val="20"/>
                <w:szCs w:val="20"/>
              </w:rPr>
              <w:t xml:space="preserve"> existing concepts within the SFDR</w:t>
            </w:r>
            <w:r w:rsidR="008D14CB" w:rsidRPr="004A6438">
              <w:rPr>
                <w:sz w:val="20"/>
                <w:szCs w:val="20"/>
              </w:rPr>
              <w:t>, such as ‘sustainable investments’</w:t>
            </w:r>
            <w:r w:rsidR="00EB2B0E" w:rsidRPr="004A6438">
              <w:rPr>
                <w:sz w:val="20"/>
                <w:szCs w:val="20"/>
              </w:rPr>
              <w:t>,</w:t>
            </w:r>
            <w:r w:rsidR="00357742" w:rsidRPr="004A6438">
              <w:rPr>
                <w:sz w:val="20"/>
                <w:szCs w:val="20"/>
              </w:rPr>
              <w:t xml:space="preserve"> the PA</w:t>
            </w:r>
            <w:r w:rsidR="00404A5B" w:rsidRPr="004A6438">
              <w:rPr>
                <w:sz w:val="20"/>
                <w:szCs w:val="20"/>
              </w:rPr>
              <w:t xml:space="preserve">Is, and ‘promoting E &amp; S characteristics’. </w:t>
            </w:r>
          </w:p>
          <w:p w14:paraId="04178FB3" w14:textId="197F9E30" w:rsidR="00A73F3F" w:rsidRPr="0086033C" w:rsidRDefault="00A73F3F" w:rsidP="0054542A">
            <w:pPr>
              <w:pStyle w:val="ListParagraph"/>
              <w:numPr>
                <w:ilvl w:val="0"/>
                <w:numId w:val="10"/>
              </w:numPr>
              <w:rPr>
                <w:sz w:val="20"/>
                <w:szCs w:val="20"/>
              </w:rPr>
            </w:pPr>
            <w:r w:rsidRPr="0086033C">
              <w:rPr>
                <w:sz w:val="20"/>
                <w:szCs w:val="20"/>
              </w:rPr>
              <w:t>Alignment and coherency with other sustainable finance regulatory initiatives in the EU, such as the taxonomy and ESMA’s fund naming rules.</w:t>
            </w:r>
          </w:p>
          <w:p w14:paraId="1696EA1B" w14:textId="0C1AFD58" w:rsidR="0045673A" w:rsidRDefault="0045673A" w:rsidP="00A73F3F">
            <w:pPr>
              <w:ind w:left="0" w:firstLine="0"/>
            </w:pPr>
          </w:p>
        </w:tc>
      </w:tr>
    </w:tbl>
    <w:bookmarkEnd w:id="1"/>
    <w:p w14:paraId="29AD005B" w14:textId="77777777" w:rsidR="0045673A" w:rsidRDefault="00E17DF3">
      <w:pPr>
        <w:spacing w:after="267" w:line="259" w:lineRule="auto"/>
        <w:ind w:left="0" w:firstLine="0"/>
        <w:jc w:val="left"/>
      </w:pPr>
      <w:r>
        <w:t xml:space="preserve"> </w:t>
      </w:r>
    </w:p>
    <w:p w14:paraId="6CF37B2C" w14:textId="77777777" w:rsidR="0045673A" w:rsidRDefault="00E17DF3">
      <w:pPr>
        <w:pStyle w:val="Heading2"/>
        <w:spacing w:after="10"/>
        <w:ind w:left="-5" w:right="636"/>
      </w:pPr>
      <w:r>
        <w:t>……………………………………………………………………………………………</w:t>
      </w:r>
      <w:r>
        <w:rPr>
          <w:b w:val="0"/>
        </w:rPr>
        <w:t xml:space="preserve"> </w:t>
      </w:r>
      <w:r>
        <w:t xml:space="preserve">If a categorisation system was established according to approach 1 of question 4.1.2 </w:t>
      </w:r>
    </w:p>
    <w:p w14:paraId="53C93833" w14:textId="77777777" w:rsidR="0045673A" w:rsidRDefault="00E17DF3">
      <w:pPr>
        <w:spacing w:after="216" w:line="259" w:lineRule="auto"/>
        <w:ind w:left="0" w:firstLine="0"/>
        <w:jc w:val="left"/>
      </w:pPr>
      <w:r>
        <w:t xml:space="preserve"> </w:t>
      </w:r>
    </w:p>
    <w:p w14:paraId="697DE80C" w14:textId="77777777" w:rsidR="0045673A" w:rsidRDefault="00E17DF3">
      <w:pPr>
        <w:ind w:right="643"/>
      </w:pPr>
      <w:r>
        <w:rPr>
          <w:b/>
          <w:u w:val="single" w:color="000000"/>
        </w:rPr>
        <w:t>Question 4.1.3</w:t>
      </w:r>
      <w:r>
        <w:t xml:space="preserve">: To what extent do you agree that, under approach 1, if a sustainability disclosure framework is maintained in parallel to a categorisation system, the current distinction between Articles 8 and 9 should disappear from that disclosure framework? </w:t>
      </w:r>
    </w:p>
    <w:tbl>
      <w:tblPr>
        <w:tblW w:w="8829"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2826"/>
      </w:tblGrid>
      <w:tr w:rsidR="0045673A" w14:paraId="45DD2EF8" w14:textId="77777777">
        <w:trPr>
          <w:trHeight w:val="530"/>
        </w:trPr>
        <w:tc>
          <w:tcPr>
            <w:tcW w:w="1229" w:type="dxa"/>
            <w:tcBorders>
              <w:top w:val="single" w:sz="6" w:space="0" w:color="000000"/>
              <w:left w:val="single" w:sz="6" w:space="0" w:color="000000"/>
              <w:bottom w:val="single" w:sz="6" w:space="0" w:color="000000"/>
              <w:right w:val="single" w:sz="6" w:space="0" w:color="000000"/>
            </w:tcBorders>
          </w:tcPr>
          <w:p w14:paraId="1E3C074D"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7FF0E0DF"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56EFCB4A"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4856AE86"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40721FF3" w14:textId="77777777" w:rsidR="0045673A" w:rsidRDefault="00E17DF3">
            <w:pPr>
              <w:spacing w:after="0" w:line="259" w:lineRule="auto"/>
              <w:ind w:left="2" w:firstLine="0"/>
              <w:jc w:val="center"/>
            </w:pPr>
            <w:r>
              <w:t xml:space="preserve">5 </w:t>
            </w:r>
          </w:p>
        </w:tc>
        <w:tc>
          <w:tcPr>
            <w:tcW w:w="2826" w:type="dxa"/>
            <w:tcBorders>
              <w:top w:val="single" w:sz="6" w:space="0" w:color="000000"/>
              <w:left w:val="single" w:sz="6" w:space="0" w:color="000000"/>
              <w:bottom w:val="single" w:sz="6" w:space="0" w:color="000000"/>
              <w:right w:val="single" w:sz="6" w:space="0" w:color="000000"/>
            </w:tcBorders>
          </w:tcPr>
          <w:p w14:paraId="75407BE0" w14:textId="77777777" w:rsidR="0045673A" w:rsidRDefault="00E17DF3">
            <w:pPr>
              <w:spacing w:after="0" w:line="259" w:lineRule="auto"/>
              <w:ind w:left="0" w:right="2" w:firstLine="0"/>
              <w:jc w:val="center"/>
            </w:pPr>
            <w:r>
              <w:t xml:space="preserve">Don’t know </w:t>
            </w:r>
          </w:p>
        </w:tc>
      </w:tr>
      <w:tr w:rsidR="0045673A" w14:paraId="72A0689D" w14:textId="77777777">
        <w:trPr>
          <w:trHeight w:val="533"/>
        </w:trPr>
        <w:tc>
          <w:tcPr>
            <w:tcW w:w="1229" w:type="dxa"/>
            <w:tcBorders>
              <w:top w:val="single" w:sz="6" w:space="0" w:color="000000"/>
              <w:left w:val="single" w:sz="6" w:space="0" w:color="000000"/>
              <w:bottom w:val="single" w:sz="6" w:space="0" w:color="000000"/>
              <w:right w:val="single" w:sz="6" w:space="0" w:color="000000"/>
            </w:tcBorders>
          </w:tcPr>
          <w:p w14:paraId="515FBDD4" w14:textId="77777777" w:rsidR="0045673A" w:rsidRDefault="00E17DF3">
            <w:pPr>
              <w:spacing w:after="0" w:line="259" w:lineRule="auto"/>
              <w:ind w:left="60" w:firstLine="0"/>
              <w:jc w:val="center"/>
            </w:pPr>
            <w:r>
              <w:t xml:space="preserve"> </w:t>
            </w:r>
          </w:p>
        </w:tc>
        <w:tc>
          <w:tcPr>
            <w:tcW w:w="1215" w:type="dxa"/>
            <w:tcBorders>
              <w:top w:val="single" w:sz="6" w:space="0" w:color="000000"/>
              <w:left w:val="single" w:sz="6" w:space="0" w:color="000000"/>
              <w:bottom w:val="single" w:sz="6" w:space="0" w:color="000000"/>
              <w:right w:val="single" w:sz="6" w:space="0" w:color="000000"/>
            </w:tcBorders>
          </w:tcPr>
          <w:p w14:paraId="610250C5" w14:textId="229EE37D" w:rsidR="0045673A" w:rsidRDefault="00E17DF3">
            <w:pPr>
              <w:spacing w:after="0" w:line="259" w:lineRule="auto"/>
              <w:ind w:left="61"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30E17ED8" w14:textId="77777777" w:rsidR="0045673A" w:rsidRDefault="00E17DF3">
            <w:pPr>
              <w:spacing w:after="0" w:line="259" w:lineRule="auto"/>
              <w:ind w:left="62"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55CBDFD0" w14:textId="448A07C1" w:rsidR="0045673A" w:rsidRDefault="00E17DF3">
            <w:pPr>
              <w:spacing w:after="0" w:line="259" w:lineRule="auto"/>
              <w:ind w:left="63" w:firstLine="0"/>
              <w:jc w:val="center"/>
            </w:pPr>
            <w:r>
              <w:t xml:space="preserve"> </w:t>
            </w:r>
            <w:r w:rsidR="00411663">
              <w:t>X</w:t>
            </w:r>
          </w:p>
        </w:tc>
        <w:tc>
          <w:tcPr>
            <w:tcW w:w="1135" w:type="dxa"/>
            <w:tcBorders>
              <w:top w:val="single" w:sz="6" w:space="0" w:color="000000"/>
              <w:left w:val="single" w:sz="6" w:space="0" w:color="000000"/>
              <w:bottom w:val="single" w:sz="6" w:space="0" w:color="000000"/>
              <w:right w:val="single" w:sz="6" w:space="0" w:color="000000"/>
            </w:tcBorders>
          </w:tcPr>
          <w:p w14:paraId="09560303" w14:textId="540C0517" w:rsidR="0045673A" w:rsidRDefault="00E17DF3">
            <w:pPr>
              <w:spacing w:after="0" w:line="259" w:lineRule="auto"/>
              <w:ind w:left="62" w:firstLine="0"/>
              <w:jc w:val="center"/>
            </w:pPr>
            <w:r>
              <w:t xml:space="preserve"> </w:t>
            </w:r>
          </w:p>
        </w:tc>
        <w:tc>
          <w:tcPr>
            <w:tcW w:w="2826" w:type="dxa"/>
            <w:tcBorders>
              <w:top w:val="single" w:sz="6" w:space="0" w:color="000000"/>
              <w:left w:val="single" w:sz="6" w:space="0" w:color="000000"/>
              <w:bottom w:val="single" w:sz="6" w:space="0" w:color="000000"/>
              <w:right w:val="single" w:sz="6" w:space="0" w:color="000000"/>
            </w:tcBorders>
          </w:tcPr>
          <w:p w14:paraId="43BE3267" w14:textId="77777777" w:rsidR="0045673A" w:rsidRDefault="00E17DF3">
            <w:pPr>
              <w:spacing w:after="0" w:line="259" w:lineRule="auto"/>
              <w:ind w:left="63" w:firstLine="0"/>
              <w:jc w:val="center"/>
            </w:pPr>
            <w:r>
              <w:t xml:space="preserve"> </w:t>
            </w:r>
          </w:p>
        </w:tc>
      </w:tr>
    </w:tbl>
    <w:p w14:paraId="0EDA4F04"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68160938" w14:textId="77777777" w:rsidR="0045673A" w:rsidRDefault="00E17DF3">
      <w:pPr>
        <w:ind w:right="643"/>
      </w:pPr>
      <w:r>
        <w:rPr>
          <w:b/>
          <w:u w:val="single" w:color="000000"/>
        </w:rPr>
        <w:t>Question 4.1.4</w:t>
      </w:r>
      <w:r>
        <w:t xml:space="preserve">: To what extent would you find the following categories of sustainability products useful? </w:t>
      </w:r>
    </w:p>
    <w:tbl>
      <w:tblPr>
        <w:tblW w:w="8610" w:type="dxa"/>
        <w:tblCellMar>
          <w:top w:w="14" w:type="dxa"/>
          <w:right w:w="48" w:type="dxa"/>
        </w:tblCellMar>
        <w:tblLook w:val="04A0" w:firstRow="1" w:lastRow="0" w:firstColumn="1" w:lastColumn="0" w:noHBand="0" w:noVBand="1"/>
      </w:tblPr>
      <w:tblGrid>
        <w:gridCol w:w="5432"/>
        <w:gridCol w:w="451"/>
        <w:gridCol w:w="451"/>
        <w:gridCol w:w="452"/>
        <w:gridCol w:w="451"/>
        <w:gridCol w:w="451"/>
        <w:gridCol w:w="922"/>
      </w:tblGrid>
      <w:tr w:rsidR="0045673A" w14:paraId="691BABF7"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306C8F19"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FBA7F2F"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40AE0464"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6EEB53C1"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54F914BD"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729D79CA"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1E562023" w14:textId="77777777" w:rsidR="0045673A" w:rsidRDefault="00E17DF3">
            <w:pPr>
              <w:spacing w:after="0" w:line="259" w:lineRule="auto"/>
              <w:ind w:left="0" w:firstLine="0"/>
              <w:jc w:val="center"/>
            </w:pPr>
            <w:r>
              <w:t xml:space="preserve">Don’t know </w:t>
            </w:r>
          </w:p>
        </w:tc>
      </w:tr>
      <w:tr w:rsidR="0045673A" w14:paraId="4A98EEB2" w14:textId="77777777">
        <w:trPr>
          <w:trHeight w:val="1906"/>
        </w:trPr>
        <w:tc>
          <w:tcPr>
            <w:tcW w:w="5432" w:type="dxa"/>
            <w:tcBorders>
              <w:top w:val="single" w:sz="4" w:space="0" w:color="000000"/>
              <w:left w:val="single" w:sz="4" w:space="0" w:color="000000"/>
              <w:bottom w:val="single" w:sz="4" w:space="0" w:color="000000"/>
              <w:right w:val="single" w:sz="4" w:space="0" w:color="000000"/>
            </w:tcBorders>
          </w:tcPr>
          <w:p w14:paraId="65A106FC" w14:textId="77777777" w:rsidR="0045673A" w:rsidRDefault="00E17DF3">
            <w:pPr>
              <w:spacing w:after="0" w:line="259" w:lineRule="auto"/>
              <w:ind w:left="0" w:right="58" w:firstLine="0"/>
            </w:pPr>
            <w:r>
              <w:t xml:space="preserve">A - Products investing in assets that specifically strive to offer targeted, measurable solutions to sustainability related problems that affect people and/or the planet, e.g. investments in firms generating and distributing renewable energy, or in companies building social housing or regenerating urban areas. </w:t>
            </w:r>
          </w:p>
        </w:tc>
        <w:tc>
          <w:tcPr>
            <w:tcW w:w="451" w:type="dxa"/>
            <w:tcBorders>
              <w:top w:val="single" w:sz="4" w:space="0" w:color="000000"/>
              <w:left w:val="single" w:sz="4" w:space="0" w:color="000000"/>
              <w:bottom w:val="single" w:sz="4" w:space="0" w:color="000000"/>
              <w:right w:val="single" w:sz="4" w:space="0" w:color="000000"/>
            </w:tcBorders>
          </w:tcPr>
          <w:p w14:paraId="6D95CCBB" w14:textId="77777777" w:rsidR="0045673A" w:rsidRDefault="00E17DF3">
            <w:pPr>
              <w:spacing w:after="0" w:line="259" w:lineRule="auto"/>
              <w:ind w:left="5"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26DC2450" w14:textId="77777777" w:rsidR="0045673A" w:rsidRDefault="00E17DF3">
            <w:pPr>
              <w:spacing w:after="0" w:line="259" w:lineRule="auto"/>
              <w:ind w:left="0"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6669C6A2" w14:textId="77777777" w:rsidR="0045673A" w:rsidRDefault="00E17DF3">
            <w:pPr>
              <w:spacing w:after="0" w:line="259" w:lineRule="auto"/>
              <w:ind w:left="1"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2F63030" w14:textId="77777777" w:rsidR="0045673A" w:rsidRDefault="00E17DF3">
            <w:pPr>
              <w:spacing w:after="0" w:line="259" w:lineRule="auto"/>
              <w:ind w:left="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9A3542A" w14:textId="052172F4" w:rsidR="0045673A" w:rsidRDefault="00BD5C62">
            <w:pPr>
              <w:spacing w:after="0" w:line="259" w:lineRule="auto"/>
              <w:ind w:left="0" w:firstLine="0"/>
              <w:jc w:val="center"/>
            </w:pPr>
            <w:r>
              <w:t>X</w:t>
            </w:r>
            <w:r w:rsidR="00E17DF3">
              <w:t xml:space="preserve"> </w:t>
            </w:r>
          </w:p>
        </w:tc>
        <w:tc>
          <w:tcPr>
            <w:tcW w:w="922" w:type="dxa"/>
            <w:tcBorders>
              <w:top w:val="single" w:sz="4" w:space="0" w:color="000000"/>
              <w:left w:val="single" w:sz="4" w:space="0" w:color="000000"/>
              <w:bottom w:val="single" w:sz="4" w:space="0" w:color="000000"/>
              <w:right w:val="single" w:sz="4" w:space="0" w:color="000000"/>
            </w:tcBorders>
          </w:tcPr>
          <w:p w14:paraId="49E0A7FA" w14:textId="77777777" w:rsidR="0045673A" w:rsidRDefault="00E17DF3">
            <w:pPr>
              <w:spacing w:after="0" w:line="259" w:lineRule="auto"/>
              <w:ind w:left="0" w:firstLine="0"/>
              <w:jc w:val="center"/>
            </w:pPr>
            <w:r>
              <w:t xml:space="preserve"> </w:t>
            </w:r>
          </w:p>
        </w:tc>
      </w:tr>
      <w:tr w:rsidR="0045673A" w14:paraId="7129F72A" w14:textId="77777777">
        <w:trPr>
          <w:trHeight w:val="1114"/>
        </w:trPr>
        <w:tc>
          <w:tcPr>
            <w:tcW w:w="5432" w:type="dxa"/>
            <w:tcBorders>
              <w:top w:val="single" w:sz="4" w:space="0" w:color="000000"/>
              <w:left w:val="single" w:sz="4" w:space="0" w:color="000000"/>
              <w:bottom w:val="single" w:sz="4" w:space="0" w:color="000000"/>
              <w:right w:val="single" w:sz="4" w:space="0" w:color="000000"/>
            </w:tcBorders>
          </w:tcPr>
          <w:p w14:paraId="680A0A70" w14:textId="3B0EF0AC" w:rsidR="0045673A" w:rsidRDefault="00E17DF3">
            <w:pPr>
              <w:spacing w:after="0" w:line="259" w:lineRule="auto"/>
              <w:ind w:left="0" w:right="57" w:firstLine="0"/>
            </w:pPr>
            <w:r>
              <w:t>B - Products aiming to meet credible sustainability standards or adhering to a specific sustainability</w:t>
            </w:r>
            <w:r w:rsidR="00E46421">
              <w:t xml:space="preserve"> </w:t>
            </w:r>
            <w:r>
              <w:t xml:space="preserve">related theme, e.g. investments in companies with evidence of solid waste and water management, or </w:t>
            </w:r>
            <w:r w:rsidR="001045DD">
              <w:t>strong representation of women in decision-making.</w:t>
            </w:r>
          </w:p>
        </w:tc>
        <w:tc>
          <w:tcPr>
            <w:tcW w:w="451" w:type="dxa"/>
            <w:tcBorders>
              <w:top w:val="single" w:sz="4" w:space="0" w:color="000000"/>
              <w:left w:val="single" w:sz="4" w:space="0" w:color="000000"/>
              <w:bottom w:val="single" w:sz="4" w:space="0" w:color="000000"/>
              <w:right w:val="single" w:sz="4" w:space="0" w:color="000000"/>
            </w:tcBorders>
          </w:tcPr>
          <w:p w14:paraId="643F5A7B" w14:textId="77777777" w:rsidR="0045673A" w:rsidRDefault="00E17DF3">
            <w:pPr>
              <w:spacing w:after="0" w:line="259" w:lineRule="auto"/>
              <w:ind w:left="5"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D7EFAD2" w14:textId="77777777" w:rsidR="0045673A" w:rsidRDefault="00E17DF3">
            <w:pPr>
              <w:spacing w:after="0" w:line="259" w:lineRule="auto"/>
              <w:ind w:left="0"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3B6937D6" w14:textId="77777777" w:rsidR="0045673A" w:rsidRDefault="00E17DF3">
            <w:pPr>
              <w:spacing w:after="0" w:line="259" w:lineRule="auto"/>
              <w:ind w:left="1"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E8FD5CC" w14:textId="6F43B049" w:rsidR="0045673A" w:rsidRDefault="00E46421" w:rsidP="00E46421">
            <w:pPr>
              <w:tabs>
                <w:tab w:val="center" w:pos="147"/>
              </w:tabs>
              <w:spacing w:after="0" w:line="259" w:lineRule="auto"/>
              <w:ind w:left="0" w:firstLine="0"/>
            </w:pPr>
            <w:r>
              <w:tab/>
            </w:r>
            <w:r w:rsidR="00E17DF3">
              <w:t xml:space="preserve"> </w:t>
            </w:r>
          </w:p>
        </w:tc>
        <w:tc>
          <w:tcPr>
            <w:tcW w:w="451" w:type="dxa"/>
            <w:tcBorders>
              <w:top w:val="single" w:sz="4" w:space="0" w:color="000000"/>
              <w:left w:val="single" w:sz="4" w:space="0" w:color="000000"/>
              <w:bottom w:val="single" w:sz="4" w:space="0" w:color="000000"/>
              <w:right w:val="single" w:sz="4" w:space="0" w:color="000000"/>
            </w:tcBorders>
          </w:tcPr>
          <w:p w14:paraId="7F09D0C4" w14:textId="26D39633" w:rsidR="0045673A" w:rsidRDefault="00F95782">
            <w:pPr>
              <w:spacing w:after="0" w:line="259" w:lineRule="auto"/>
              <w:ind w:left="0" w:firstLine="0"/>
              <w:jc w:val="center"/>
            </w:pPr>
            <w:r>
              <w:t>X</w:t>
            </w:r>
            <w:r w:rsidR="00E17DF3">
              <w:t xml:space="preserve"> </w:t>
            </w:r>
          </w:p>
        </w:tc>
        <w:tc>
          <w:tcPr>
            <w:tcW w:w="922" w:type="dxa"/>
            <w:tcBorders>
              <w:top w:val="single" w:sz="4" w:space="0" w:color="000000"/>
              <w:left w:val="single" w:sz="4" w:space="0" w:color="000000"/>
              <w:bottom w:val="single" w:sz="4" w:space="0" w:color="000000"/>
              <w:right w:val="single" w:sz="4" w:space="0" w:color="000000"/>
            </w:tcBorders>
          </w:tcPr>
          <w:p w14:paraId="369AF15B" w14:textId="77777777" w:rsidR="0045673A" w:rsidRDefault="00E17DF3">
            <w:pPr>
              <w:spacing w:after="0" w:line="259" w:lineRule="auto"/>
              <w:ind w:left="0" w:firstLine="0"/>
              <w:jc w:val="center"/>
            </w:pPr>
            <w:r>
              <w:t xml:space="preserve"> </w:t>
            </w:r>
          </w:p>
        </w:tc>
      </w:tr>
      <w:tr w:rsidR="0045673A" w14:paraId="55AE904B" w14:textId="77777777">
        <w:trPr>
          <w:trHeight w:val="1078"/>
        </w:trPr>
        <w:tc>
          <w:tcPr>
            <w:tcW w:w="5432" w:type="dxa"/>
            <w:tcBorders>
              <w:top w:val="single" w:sz="4" w:space="0" w:color="000000"/>
              <w:left w:val="single" w:sz="4" w:space="0" w:color="000000"/>
              <w:bottom w:val="single" w:sz="4" w:space="0" w:color="000000"/>
              <w:right w:val="single" w:sz="4" w:space="0" w:color="000000"/>
            </w:tcBorders>
          </w:tcPr>
          <w:p w14:paraId="6B56CB48" w14:textId="77777777" w:rsidR="0045673A" w:rsidRDefault="00E17DF3">
            <w:pPr>
              <w:spacing w:after="0" w:line="259" w:lineRule="auto"/>
              <w:ind w:left="0" w:right="62" w:firstLine="0"/>
            </w:pPr>
            <w:r>
              <w:t xml:space="preserve">C - Products that exclude activities and/or investees involved in activities with negative effects on people and/or the planet </w:t>
            </w:r>
          </w:p>
        </w:tc>
        <w:tc>
          <w:tcPr>
            <w:tcW w:w="451" w:type="dxa"/>
            <w:tcBorders>
              <w:top w:val="single" w:sz="4" w:space="0" w:color="000000"/>
              <w:left w:val="single" w:sz="4" w:space="0" w:color="000000"/>
              <w:bottom w:val="single" w:sz="4" w:space="0" w:color="000000"/>
              <w:right w:val="single" w:sz="4" w:space="0" w:color="000000"/>
            </w:tcBorders>
          </w:tcPr>
          <w:p w14:paraId="7BC16D8F"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694F013" w14:textId="6396AF65" w:rsidR="0045673A" w:rsidRDefault="00E17DF3">
            <w:pPr>
              <w:spacing w:after="0" w:line="259" w:lineRule="auto"/>
              <w:ind w:left="0" w:firstLine="0"/>
              <w:jc w:val="left"/>
            </w:pPr>
            <w:r>
              <w:t xml:space="preserve"> </w:t>
            </w:r>
            <w:r w:rsidR="00F95782">
              <w:t>X</w:t>
            </w:r>
          </w:p>
        </w:tc>
        <w:tc>
          <w:tcPr>
            <w:tcW w:w="452" w:type="dxa"/>
            <w:tcBorders>
              <w:top w:val="single" w:sz="4" w:space="0" w:color="000000"/>
              <w:left w:val="single" w:sz="4" w:space="0" w:color="000000"/>
              <w:bottom w:val="single" w:sz="4" w:space="0" w:color="000000"/>
              <w:right w:val="single" w:sz="4" w:space="0" w:color="000000"/>
            </w:tcBorders>
          </w:tcPr>
          <w:p w14:paraId="5ACADCBF" w14:textId="77777777"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3836F0B"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5447C2CD" w14:textId="12CEE2D3"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60090917" w14:textId="77777777" w:rsidR="0045673A" w:rsidRDefault="00E17DF3">
            <w:pPr>
              <w:spacing w:after="0" w:line="259" w:lineRule="auto"/>
              <w:ind w:left="0" w:firstLine="0"/>
              <w:jc w:val="left"/>
            </w:pPr>
            <w:r>
              <w:t xml:space="preserve"> </w:t>
            </w:r>
          </w:p>
        </w:tc>
      </w:tr>
      <w:tr w:rsidR="0045673A" w14:paraId="4781F4CA" w14:textId="77777777">
        <w:trPr>
          <w:trHeight w:val="3250"/>
        </w:trPr>
        <w:tc>
          <w:tcPr>
            <w:tcW w:w="5432" w:type="dxa"/>
            <w:tcBorders>
              <w:top w:val="single" w:sz="4" w:space="0" w:color="000000"/>
              <w:left w:val="single" w:sz="4" w:space="0" w:color="000000"/>
              <w:bottom w:val="single" w:sz="4" w:space="0" w:color="000000"/>
              <w:right w:val="single" w:sz="4" w:space="0" w:color="000000"/>
            </w:tcBorders>
          </w:tcPr>
          <w:p w14:paraId="20178072" w14:textId="1C3F7660" w:rsidR="0045673A" w:rsidRDefault="00E17DF3" w:rsidP="001045DD">
            <w:pPr>
              <w:spacing w:after="279" w:line="237" w:lineRule="auto"/>
              <w:ind w:left="0" w:right="58" w:firstLine="0"/>
            </w:pPr>
            <w:r>
              <w:t>D - Products with a transition focus aiming to bring measurable improvements to the sustainability profile of the assets they invest in, e.g. investments in economic activities becoming taxonomy-aligned or in transitional economic activities that are taxonomy aligned, investments in companies, economic activities or portfolios with credible targets and/or plans to decarbonise, improve workers’ rights, reduce environmental impacts.</w:t>
            </w:r>
            <w:r>
              <w:rPr>
                <w:vertAlign w:val="superscript"/>
              </w:rPr>
              <w:footnoteReference w:id="15"/>
            </w: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0A75F25"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FF9DE16"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5FC9F56A" w14:textId="77777777"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1D8D46C"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565A292C" w14:textId="17DA76ED" w:rsidR="0045673A" w:rsidRDefault="00E17DF3">
            <w:pPr>
              <w:spacing w:after="0" w:line="259" w:lineRule="auto"/>
              <w:ind w:left="0" w:firstLine="0"/>
              <w:jc w:val="left"/>
            </w:pPr>
            <w:r>
              <w:t xml:space="preserve"> </w:t>
            </w:r>
            <w:r w:rsidR="00F95782">
              <w:t>X</w:t>
            </w:r>
          </w:p>
        </w:tc>
        <w:tc>
          <w:tcPr>
            <w:tcW w:w="922" w:type="dxa"/>
            <w:tcBorders>
              <w:top w:val="single" w:sz="4" w:space="0" w:color="000000"/>
              <w:left w:val="single" w:sz="4" w:space="0" w:color="000000"/>
              <w:bottom w:val="single" w:sz="4" w:space="0" w:color="000000"/>
              <w:right w:val="single" w:sz="4" w:space="0" w:color="000000"/>
            </w:tcBorders>
          </w:tcPr>
          <w:p w14:paraId="5BEA5313" w14:textId="77777777" w:rsidR="0045673A" w:rsidRDefault="00E17DF3">
            <w:pPr>
              <w:spacing w:after="0" w:line="259" w:lineRule="auto"/>
              <w:ind w:left="0" w:firstLine="0"/>
              <w:jc w:val="left"/>
            </w:pPr>
            <w:r>
              <w:t xml:space="preserve"> </w:t>
            </w:r>
          </w:p>
        </w:tc>
      </w:tr>
      <w:tr w:rsidR="0045673A" w14:paraId="74C17BD2" w14:textId="77777777">
        <w:trPr>
          <w:trHeight w:val="528"/>
        </w:trPr>
        <w:tc>
          <w:tcPr>
            <w:tcW w:w="5432" w:type="dxa"/>
            <w:tcBorders>
              <w:top w:val="single" w:sz="4" w:space="0" w:color="000000"/>
              <w:left w:val="single" w:sz="4" w:space="0" w:color="000000"/>
              <w:bottom w:val="single" w:sz="4" w:space="0" w:color="000000"/>
              <w:right w:val="single" w:sz="4" w:space="0" w:color="000000"/>
            </w:tcBorders>
          </w:tcPr>
          <w:p w14:paraId="5F98D102" w14:textId="77777777" w:rsidR="0045673A" w:rsidRDefault="00E17DF3">
            <w:pPr>
              <w:spacing w:after="0" w:line="259" w:lineRule="auto"/>
              <w:ind w:left="0" w:firstLine="0"/>
              <w:jc w:val="left"/>
            </w:pPr>
            <w:r>
              <w:t xml:space="preserve">Other  </w:t>
            </w:r>
          </w:p>
        </w:tc>
        <w:tc>
          <w:tcPr>
            <w:tcW w:w="451" w:type="dxa"/>
            <w:tcBorders>
              <w:top w:val="single" w:sz="4" w:space="0" w:color="000000"/>
              <w:left w:val="single" w:sz="4" w:space="0" w:color="000000"/>
              <w:bottom w:val="single" w:sz="4" w:space="0" w:color="000000"/>
              <w:right w:val="single" w:sz="4" w:space="0" w:color="000000"/>
            </w:tcBorders>
          </w:tcPr>
          <w:p w14:paraId="04971B96"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40A0583"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7F823905" w14:textId="77777777"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1D26B21"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064A3A2"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6FE6651A" w14:textId="34B71492" w:rsidR="0045673A" w:rsidRDefault="00E17DF3">
            <w:pPr>
              <w:spacing w:after="0" w:line="259" w:lineRule="auto"/>
              <w:ind w:left="0" w:firstLine="0"/>
              <w:jc w:val="left"/>
            </w:pPr>
            <w:r>
              <w:t xml:space="preserve"> </w:t>
            </w:r>
          </w:p>
        </w:tc>
      </w:tr>
    </w:tbl>
    <w:p w14:paraId="4DFEBAF2" w14:textId="77777777" w:rsidR="00406457" w:rsidRDefault="00E17DF3">
      <w:pPr>
        <w:spacing w:after="29" w:line="268" w:lineRule="auto"/>
        <w:ind w:left="-5" w:right="791"/>
        <w:jc w:val="left"/>
        <w:rPr>
          <w:sz w:val="20"/>
        </w:rPr>
      </w:pPr>
      <w:r>
        <w:rPr>
          <w:i/>
          <w:sz w:val="20"/>
        </w:rPr>
        <w:t>(1= not at all, 2= to a limited extent, 3= to some extent, 4= to a large extent, 5= to a very large extent)</w:t>
      </w:r>
      <w:r>
        <w:rPr>
          <w:sz w:val="20"/>
        </w:rPr>
        <w:t xml:space="preserve"> </w:t>
      </w:r>
    </w:p>
    <w:p w14:paraId="33B1FF12" w14:textId="77777777" w:rsidR="00406457" w:rsidRDefault="00406457">
      <w:pPr>
        <w:spacing w:after="29" w:line="268" w:lineRule="auto"/>
        <w:ind w:left="-5" w:right="791"/>
        <w:jc w:val="left"/>
        <w:rPr>
          <w:sz w:val="20"/>
        </w:rPr>
      </w:pPr>
    </w:p>
    <w:p w14:paraId="3DB81E5A" w14:textId="4E3DCB6D" w:rsidR="0045673A" w:rsidRDefault="00E17DF3">
      <w:pPr>
        <w:spacing w:after="29" w:line="268" w:lineRule="auto"/>
        <w:ind w:left="-5" w:right="791"/>
        <w:jc w:val="left"/>
      </w:pPr>
      <w:r w:rsidRPr="004C100C">
        <w:t>If you think there are other possible useful categories, please specify which ones:</w:t>
      </w:r>
      <w:r>
        <w:t xml:space="preserve"> </w:t>
      </w:r>
    </w:p>
    <w:tbl>
      <w:tblPr>
        <w:tblW w:w="8836" w:type="dxa"/>
        <w:tblInd w:w="-26" w:type="dxa"/>
        <w:tblCellMar>
          <w:top w:w="22" w:type="dxa"/>
          <w:right w:w="115" w:type="dxa"/>
        </w:tblCellMar>
        <w:tblLook w:val="04A0" w:firstRow="1" w:lastRow="0" w:firstColumn="1" w:lastColumn="0" w:noHBand="0" w:noVBand="1"/>
      </w:tblPr>
      <w:tblGrid>
        <w:gridCol w:w="8836"/>
      </w:tblGrid>
      <w:tr w:rsidR="00BB56D1" w14:paraId="2009FE04"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232C0068" w14:textId="4147BCD0" w:rsidR="005937B5" w:rsidRPr="00737156" w:rsidRDefault="0037253D" w:rsidP="00EE05D9">
            <w:pPr>
              <w:spacing w:after="0" w:line="259" w:lineRule="auto"/>
              <w:ind w:left="0" w:firstLine="0"/>
              <w:jc w:val="left"/>
              <w:rPr>
                <w:sz w:val="20"/>
                <w:szCs w:val="20"/>
              </w:rPr>
            </w:pPr>
            <w:r w:rsidRPr="00737156">
              <w:rPr>
                <w:sz w:val="20"/>
                <w:szCs w:val="20"/>
              </w:rPr>
              <w:t xml:space="preserve">We </w:t>
            </w:r>
            <w:r w:rsidR="00775BF8" w:rsidRPr="00737156">
              <w:rPr>
                <w:sz w:val="20"/>
                <w:szCs w:val="20"/>
              </w:rPr>
              <w:t xml:space="preserve">largely agree with the sustainability product categories outlined above, which closely mirror the FCA’s fund labelling proposals. </w:t>
            </w:r>
          </w:p>
          <w:p w14:paraId="42E16214" w14:textId="77777777" w:rsidR="005937B5" w:rsidRPr="00737156" w:rsidRDefault="005937B5" w:rsidP="00EE05D9">
            <w:pPr>
              <w:spacing w:after="0" w:line="259" w:lineRule="auto"/>
              <w:ind w:left="0" w:firstLine="0"/>
              <w:jc w:val="left"/>
              <w:rPr>
                <w:sz w:val="20"/>
                <w:szCs w:val="20"/>
              </w:rPr>
            </w:pPr>
          </w:p>
          <w:p w14:paraId="6FABCC9A" w14:textId="4C35CE4D" w:rsidR="00775BF8" w:rsidRPr="00737156" w:rsidRDefault="00C422DB" w:rsidP="00EE05D9">
            <w:pPr>
              <w:spacing w:after="0" w:line="259" w:lineRule="auto"/>
              <w:ind w:left="0" w:firstLine="0"/>
              <w:jc w:val="left"/>
              <w:rPr>
                <w:sz w:val="20"/>
                <w:szCs w:val="20"/>
              </w:rPr>
            </w:pPr>
            <w:r w:rsidRPr="00737156">
              <w:rPr>
                <w:sz w:val="20"/>
                <w:szCs w:val="20"/>
              </w:rPr>
              <w:t>We</w:t>
            </w:r>
            <w:r w:rsidR="009C0A26" w:rsidRPr="00737156">
              <w:rPr>
                <w:sz w:val="20"/>
                <w:szCs w:val="20"/>
              </w:rPr>
              <w:t xml:space="preserve"> do</w:t>
            </w:r>
            <w:r w:rsidRPr="00737156">
              <w:rPr>
                <w:sz w:val="20"/>
                <w:szCs w:val="20"/>
              </w:rPr>
              <w:t xml:space="preserve"> have reservations</w:t>
            </w:r>
            <w:r w:rsidR="00EC4F3F" w:rsidRPr="00737156">
              <w:rPr>
                <w:sz w:val="20"/>
                <w:szCs w:val="20"/>
              </w:rPr>
              <w:t xml:space="preserve"> however</w:t>
            </w:r>
            <w:r w:rsidRPr="00737156">
              <w:rPr>
                <w:sz w:val="20"/>
                <w:szCs w:val="20"/>
              </w:rPr>
              <w:t xml:space="preserve"> over</w:t>
            </w:r>
            <w:r w:rsidR="005937B5" w:rsidRPr="00737156">
              <w:rPr>
                <w:sz w:val="20"/>
                <w:szCs w:val="20"/>
              </w:rPr>
              <w:t xml:space="preserve"> the proposed</w:t>
            </w:r>
            <w:r w:rsidRPr="00737156">
              <w:rPr>
                <w:sz w:val="20"/>
                <w:szCs w:val="20"/>
              </w:rPr>
              <w:t xml:space="preserve"> ‘Category C’, as we do not believe that funds using exclusion</w:t>
            </w:r>
            <w:r w:rsidR="005937B5" w:rsidRPr="00737156">
              <w:rPr>
                <w:sz w:val="20"/>
                <w:szCs w:val="20"/>
              </w:rPr>
              <w:t>s</w:t>
            </w:r>
            <w:r w:rsidRPr="00737156">
              <w:rPr>
                <w:sz w:val="20"/>
                <w:szCs w:val="20"/>
              </w:rPr>
              <w:t xml:space="preserve"> or negative screens</w:t>
            </w:r>
            <w:r w:rsidRPr="00737156">
              <w:rPr>
                <w:i/>
                <w:iCs/>
                <w:sz w:val="20"/>
                <w:szCs w:val="20"/>
              </w:rPr>
              <w:t xml:space="preserve"> alone</w:t>
            </w:r>
            <w:r w:rsidRPr="00737156">
              <w:rPr>
                <w:sz w:val="20"/>
                <w:szCs w:val="20"/>
              </w:rPr>
              <w:t xml:space="preserve"> should be sufficient in qualifying for a sustainability category</w:t>
            </w:r>
            <w:r w:rsidR="007358C1" w:rsidRPr="00737156">
              <w:rPr>
                <w:sz w:val="20"/>
                <w:szCs w:val="20"/>
              </w:rPr>
              <w:t>, as well as those funds only integrating ESG factors into investment analysis and decision-making.</w:t>
            </w:r>
            <w:r w:rsidR="009C0A26" w:rsidRPr="00737156">
              <w:rPr>
                <w:sz w:val="20"/>
                <w:szCs w:val="20"/>
              </w:rPr>
              <w:t xml:space="preserve">  </w:t>
            </w:r>
          </w:p>
          <w:p w14:paraId="2BB908FD" w14:textId="77777777" w:rsidR="00C422DB" w:rsidRPr="00737156" w:rsidRDefault="00C422DB" w:rsidP="00EE05D9">
            <w:pPr>
              <w:spacing w:after="0" w:line="259" w:lineRule="auto"/>
              <w:ind w:left="0" w:firstLine="0"/>
              <w:jc w:val="left"/>
              <w:rPr>
                <w:sz w:val="20"/>
                <w:szCs w:val="20"/>
              </w:rPr>
            </w:pPr>
          </w:p>
          <w:p w14:paraId="27AD7D52" w14:textId="77777777" w:rsidR="00737156" w:rsidRDefault="00FA7D16" w:rsidP="00EE05D9">
            <w:pPr>
              <w:spacing w:after="0" w:line="259" w:lineRule="auto"/>
              <w:ind w:left="0" w:firstLine="0"/>
              <w:jc w:val="left"/>
              <w:rPr>
                <w:sz w:val="20"/>
                <w:szCs w:val="20"/>
              </w:rPr>
            </w:pPr>
            <w:r w:rsidRPr="00737156">
              <w:rPr>
                <w:sz w:val="20"/>
                <w:szCs w:val="20"/>
              </w:rPr>
              <w:t xml:space="preserve">We </w:t>
            </w:r>
            <w:r w:rsidR="0037253D" w:rsidRPr="00737156">
              <w:rPr>
                <w:sz w:val="20"/>
                <w:szCs w:val="20"/>
              </w:rPr>
              <w:t xml:space="preserve">believe that the product categories under the revised SFDR framework should </w:t>
            </w:r>
            <w:r w:rsidR="00BA447E" w:rsidRPr="00737156">
              <w:rPr>
                <w:sz w:val="20"/>
                <w:szCs w:val="20"/>
              </w:rPr>
              <w:t xml:space="preserve">closely resemble </w:t>
            </w:r>
            <w:r w:rsidRPr="00737156">
              <w:rPr>
                <w:sz w:val="20"/>
                <w:szCs w:val="20"/>
              </w:rPr>
              <w:t>the FCA’s</w:t>
            </w:r>
            <w:r w:rsidR="00DD2DF0" w:rsidRPr="00737156">
              <w:rPr>
                <w:sz w:val="20"/>
                <w:szCs w:val="20"/>
              </w:rPr>
              <w:t xml:space="preserve"> </w:t>
            </w:r>
            <w:r w:rsidRPr="00737156">
              <w:rPr>
                <w:sz w:val="20"/>
                <w:szCs w:val="20"/>
              </w:rPr>
              <w:t>proposals</w:t>
            </w:r>
            <w:r w:rsidR="00DD2DF0" w:rsidRPr="00737156">
              <w:rPr>
                <w:sz w:val="20"/>
                <w:szCs w:val="20"/>
              </w:rPr>
              <w:t>, specifically recognising</w:t>
            </w:r>
            <w:r w:rsidR="00BA447E" w:rsidRPr="00737156">
              <w:rPr>
                <w:sz w:val="20"/>
                <w:szCs w:val="20"/>
              </w:rPr>
              <w:t xml:space="preserve"> the following funds</w:t>
            </w:r>
            <w:r w:rsidR="00E8356B" w:rsidRPr="00737156">
              <w:rPr>
                <w:sz w:val="20"/>
                <w:szCs w:val="20"/>
              </w:rPr>
              <w:t>:</w:t>
            </w:r>
            <w:r w:rsidR="00CB29F0" w:rsidRPr="00737156">
              <w:rPr>
                <w:sz w:val="20"/>
                <w:szCs w:val="20"/>
              </w:rPr>
              <w:t xml:space="preserve"> fund</w:t>
            </w:r>
            <w:r w:rsidR="00B838BD" w:rsidRPr="00737156">
              <w:rPr>
                <w:sz w:val="20"/>
                <w:szCs w:val="20"/>
              </w:rPr>
              <w:t xml:space="preserve">s that are </w:t>
            </w:r>
            <w:r w:rsidR="00584222" w:rsidRPr="00737156">
              <w:rPr>
                <w:sz w:val="20"/>
                <w:szCs w:val="20"/>
              </w:rPr>
              <w:t xml:space="preserve">seeking to offer targeted, measurable solutions to environmental or social problems to achieve real-world impacts; </w:t>
            </w:r>
            <w:r w:rsidR="00E8356B" w:rsidRPr="00737156">
              <w:rPr>
                <w:sz w:val="20"/>
                <w:szCs w:val="20"/>
              </w:rPr>
              <w:t>funds that are seeking to achieve a credible sustainability standard or them;</w:t>
            </w:r>
            <w:r w:rsidR="0076023D" w:rsidRPr="00737156">
              <w:rPr>
                <w:sz w:val="20"/>
                <w:szCs w:val="20"/>
              </w:rPr>
              <w:t xml:space="preserve"> and</w:t>
            </w:r>
            <w:r w:rsidR="00E8356B" w:rsidRPr="00737156">
              <w:rPr>
                <w:sz w:val="20"/>
                <w:szCs w:val="20"/>
              </w:rPr>
              <w:t xml:space="preserve"> funds that are looking to improve the sustainability of underlying assets over time</w:t>
            </w:r>
            <w:r w:rsidR="0076023D" w:rsidRPr="00737156">
              <w:rPr>
                <w:sz w:val="20"/>
                <w:szCs w:val="20"/>
              </w:rPr>
              <w:t>.</w:t>
            </w:r>
            <w:r w:rsidR="00BA447E" w:rsidRPr="00737156">
              <w:rPr>
                <w:sz w:val="20"/>
                <w:szCs w:val="20"/>
              </w:rPr>
              <w:t xml:space="preserve"> </w:t>
            </w:r>
          </w:p>
          <w:p w14:paraId="2A021BD0" w14:textId="77777777" w:rsidR="00737156" w:rsidRDefault="00737156" w:rsidP="00EE05D9">
            <w:pPr>
              <w:spacing w:after="0" w:line="259" w:lineRule="auto"/>
              <w:ind w:left="0" w:firstLine="0"/>
              <w:jc w:val="left"/>
              <w:rPr>
                <w:sz w:val="20"/>
                <w:szCs w:val="20"/>
              </w:rPr>
            </w:pPr>
          </w:p>
          <w:p w14:paraId="7870AA20" w14:textId="18A1AF36" w:rsidR="00B838BD" w:rsidRPr="00737156" w:rsidRDefault="00BA447E" w:rsidP="00EE05D9">
            <w:pPr>
              <w:spacing w:after="0" w:line="259" w:lineRule="auto"/>
              <w:ind w:left="0" w:firstLine="0"/>
              <w:jc w:val="left"/>
              <w:rPr>
                <w:sz w:val="20"/>
                <w:szCs w:val="20"/>
              </w:rPr>
            </w:pPr>
            <w:r w:rsidRPr="00737156">
              <w:rPr>
                <w:sz w:val="20"/>
                <w:szCs w:val="20"/>
              </w:rPr>
              <w:t xml:space="preserve">Alongside this, there </w:t>
            </w:r>
            <w:r w:rsidR="00737156">
              <w:rPr>
                <w:sz w:val="20"/>
                <w:szCs w:val="20"/>
              </w:rPr>
              <w:t>is</w:t>
            </w:r>
            <w:r w:rsidRPr="00737156">
              <w:rPr>
                <w:sz w:val="20"/>
                <w:szCs w:val="20"/>
              </w:rPr>
              <w:t xml:space="preserve"> merit in considering an additional </w:t>
            </w:r>
            <w:r w:rsidR="008148BF" w:rsidRPr="00737156">
              <w:rPr>
                <w:sz w:val="20"/>
                <w:szCs w:val="20"/>
              </w:rPr>
              <w:t xml:space="preserve">fourth </w:t>
            </w:r>
            <w:r w:rsidR="00CB25E8" w:rsidRPr="00737156">
              <w:rPr>
                <w:sz w:val="20"/>
                <w:szCs w:val="20"/>
              </w:rPr>
              <w:t>category which the FCA</w:t>
            </w:r>
            <w:r w:rsidR="00737156">
              <w:rPr>
                <w:sz w:val="20"/>
                <w:szCs w:val="20"/>
              </w:rPr>
              <w:t xml:space="preserve"> has now committed to</w:t>
            </w:r>
            <w:r w:rsidR="004455FB">
              <w:rPr>
                <w:sz w:val="20"/>
                <w:szCs w:val="20"/>
              </w:rPr>
              <w:t>, and</w:t>
            </w:r>
            <w:r w:rsidR="00CB25E8" w:rsidRPr="00737156">
              <w:rPr>
                <w:sz w:val="20"/>
                <w:szCs w:val="20"/>
              </w:rPr>
              <w:t xml:space="preserve"> this could seek to accommodate multi-asset funds and blended investment strategies</w:t>
            </w:r>
            <w:r w:rsidR="008B0CD0" w:rsidRPr="00737156">
              <w:rPr>
                <w:sz w:val="20"/>
                <w:szCs w:val="20"/>
              </w:rPr>
              <w:t xml:space="preserve"> that could qualify for a number of the product categories.</w:t>
            </w:r>
          </w:p>
          <w:p w14:paraId="5B712E4C" w14:textId="429E7F84" w:rsidR="0045673A" w:rsidRDefault="0045673A" w:rsidP="0076023D">
            <w:pPr>
              <w:pStyle w:val="ListParagraph"/>
              <w:spacing w:after="0" w:line="259" w:lineRule="auto"/>
              <w:ind w:firstLine="0"/>
              <w:jc w:val="left"/>
            </w:pPr>
          </w:p>
        </w:tc>
      </w:tr>
    </w:tbl>
    <w:p w14:paraId="3A62A237" w14:textId="77777777" w:rsidR="0045673A" w:rsidRDefault="00E17DF3">
      <w:pPr>
        <w:spacing w:after="216" w:line="259" w:lineRule="auto"/>
        <w:ind w:left="0" w:firstLine="0"/>
        <w:jc w:val="left"/>
      </w:pPr>
      <w:r>
        <w:rPr>
          <w:b/>
        </w:rPr>
        <w:t xml:space="preserve"> </w:t>
      </w:r>
    </w:p>
    <w:p w14:paraId="74F5EBBF" w14:textId="77777777" w:rsidR="0045673A" w:rsidRDefault="00E17DF3">
      <w:pPr>
        <w:ind w:right="643"/>
      </w:pPr>
      <w:r>
        <w:rPr>
          <w:b/>
          <w:u w:val="single" w:color="000000"/>
        </w:rPr>
        <w:t>Question 4.1.5</w:t>
      </w:r>
      <w:r>
        <w:rPr>
          <w:u w:val="single" w:color="000000"/>
        </w:rPr>
        <w:t>:</w:t>
      </w:r>
      <w:r>
        <w:t xml:space="preserve"> To what extent do you think it is useful to distinguish between sustainability product category A and B described above? </w:t>
      </w:r>
    </w:p>
    <w:tbl>
      <w:tblPr>
        <w:tblW w:w="7972" w:type="dxa"/>
        <w:tblCellMar>
          <w:top w:w="17" w:type="dxa"/>
          <w:left w:w="115" w:type="dxa"/>
          <w:right w:w="115" w:type="dxa"/>
        </w:tblCellMar>
        <w:tblLook w:val="04A0" w:firstRow="1" w:lastRow="0" w:firstColumn="1" w:lastColumn="0" w:noHBand="0" w:noVBand="1"/>
      </w:tblPr>
      <w:tblGrid>
        <w:gridCol w:w="1111"/>
        <w:gridCol w:w="1095"/>
        <w:gridCol w:w="1094"/>
        <w:gridCol w:w="1095"/>
        <w:gridCol w:w="1025"/>
        <w:gridCol w:w="2552"/>
      </w:tblGrid>
      <w:tr w:rsidR="0045673A" w14:paraId="6B2D5DC4" w14:textId="77777777">
        <w:trPr>
          <w:trHeight w:val="530"/>
        </w:trPr>
        <w:tc>
          <w:tcPr>
            <w:tcW w:w="1111" w:type="dxa"/>
            <w:tcBorders>
              <w:top w:val="single" w:sz="6" w:space="0" w:color="000000"/>
              <w:left w:val="single" w:sz="6" w:space="0" w:color="000000"/>
              <w:bottom w:val="single" w:sz="6" w:space="0" w:color="000000"/>
              <w:right w:val="single" w:sz="6" w:space="0" w:color="000000"/>
            </w:tcBorders>
          </w:tcPr>
          <w:p w14:paraId="19620170" w14:textId="77777777" w:rsidR="0045673A" w:rsidRDefault="00E17DF3">
            <w:pPr>
              <w:spacing w:after="0" w:line="259" w:lineRule="auto"/>
              <w:ind w:left="0" w:right="2" w:firstLine="0"/>
              <w:jc w:val="center"/>
            </w:pPr>
            <w:r>
              <w:t xml:space="preserve">1 </w:t>
            </w:r>
          </w:p>
        </w:tc>
        <w:tc>
          <w:tcPr>
            <w:tcW w:w="1095" w:type="dxa"/>
            <w:tcBorders>
              <w:top w:val="single" w:sz="6" w:space="0" w:color="000000"/>
              <w:left w:val="single" w:sz="6" w:space="0" w:color="000000"/>
              <w:bottom w:val="single" w:sz="6" w:space="0" w:color="000000"/>
              <w:right w:val="single" w:sz="6" w:space="0" w:color="000000"/>
            </w:tcBorders>
          </w:tcPr>
          <w:p w14:paraId="5FDDF3B0" w14:textId="77777777" w:rsidR="0045673A" w:rsidRDefault="00E17DF3">
            <w:pPr>
              <w:spacing w:after="0" w:line="259" w:lineRule="auto"/>
              <w:ind w:left="0" w:right="1" w:firstLine="0"/>
              <w:jc w:val="center"/>
            </w:pPr>
            <w:r>
              <w:t xml:space="preserve">2 </w:t>
            </w:r>
          </w:p>
        </w:tc>
        <w:tc>
          <w:tcPr>
            <w:tcW w:w="1094" w:type="dxa"/>
            <w:tcBorders>
              <w:top w:val="single" w:sz="6" w:space="0" w:color="000000"/>
              <w:left w:val="single" w:sz="6" w:space="0" w:color="000000"/>
              <w:bottom w:val="single" w:sz="6" w:space="0" w:color="000000"/>
              <w:right w:val="single" w:sz="6" w:space="0" w:color="000000"/>
            </w:tcBorders>
          </w:tcPr>
          <w:p w14:paraId="60DA8426" w14:textId="77777777" w:rsidR="0045673A" w:rsidRDefault="00E17DF3">
            <w:pPr>
              <w:spacing w:after="0" w:line="259" w:lineRule="auto"/>
              <w:ind w:left="0" w:firstLine="0"/>
              <w:jc w:val="center"/>
            </w:pPr>
            <w:r>
              <w:t xml:space="preserve">3 </w:t>
            </w:r>
          </w:p>
        </w:tc>
        <w:tc>
          <w:tcPr>
            <w:tcW w:w="1095" w:type="dxa"/>
            <w:tcBorders>
              <w:top w:val="single" w:sz="6" w:space="0" w:color="000000"/>
              <w:left w:val="single" w:sz="6" w:space="0" w:color="000000"/>
              <w:bottom w:val="single" w:sz="6" w:space="0" w:color="000000"/>
              <w:right w:val="single" w:sz="6" w:space="0" w:color="000000"/>
            </w:tcBorders>
          </w:tcPr>
          <w:p w14:paraId="3A0C7E25" w14:textId="77777777" w:rsidR="0045673A" w:rsidRDefault="00E17DF3">
            <w:pPr>
              <w:spacing w:after="0" w:line="259" w:lineRule="auto"/>
              <w:ind w:left="0" w:firstLine="0"/>
              <w:jc w:val="center"/>
            </w:pPr>
            <w:r>
              <w:t xml:space="preserve">4 </w:t>
            </w:r>
          </w:p>
        </w:tc>
        <w:tc>
          <w:tcPr>
            <w:tcW w:w="1025" w:type="dxa"/>
            <w:tcBorders>
              <w:top w:val="single" w:sz="6" w:space="0" w:color="000000"/>
              <w:left w:val="single" w:sz="6" w:space="0" w:color="000000"/>
              <w:bottom w:val="single" w:sz="6" w:space="0" w:color="000000"/>
              <w:right w:val="single" w:sz="6" w:space="0" w:color="000000"/>
            </w:tcBorders>
          </w:tcPr>
          <w:p w14:paraId="0C503134" w14:textId="77777777" w:rsidR="0045673A" w:rsidRDefault="00E17DF3">
            <w:pPr>
              <w:spacing w:after="0" w:line="259" w:lineRule="auto"/>
              <w:ind w:left="2" w:firstLine="0"/>
              <w:jc w:val="center"/>
            </w:pPr>
            <w:r>
              <w:t xml:space="preserve">5 </w:t>
            </w:r>
          </w:p>
        </w:tc>
        <w:tc>
          <w:tcPr>
            <w:tcW w:w="2552" w:type="dxa"/>
            <w:tcBorders>
              <w:top w:val="single" w:sz="6" w:space="0" w:color="000000"/>
              <w:left w:val="single" w:sz="6" w:space="0" w:color="000000"/>
              <w:bottom w:val="single" w:sz="6" w:space="0" w:color="000000"/>
              <w:right w:val="single" w:sz="6" w:space="0" w:color="000000"/>
            </w:tcBorders>
          </w:tcPr>
          <w:p w14:paraId="7B7C509C" w14:textId="77777777" w:rsidR="0045673A" w:rsidRDefault="00E17DF3">
            <w:pPr>
              <w:spacing w:after="0" w:line="259" w:lineRule="auto"/>
              <w:ind w:left="0" w:right="3" w:firstLine="0"/>
              <w:jc w:val="center"/>
            </w:pPr>
            <w:r>
              <w:t xml:space="preserve">Don’t know </w:t>
            </w:r>
          </w:p>
        </w:tc>
      </w:tr>
      <w:tr w:rsidR="0045673A" w14:paraId="7E48935E" w14:textId="77777777">
        <w:trPr>
          <w:trHeight w:val="533"/>
        </w:trPr>
        <w:tc>
          <w:tcPr>
            <w:tcW w:w="1111" w:type="dxa"/>
            <w:tcBorders>
              <w:top w:val="single" w:sz="6" w:space="0" w:color="000000"/>
              <w:left w:val="single" w:sz="6" w:space="0" w:color="000000"/>
              <w:bottom w:val="single" w:sz="6" w:space="0" w:color="000000"/>
              <w:right w:val="single" w:sz="6" w:space="0" w:color="000000"/>
            </w:tcBorders>
          </w:tcPr>
          <w:p w14:paraId="46731406" w14:textId="77777777" w:rsidR="0045673A" w:rsidRDefault="00E17DF3">
            <w:pPr>
              <w:spacing w:after="0" w:line="259" w:lineRule="auto"/>
              <w:ind w:left="58" w:firstLine="0"/>
              <w:jc w:val="center"/>
            </w:pPr>
            <w:r>
              <w:t xml:space="preserve"> </w:t>
            </w:r>
          </w:p>
        </w:tc>
        <w:tc>
          <w:tcPr>
            <w:tcW w:w="1095" w:type="dxa"/>
            <w:tcBorders>
              <w:top w:val="single" w:sz="6" w:space="0" w:color="000000"/>
              <w:left w:val="single" w:sz="6" w:space="0" w:color="000000"/>
              <w:bottom w:val="single" w:sz="6" w:space="0" w:color="000000"/>
              <w:right w:val="single" w:sz="6" w:space="0" w:color="000000"/>
            </w:tcBorders>
          </w:tcPr>
          <w:p w14:paraId="47D412B4" w14:textId="77777777" w:rsidR="0045673A" w:rsidRDefault="00E17DF3">
            <w:pPr>
              <w:spacing w:after="0" w:line="259" w:lineRule="auto"/>
              <w:ind w:left="59" w:firstLine="0"/>
              <w:jc w:val="center"/>
            </w:pPr>
            <w:r>
              <w:t xml:space="preserve"> </w:t>
            </w:r>
          </w:p>
        </w:tc>
        <w:tc>
          <w:tcPr>
            <w:tcW w:w="1094" w:type="dxa"/>
            <w:tcBorders>
              <w:top w:val="single" w:sz="6" w:space="0" w:color="000000"/>
              <w:left w:val="single" w:sz="6" w:space="0" w:color="000000"/>
              <w:bottom w:val="single" w:sz="6" w:space="0" w:color="000000"/>
              <w:right w:val="single" w:sz="6" w:space="0" w:color="000000"/>
            </w:tcBorders>
          </w:tcPr>
          <w:p w14:paraId="2DDE6C24" w14:textId="71E1B1E9" w:rsidR="0045673A" w:rsidRDefault="0045673A">
            <w:pPr>
              <w:spacing w:after="0" w:line="259" w:lineRule="auto"/>
              <w:ind w:left="60" w:firstLine="0"/>
              <w:jc w:val="center"/>
            </w:pPr>
          </w:p>
        </w:tc>
        <w:tc>
          <w:tcPr>
            <w:tcW w:w="1095" w:type="dxa"/>
            <w:tcBorders>
              <w:top w:val="single" w:sz="6" w:space="0" w:color="000000"/>
              <w:left w:val="single" w:sz="6" w:space="0" w:color="000000"/>
              <w:bottom w:val="single" w:sz="6" w:space="0" w:color="000000"/>
              <w:right w:val="single" w:sz="6" w:space="0" w:color="000000"/>
            </w:tcBorders>
          </w:tcPr>
          <w:p w14:paraId="48E7785F" w14:textId="770909DD" w:rsidR="0045673A" w:rsidRDefault="00F95782">
            <w:pPr>
              <w:spacing w:after="0" w:line="259" w:lineRule="auto"/>
              <w:ind w:left="60" w:firstLine="0"/>
              <w:jc w:val="center"/>
            </w:pPr>
            <w:r>
              <w:t>X</w:t>
            </w:r>
          </w:p>
        </w:tc>
        <w:tc>
          <w:tcPr>
            <w:tcW w:w="1025" w:type="dxa"/>
            <w:tcBorders>
              <w:top w:val="single" w:sz="6" w:space="0" w:color="000000"/>
              <w:left w:val="single" w:sz="6" w:space="0" w:color="000000"/>
              <w:bottom w:val="single" w:sz="6" w:space="0" w:color="000000"/>
              <w:right w:val="single" w:sz="6" w:space="0" w:color="000000"/>
            </w:tcBorders>
          </w:tcPr>
          <w:p w14:paraId="73019F70" w14:textId="77777777" w:rsidR="0045673A" w:rsidRDefault="00E17DF3">
            <w:pPr>
              <w:spacing w:after="0" w:line="259" w:lineRule="auto"/>
              <w:ind w:left="62" w:firstLine="0"/>
              <w:jc w:val="center"/>
            </w:pPr>
            <w: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204E7E1B" w14:textId="77777777" w:rsidR="0045673A" w:rsidRDefault="00E17DF3">
            <w:pPr>
              <w:spacing w:after="0" w:line="259" w:lineRule="auto"/>
              <w:ind w:left="63" w:firstLine="0"/>
              <w:jc w:val="center"/>
            </w:pPr>
            <w:r>
              <w:t xml:space="preserve"> </w:t>
            </w:r>
          </w:p>
        </w:tc>
      </w:tr>
    </w:tbl>
    <w:p w14:paraId="414A7AE1" w14:textId="77777777" w:rsidR="0045673A" w:rsidRDefault="00E17DF3">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6158DBC8" w14:textId="77777777" w:rsidR="0045673A" w:rsidRDefault="00E17DF3">
      <w:pPr>
        <w:ind w:right="643"/>
      </w:pPr>
      <w:r>
        <w:rPr>
          <w:b/>
          <w:u w:val="single" w:color="000000"/>
        </w:rPr>
        <w:t>Question 4.1.6</w:t>
      </w:r>
      <w:r>
        <w:rPr>
          <w:u w:val="single" w:color="000000"/>
        </w:rPr>
        <w:t>:</w:t>
      </w:r>
      <w:r>
        <w:t xml:space="preserve"> Do you see merits in distinguishing between products with a social and environmental focus? </w:t>
      </w:r>
    </w:p>
    <w:p w14:paraId="28F483E4" w14:textId="77777777" w:rsidR="0045673A" w:rsidRDefault="00E17DF3">
      <w:pPr>
        <w:spacing w:after="0" w:line="259" w:lineRule="auto"/>
        <w:ind w:left="0" w:firstLine="0"/>
        <w:jc w:val="left"/>
      </w:pPr>
      <w:r>
        <w:rPr>
          <w:rFonts w:ascii="Calibri" w:eastAsia="Calibri" w:hAnsi="Calibri" w:cs="Calibri"/>
        </w:rPr>
        <w:t xml:space="preserve"> </w:t>
      </w:r>
    </w:p>
    <w:tbl>
      <w:tblPr>
        <w:tblW w:w="8829"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2826"/>
      </w:tblGrid>
      <w:tr w:rsidR="0045673A" w14:paraId="4BAD6987" w14:textId="77777777">
        <w:trPr>
          <w:trHeight w:val="533"/>
        </w:trPr>
        <w:tc>
          <w:tcPr>
            <w:tcW w:w="1229" w:type="dxa"/>
            <w:tcBorders>
              <w:top w:val="single" w:sz="6" w:space="0" w:color="000000"/>
              <w:left w:val="single" w:sz="6" w:space="0" w:color="000000"/>
              <w:bottom w:val="single" w:sz="6" w:space="0" w:color="000000"/>
              <w:right w:val="single" w:sz="6" w:space="0" w:color="000000"/>
            </w:tcBorders>
          </w:tcPr>
          <w:p w14:paraId="47747B73"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5AB0B867"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489F2826"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1CD426C1"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11DF71A3" w14:textId="77777777" w:rsidR="0045673A" w:rsidRDefault="00E17DF3">
            <w:pPr>
              <w:spacing w:after="0" w:line="259" w:lineRule="auto"/>
              <w:ind w:left="2" w:firstLine="0"/>
              <w:jc w:val="center"/>
            </w:pPr>
            <w:r>
              <w:t xml:space="preserve">5 </w:t>
            </w:r>
          </w:p>
        </w:tc>
        <w:tc>
          <w:tcPr>
            <w:tcW w:w="2826" w:type="dxa"/>
            <w:tcBorders>
              <w:top w:val="single" w:sz="6" w:space="0" w:color="000000"/>
              <w:left w:val="single" w:sz="6" w:space="0" w:color="000000"/>
              <w:bottom w:val="single" w:sz="6" w:space="0" w:color="000000"/>
              <w:right w:val="single" w:sz="6" w:space="0" w:color="000000"/>
            </w:tcBorders>
          </w:tcPr>
          <w:p w14:paraId="4417448B" w14:textId="77777777" w:rsidR="0045673A" w:rsidRDefault="00E17DF3">
            <w:pPr>
              <w:spacing w:after="0" w:line="259" w:lineRule="auto"/>
              <w:ind w:left="0" w:right="2" w:firstLine="0"/>
              <w:jc w:val="center"/>
            </w:pPr>
            <w:r>
              <w:t xml:space="preserve">Don’t know </w:t>
            </w:r>
          </w:p>
        </w:tc>
      </w:tr>
      <w:tr w:rsidR="0045673A" w14:paraId="2762A115" w14:textId="77777777">
        <w:trPr>
          <w:trHeight w:val="530"/>
        </w:trPr>
        <w:tc>
          <w:tcPr>
            <w:tcW w:w="1229" w:type="dxa"/>
            <w:tcBorders>
              <w:top w:val="single" w:sz="6" w:space="0" w:color="000000"/>
              <w:left w:val="single" w:sz="6" w:space="0" w:color="000000"/>
              <w:bottom w:val="single" w:sz="6" w:space="0" w:color="000000"/>
              <w:right w:val="single" w:sz="6" w:space="0" w:color="000000"/>
            </w:tcBorders>
          </w:tcPr>
          <w:p w14:paraId="56B6427F" w14:textId="30CC6CB4" w:rsidR="0045673A" w:rsidRDefault="00E17DF3">
            <w:pPr>
              <w:spacing w:after="0" w:line="259" w:lineRule="auto"/>
              <w:ind w:left="60" w:firstLine="0"/>
              <w:jc w:val="center"/>
            </w:pPr>
            <w:r>
              <w:t xml:space="preserve"> </w:t>
            </w:r>
          </w:p>
        </w:tc>
        <w:tc>
          <w:tcPr>
            <w:tcW w:w="1215" w:type="dxa"/>
            <w:tcBorders>
              <w:top w:val="single" w:sz="6" w:space="0" w:color="000000"/>
              <w:left w:val="single" w:sz="6" w:space="0" w:color="000000"/>
              <w:bottom w:val="single" w:sz="6" w:space="0" w:color="000000"/>
              <w:right w:val="single" w:sz="6" w:space="0" w:color="000000"/>
            </w:tcBorders>
          </w:tcPr>
          <w:p w14:paraId="2921F5E7" w14:textId="394F9D9B" w:rsidR="0045673A" w:rsidRDefault="00E17DF3">
            <w:pPr>
              <w:spacing w:after="0" w:line="259" w:lineRule="auto"/>
              <w:ind w:left="61"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16E36AC0" w14:textId="77777777" w:rsidR="0045673A" w:rsidRDefault="00E17DF3">
            <w:pPr>
              <w:spacing w:after="0" w:line="259" w:lineRule="auto"/>
              <w:ind w:left="62"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2D82F455" w14:textId="2D731454" w:rsidR="0045673A" w:rsidRDefault="00E17DF3">
            <w:pPr>
              <w:spacing w:after="0" w:line="259" w:lineRule="auto"/>
              <w:ind w:left="63" w:firstLine="0"/>
              <w:jc w:val="center"/>
            </w:pPr>
            <w:r>
              <w:t xml:space="preserve"> </w:t>
            </w:r>
            <w:r w:rsidR="00F95782">
              <w:t>X</w:t>
            </w:r>
          </w:p>
        </w:tc>
        <w:tc>
          <w:tcPr>
            <w:tcW w:w="1135" w:type="dxa"/>
            <w:tcBorders>
              <w:top w:val="single" w:sz="6" w:space="0" w:color="000000"/>
              <w:left w:val="single" w:sz="6" w:space="0" w:color="000000"/>
              <w:bottom w:val="single" w:sz="6" w:space="0" w:color="000000"/>
              <w:right w:val="single" w:sz="6" w:space="0" w:color="000000"/>
            </w:tcBorders>
          </w:tcPr>
          <w:p w14:paraId="13E43DA5" w14:textId="77777777" w:rsidR="0045673A" w:rsidRDefault="00E17DF3">
            <w:pPr>
              <w:spacing w:after="0" w:line="259" w:lineRule="auto"/>
              <w:ind w:left="62" w:firstLine="0"/>
              <w:jc w:val="center"/>
            </w:pPr>
            <w:r>
              <w:t xml:space="preserve"> </w:t>
            </w:r>
          </w:p>
        </w:tc>
        <w:tc>
          <w:tcPr>
            <w:tcW w:w="2826" w:type="dxa"/>
            <w:tcBorders>
              <w:top w:val="single" w:sz="6" w:space="0" w:color="000000"/>
              <w:left w:val="single" w:sz="6" w:space="0" w:color="000000"/>
              <w:bottom w:val="single" w:sz="6" w:space="0" w:color="000000"/>
              <w:right w:val="single" w:sz="6" w:space="0" w:color="000000"/>
            </w:tcBorders>
          </w:tcPr>
          <w:p w14:paraId="361D9179" w14:textId="77777777" w:rsidR="0045673A" w:rsidRDefault="00E17DF3">
            <w:pPr>
              <w:spacing w:after="0" w:line="259" w:lineRule="auto"/>
              <w:ind w:left="63" w:firstLine="0"/>
              <w:jc w:val="center"/>
            </w:pPr>
            <w:r>
              <w:t xml:space="preserve"> </w:t>
            </w:r>
          </w:p>
        </w:tc>
      </w:tr>
    </w:tbl>
    <w:p w14:paraId="0DCA591B"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26C9164F" w14:textId="77777777" w:rsidR="0045673A" w:rsidRDefault="00E17DF3">
      <w:pPr>
        <w:spacing w:after="323"/>
        <w:ind w:right="643"/>
      </w:pPr>
      <w:r>
        <w:rPr>
          <w:b/>
          <w:u w:val="single" w:color="000000"/>
        </w:rPr>
        <w:t>Question 4.1.7</w:t>
      </w:r>
      <w:r>
        <w:t xml:space="preserve">: How many sustainability product categories in total do you think there should be? </w:t>
      </w:r>
    </w:p>
    <w:p w14:paraId="0B69A2B4" w14:textId="77777777" w:rsidR="0045673A" w:rsidRDefault="00E17DF3">
      <w:pPr>
        <w:spacing w:after="0" w:line="259" w:lineRule="auto"/>
        <w:ind w:left="0" w:firstLine="0"/>
        <w:jc w:val="left"/>
      </w:pPr>
      <w:r>
        <w:rPr>
          <w:rFonts w:ascii="Calibri" w:eastAsia="Calibri" w:hAnsi="Calibri" w:cs="Calibri"/>
          <w:noProof/>
          <w:sz w:val="22"/>
        </w:rPr>
        <mc:AlternateContent>
          <mc:Choice Requires="wpg">
            <w:drawing>
              <wp:inline distT="0" distB="0" distL="0" distR="0" wp14:anchorId="21B4003E" wp14:editId="117A0FD6">
                <wp:extent cx="1829054" cy="7620"/>
                <wp:effectExtent l="0" t="0" r="0" b="0"/>
                <wp:docPr id="129999" name="Group 129999"/>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137429" name="Shape 137429"/>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49B153B" id="Group 129999" o:spid="_x0000_s1026" style="width:2in;height:.6pt;mso-position-horizontal-relative:char;mso-position-vertical-relative:line" coordsize="1829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">
                <v:shape id="Shape 137429"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" path="m,l1829054,r,9144l,9144,,e" fillcolor="black" stroked="f" strokeweight="0">
                  <v:stroke miterlimit="83231f" joinstyle="miter"/>
                  <v:path arrowok="t" textboxrect="0,0,1829054,9144"/>
                </v:shape>
                <w10:anchorlock/>
              </v:group>
            </w:pict>
          </mc:Fallback>
        </mc:AlternateContent>
      </w:r>
      <w:r>
        <w:t xml:space="preserve"> </w:t>
      </w:r>
    </w:p>
    <w:tbl>
      <w:tblPr>
        <w:tblW w:w="9964"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1133"/>
        <w:gridCol w:w="2828"/>
      </w:tblGrid>
      <w:tr w:rsidR="0045673A" w14:paraId="7B350B3F" w14:textId="77777777">
        <w:trPr>
          <w:trHeight w:val="1083"/>
        </w:trPr>
        <w:tc>
          <w:tcPr>
            <w:tcW w:w="1229" w:type="dxa"/>
            <w:tcBorders>
              <w:top w:val="single" w:sz="6" w:space="0" w:color="000000"/>
              <w:left w:val="single" w:sz="6" w:space="0" w:color="000000"/>
              <w:bottom w:val="single" w:sz="6" w:space="0" w:color="000000"/>
              <w:right w:val="single" w:sz="6" w:space="0" w:color="000000"/>
            </w:tcBorders>
          </w:tcPr>
          <w:p w14:paraId="6E938A3C"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2D2B1E81"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6A3DF455"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65D346EE"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7555016F" w14:textId="77777777" w:rsidR="0045673A" w:rsidRDefault="00E17DF3">
            <w:pPr>
              <w:spacing w:after="0" w:line="259" w:lineRule="auto"/>
              <w:ind w:left="2" w:firstLine="0"/>
              <w:jc w:val="center"/>
            </w:pPr>
            <w:r>
              <w:t>5</w:t>
            </w:r>
            <w:r>
              <w:rPr>
                <w:rFonts w:ascii="Calibri" w:eastAsia="Calibri" w:hAnsi="Calibri" w:cs="Calibri"/>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5924EB85" w14:textId="77777777" w:rsidR="0045673A" w:rsidRDefault="00E17DF3">
            <w:pPr>
              <w:spacing w:after="0" w:line="238" w:lineRule="auto"/>
              <w:ind w:left="0" w:firstLine="0"/>
              <w:jc w:val="center"/>
            </w:pPr>
            <w:r>
              <w:t xml:space="preserve">More than </w:t>
            </w:r>
          </w:p>
          <w:p w14:paraId="786C323E" w14:textId="77777777" w:rsidR="0045673A" w:rsidRDefault="00E17DF3">
            <w:pPr>
              <w:spacing w:after="0" w:line="259" w:lineRule="auto"/>
              <w:ind w:left="1" w:firstLine="0"/>
              <w:jc w:val="center"/>
            </w:pPr>
            <w:r>
              <w:t xml:space="preserve">5 </w:t>
            </w:r>
          </w:p>
        </w:tc>
        <w:tc>
          <w:tcPr>
            <w:tcW w:w="2828" w:type="dxa"/>
            <w:tcBorders>
              <w:top w:val="single" w:sz="6" w:space="0" w:color="000000"/>
              <w:left w:val="single" w:sz="6" w:space="0" w:color="000000"/>
              <w:bottom w:val="single" w:sz="6" w:space="0" w:color="000000"/>
              <w:right w:val="single" w:sz="6" w:space="0" w:color="000000"/>
            </w:tcBorders>
          </w:tcPr>
          <w:p w14:paraId="69D06810" w14:textId="77777777" w:rsidR="0045673A" w:rsidRDefault="00E17DF3">
            <w:pPr>
              <w:spacing w:after="0" w:line="259" w:lineRule="auto"/>
              <w:ind w:left="0" w:right="5" w:firstLine="0"/>
              <w:jc w:val="center"/>
            </w:pPr>
            <w:r>
              <w:t xml:space="preserve">Don’t know </w:t>
            </w:r>
          </w:p>
        </w:tc>
      </w:tr>
      <w:tr w:rsidR="0045673A" w14:paraId="15C96356" w14:textId="77777777">
        <w:trPr>
          <w:trHeight w:val="550"/>
        </w:trPr>
        <w:tc>
          <w:tcPr>
            <w:tcW w:w="1229" w:type="dxa"/>
            <w:tcBorders>
              <w:top w:val="single" w:sz="6" w:space="0" w:color="000000"/>
              <w:left w:val="single" w:sz="6" w:space="0" w:color="000000"/>
              <w:bottom w:val="single" w:sz="6" w:space="0" w:color="000000"/>
              <w:right w:val="single" w:sz="6" w:space="0" w:color="000000"/>
            </w:tcBorders>
          </w:tcPr>
          <w:p w14:paraId="3CFD5D22" w14:textId="77777777" w:rsidR="0045673A" w:rsidRDefault="00E17DF3">
            <w:pPr>
              <w:spacing w:after="0" w:line="259" w:lineRule="auto"/>
              <w:ind w:left="60" w:firstLine="0"/>
              <w:jc w:val="center"/>
            </w:pPr>
            <w:r>
              <w:t xml:space="preserve"> </w:t>
            </w:r>
          </w:p>
        </w:tc>
        <w:tc>
          <w:tcPr>
            <w:tcW w:w="1215" w:type="dxa"/>
            <w:tcBorders>
              <w:top w:val="single" w:sz="6" w:space="0" w:color="000000"/>
              <w:left w:val="single" w:sz="6" w:space="0" w:color="000000"/>
              <w:bottom w:val="single" w:sz="6" w:space="0" w:color="000000"/>
              <w:right w:val="single" w:sz="6" w:space="0" w:color="000000"/>
            </w:tcBorders>
          </w:tcPr>
          <w:p w14:paraId="5EEAB4E5" w14:textId="77777777" w:rsidR="0045673A" w:rsidRDefault="00E17DF3">
            <w:pPr>
              <w:spacing w:after="0" w:line="259" w:lineRule="auto"/>
              <w:ind w:left="61"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6D2AA355" w14:textId="18DD6EE4" w:rsidR="0045673A" w:rsidRDefault="00E17DF3">
            <w:pPr>
              <w:spacing w:after="0" w:line="259" w:lineRule="auto"/>
              <w:ind w:left="62"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17C8F489" w14:textId="01F3E9BD" w:rsidR="0045673A" w:rsidRDefault="00CE2C59">
            <w:pPr>
              <w:spacing w:after="0" w:line="259" w:lineRule="auto"/>
              <w:ind w:left="63" w:firstLine="0"/>
              <w:jc w:val="center"/>
            </w:pPr>
            <w:r>
              <w:t>X</w:t>
            </w:r>
            <w:r w:rsidR="00E17DF3">
              <w:t xml:space="preserve"> </w:t>
            </w:r>
          </w:p>
        </w:tc>
        <w:tc>
          <w:tcPr>
            <w:tcW w:w="1135" w:type="dxa"/>
            <w:tcBorders>
              <w:top w:val="single" w:sz="6" w:space="0" w:color="000000"/>
              <w:left w:val="single" w:sz="6" w:space="0" w:color="000000"/>
              <w:bottom w:val="single" w:sz="6" w:space="0" w:color="000000"/>
              <w:right w:val="single" w:sz="6" w:space="0" w:color="000000"/>
            </w:tcBorders>
          </w:tcPr>
          <w:p w14:paraId="1359DA9A" w14:textId="77777777" w:rsidR="0045673A" w:rsidRDefault="00E17DF3">
            <w:pPr>
              <w:spacing w:after="0" w:line="259" w:lineRule="auto"/>
              <w:ind w:left="57" w:firstLine="0"/>
              <w:jc w:val="center"/>
            </w:pPr>
            <w:r>
              <w:rPr>
                <w:rFonts w:ascii="Calibri" w:eastAsia="Calibri" w:hAnsi="Calibri" w:cs="Calibri"/>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79240D93" w14:textId="77777777" w:rsidR="0045673A" w:rsidRDefault="00E17DF3">
            <w:pPr>
              <w:spacing w:after="0" w:line="259" w:lineRule="auto"/>
              <w:ind w:left="61" w:firstLine="0"/>
              <w:jc w:val="center"/>
            </w:pPr>
            <w:r>
              <w:t xml:space="preserve"> </w:t>
            </w:r>
          </w:p>
        </w:tc>
        <w:tc>
          <w:tcPr>
            <w:tcW w:w="2828" w:type="dxa"/>
            <w:tcBorders>
              <w:top w:val="single" w:sz="6" w:space="0" w:color="000000"/>
              <w:left w:val="single" w:sz="6" w:space="0" w:color="000000"/>
              <w:bottom w:val="single" w:sz="6" w:space="0" w:color="000000"/>
              <w:right w:val="single" w:sz="6" w:space="0" w:color="000000"/>
            </w:tcBorders>
          </w:tcPr>
          <w:p w14:paraId="7729B31D" w14:textId="00E020DA" w:rsidR="0045673A" w:rsidRDefault="0045673A">
            <w:pPr>
              <w:spacing w:after="0" w:line="259" w:lineRule="auto"/>
              <w:ind w:left="60" w:firstLine="0"/>
              <w:jc w:val="center"/>
            </w:pPr>
          </w:p>
        </w:tc>
      </w:tr>
    </w:tbl>
    <w:p w14:paraId="69F4A132" w14:textId="77777777" w:rsidR="0045673A" w:rsidRDefault="00E17DF3">
      <w:pPr>
        <w:spacing w:after="216" w:line="259" w:lineRule="auto"/>
        <w:ind w:left="0" w:firstLine="0"/>
        <w:jc w:val="left"/>
      </w:pPr>
      <w:r>
        <w:t xml:space="preserve"> </w:t>
      </w:r>
    </w:p>
    <w:p w14:paraId="68D8FBE4" w14:textId="77777777" w:rsidR="0045673A" w:rsidRDefault="00E17DF3">
      <w:pPr>
        <w:ind w:right="643"/>
      </w:pPr>
      <w:r>
        <w:rPr>
          <w:b/>
          <w:u w:val="single" w:color="000000"/>
        </w:rPr>
        <w:t>Question 4.1.8</w:t>
      </w:r>
      <w:r>
        <w:t xml:space="preserve">: Do you think product categories should be mutually exclusive, i.e. financial market participants should choose only one category to which the product belongs to in cases where the product meets the criteria of several categories (independently from subsequent potential verification or supervision of the claim)?  </w:t>
      </w:r>
    </w:p>
    <w:tbl>
      <w:tblPr>
        <w:tblW w:w="8836" w:type="dxa"/>
        <w:tblCellMar>
          <w:top w:w="19" w:type="dxa"/>
          <w:right w:w="115" w:type="dxa"/>
        </w:tblCellMar>
        <w:tblLook w:val="04A0" w:firstRow="1" w:lastRow="0" w:firstColumn="1" w:lastColumn="0" w:noHBand="0" w:noVBand="1"/>
      </w:tblPr>
      <w:tblGrid>
        <w:gridCol w:w="2208"/>
        <w:gridCol w:w="2208"/>
        <w:gridCol w:w="2209"/>
        <w:gridCol w:w="2211"/>
      </w:tblGrid>
      <w:tr w:rsidR="0045673A" w14:paraId="7985875F" w14:textId="77777777">
        <w:trPr>
          <w:trHeight w:val="893"/>
        </w:trPr>
        <w:tc>
          <w:tcPr>
            <w:tcW w:w="2209" w:type="dxa"/>
            <w:tcBorders>
              <w:top w:val="single" w:sz="8" w:space="0" w:color="000000"/>
              <w:left w:val="single" w:sz="8" w:space="0" w:color="000000"/>
              <w:bottom w:val="single" w:sz="8" w:space="0" w:color="000000"/>
              <w:right w:val="single" w:sz="8" w:space="0" w:color="000000"/>
            </w:tcBorders>
          </w:tcPr>
          <w:p w14:paraId="674435EA" w14:textId="77777777" w:rsidR="0045673A" w:rsidRDefault="00E17DF3">
            <w:pPr>
              <w:spacing w:after="0" w:line="259" w:lineRule="auto"/>
              <w:ind w:left="4" w:firstLine="0"/>
              <w:jc w:val="center"/>
            </w:pPr>
            <w:r>
              <w:t xml:space="preserve">Yes </w:t>
            </w:r>
          </w:p>
        </w:tc>
        <w:tc>
          <w:tcPr>
            <w:tcW w:w="2208" w:type="dxa"/>
            <w:tcBorders>
              <w:top w:val="single" w:sz="8" w:space="0" w:color="000000"/>
              <w:left w:val="single" w:sz="8" w:space="0" w:color="000000"/>
              <w:bottom w:val="single" w:sz="8" w:space="0" w:color="000000"/>
              <w:right w:val="single" w:sz="8" w:space="0" w:color="000000"/>
            </w:tcBorders>
          </w:tcPr>
          <w:p w14:paraId="3ED534EA" w14:textId="77777777" w:rsidR="0045673A" w:rsidRDefault="00E17DF3">
            <w:pPr>
              <w:spacing w:after="0" w:line="259" w:lineRule="auto"/>
              <w:ind w:left="7" w:firstLine="0"/>
              <w:jc w:val="center"/>
            </w:pPr>
            <w:r>
              <w:t xml:space="preserve">No </w:t>
            </w:r>
          </w:p>
        </w:tc>
        <w:tc>
          <w:tcPr>
            <w:tcW w:w="2209" w:type="dxa"/>
            <w:tcBorders>
              <w:top w:val="single" w:sz="8" w:space="0" w:color="000000"/>
              <w:left w:val="single" w:sz="8" w:space="0" w:color="000000"/>
              <w:bottom w:val="single" w:sz="8" w:space="0" w:color="000000"/>
              <w:right w:val="single" w:sz="8" w:space="0" w:color="000000"/>
            </w:tcBorders>
          </w:tcPr>
          <w:p w14:paraId="145BC5DC" w14:textId="77777777" w:rsidR="0045673A" w:rsidRDefault="00E17DF3">
            <w:pPr>
              <w:spacing w:after="0" w:line="259" w:lineRule="auto"/>
              <w:ind w:left="0" w:firstLine="0"/>
              <w:jc w:val="center"/>
            </w:pPr>
            <w:r>
              <w:t>There is another possible approach</w:t>
            </w:r>
            <w:r>
              <w:rPr>
                <w:rFonts w:ascii="Calibri" w:eastAsia="Calibri" w:hAnsi="Calibri" w:cs="Calibri"/>
              </w:rPr>
              <w:t xml:space="preserve"> </w:t>
            </w:r>
          </w:p>
        </w:tc>
        <w:tc>
          <w:tcPr>
            <w:tcW w:w="2211" w:type="dxa"/>
            <w:tcBorders>
              <w:top w:val="single" w:sz="8" w:space="0" w:color="000000"/>
              <w:left w:val="single" w:sz="8" w:space="0" w:color="000000"/>
              <w:bottom w:val="single" w:sz="8" w:space="0" w:color="000000"/>
              <w:right w:val="single" w:sz="8" w:space="0" w:color="000000"/>
            </w:tcBorders>
          </w:tcPr>
          <w:p w14:paraId="1FC23C06" w14:textId="77777777" w:rsidR="0045673A" w:rsidRDefault="00E17DF3">
            <w:pPr>
              <w:spacing w:after="0" w:line="259" w:lineRule="auto"/>
              <w:ind w:left="4" w:firstLine="0"/>
              <w:jc w:val="center"/>
            </w:pPr>
            <w:r>
              <w:t xml:space="preserve">Don’t know </w:t>
            </w:r>
          </w:p>
        </w:tc>
      </w:tr>
      <w:tr w:rsidR="0045673A" w14:paraId="58740D6F" w14:textId="77777777">
        <w:trPr>
          <w:trHeight w:val="600"/>
        </w:trPr>
        <w:tc>
          <w:tcPr>
            <w:tcW w:w="2209" w:type="dxa"/>
            <w:tcBorders>
              <w:top w:val="single" w:sz="8" w:space="0" w:color="000000"/>
              <w:left w:val="single" w:sz="8" w:space="0" w:color="000000"/>
              <w:bottom w:val="single" w:sz="8" w:space="0" w:color="000000"/>
              <w:right w:val="single" w:sz="8" w:space="0" w:color="000000"/>
            </w:tcBorders>
          </w:tcPr>
          <w:p w14:paraId="12A73582" w14:textId="643FB901" w:rsidR="0045673A" w:rsidRDefault="00E17DF3">
            <w:pPr>
              <w:spacing w:after="0" w:line="259" w:lineRule="auto"/>
              <w:ind w:left="0" w:firstLine="0"/>
              <w:jc w:val="left"/>
            </w:pPr>
            <w:r>
              <w:t xml:space="preserve"> </w:t>
            </w:r>
          </w:p>
        </w:tc>
        <w:tc>
          <w:tcPr>
            <w:tcW w:w="2208" w:type="dxa"/>
            <w:tcBorders>
              <w:top w:val="single" w:sz="8" w:space="0" w:color="000000"/>
              <w:left w:val="single" w:sz="8" w:space="0" w:color="000000"/>
              <w:bottom w:val="single" w:sz="8" w:space="0" w:color="000000"/>
              <w:right w:val="single" w:sz="8" w:space="0" w:color="000000"/>
            </w:tcBorders>
          </w:tcPr>
          <w:p w14:paraId="33BC8894" w14:textId="17A8D24F" w:rsidR="0045673A" w:rsidRDefault="00E17DF3">
            <w:pPr>
              <w:spacing w:after="0" w:line="259" w:lineRule="auto"/>
              <w:ind w:left="0" w:firstLine="0"/>
              <w:jc w:val="left"/>
            </w:pPr>
            <w:r>
              <w:t xml:space="preserve"> </w:t>
            </w:r>
          </w:p>
        </w:tc>
        <w:tc>
          <w:tcPr>
            <w:tcW w:w="2209" w:type="dxa"/>
            <w:tcBorders>
              <w:top w:val="single" w:sz="8" w:space="0" w:color="000000"/>
              <w:left w:val="single" w:sz="8" w:space="0" w:color="000000"/>
              <w:bottom w:val="single" w:sz="8" w:space="0" w:color="000000"/>
              <w:right w:val="single" w:sz="8" w:space="0" w:color="000000"/>
            </w:tcBorders>
          </w:tcPr>
          <w:p w14:paraId="62D07320" w14:textId="7BA93965" w:rsidR="0045673A" w:rsidRDefault="00E17DF3">
            <w:pPr>
              <w:spacing w:after="0" w:line="259" w:lineRule="auto"/>
              <w:ind w:left="0" w:firstLine="0"/>
              <w:jc w:val="left"/>
            </w:pPr>
            <w:r>
              <w:rPr>
                <w:rFonts w:ascii="Calibri" w:eastAsia="Calibri" w:hAnsi="Calibri" w:cs="Calibri"/>
              </w:rPr>
              <w:t xml:space="preserve"> </w:t>
            </w:r>
            <w:r w:rsidR="00463BF6">
              <w:t>X</w:t>
            </w:r>
          </w:p>
        </w:tc>
        <w:tc>
          <w:tcPr>
            <w:tcW w:w="2211" w:type="dxa"/>
            <w:tcBorders>
              <w:top w:val="single" w:sz="8" w:space="0" w:color="000000"/>
              <w:left w:val="single" w:sz="8" w:space="0" w:color="000000"/>
              <w:bottom w:val="single" w:sz="8" w:space="0" w:color="000000"/>
              <w:right w:val="single" w:sz="8" w:space="0" w:color="000000"/>
            </w:tcBorders>
          </w:tcPr>
          <w:p w14:paraId="71DD78E6" w14:textId="77777777" w:rsidR="0045673A" w:rsidRDefault="00E17DF3">
            <w:pPr>
              <w:spacing w:after="0" w:line="259" w:lineRule="auto"/>
              <w:ind w:left="2" w:firstLine="0"/>
              <w:jc w:val="left"/>
            </w:pPr>
            <w:r>
              <w:t xml:space="preserve"> </w:t>
            </w:r>
          </w:p>
        </w:tc>
      </w:tr>
    </w:tbl>
    <w:p w14:paraId="77343B28" w14:textId="77777777" w:rsidR="0045673A" w:rsidRDefault="00E17DF3">
      <w:pPr>
        <w:spacing w:after="260" w:line="259" w:lineRule="auto"/>
        <w:ind w:left="0" w:firstLine="0"/>
        <w:jc w:val="left"/>
      </w:pPr>
      <w:r>
        <w:t xml:space="preserve"> </w:t>
      </w:r>
    </w:p>
    <w:p w14:paraId="29CE5396" w14:textId="77777777" w:rsidR="0045673A" w:rsidRDefault="00E17DF3">
      <w:pPr>
        <w:spacing w:after="46"/>
        <w:ind w:right="643"/>
      </w:pPr>
      <w:r>
        <w:t xml:space="preserve">In case you have selected “There is another possible approach”, please specify below. </w:t>
      </w:r>
    </w:p>
    <w:tbl>
      <w:tblPr>
        <w:tblW w:w="8836" w:type="dxa"/>
        <w:tblInd w:w="-26" w:type="dxa"/>
        <w:tblCellMar>
          <w:top w:w="21" w:type="dxa"/>
          <w:right w:w="115" w:type="dxa"/>
        </w:tblCellMar>
        <w:tblLook w:val="04A0" w:firstRow="1" w:lastRow="0" w:firstColumn="1" w:lastColumn="0" w:noHBand="0" w:noVBand="1"/>
      </w:tblPr>
      <w:tblGrid>
        <w:gridCol w:w="8836"/>
      </w:tblGrid>
      <w:tr w:rsidR="00BB56D1" w14:paraId="4537E562"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4B74C58F" w14:textId="77777777" w:rsidR="00FA0916" w:rsidRDefault="00FA0916">
            <w:pPr>
              <w:spacing w:after="0" w:line="259" w:lineRule="auto"/>
              <w:ind w:left="0" w:firstLine="0"/>
              <w:jc w:val="left"/>
              <w:rPr>
                <w:sz w:val="20"/>
                <w:szCs w:val="20"/>
              </w:rPr>
            </w:pPr>
          </w:p>
          <w:p w14:paraId="7DD80601" w14:textId="2FD64DD6" w:rsidR="00EB5F26" w:rsidRDefault="00DF651E">
            <w:pPr>
              <w:spacing w:after="0" w:line="259" w:lineRule="auto"/>
              <w:ind w:left="0" w:firstLine="0"/>
              <w:jc w:val="left"/>
              <w:rPr>
                <w:sz w:val="20"/>
                <w:szCs w:val="20"/>
              </w:rPr>
            </w:pPr>
            <w:r w:rsidRPr="0045359C">
              <w:rPr>
                <w:sz w:val="20"/>
                <w:szCs w:val="20"/>
              </w:rPr>
              <w:t xml:space="preserve">We believe </w:t>
            </w:r>
            <w:r w:rsidR="00801CEE" w:rsidRPr="0045359C">
              <w:rPr>
                <w:sz w:val="20"/>
                <w:szCs w:val="20"/>
              </w:rPr>
              <w:t xml:space="preserve">that a </w:t>
            </w:r>
            <w:r w:rsidR="008148BF" w:rsidRPr="0045359C">
              <w:rPr>
                <w:sz w:val="20"/>
                <w:szCs w:val="20"/>
              </w:rPr>
              <w:t xml:space="preserve">very </w:t>
            </w:r>
            <w:r w:rsidRPr="0045359C">
              <w:rPr>
                <w:sz w:val="20"/>
                <w:szCs w:val="20"/>
              </w:rPr>
              <w:t>clear distinction</w:t>
            </w:r>
            <w:r w:rsidR="00801CEE" w:rsidRPr="0045359C">
              <w:rPr>
                <w:sz w:val="20"/>
                <w:szCs w:val="20"/>
              </w:rPr>
              <w:t xml:space="preserve"> would be</w:t>
            </w:r>
            <w:r w:rsidRPr="0045359C">
              <w:rPr>
                <w:sz w:val="20"/>
                <w:szCs w:val="20"/>
              </w:rPr>
              <w:t xml:space="preserve"> needed </w:t>
            </w:r>
            <w:r w:rsidR="00801CEE" w:rsidRPr="0045359C">
              <w:rPr>
                <w:sz w:val="20"/>
                <w:szCs w:val="20"/>
              </w:rPr>
              <w:t xml:space="preserve">across the various product categories under a revised SFDR framework, and as much mutually exclusivity as is possible. </w:t>
            </w:r>
          </w:p>
          <w:p w14:paraId="6E6F0684" w14:textId="2508F6D7" w:rsidR="00BD5BE9" w:rsidRPr="0045359C" w:rsidRDefault="00801CEE">
            <w:pPr>
              <w:spacing w:after="0" w:line="259" w:lineRule="auto"/>
              <w:ind w:left="0" w:firstLine="0"/>
              <w:jc w:val="left"/>
              <w:rPr>
                <w:sz w:val="20"/>
                <w:szCs w:val="20"/>
              </w:rPr>
            </w:pPr>
            <w:r w:rsidRPr="0045359C">
              <w:rPr>
                <w:sz w:val="20"/>
                <w:szCs w:val="20"/>
              </w:rPr>
              <w:t>This would promote understanding of the purpose and objectives of the categories among retail investors</w:t>
            </w:r>
            <w:r w:rsidR="00A51CA5" w:rsidRPr="0045359C">
              <w:rPr>
                <w:sz w:val="20"/>
                <w:szCs w:val="20"/>
              </w:rPr>
              <w:t>, and minimise the risks of confusion.</w:t>
            </w:r>
            <w:r w:rsidR="00B33509">
              <w:rPr>
                <w:sz w:val="20"/>
                <w:szCs w:val="20"/>
              </w:rPr>
              <w:t xml:space="preserve"> </w:t>
            </w:r>
            <w:r w:rsidR="00A51CA5" w:rsidRPr="0045359C">
              <w:rPr>
                <w:sz w:val="20"/>
                <w:szCs w:val="20"/>
              </w:rPr>
              <w:t>With that said, in practice retaining mutual exclusivity will prove challenging in some respects, particularly for those funds investing</w:t>
            </w:r>
            <w:r w:rsidR="00C46570" w:rsidRPr="0045359C">
              <w:rPr>
                <w:sz w:val="20"/>
                <w:szCs w:val="20"/>
              </w:rPr>
              <w:t xml:space="preserve"> in a range of asset types and sub-funds, such as multi-asset funds and blended strategies. </w:t>
            </w:r>
          </w:p>
          <w:p w14:paraId="43050FF3" w14:textId="77777777" w:rsidR="00BD5BE9" w:rsidRPr="0045359C" w:rsidRDefault="00BD5BE9">
            <w:pPr>
              <w:spacing w:after="0" w:line="259" w:lineRule="auto"/>
              <w:ind w:left="0" w:firstLine="0"/>
              <w:jc w:val="left"/>
              <w:rPr>
                <w:sz w:val="20"/>
                <w:szCs w:val="20"/>
              </w:rPr>
            </w:pPr>
          </w:p>
          <w:p w14:paraId="20A2A1D4" w14:textId="25C62641" w:rsidR="00801CEE" w:rsidRPr="0045359C" w:rsidRDefault="00C46570">
            <w:pPr>
              <w:spacing w:after="0" w:line="259" w:lineRule="auto"/>
              <w:ind w:left="0" w:firstLine="0"/>
              <w:jc w:val="left"/>
              <w:rPr>
                <w:sz w:val="20"/>
                <w:szCs w:val="20"/>
              </w:rPr>
            </w:pPr>
            <w:r w:rsidRPr="0045359C">
              <w:rPr>
                <w:sz w:val="20"/>
                <w:szCs w:val="20"/>
              </w:rPr>
              <w:t>This has been a critical issue identified in the FCA’s SDR regime</w:t>
            </w:r>
            <w:r w:rsidR="00271D4C" w:rsidRPr="0045359C">
              <w:rPr>
                <w:sz w:val="20"/>
                <w:szCs w:val="20"/>
              </w:rPr>
              <w:t>.</w:t>
            </w:r>
            <w:r w:rsidR="000F0541" w:rsidRPr="0045359C">
              <w:rPr>
                <w:sz w:val="20"/>
                <w:szCs w:val="20"/>
              </w:rPr>
              <w:t xml:space="preserve"> This has implications for end investors who will need to have access to diversified opportunities to invest sustainability under the UK’s regime, and we are </w:t>
            </w:r>
            <w:r w:rsidR="00EB5F26">
              <w:rPr>
                <w:sz w:val="20"/>
                <w:szCs w:val="20"/>
              </w:rPr>
              <w:t>pleased</w:t>
            </w:r>
            <w:r w:rsidR="000F0541" w:rsidRPr="0045359C">
              <w:rPr>
                <w:sz w:val="20"/>
                <w:szCs w:val="20"/>
              </w:rPr>
              <w:t xml:space="preserve"> the regulator </w:t>
            </w:r>
            <w:r w:rsidR="0055290A">
              <w:rPr>
                <w:sz w:val="20"/>
                <w:szCs w:val="20"/>
              </w:rPr>
              <w:t>has reached a positive</w:t>
            </w:r>
            <w:r w:rsidR="000F0541" w:rsidRPr="0045359C">
              <w:rPr>
                <w:sz w:val="20"/>
                <w:szCs w:val="20"/>
              </w:rPr>
              <w:t xml:space="preserve"> outcome to better accommodate multi-asset funds and blended strategies.</w:t>
            </w:r>
          </w:p>
          <w:p w14:paraId="6B696440" w14:textId="2FD96701" w:rsidR="00B71926" w:rsidRDefault="00B71926">
            <w:pPr>
              <w:spacing w:after="0" w:line="259" w:lineRule="auto"/>
              <w:ind w:left="0" w:firstLine="0"/>
              <w:jc w:val="left"/>
            </w:pPr>
          </w:p>
        </w:tc>
      </w:tr>
    </w:tbl>
    <w:p w14:paraId="0C67BD71" w14:textId="77777777" w:rsidR="0045673A" w:rsidRDefault="00E17DF3">
      <w:pPr>
        <w:spacing w:after="216" w:line="259" w:lineRule="auto"/>
        <w:ind w:left="0" w:firstLine="0"/>
        <w:jc w:val="left"/>
      </w:pPr>
      <w:r>
        <w:t xml:space="preserve"> </w:t>
      </w:r>
    </w:p>
    <w:p w14:paraId="02DB4D8E" w14:textId="77777777" w:rsidR="0045673A" w:rsidRDefault="00E17DF3">
      <w:pPr>
        <w:spacing w:after="46"/>
        <w:ind w:right="643"/>
      </w:pPr>
      <w:r w:rsidRPr="00124281">
        <w:t>Please explain your replies to questions 4.1.5, 4.1.6, 4.1.7 and 4.1.8.</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18EBAFEC"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5FBE94BA" w14:textId="77777777" w:rsidR="00FA0916" w:rsidRDefault="00FA0916">
            <w:pPr>
              <w:spacing w:after="0" w:line="259" w:lineRule="auto"/>
              <w:ind w:left="0" w:firstLine="0"/>
              <w:jc w:val="left"/>
              <w:rPr>
                <w:sz w:val="20"/>
                <w:szCs w:val="20"/>
              </w:rPr>
            </w:pPr>
          </w:p>
          <w:p w14:paraId="3468C627" w14:textId="7FF05041" w:rsidR="0002166E" w:rsidRPr="00882960" w:rsidRDefault="005E5C10">
            <w:pPr>
              <w:spacing w:after="0" w:line="259" w:lineRule="auto"/>
              <w:ind w:left="0" w:firstLine="0"/>
              <w:jc w:val="left"/>
              <w:rPr>
                <w:sz w:val="20"/>
                <w:szCs w:val="20"/>
              </w:rPr>
            </w:pPr>
            <w:r w:rsidRPr="00882960">
              <w:rPr>
                <w:sz w:val="20"/>
                <w:szCs w:val="20"/>
              </w:rPr>
              <w:t xml:space="preserve">As mentioned in our response, it will be very important for the sustainability product categories to be sufficiently distinct from one another to </w:t>
            </w:r>
            <w:r w:rsidR="00DD03E4" w:rsidRPr="00882960">
              <w:rPr>
                <w:sz w:val="20"/>
                <w:szCs w:val="20"/>
              </w:rPr>
              <w:t>promote end investors’ understanding of the purpose and objectives of each of the categories under the revised</w:t>
            </w:r>
            <w:r w:rsidR="00F13AAF">
              <w:rPr>
                <w:sz w:val="20"/>
                <w:szCs w:val="20"/>
              </w:rPr>
              <w:t xml:space="preserve"> SFDR</w:t>
            </w:r>
            <w:r w:rsidR="00DD03E4" w:rsidRPr="00882960">
              <w:rPr>
                <w:sz w:val="20"/>
                <w:szCs w:val="20"/>
              </w:rPr>
              <w:t xml:space="preserve"> framework. </w:t>
            </w:r>
          </w:p>
          <w:p w14:paraId="1555F6A1" w14:textId="77777777" w:rsidR="00FF3029" w:rsidRPr="00882960" w:rsidRDefault="00FF3029">
            <w:pPr>
              <w:spacing w:after="0" w:line="259" w:lineRule="auto"/>
              <w:ind w:left="0" w:firstLine="0"/>
              <w:jc w:val="left"/>
              <w:rPr>
                <w:sz w:val="20"/>
                <w:szCs w:val="20"/>
              </w:rPr>
            </w:pPr>
          </w:p>
          <w:p w14:paraId="001556E9" w14:textId="798231F1" w:rsidR="003500D8" w:rsidRDefault="007E7910" w:rsidP="00C515DD">
            <w:pPr>
              <w:spacing w:after="0" w:line="259" w:lineRule="auto"/>
              <w:ind w:left="0" w:firstLine="0"/>
              <w:jc w:val="left"/>
              <w:rPr>
                <w:sz w:val="20"/>
                <w:szCs w:val="20"/>
              </w:rPr>
            </w:pPr>
            <w:r w:rsidRPr="00882960">
              <w:rPr>
                <w:sz w:val="20"/>
                <w:szCs w:val="20"/>
              </w:rPr>
              <w:t xml:space="preserve">In terms of distinguishing between products with a social and environmental focus, </w:t>
            </w:r>
            <w:r w:rsidR="0092492A" w:rsidRPr="00882960">
              <w:rPr>
                <w:sz w:val="20"/>
                <w:szCs w:val="20"/>
              </w:rPr>
              <w:t xml:space="preserve">we would recommend the Commission draw on the FCA’s approach </w:t>
            </w:r>
            <w:r w:rsidR="00F13AAF">
              <w:rPr>
                <w:sz w:val="20"/>
                <w:szCs w:val="20"/>
              </w:rPr>
              <w:t>that</w:t>
            </w:r>
            <w:r w:rsidR="0092492A" w:rsidRPr="00882960">
              <w:rPr>
                <w:sz w:val="20"/>
                <w:szCs w:val="20"/>
              </w:rPr>
              <w:t xml:space="preserve"> recognises the importance of funds focusing on environmental themes beyond climate change alone, as well as social factors, such as gender diversity and the ‘Just Transition.’ </w:t>
            </w:r>
          </w:p>
          <w:p w14:paraId="33B5CD63" w14:textId="77777777" w:rsidR="008649A1" w:rsidRDefault="008649A1" w:rsidP="00C515DD">
            <w:pPr>
              <w:spacing w:after="0" w:line="259" w:lineRule="auto"/>
              <w:ind w:left="0" w:firstLine="0"/>
              <w:jc w:val="left"/>
              <w:rPr>
                <w:sz w:val="20"/>
                <w:szCs w:val="20"/>
              </w:rPr>
            </w:pPr>
          </w:p>
          <w:p w14:paraId="3F00AA41" w14:textId="13B77522" w:rsidR="002B4572" w:rsidRPr="00882960" w:rsidRDefault="0092492A" w:rsidP="00C515DD">
            <w:pPr>
              <w:spacing w:after="0" w:line="259" w:lineRule="auto"/>
              <w:ind w:left="0" w:firstLine="0"/>
              <w:jc w:val="left"/>
              <w:rPr>
                <w:sz w:val="20"/>
                <w:szCs w:val="20"/>
              </w:rPr>
            </w:pPr>
            <w:r w:rsidRPr="00882960">
              <w:rPr>
                <w:sz w:val="20"/>
                <w:szCs w:val="20"/>
              </w:rPr>
              <w:t xml:space="preserve">This has been a key change adopted by the regulator during discussions over the SDR regime, </w:t>
            </w:r>
            <w:r w:rsidR="00334A4F" w:rsidRPr="00882960">
              <w:rPr>
                <w:sz w:val="20"/>
                <w:szCs w:val="20"/>
              </w:rPr>
              <w:t xml:space="preserve">and as the underlying criteria are considered for the product categories, there will be </w:t>
            </w:r>
            <w:r w:rsidR="00657D11" w:rsidRPr="00882960">
              <w:rPr>
                <w:sz w:val="20"/>
                <w:szCs w:val="20"/>
              </w:rPr>
              <w:t xml:space="preserve">a </w:t>
            </w:r>
            <w:r w:rsidR="00334A4F" w:rsidRPr="00882960">
              <w:rPr>
                <w:sz w:val="20"/>
                <w:szCs w:val="20"/>
              </w:rPr>
              <w:t xml:space="preserve">need for </w:t>
            </w:r>
            <w:r w:rsidR="00657D11" w:rsidRPr="00882960">
              <w:rPr>
                <w:sz w:val="20"/>
                <w:szCs w:val="20"/>
              </w:rPr>
              <w:t xml:space="preserve">a broad range of sustainability criteria to be captured, not just climate related criteria per sei. </w:t>
            </w:r>
          </w:p>
          <w:p w14:paraId="18658193" w14:textId="77777777" w:rsidR="002B4572" w:rsidRPr="00882960" w:rsidRDefault="002B4572" w:rsidP="00C515DD">
            <w:pPr>
              <w:spacing w:after="0" w:line="259" w:lineRule="auto"/>
              <w:ind w:left="0" w:firstLine="0"/>
              <w:jc w:val="left"/>
              <w:rPr>
                <w:sz w:val="20"/>
                <w:szCs w:val="20"/>
              </w:rPr>
            </w:pPr>
          </w:p>
          <w:p w14:paraId="323AE839" w14:textId="07687459" w:rsidR="001E0DA6" w:rsidRPr="001454D4" w:rsidRDefault="00657D11">
            <w:pPr>
              <w:spacing w:after="0" w:line="259" w:lineRule="auto"/>
              <w:ind w:left="0" w:firstLine="0"/>
              <w:jc w:val="left"/>
              <w:rPr>
                <w:sz w:val="20"/>
                <w:szCs w:val="20"/>
              </w:rPr>
            </w:pPr>
            <w:r w:rsidRPr="00882960">
              <w:rPr>
                <w:sz w:val="20"/>
                <w:szCs w:val="20"/>
              </w:rPr>
              <w:t>For example,</w:t>
            </w:r>
            <w:r w:rsidR="00072F56">
              <w:rPr>
                <w:sz w:val="20"/>
                <w:szCs w:val="20"/>
              </w:rPr>
              <w:t xml:space="preserve"> across the FCA’s four labelling categories, there will be </w:t>
            </w:r>
            <w:r w:rsidR="008B2946">
              <w:rPr>
                <w:sz w:val="20"/>
                <w:szCs w:val="20"/>
              </w:rPr>
              <w:t xml:space="preserve">a </w:t>
            </w:r>
            <w:r w:rsidR="008B2946" w:rsidRPr="008B2946">
              <w:rPr>
                <w:sz w:val="20"/>
                <w:szCs w:val="20"/>
              </w:rPr>
              <w:t xml:space="preserve">70% minimum threshold rule </w:t>
            </w:r>
            <w:r w:rsidR="008B2946">
              <w:rPr>
                <w:sz w:val="20"/>
                <w:szCs w:val="20"/>
              </w:rPr>
              <w:t xml:space="preserve">applied </w:t>
            </w:r>
            <w:r w:rsidR="008B2946" w:rsidRPr="008B2946">
              <w:rPr>
                <w:sz w:val="20"/>
                <w:szCs w:val="20"/>
              </w:rPr>
              <w:t>across all the labels</w:t>
            </w:r>
            <w:r w:rsidR="008B2946">
              <w:rPr>
                <w:sz w:val="20"/>
                <w:szCs w:val="20"/>
              </w:rPr>
              <w:t>, s</w:t>
            </w:r>
            <w:r w:rsidR="008B2946" w:rsidRPr="008B2946">
              <w:rPr>
                <w:sz w:val="20"/>
                <w:szCs w:val="20"/>
              </w:rPr>
              <w:t>pecifically</w:t>
            </w:r>
            <w:r w:rsidR="008B2946">
              <w:rPr>
                <w:sz w:val="20"/>
                <w:szCs w:val="20"/>
              </w:rPr>
              <w:t xml:space="preserve"> with </w:t>
            </w:r>
            <w:r w:rsidR="008B2946" w:rsidRPr="008B2946">
              <w:rPr>
                <w:sz w:val="20"/>
                <w:szCs w:val="20"/>
              </w:rPr>
              <w:t xml:space="preserve">70% of the gross value of a fund’s assets </w:t>
            </w:r>
            <w:r w:rsidR="008B2946">
              <w:rPr>
                <w:sz w:val="20"/>
                <w:szCs w:val="20"/>
              </w:rPr>
              <w:t>needing to</w:t>
            </w:r>
            <w:r w:rsidR="008B2946" w:rsidRPr="008B2946">
              <w:rPr>
                <w:sz w:val="20"/>
                <w:szCs w:val="20"/>
              </w:rPr>
              <w:t xml:space="preserve"> be invested in line with </w:t>
            </w:r>
            <w:r w:rsidR="008B2946">
              <w:rPr>
                <w:sz w:val="20"/>
                <w:szCs w:val="20"/>
              </w:rPr>
              <w:t>the fund’s</w:t>
            </w:r>
            <w:r w:rsidR="008B2946" w:rsidRPr="008B2946">
              <w:rPr>
                <w:sz w:val="20"/>
                <w:szCs w:val="20"/>
              </w:rPr>
              <w:t xml:space="preserve"> sustainability objective, though there will be some limited exceptions</w:t>
            </w:r>
            <w:r w:rsidR="008B2946">
              <w:rPr>
                <w:sz w:val="20"/>
                <w:szCs w:val="20"/>
              </w:rPr>
              <w:t xml:space="preserve"> to this. </w:t>
            </w:r>
            <w:r w:rsidR="000C062E" w:rsidRPr="00882960">
              <w:rPr>
                <w:sz w:val="20"/>
                <w:szCs w:val="20"/>
              </w:rPr>
              <w:t>Finally, in regards to the number of sustainability product categories, we would support 3</w:t>
            </w:r>
            <w:r w:rsidR="007953F9">
              <w:rPr>
                <w:sz w:val="20"/>
                <w:szCs w:val="20"/>
              </w:rPr>
              <w:t xml:space="preserve"> to </w:t>
            </w:r>
            <w:r w:rsidR="000C062E" w:rsidRPr="00882960">
              <w:rPr>
                <w:sz w:val="20"/>
                <w:szCs w:val="20"/>
              </w:rPr>
              <w:t>4 categories and believe a relatively narrow set of categorie</w:t>
            </w:r>
            <w:r w:rsidR="00696C27" w:rsidRPr="00882960">
              <w:rPr>
                <w:sz w:val="20"/>
                <w:szCs w:val="20"/>
              </w:rPr>
              <w:t xml:space="preserve">s </w:t>
            </w:r>
            <w:r w:rsidR="000C062E" w:rsidRPr="00882960">
              <w:rPr>
                <w:sz w:val="20"/>
                <w:szCs w:val="20"/>
              </w:rPr>
              <w:t>w</w:t>
            </w:r>
            <w:r w:rsidR="00E83E17">
              <w:rPr>
                <w:sz w:val="20"/>
                <w:szCs w:val="20"/>
              </w:rPr>
              <w:t>ill</w:t>
            </w:r>
            <w:r w:rsidR="000C062E" w:rsidRPr="00882960">
              <w:rPr>
                <w:sz w:val="20"/>
                <w:szCs w:val="20"/>
              </w:rPr>
              <w:t xml:space="preserve"> assist consumers’ understanding of the SFDR</w:t>
            </w:r>
            <w:r w:rsidR="00912BBD" w:rsidRPr="00882960">
              <w:rPr>
                <w:sz w:val="20"/>
                <w:szCs w:val="20"/>
              </w:rPr>
              <w:t xml:space="preserve">. </w:t>
            </w:r>
          </w:p>
        </w:tc>
      </w:tr>
    </w:tbl>
    <w:p w14:paraId="24C8B9B7" w14:textId="77777777" w:rsidR="0045673A" w:rsidRDefault="00E17DF3">
      <w:pPr>
        <w:spacing w:after="216" w:line="259" w:lineRule="auto"/>
        <w:ind w:left="0" w:firstLine="0"/>
        <w:jc w:val="left"/>
      </w:pPr>
      <w:r>
        <w:t xml:space="preserve"> </w:t>
      </w:r>
    </w:p>
    <w:p w14:paraId="4389782C" w14:textId="77777777" w:rsidR="0045673A" w:rsidRDefault="00E17DF3">
      <w:pPr>
        <w:spacing w:after="0" w:line="259" w:lineRule="auto"/>
        <w:ind w:left="-5" w:right="411"/>
        <w:jc w:val="left"/>
      </w:pPr>
      <w:r>
        <w:rPr>
          <w:b/>
          <w:u w:val="single" w:color="000000"/>
        </w:rPr>
        <w:t>Question 4.1.9</w:t>
      </w:r>
      <w:r>
        <w:t xml:space="preserve">: If a categorisation system was established that builds on new criteria and not on the existing concepts embedded in Articles 8 and 9, is there is a need for measures to support the transition to this new regime? </w:t>
      </w:r>
    </w:p>
    <w:tbl>
      <w:tblPr>
        <w:tblW w:w="8829"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2826"/>
      </w:tblGrid>
      <w:tr w:rsidR="0045673A" w14:paraId="4F25B2A9" w14:textId="77777777">
        <w:trPr>
          <w:trHeight w:val="533"/>
        </w:trPr>
        <w:tc>
          <w:tcPr>
            <w:tcW w:w="1229" w:type="dxa"/>
            <w:tcBorders>
              <w:top w:val="single" w:sz="6" w:space="0" w:color="000000"/>
              <w:left w:val="single" w:sz="6" w:space="0" w:color="000000"/>
              <w:bottom w:val="single" w:sz="6" w:space="0" w:color="000000"/>
              <w:right w:val="single" w:sz="6" w:space="0" w:color="000000"/>
            </w:tcBorders>
          </w:tcPr>
          <w:p w14:paraId="0BD40FE5"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61728AD9"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02458BB1"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410CA525"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1D285DDA" w14:textId="77777777" w:rsidR="0045673A" w:rsidRDefault="00E17DF3">
            <w:pPr>
              <w:spacing w:after="0" w:line="259" w:lineRule="auto"/>
              <w:ind w:left="2" w:firstLine="0"/>
              <w:jc w:val="center"/>
            </w:pPr>
            <w:r>
              <w:t xml:space="preserve">5 </w:t>
            </w:r>
          </w:p>
        </w:tc>
        <w:tc>
          <w:tcPr>
            <w:tcW w:w="2826" w:type="dxa"/>
            <w:tcBorders>
              <w:top w:val="single" w:sz="6" w:space="0" w:color="000000"/>
              <w:left w:val="single" w:sz="6" w:space="0" w:color="000000"/>
              <w:bottom w:val="single" w:sz="6" w:space="0" w:color="000000"/>
              <w:right w:val="single" w:sz="6" w:space="0" w:color="000000"/>
            </w:tcBorders>
          </w:tcPr>
          <w:p w14:paraId="30A543C5" w14:textId="77777777" w:rsidR="0045673A" w:rsidRDefault="00E17DF3">
            <w:pPr>
              <w:spacing w:after="0" w:line="259" w:lineRule="auto"/>
              <w:ind w:left="0" w:right="2" w:firstLine="0"/>
              <w:jc w:val="center"/>
            </w:pPr>
            <w:r>
              <w:t xml:space="preserve">Don’t know </w:t>
            </w:r>
          </w:p>
        </w:tc>
      </w:tr>
      <w:tr w:rsidR="0045673A" w14:paraId="117020F0" w14:textId="77777777">
        <w:trPr>
          <w:trHeight w:val="530"/>
        </w:trPr>
        <w:tc>
          <w:tcPr>
            <w:tcW w:w="1229" w:type="dxa"/>
            <w:tcBorders>
              <w:top w:val="single" w:sz="6" w:space="0" w:color="000000"/>
              <w:left w:val="single" w:sz="6" w:space="0" w:color="000000"/>
              <w:bottom w:val="single" w:sz="6" w:space="0" w:color="000000"/>
              <w:right w:val="single" w:sz="6" w:space="0" w:color="000000"/>
            </w:tcBorders>
          </w:tcPr>
          <w:p w14:paraId="7443CBEB" w14:textId="77777777" w:rsidR="0045673A" w:rsidRDefault="00E17DF3">
            <w:pPr>
              <w:spacing w:after="0" w:line="259" w:lineRule="auto"/>
              <w:ind w:left="60" w:firstLine="0"/>
              <w:jc w:val="center"/>
            </w:pPr>
            <w:r>
              <w:t xml:space="preserve"> </w:t>
            </w:r>
          </w:p>
        </w:tc>
        <w:tc>
          <w:tcPr>
            <w:tcW w:w="1215" w:type="dxa"/>
            <w:tcBorders>
              <w:top w:val="single" w:sz="6" w:space="0" w:color="000000"/>
              <w:left w:val="single" w:sz="6" w:space="0" w:color="000000"/>
              <w:bottom w:val="single" w:sz="6" w:space="0" w:color="000000"/>
              <w:right w:val="single" w:sz="6" w:space="0" w:color="000000"/>
            </w:tcBorders>
          </w:tcPr>
          <w:p w14:paraId="67F2DDFF" w14:textId="77777777" w:rsidR="0045673A" w:rsidRDefault="00E17DF3">
            <w:pPr>
              <w:spacing w:after="0" w:line="259" w:lineRule="auto"/>
              <w:ind w:left="61"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6B3B6191" w14:textId="77777777" w:rsidR="0045673A" w:rsidRDefault="00E17DF3">
            <w:pPr>
              <w:spacing w:after="0" w:line="259" w:lineRule="auto"/>
              <w:ind w:left="62"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601AE106" w14:textId="77777777" w:rsidR="0045673A" w:rsidRDefault="00E17DF3">
            <w:pPr>
              <w:spacing w:after="0" w:line="259" w:lineRule="auto"/>
              <w:ind w:left="63"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tcPr>
          <w:p w14:paraId="02378C02" w14:textId="5C1D2665" w:rsidR="0045673A" w:rsidRDefault="00546317">
            <w:pPr>
              <w:spacing w:after="0" w:line="259" w:lineRule="auto"/>
              <w:ind w:left="62" w:firstLine="0"/>
              <w:jc w:val="center"/>
            </w:pPr>
            <w:r>
              <w:t>X</w:t>
            </w:r>
          </w:p>
        </w:tc>
        <w:tc>
          <w:tcPr>
            <w:tcW w:w="2826" w:type="dxa"/>
            <w:tcBorders>
              <w:top w:val="single" w:sz="6" w:space="0" w:color="000000"/>
              <w:left w:val="single" w:sz="6" w:space="0" w:color="000000"/>
              <w:bottom w:val="single" w:sz="6" w:space="0" w:color="000000"/>
              <w:right w:val="single" w:sz="6" w:space="0" w:color="000000"/>
            </w:tcBorders>
          </w:tcPr>
          <w:p w14:paraId="2802E0A0" w14:textId="77777777" w:rsidR="0045673A" w:rsidRDefault="00E17DF3">
            <w:pPr>
              <w:spacing w:after="0" w:line="259" w:lineRule="auto"/>
              <w:ind w:left="63" w:firstLine="0"/>
              <w:jc w:val="center"/>
            </w:pPr>
            <w:r>
              <w:t xml:space="preserve"> </w:t>
            </w:r>
          </w:p>
        </w:tc>
      </w:tr>
    </w:tbl>
    <w:p w14:paraId="15AC5442"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0F291CE1" w14:textId="77777777" w:rsidR="0045673A" w:rsidRDefault="00E17DF3">
      <w:pPr>
        <w:spacing w:after="46"/>
        <w:ind w:right="643"/>
      </w:pPr>
      <w:r w:rsidRPr="00124281">
        <w:t>Please explain your replies to questions 4.1.9 as necessary:</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BB56D1" w14:paraId="05259AE1"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40EDABCF" w14:textId="5846B5C3" w:rsidR="008E4CE2" w:rsidRPr="0000388C" w:rsidRDefault="008E4CE2">
            <w:pPr>
              <w:spacing w:after="0" w:line="259" w:lineRule="auto"/>
              <w:ind w:left="0" w:firstLine="0"/>
              <w:jc w:val="left"/>
              <w:rPr>
                <w:sz w:val="20"/>
                <w:szCs w:val="20"/>
              </w:rPr>
            </w:pPr>
            <w:r w:rsidRPr="0000388C">
              <w:rPr>
                <w:sz w:val="20"/>
                <w:szCs w:val="20"/>
              </w:rPr>
              <w:t xml:space="preserve">We expect that there will be a need for a sufficient phase-in period for financial markets participants and further, ongoing guidance from the Commission and ESMA to </w:t>
            </w:r>
            <w:r w:rsidR="0002586E" w:rsidRPr="0000388C">
              <w:rPr>
                <w:sz w:val="20"/>
                <w:szCs w:val="20"/>
              </w:rPr>
              <w:t>assist in the transition to any new regime.</w:t>
            </w:r>
            <w:r w:rsidR="00F40D2F">
              <w:rPr>
                <w:sz w:val="20"/>
                <w:szCs w:val="20"/>
              </w:rPr>
              <w:t xml:space="preserve"> A phase-in period will also be valuable for clients and consumers to adjust</w:t>
            </w:r>
            <w:r w:rsidR="00277F0C">
              <w:rPr>
                <w:sz w:val="20"/>
                <w:szCs w:val="20"/>
              </w:rPr>
              <w:t xml:space="preserve"> and become familiar</w:t>
            </w:r>
            <w:r w:rsidR="00F40D2F">
              <w:rPr>
                <w:sz w:val="20"/>
                <w:szCs w:val="20"/>
              </w:rPr>
              <w:t xml:space="preserve"> </w:t>
            </w:r>
            <w:r w:rsidR="00277F0C">
              <w:rPr>
                <w:sz w:val="20"/>
                <w:szCs w:val="20"/>
              </w:rPr>
              <w:t>with</w:t>
            </w:r>
            <w:r w:rsidR="00F40D2F">
              <w:rPr>
                <w:sz w:val="20"/>
                <w:szCs w:val="20"/>
              </w:rPr>
              <w:t xml:space="preserve"> the new rules.</w:t>
            </w:r>
            <w:r w:rsidR="0002586E" w:rsidRPr="0000388C">
              <w:rPr>
                <w:sz w:val="20"/>
                <w:szCs w:val="20"/>
              </w:rPr>
              <w:t xml:space="preserve"> </w:t>
            </w:r>
          </w:p>
          <w:p w14:paraId="1400458A" w14:textId="77777777" w:rsidR="0002586E" w:rsidRPr="0000388C" w:rsidRDefault="0002586E">
            <w:pPr>
              <w:spacing w:after="0" w:line="259" w:lineRule="auto"/>
              <w:ind w:left="0" w:firstLine="0"/>
              <w:jc w:val="left"/>
              <w:rPr>
                <w:sz w:val="20"/>
                <w:szCs w:val="20"/>
              </w:rPr>
            </w:pPr>
          </w:p>
          <w:p w14:paraId="74FECB2C" w14:textId="77777777" w:rsidR="0000388C" w:rsidRDefault="0002586E">
            <w:pPr>
              <w:spacing w:after="0" w:line="259" w:lineRule="auto"/>
              <w:ind w:left="0" w:firstLine="0"/>
              <w:jc w:val="left"/>
              <w:rPr>
                <w:sz w:val="20"/>
                <w:szCs w:val="20"/>
              </w:rPr>
            </w:pPr>
            <w:r w:rsidRPr="0000388C">
              <w:rPr>
                <w:sz w:val="20"/>
                <w:szCs w:val="20"/>
              </w:rPr>
              <w:t xml:space="preserve">This will be particularly important given the need for firms to make </w:t>
            </w:r>
            <w:r w:rsidR="00C9171F" w:rsidRPr="0000388C">
              <w:rPr>
                <w:sz w:val="20"/>
                <w:szCs w:val="20"/>
              </w:rPr>
              <w:t xml:space="preserve">the necessary </w:t>
            </w:r>
            <w:r w:rsidRPr="0000388C">
              <w:rPr>
                <w:sz w:val="20"/>
                <w:szCs w:val="20"/>
              </w:rPr>
              <w:t>changes to fund documentation and disclosures, as well as marketing materials, and a review of reporting processes, frameworks, and changes to the relationship with other parties such as distributors and financial advisers.</w:t>
            </w:r>
            <w:r w:rsidR="00C9171F" w:rsidRPr="0000388C">
              <w:rPr>
                <w:sz w:val="20"/>
                <w:szCs w:val="20"/>
              </w:rPr>
              <w:t xml:space="preserve"> </w:t>
            </w:r>
          </w:p>
          <w:p w14:paraId="47A2F31E" w14:textId="77777777" w:rsidR="0000388C" w:rsidRDefault="0000388C">
            <w:pPr>
              <w:spacing w:after="0" w:line="259" w:lineRule="auto"/>
              <w:ind w:left="0" w:firstLine="0"/>
              <w:jc w:val="left"/>
              <w:rPr>
                <w:sz w:val="20"/>
                <w:szCs w:val="20"/>
              </w:rPr>
            </w:pPr>
          </w:p>
          <w:p w14:paraId="01FB8DF1" w14:textId="6DC55D8E" w:rsidR="008E4CE2" w:rsidRPr="0000388C" w:rsidRDefault="00C9171F">
            <w:pPr>
              <w:spacing w:after="0" w:line="259" w:lineRule="auto"/>
              <w:ind w:left="0" w:firstLine="0"/>
              <w:jc w:val="left"/>
              <w:rPr>
                <w:sz w:val="20"/>
                <w:szCs w:val="20"/>
              </w:rPr>
            </w:pPr>
            <w:r w:rsidRPr="0000388C">
              <w:rPr>
                <w:sz w:val="20"/>
                <w:szCs w:val="20"/>
              </w:rPr>
              <w:t>More broadly, there will be extensive work we expect for many firms to assess how their existing product range could be mapped across to the revised framework, and also interact with new regimes in the UK, US, Australia, and elsewhere.</w:t>
            </w:r>
          </w:p>
          <w:p w14:paraId="3745A05B" w14:textId="10F8B2EB" w:rsidR="00376451" w:rsidRDefault="00376451">
            <w:pPr>
              <w:spacing w:after="0" w:line="259" w:lineRule="auto"/>
              <w:ind w:left="0" w:firstLine="0"/>
              <w:jc w:val="left"/>
            </w:pPr>
          </w:p>
        </w:tc>
      </w:tr>
    </w:tbl>
    <w:p w14:paraId="0EB358B9" w14:textId="77777777" w:rsidR="0045673A" w:rsidRDefault="00E17DF3">
      <w:pPr>
        <w:spacing w:after="0" w:line="259" w:lineRule="auto"/>
        <w:ind w:left="0" w:firstLine="0"/>
        <w:jc w:val="left"/>
      </w:pPr>
      <w:r>
        <w:rPr>
          <w:b/>
        </w:rPr>
        <w:t xml:space="preserve"> </w:t>
      </w:r>
    </w:p>
    <w:p w14:paraId="115F606A" w14:textId="57A8253C" w:rsidR="0045673A" w:rsidRDefault="00E17DF3">
      <w:pPr>
        <w:spacing w:after="229"/>
        <w:ind w:right="643"/>
      </w:pPr>
      <w:r>
        <w:rPr>
          <w:b/>
          <w:u w:val="single" w:color="000000"/>
        </w:rPr>
        <w:t>Question 4.1.10</w:t>
      </w:r>
      <w:r>
        <w:t xml:space="preserve">: What should be the minimum criteria to be met in order for a financial product to fall under the different product categories? Could these minimum criteria consist of: </w:t>
      </w:r>
      <w:r w:rsidR="00783094">
        <w:t xml:space="preserve"> </w:t>
      </w:r>
    </w:p>
    <w:p w14:paraId="1302869F" w14:textId="77777777" w:rsidR="0045673A" w:rsidRDefault="00E17DF3">
      <w:pPr>
        <w:ind w:right="643"/>
      </w:pPr>
      <w:r>
        <w:t>For product category A of question 4.1.4</w:t>
      </w:r>
      <w:r>
        <w:rPr>
          <w:b/>
        </w:rPr>
        <w:t xml:space="preserve"> </w:t>
      </w:r>
    </w:p>
    <w:tbl>
      <w:tblPr>
        <w:tblW w:w="8610" w:type="dxa"/>
        <w:tblCellMar>
          <w:top w:w="14" w:type="dxa"/>
          <w:right w:w="51" w:type="dxa"/>
        </w:tblCellMar>
        <w:tblLook w:val="04A0" w:firstRow="1" w:lastRow="0" w:firstColumn="1" w:lastColumn="0" w:noHBand="0" w:noVBand="1"/>
      </w:tblPr>
      <w:tblGrid>
        <w:gridCol w:w="5432"/>
        <w:gridCol w:w="451"/>
        <w:gridCol w:w="451"/>
        <w:gridCol w:w="452"/>
        <w:gridCol w:w="451"/>
        <w:gridCol w:w="451"/>
        <w:gridCol w:w="922"/>
      </w:tblGrid>
      <w:tr w:rsidR="0045673A" w14:paraId="1F4EDF07"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62F33982"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27F20F76"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0C47F68A"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3FC9C959"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3B3E4488"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5ED7F025"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1D249402" w14:textId="77777777" w:rsidR="0045673A" w:rsidRDefault="00E17DF3">
            <w:pPr>
              <w:spacing w:after="0" w:line="259" w:lineRule="auto"/>
              <w:ind w:left="0" w:firstLine="0"/>
              <w:jc w:val="center"/>
            </w:pPr>
            <w:r>
              <w:t xml:space="preserve">Don’t know </w:t>
            </w:r>
          </w:p>
        </w:tc>
      </w:tr>
      <w:tr w:rsidR="0045673A" w14:paraId="2820449F"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2FCEE244" w14:textId="77777777" w:rsidR="0045673A" w:rsidRDefault="00E17DF3">
            <w:pPr>
              <w:spacing w:after="0" w:line="259" w:lineRule="auto"/>
              <w:ind w:left="0" w:firstLine="0"/>
              <w:jc w:val="left"/>
            </w:pPr>
            <w:r>
              <w:t xml:space="preserve">Taxonomy alignment  </w:t>
            </w:r>
          </w:p>
        </w:tc>
        <w:tc>
          <w:tcPr>
            <w:tcW w:w="451" w:type="dxa"/>
            <w:tcBorders>
              <w:top w:val="single" w:sz="4" w:space="0" w:color="000000"/>
              <w:left w:val="single" w:sz="4" w:space="0" w:color="000000"/>
              <w:bottom w:val="single" w:sz="4" w:space="0" w:color="000000"/>
              <w:right w:val="single" w:sz="4" w:space="0" w:color="000000"/>
            </w:tcBorders>
          </w:tcPr>
          <w:p w14:paraId="2ECB1290" w14:textId="77777777" w:rsidR="0045673A" w:rsidRDefault="00E17DF3">
            <w:pPr>
              <w:spacing w:after="0" w:line="259" w:lineRule="auto"/>
              <w:ind w:left="8"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F93D935" w14:textId="20D23F39" w:rsidR="0045673A" w:rsidRDefault="006B7884">
            <w:pPr>
              <w:spacing w:after="0" w:line="259" w:lineRule="auto"/>
              <w:ind w:left="3" w:firstLine="0"/>
              <w:jc w:val="center"/>
            </w:pPr>
            <w:r>
              <w:t>X</w:t>
            </w:r>
            <w:r w:rsidR="00E17DF3">
              <w:t xml:space="preserve"> </w:t>
            </w:r>
          </w:p>
        </w:tc>
        <w:tc>
          <w:tcPr>
            <w:tcW w:w="452" w:type="dxa"/>
            <w:tcBorders>
              <w:top w:val="single" w:sz="4" w:space="0" w:color="000000"/>
              <w:left w:val="single" w:sz="4" w:space="0" w:color="000000"/>
              <w:bottom w:val="single" w:sz="4" w:space="0" w:color="000000"/>
              <w:right w:val="single" w:sz="4" w:space="0" w:color="000000"/>
            </w:tcBorders>
          </w:tcPr>
          <w:p w14:paraId="26009741" w14:textId="3CD03377" w:rsidR="0045673A" w:rsidRDefault="00E17DF3">
            <w:pPr>
              <w:spacing w:after="0" w:line="259" w:lineRule="auto"/>
              <w:ind w:left="4"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FB759A6" w14:textId="5E772853" w:rsidR="0045673A" w:rsidRDefault="0045673A">
            <w:pPr>
              <w:spacing w:after="0" w:line="259" w:lineRule="auto"/>
              <w:ind w:left="3"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37F7289F" w14:textId="4B640F7E" w:rsidR="0045673A" w:rsidRDefault="003A15AA" w:rsidP="003A15AA">
            <w:pPr>
              <w:tabs>
                <w:tab w:val="center" w:pos="147"/>
              </w:tabs>
              <w:spacing w:after="0" w:line="259" w:lineRule="auto"/>
              <w:ind w:left="3" w:firstLine="0"/>
            </w:pPr>
            <w:r>
              <w:tab/>
            </w:r>
            <w:r w:rsidR="00E17DF3">
              <w:t xml:space="preserve"> </w:t>
            </w:r>
          </w:p>
        </w:tc>
        <w:tc>
          <w:tcPr>
            <w:tcW w:w="922" w:type="dxa"/>
            <w:tcBorders>
              <w:top w:val="single" w:sz="4" w:space="0" w:color="000000"/>
              <w:left w:val="single" w:sz="4" w:space="0" w:color="000000"/>
              <w:bottom w:val="single" w:sz="4" w:space="0" w:color="000000"/>
              <w:right w:val="single" w:sz="4" w:space="0" w:color="000000"/>
            </w:tcBorders>
          </w:tcPr>
          <w:p w14:paraId="1FDE2438" w14:textId="77777777" w:rsidR="0045673A" w:rsidRDefault="00E17DF3">
            <w:pPr>
              <w:spacing w:after="0" w:line="259" w:lineRule="auto"/>
              <w:ind w:left="3" w:firstLine="0"/>
              <w:jc w:val="center"/>
            </w:pPr>
            <w:r>
              <w:t xml:space="preserve"> </w:t>
            </w:r>
          </w:p>
        </w:tc>
      </w:tr>
      <w:tr w:rsidR="0045673A" w14:paraId="71923409"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78F55E27" w14:textId="77777777" w:rsidR="0045673A" w:rsidRDefault="00E17DF3">
            <w:pPr>
              <w:spacing w:after="0" w:line="259" w:lineRule="auto"/>
              <w:ind w:left="0" w:firstLine="0"/>
              <w:jc w:val="left"/>
            </w:pPr>
            <w:r>
              <w:t xml:space="preserve">Engagement strategies </w:t>
            </w:r>
          </w:p>
        </w:tc>
        <w:tc>
          <w:tcPr>
            <w:tcW w:w="451" w:type="dxa"/>
            <w:tcBorders>
              <w:top w:val="single" w:sz="4" w:space="0" w:color="000000"/>
              <w:left w:val="single" w:sz="4" w:space="0" w:color="000000"/>
              <w:bottom w:val="single" w:sz="4" w:space="0" w:color="000000"/>
              <w:right w:val="single" w:sz="4" w:space="0" w:color="000000"/>
            </w:tcBorders>
          </w:tcPr>
          <w:p w14:paraId="7829E890" w14:textId="0C861CFC" w:rsidR="0045673A" w:rsidRDefault="0045673A">
            <w:pPr>
              <w:spacing w:after="0" w:line="259" w:lineRule="auto"/>
              <w:ind w:left="8"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7ACBD9D0" w14:textId="77777777" w:rsidR="0045673A" w:rsidRDefault="00E17DF3">
            <w:pPr>
              <w:spacing w:after="0" w:line="259" w:lineRule="auto"/>
              <w:ind w:left="3"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79700A5A" w14:textId="77777777" w:rsidR="0045673A" w:rsidRDefault="00E17DF3">
            <w:pPr>
              <w:spacing w:after="0" w:line="259" w:lineRule="auto"/>
              <w:ind w:left="4"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5A4A2065" w14:textId="309F4B53" w:rsidR="0045673A" w:rsidRDefault="002A1A01">
            <w:pPr>
              <w:spacing w:after="0" w:line="259" w:lineRule="auto"/>
              <w:ind w:left="3" w:firstLine="0"/>
              <w:jc w:val="center"/>
            </w:pPr>
            <w:r>
              <w:t>X</w:t>
            </w:r>
            <w:r w:rsidR="00E17DF3">
              <w:t xml:space="preserve"> </w:t>
            </w:r>
          </w:p>
        </w:tc>
        <w:tc>
          <w:tcPr>
            <w:tcW w:w="451" w:type="dxa"/>
            <w:tcBorders>
              <w:top w:val="single" w:sz="4" w:space="0" w:color="000000"/>
              <w:left w:val="single" w:sz="4" w:space="0" w:color="000000"/>
              <w:bottom w:val="single" w:sz="4" w:space="0" w:color="000000"/>
              <w:right w:val="single" w:sz="4" w:space="0" w:color="000000"/>
            </w:tcBorders>
          </w:tcPr>
          <w:p w14:paraId="68C9ACB6" w14:textId="77777777" w:rsidR="0045673A" w:rsidRDefault="00E17DF3">
            <w:pPr>
              <w:spacing w:after="0" w:line="259" w:lineRule="auto"/>
              <w:ind w:left="3"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1BF3C325" w14:textId="77777777" w:rsidR="0045673A" w:rsidRDefault="00E17DF3">
            <w:pPr>
              <w:spacing w:after="0" w:line="259" w:lineRule="auto"/>
              <w:ind w:left="3" w:firstLine="0"/>
              <w:jc w:val="center"/>
            </w:pPr>
            <w:r>
              <w:t xml:space="preserve"> </w:t>
            </w:r>
          </w:p>
        </w:tc>
      </w:tr>
      <w:tr w:rsidR="0045673A" w14:paraId="038AAEE4"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10E3360F" w14:textId="77777777" w:rsidR="0045673A" w:rsidRDefault="00E17DF3">
            <w:pPr>
              <w:spacing w:after="0" w:line="259" w:lineRule="auto"/>
              <w:ind w:left="0" w:firstLine="0"/>
              <w:jc w:val="left"/>
            </w:pPr>
            <w:r>
              <w:t xml:space="preserve">Exclusions </w:t>
            </w:r>
          </w:p>
        </w:tc>
        <w:tc>
          <w:tcPr>
            <w:tcW w:w="451" w:type="dxa"/>
            <w:tcBorders>
              <w:top w:val="single" w:sz="4" w:space="0" w:color="000000"/>
              <w:left w:val="single" w:sz="4" w:space="0" w:color="000000"/>
              <w:bottom w:val="single" w:sz="4" w:space="0" w:color="000000"/>
              <w:right w:val="single" w:sz="4" w:space="0" w:color="000000"/>
            </w:tcBorders>
          </w:tcPr>
          <w:p w14:paraId="779D896E"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1AE32B3"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42DBF30A" w14:textId="14197F9E"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B07A3C6" w14:textId="314188F8" w:rsidR="0045673A" w:rsidRDefault="00E17DF3">
            <w:pPr>
              <w:spacing w:after="0" w:line="259" w:lineRule="auto"/>
              <w:ind w:left="0" w:firstLine="0"/>
              <w:jc w:val="left"/>
            </w:pPr>
            <w:r>
              <w:t xml:space="preserve"> </w:t>
            </w:r>
            <w:r w:rsidR="001C5662">
              <w:t>X</w:t>
            </w:r>
          </w:p>
        </w:tc>
        <w:tc>
          <w:tcPr>
            <w:tcW w:w="451" w:type="dxa"/>
            <w:tcBorders>
              <w:top w:val="single" w:sz="4" w:space="0" w:color="000000"/>
              <w:left w:val="single" w:sz="4" w:space="0" w:color="000000"/>
              <w:bottom w:val="single" w:sz="4" w:space="0" w:color="000000"/>
              <w:right w:val="single" w:sz="4" w:space="0" w:color="000000"/>
            </w:tcBorders>
          </w:tcPr>
          <w:p w14:paraId="3F228DF0"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2BAC1412" w14:textId="77777777" w:rsidR="0045673A" w:rsidRDefault="00E17DF3">
            <w:pPr>
              <w:spacing w:after="0" w:line="259" w:lineRule="auto"/>
              <w:ind w:left="0" w:firstLine="0"/>
              <w:jc w:val="left"/>
            </w:pPr>
            <w:r>
              <w:t xml:space="preserve"> </w:t>
            </w:r>
          </w:p>
        </w:tc>
      </w:tr>
      <w:tr w:rsidR="0045673A" w14:paraId="7F79EFAF" w14:textId="77777777">
        <w:trPr>
          <w:trHeight w:val="804"/>
        </w:trPr>
        <w:tc>
          <w:tcPr>
            <w:tcW w:w="5432" w:type="dxa"/>
            <w:tcBorders>
              <w:top w:val="single" w:sz="4" w:space="0" w:color="000000"/>
              <w:left w:val="single" w:sz="4" w:space="0" w:color="000000"/>
              <w:bottom w:val="single" w:sz="4" w:space="0" w:color="000000"/>
              <w:right w:val="single" w:sz="4" w:space="0" w:color="000000"/>
            </w:tcBorders>
          </w:tcPr>
          <w:p w14:paraId="7A6404B7" w14:textId="77777777" w:rsidR="0045673A" w:rsidRDefault="00E17DF3">
            <w:pPr>
              <w:spacing w:after="0" w:line="259" w:lineRule="auto"/>
              <w:ind w:left="0" w:firstLine="0"/>
            </w:pPr>
            <w:r>
              <w:t xml:space="preserve">Pre-defined, measurable, positive environmental, social or governance-related outcome  </w:t>
            </w:r>
          </w:p>
        </w:tc>
        <w:tc>
          <w:tcPr>
            <w:tcW w:w="451" w:type="dxa"/>
            <w:tcBorders>
              <w:top w:val="single" w:sz="4" w:space="0" w:color="000000"/>
              <w:left w:val="single" w:sz="4" w:space="0" w:color="000000"/>
              <w:bottom w:val="single" w:sz="4" w:space="0" w:color="000000"/>
              <w:right w:val="single" w:sz="4" w:space="0" w:color="000000"/>
            </w:tcBorders>
          </w:tcPr>
          <w:p w14:paraId="6A15E0E8"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4620B02"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204D26B1" w14:textId="77777777"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AD21B68" w14:textId="0C12369D" w:rsidR="0045673A" w:rsidRDefault="002A1A01">
            <w:pPr>
              <w:spacing w:after="0" w:line="259" w:lineRule="auto"/>
              <w:ind w:left="0" w:firstLine="0"/>
              <w:jc w:val="left"/>
            </w:pPr>
            <w:r>
              <w:t>X</w:t>
            </w:r>
          </w:p>
        </w:tc>
        <w:tc>
          <w:tcPr>
            <w:tcW w:w="451" w:type="dxa"/>
            <w:tcBorders>
              <w:top w:val="single" w:sz="4" w:space="0" w:color="000000"/>
              <w:left w:val="single" w:sz="4" w:space="0" w:color="000000"/>
              <w:bottom w:val="single" w:sz="4" w:space="0" w:color="000000"/>
              <w:right w:val="single" w:sz="4" w:space="0" w:color="000000"/>
            </w:tcBorders>
          </w:tcPr>
          <w:p w14:paraId="79724D14"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3103F27A" w14:textId="77777777" w:rsidR="0045673A" w:rsidRDefault="00E17DF3">
            <w:pPr>
              <w:spacing w:after="0" w:line="259" w:lineRule="auto"/>
              <w:ind w:left="0" w:firstLine="0"/>
              <w:jc w:val="left"/>
            </w:pPr>
            <w:r>
              <w:t xml:space="preserve"> </w:t>
            </w:r>
          </w:p>
        </w:tc>
      </w:tr>
      <w:tr w:rsidR="0045673A" w14:paraId="11946759"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03ED03B7" w14:textId="77777777" w:rsidR="0045673A" w:rsidRDefault="00E17DF3">
            <w:pPr>
              <w:spacing w:after="0" w:line="259" w:lineRule="auto"/>
              <w:ind w:left="0" w:firstLine="0"/>
              <w:jc w:val="left"/>
            </w:pPr>
            <w:r>
              <w:t xml:space="preserve">Other </w:t>
            </w:r>
          </w:p>
        </w:tc>
        <w:tc>
          <w:tcPr>
            <w:tcW w:w="451" w:type="dxa"/>
            <w:tcBorders>
              <w:top w:val="single" w:sz="4" w:space="0" w:color="000000"/>
              <w:left w:val="single" w:sz="4" w:space="0" w:color="000000"/>
              <w:bottom w:val="single" w:sz="4" w:space="0" w:color="000000"/>
              <w:right w:val="single" w:sz="4" w:space="0" w:color="000000"/>
            </w:tcBorders>
          </w:tcPr>
          <w:p w14:paraId="36B42FC4"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9993317"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4549DEBC" w14:textId="77777777"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DF2A2EC" w14:textId="101297B6" w:rsidR="0045673A" w:rsidRDefault="005E34EA">
            <w:pPr>
              <w:spacing w:after="0" w:line="259" w:lineRule="auto"/>
              <w:ind w:left="0" w:firstLine="0"/>
              <w:jc w:val="left"/>
            </w:pPr>
            <w:r>
              <w:t xml:space="preserve"> </w:t>
            </w:r>
            <w:r w:rsidR="00E17DF3">
              <w:t xml:space="preserve"> </w:t>
            </w:r>
          </w:p>
        </w:tc>
        <w:tc>
          <w:tcPr>
            <w:tcW w:w="451" w:type="dxa"/>
            <w:tcBorders>
              <w:top w:val="single" w:sz="4" w:space="0" w:color="000000"/>
              <w:left w:val="single" w:sz="4" w:space="0" w:color="000000"/>
              <w:bottom w:val="single" w:sz="4" w:space="0" w:color="000000"/>
              <w:right w:val="single" w:sz="4" w:space="0" w:color="000000"/>
            </w:tcBorders>
          </w:tcPr>
          <w:p w14:paraId="2060FC4C"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43BBAACE" w14:textId="77777777" w:rsidR="0045673A" w:rsidRDefault="00E17DF3">
            <w:pPr>
              <w:spacing w:after="0" w:line="259" w:lineRule="auto"/>
              <w:ind w:left="0" w:firstLine="0"/>
              <w:jc w:val="left"/>
            </w:pPr>
            <w:r>
              <w:t xml:space="preserve"> </w:t>
            </w:r>
          </w:p>
        </w:tc>
      </w:tr>
    </w:tbl>
    <w:p w14:paraId="054D71E4"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0716DFEB" w14:textId="77777777" w:rsidR="0045673A" w:rsidRDefault="00E17DF3">
      <w:pPr>
        <w:spacing w:after="47"/>
        <w:ind w:right="643"/>
      </w:pPr>
      <w:r w:rsidRPr="00124281">
        <w:t>Please specify reply:</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0315FA" w14:paraId="6DEF03BC"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1D69CA6C" w14:textId="77777777" w:rsidR="00A32C71" w:rsidRDefault="00A32C71">
            <w:pPr>
              <w:spacing w:after="0" w:line="259" w:lineRule="auto"/>
              <w:ind w:left="0" w:firstLine="0"/>
              <w:jc w:val="left"/>
              <w:rPr>
                <w:sz w:val="20"/>
                <w:szCs w:val="20"/>
              </w:rPr>
            </w:pPr>
            <w:bookmarkStart w:id="2" w:name="_Hlk148089141"/>
          </w:p>
          <w:p w14:paraId="0B945C89" w14:textId="2BE57943" w:rsidR="00162A0A" w:rsidRPr="0000388C" w:rsidRDefault="00162A0A">
            <w:pPr>
              <w:spacing w:after="0" w:line="259" w:lineRule="auto"/>
              <w:ind w:left="0" w:firstLine="0"/>
              <w:jc w:val="left"/>
              <w:rPr>
                <w:sz w:val="20"/>
                <w:szCs w:val="20"/>
              </w:rPr>
            </w:pPr>
            <w:r w:rsidRPr="0000388C">
              <w:rPr>
                <w:sz w:val="20"/>
                <w:szCs w:val="20"/>
              </w:rPr>
              <w:t xml:space="preserve">Similarly to the approach taken by the FCA in the SDR proposals, we are supportive of a mix of objective qualitative and quantitative criteria </w:t>
            </w:r>
            <w:r w:rsidR="00831FA9" w:rsidRPr="0000388C">
              <w:rPr>
                <w:sz w:val="20"/>
                <w:szCs w:val="20"/>
              </w:rPr>
              <w:t xml:space="preserve">for </w:t>
            </w:r>
            <w:r w:rsidR="009B7BCD" w:rsidRPr="0000388C">
              <w:rPr>
                <w:sz w:val="20"/>
                <w:szCs w:val="20"/>
              </w:rPr>
              <w:t xml:space="preserve">all </w:t>
            </w:r>
            <w:r w:rsidR="00831FA9" w:rsidRPr="0000388C">
              <w:rPr>
                <w:sz w:val="20"/>
                <w:szCs w:val="20"/>
              </w:rPr>
              <w:t xml:space="preserve">products falling under the different sustainability product categories. </w:t>
            </w:r>
          </w:p>
          <w:p w14:paraId="6C531622" w14:textId="77777777" w:rsidR="00520419" w:rsidRPr="0000388C" w:rsidRDefault="00520419">
            <w:pPr>
              <w:spacing w:after="0" w:line="259" w:lineRule="auto"/>
              <w:ind w:left="0" w:firstLine="0"/>
              <w:jc w:val="left"/>
              <w:rPr>
                <w:sz w:val="20"/>
                <w:szCs w:val="20"/>
              </w:rPr>
            </w:pPr>
          </w:p>
          <w:p w14:paraId="6BB9DA32" w14:textId="2A542695" w:rsidR="00520419" w:rsidRPr="0000388C" w:rsidRDefault="00520419">
            <w:pPr>
              <w:spacing w:after="0" w:line="259" w:lineRule="auto"/>
              <w:ind w:left="0" w:firstLine="0"/>
              <w:jc w:val="left"/>
              <w:rPr>
                <w:sz w:val="20"/>
                <w:szCs w:val="20"/>
              </w:rPr>
            </w:pPr>
            <w:r w:rsidRPr="0000388C">
              <w:rPr>
                <w:sz w:val="20"/>
                <w:szCs w:val="20"/>
              </w:rPr>
              <w:t>The FCA has provided relative</w:t>
            </w:r>
            <w:r w:rsidR="009A2EC8" w:rsidRPr="0000388C">
              <w:rPr>
                <w:sz w:val="20"/>
                <w:szCs w:val="20"/>
              </w:rPr>
              <w:t xml:space="preserve"> flexibility in its approach to minimum criteria for each of the </w:t>
            </w:r>
            <w:r w:rsidR="0000388C">
              <w:rPr>
                <w:sz w:val="20"/>
                <w:szCs w:val="20"/>
              </w:rPr>
              <w:t>four</w:t>
            </w:r>
            <w:r w:rsidR="009A2EC8" w:rsidRPr="0000388C">
              <w:rPr>
                <w:sz w:val="20"/>
                <w:szCs w:val="20"/>
              </w:rPr>
              <w:t xml:space="preserve"> labelling categories in the UK, with appropriate discretion provided to firms seeking to meet a ‘high bar’ and more direct recognition in the proposed regime of funds’ different sustainable investment approaches and clients’ diverse sustainability preferences when compared to the existing SFDR. </w:t>
            </w:r>
          </w:p>
          <w:p w14:paraId="6AC1D4F8" w14:textId="77777777" w:rsidR="00520419" w:rsidRPr="0000388C" w:rsidRDefault="00520419">
            <w:pPr>
              <w:spacing w:after="0" w:line="259" w:lineRule="auto"/>
              <w:ind w:left="0" w:firstLine="0"/>
              <w:jc w:val="left"/>
              <w:rPr>
                <w:sz w:val="20"/>
                <w:szCs w:val="20"/>
              </w:rPr>
            </w:pPr>
          </w:p>
          <w:p w14:paraId="654010D8" w14:textId="2C5DE493" w:rsidR="0000388C" w:rsidRDefault="00C4538A">
            <w:pPr>
              <w:spacing w:after="0" w:line="259" w:lineRule="auto"/>
              <w:ind w:left="0" w:firstLine="0"/>
              <w:jc w:val="left"/>
              <w:rPr>
                <w:sz w:val="20"/>
                <w:szCs w:val="20"/>
              </w:rPr>
            </w:pPr>
            <w:r w:rsidRPr="0000388C">
              <w:rPr>
                <w:sz w:val="20"/>
                <w:szCs w:val="20"/>
              </w:rPr>
              <w:t>In regards to taxonomy</w:t>
            </w:r>
            <w:r w:rsidR="00600F1C">
              <w:rPr>
                <w:sz w:val="20"/>
                <w:szCs w:val="20"/>
              </w:rPr>
              <w:t>-</w:t>
            </w:r>
            <w:r w:rsidRPr="0000388C">
              <w:rPr>
                <w:sz w:val="20"/>
                <w:szCs w:val="20"/>
              </w:rPr>
              <w:t>alignment criteria</w:t>
            </w:r>
            <w:r w:rsidR="00E06AF9" w:rsidRPr="0000388C">
              <w:rPr>
                <w:sz w:val="20"/>
                <w:szCs w:val="20"/>
              </w:rPr>
              <w:t xml:space="preserve"> across all the categories,</w:t>
            </w:r>
            <w:r w:rsidRPr="0000388C">
              <w:rPr>
                <w:sz w:val="20"/>
                <w:szCs w:val="20"/>
              </w:rPr>
              <w:t xml:space="preserve"> we would recommend that the taxonomy is utilised as one of a </w:t>
            </w:r>
            <w:r w:rsidRPr="0000388C">
              <w:rPr>
                <w:i/>
                <w:iCs/>
                <w:sz w:val="20"/>
                <w:szCs w:val="20"/>
              </w:rPr>
              <w:t>series</w:t>
            </w:r>
            <w:r w:rsidRPr="0000388C">
              <w:rPr>
                <w:sz w:val="20"/>
                <w:szCs w:val="20"/>
              </w:rPr>
              <w:t xml:space="preserve"> of objective minimum criteria that firms could use to demonstrate the sustainability characteristics and profile of their fund</w:t>
            </w:r>
            <w:r w:rsidR="0000388C">
              <w:rPr>
                <w:sz w:val="20"/>
                <w:szCs w:val="20"/>
              </w:rPr>
              <w:t>, but not the only criteria mandated per sei.</w:t>
            </w:r>
          </w:p>
          <w:p w14:paraId="6C2C0DC8" w14:textId="77777777" w:rsidR="0000388C" w:rsidRDefault="0000388C">
            <w:pPr>
              <w:spacing w:after="0" w:line="259" w:lineRule="auto"/>
              <w:ind w:left="0" w:firstLine="0"/>
              <w:jc w:val="left"/>
              <w:rPr>
                <w:sz w:val="20"/>
                <w:szCs w:val="20"/>
              </w:rPr>
            </w:pPr>
          </w:p>
          <w:p w14:paraId="26698B88" w14:textId="77777777" w:rsidR="00A32C71" w:rsidRDefault="00147EE6">
            <w:pPr>
              <w:spacing w:after="0" w:line="259" w:lineRule="auto"/>
              <w:ind w:left="0" w:firstLine="0"/>
              <w:jc w:val="left"/>
              <w:rPr>
                <w:sz w:val="20"/>
                <w:szCs w:val="20"/>
              </w:rPr>
            </w:pPr>
            <w:r w:rsidRPr="0000388C">
              <w:rPr>
                <w:sz w:val="20"/>
                <w:szCs w:val="20"/>
              </w:rPr>
              <w:t>Other minimum sustainability criteria could be the UN SDGs</w:t>
            </w:r>
            <w:r w:rsidR="00CE457B" w:rsidRPr="0000388C">
              <w:rPr>
                <w:sz w:val="20"/>
                <w:szCs w:val="20"/>
              </w:rPr>
              <w:t xml:space="preserve">, an external standard, or a credible internal benchmark/tool, so long as the latter can be visibly demonstrated to be sufficiently credible, robust, meet minimum standards, be well-established for some time ideally, and with full transparency over the benchmark’s methodology. </w:t>
            </w:r>
          </w:p>
          <w:p w14:paraId="2D1A6390" w14:textId="77777777" w:rsidR="00A32C71" w:rsidRDefault="00A32C71">
            <w:pPr>
              <w:spacing w:after="0" w:line="259" w:lineRule="auto"/>
              <w:ind w:left="0" w:firstLine="0"/>
              <w:jc w:val="left"/>
              <w:rPr>
                <w:sz w:val="20"/>
                <w:szCs w:val="20"/>
              </w:rPr>
            </w:pPr>
          </w:p>
          <w:p w14:paraId="06BC8649" w14:textId="3A1AB18E" w:rsidR="00CE457B" w:rsidRDefault="00CE457B">
            <w:pPr>
              <w:spacing w:after="0" w:line="259" w:lineRule="auto"/>
              <w:ind w:left="0" w:firstLine="0"/>
              <w:jc w:val="left"/>
              <w:rPr>
                <w:sz w:val="20"/>
                <w:szCs w:val="20"/>
              </w:rPr>
            </w:pPr>
            <w:r w:rsidRPr="0000388C">
              <w:rPr>
                <w:sz w:val="20"/>
                <w:szCs w:val="20"/>
              </w:rPr>
              <w:t>Reliance on taxonomy alignment criteria alone would carry</w:t>
            </w:r>
            <w:r w:rsidR="000E2830">
              <w:rPr>
                <w:sz w:val="20"/>
                <w:szCs w:val="20"/>
              </w:rPr>
              <w:t xml:space="preserve"> certain</w:t>
            </w:r>
            <w:r w:rsidRPr="0000388C">
              <w:rPr>
                <w:sz w:val="20"/>
                <w:szCs w:val="20"/>
              </w:rPr>
              <w:t xml:space="preserve"> risks, given its limited application to </w:t>
            </w:r>
            <w:r w:rsidR="005B2DAF" w:rsidRPr="0000388C">
              <w:rPr>
                <w:sz w:val="20"/>
                <w:szCs w:val="20"/>
              </w:rPr>
              <w:t>environmental and climate topics</w:t>
            </w:r>
            <w:r w:rsidR="00651C95">
              <w:rPr>
                <w:sz w:val="20"/>
                <w:szCs w:val="20"/>
              </w:rPr>
              <w:t>, its lack of coverage across all economic sectors of activity,</w:t>
            </w:r>
            <w:r w:rsidR="005B2DAF" w:rsidRPr="0000388C">
              <w:rPr>
                <w:sz w:val="20"/>
                <w:szCs w:val="20"/>
              </w:rPr>
              <w:t xml:space="preserve"> </w:t>
            </w:r>
            <w:r w:rsidR="007932C4">
              <w:rPr>
                <w:sz w:val="20"/>
                <w:szCs w:val="20"/>
              </w:rPr>
              <w:t>data availability issues</w:t>
            </w:r>
            <w:r w:rsidR="00864382">
              <w:rPr>
                <w:sz w:val="20"/>
                <w:szCs w:val="20"/>
              </w:rPr>
              <w:t xml:space="preserve">, </w:t>
            </w:r>
            <w:r w:rsidR="00651C95">
              <w:rPr>
                <w:sz w:val="20"/>
                <w:szCs w:val="20"/>
              </w:rPr>
              <w:t xml:space="preserve">and its broader, </w:t>
            </w:r>
            <w:r w:rsidR="000E2830">
              <w:rPr>
                <w:sz w:val="20"/>
                <w:szCs w:val="20"/>
              </w:rPr>
              <w:t>o</w:t>
            </w:r>
            <w:r w:rsidR="005B2DAF" w:rsidRPr="0000388C">
              <w:rPr>
                <w:sz w:val="20"/>
                <w:szCs w:val="20"/>
              </w:rPr>
              <w:t xml:space="preserve">ngoing implementation </w:t>
            </w:r>
            <w:r w:rsidR="00651C95">
              <w:rPr>
                <w:sz w:val="20"/>
                <w:szCs w:val="20"/>
              </w:rPr>
              <w:t xml:space="preserve">challenges </w:t>
            </w:r>
            <w:r w:rsidR="005B2DAF" w:rsidRPr="0000388C">
              <w:rPr>
                <w:sz w:val="20"/>
                <w:szCs w:val="20"/>
              </w:rPr>
              <w:t>in the market.</w:t>
            </w:r>
            <w:r w:rsidR="007932C4">
              <w:rPr>
                <w:sz w:val="20"/>
                <w:szCs w:val="20"/>
              </w:rPr>
              <w:t xml:space="preserve"> Taxonomy-related disclosures alone may risk confusing some end investors in light of these issues and </w:t>
            </w:r>
            <w:r w:rsidR="00864382">
              <w:rPr>
                <w:sz w:val="20"/>
                <w:szCs w:val="20"/>
              </w:rPr>
              <w:t>the UK FCA’s approach in offering flexibility for firms to use the taxonomy or another</w:t>
            </w:r>
            <w:r w:rsidR="001D4C0C">
              <w:rPr>
                <w:sz w:val="20"/>
                <w:szCs w:val="20"/>
              </w:rPr>
              <w:t xml:space="preserve"> evidence-based</w:t>
            </w:r>
            <w:r w:rsidR="00864382">
              <w:rPr>
                <w:sz w:val="20"/>
                <w:szCs w:val="20"/>
              </w:rPr>
              <w:t xml:space="preserve"> absolute standard</w:t>
            </w:r>
            <w:r w:rsidR="001D4C0C">
              <w:rPr>
                <w:sz w:val="20"/>
                <w:szCs w:val="20"/>
              </w:rPr>
              <w:t>/measure</w:t>
            </w:r>
            <w:r w:rsidR="00864382">
              <w:rPr>
                <w:sz w:val="20"/>
                <w:szCs w:val="20"/>
              </w:rPr>
              <w:t xml:space="preserve"> of sustainability </w:t>
            </w:r>
            <w:r w:rsidR="001D4C0C">
              <w:rPr>
                <w:sz w:val="20"/>
                <w:szCs w:val="20"/>
              </w:rPr>
              <w:t>is broadly positive.</w:t>
            </w:r>
          </w:p>
          <w:p w14:paraId="37BE84BB" w14:textId="77777777" w:rsidR="004152AE" w:rsidRPr="0000388C" w:rsidRDefault="004152AE">
            <w:pPr>
              <w:spacing w:after="0" w:line="259" w:lineRule="auto"/>
              <w:ind w:left="0" w:firstLine="0"/>
              <w:jc w:val="left"/>
              <w:rPr>
                <w:sz w:val="20"/>
                <w:szCs w:val="20"/>
              </w:rPr>
            </w:pPr>
          </w:p>
          <w:p w14:paraId="3B2C5772" w14:textId="2F6C217D" w:rsidR="00D30840" w:rsidRPr="0000388C" w:rsidRDefault="004152AE">
            <w:pPr>
              <w:spacing w:after="0" w:line="259" w:lineRule="auto"/>
              <w:ind w:left="0" w:firstLine="0"/>
              <w:jc w:val="left"/>
              <w:rPr>
                <w:i/>
                <w:iCs/>
                <w:sz w:val="20"/>
                <w:szCs w:val="20"/>
              </w:rPr>
            </w:pPr>
            <w:r w:rsidRPr="0000388C">
              <w:rPr>
                <w:sz w:val="20"/>
                <w:szCs w:val="20"/>
              </w:rPr>
              <w:t>On minimum e</w:t>
            </w:r>
            <w:r w:rsidR="000069A2" w:rsidRPr="0000388C">
              <w:rPr>
                <w:sz w:val="20"/>
                <w:szCs w:val="20"/>
              </w:rPr>
              <w:t>ngagement criteria</w:t>
            </w:r>
            <w:r w:rsidR="00CA545A" w:rsidRPr="0000388C">
              <w:rPr>
                <w:sz w:val="20"/>
                <w:szCs w:val="20"/>
              </w:rPr>
              <w:t xml:space="preserve"> across the categories identified in this consultation</w:t>
            </w:r>
            <w:r w:rsidRPr="0000388C">
              <w:rPr>
                <w:sz w:val="20"/>
                <w:szCs w:val="20"/>
              </w:rPr>
              <w:t xml:space="preserve">, consideration could be given to the stewardship and engagement criteria outlined in the FCA’s SDR whereby a key ‘overarching principle’ that all </w:t>
            </w:r>
            <w:r w:rsidR="00193CA2" w:rsidRPr="0000388C">
              <w:rPr>
                <w:sz w:val="20"/>
                <w:szCs w:val="20"/>
              </w:rPr>
              <w:t>products seeking to qualify for a sustainable investment label must follow is a general investor stewardship principle</w:t>
            </w:r>
            <w:r w:rsidR="00D30840" w:rsidRPr="0000388C">
              <w:rPr>
                <w:sz w:val="20"/>
                <w:szCs w:val="20"/>
              </w:rPr>
              <w:t xml:space="preserve">. </w:t>
            </w:r>
          </w:p>
          <w:p w14:paraId="5C0EF0A4" w14:textId="77777777" w:rsidR="0000388C" w:rsidRPr="0000388C" w:rsidRDefault="0000388C">
            <w:pPr>
              <w:spacing w:after="0" w:line="259" w:lineRule="auto"/>
              <w:ind w:left="0" w:firstLine="0"/>
              <w:jc w:val="left"/>
              <w:rPr>
                <w:sz w:val="20"/>
                <w:szCs w:val="20"/>
              </w:rPr>
            </w:pPr>
          </w:p>
          <w:p w14:paraId="55802C74" w14:textId="2635859B" w:rsidR="00383276" w:rsidRDefault="00CA545A" w:rsidP="008B6864">
            <w:pPr>
              <w:spacing w:after="0" w:line="259" w:lineRule="auto"/>
              <w:ind w:left="0" w:firstLine="0"/>
              <w:jc w:val="left"/>
              <w:rPr>
                <w:sz w:val="20"/>
                <w:szCs w:val="20"/>
              </w:rPr>
            </w:pPr>
            <w:r w:rsidRPr="0000388C">
              <w:rPr>
                <w:sz w:val="20"/>
                <w:szCs w:val="20"/>
              </w:rPr>
              <w:t>In</w:t>
            </w:r>
            <w:r w:rsidR="009A05CB" w:rsidRPr="0000388C">
              <w:rPr>
                <w:sz w:val="20"/>
                <w:szCs w:val="20"/>
              </w:rPr>
              <w:t xml:space="preserve"> terms of pre-defined, measurable, positive environmental, social or governance-related outcome, we would expect this should be a minimum criteria for products </w:t>
            </w:r>
            <w:r w:rsidR="00F64553" w:rsidRPr="0000388C">
              <w:rPr>
                <w:sz w:val="20"/>
                <w:szCs w:val="20"/>
              </w:rPr>
              <w:t xml:space="preserve">specifically </w:t>
            </w:r>
            <w:r w:rsidR="009A05CB" w:rsidRPr="0000388C">
              <w:rPr>
                <w:sz w:val="20"/>
                <w:szCs w:val="20"/>
              </w:rPr>
              <w:t>falling under a</w:t>
            </w:r>
            <w:r w:rsidR="00194A38">
              <w:rPr>
                <w:sz w:val="20"/>
                <w:szCs w:val="20"/>
              </w:rPr>
              <w:t>n</w:t>
            </w:r>
            <w:r w:rsidR="009A05CB" w:rsidRPr="0000388C">
              <w:rPr>
                <w:sz w:val="20"/>
                <w:szCs w:val="20"/>
              </w:rPr>
              <w:t xml:space="preserve"> ‘Impact’ or ‘dark green’ labelling category</w:t>
            </w:r>
            <w:r w:rsidR="00194A38">
              <w:rPr>
                <w:sz w:val="20"/>
                <w:szCs w:val="20"/>
              </w:rPr>
              <w:t xml:space="preserve"> in the SFDR. </w:t>
            </w:r>
          </w:p>
          <w:p w14:paraId="0B9AC0FE" w14:textId="77777777" w:rsidR="00383276" w:rsidRDefault="00383276" w:rsidP="008B6864">
            <w:pPr>
              <w:spacing w:after="0" w:line="259" w:lineRule="auto"/>
              <w:ind w:left="0" w:firstLine="0"/>
              <w:jc w:val="left"/>
              <w:rPr>
                <w:sz w:val="20"/>
                <w:szCs w:val="20"/>
              </w:rPr>
            </w:pPr>
          </w:p>
          <w:p w14:paraId="313192A3" w14:textId="7C1B42C1" w:rsidR="00A85B8E" w:rsidRPr="0000388C" w:rsidRDefault="00465E9F" w:rsidP="008B6864">
            <w:pPr>
              <w:spacing w:after="0" w:line="259" w:lineRule="auto"/>
              <w:ind w:left="0" w:firstLine="0"/>
              <w:jc w:val="left"/>
              <w:rPr>
                <w:sz w:val="20"/>
                <w:szCs w:val="20"/>
              </w:rPr>
            </w:pPr>
            <w:r w:rsidRPr="0000388C">
              <w:rPr>
                <w:sz w:val="20"/>
                <w:szCs w:val="20"/>
              </w:rPr>
              <w:t xml:space="preserve">Finally, for product category A, </w:t>
            </w:r>
            <w:r w:rsidR="00A85B8E" w:rsidRPr="0000388C">
              <w:rPr>
                <w:sz w:val="20"/>
                <w:szCs w:val="20"/>
              </w:rPr>
              <w:t xml:space="preserve">we would expect the following criteria to be considered alongside the pre-defined, measurable sustainability outcomes: ‘a theory of change’ that is in line with the product's sustainability objective, a robust methodology to measure on an ongoing basis and demonstrate that investment activities have had a positive environmental and/or social impact, and a stewardship escalation </w:t>
            </w:r>
            <w:r w:rsidR="006512FD" w:rsidRPr="0000388C">
              <w:rPr>
                <w:sz w:val="20"/>
                <w:szCs w:val="20"/>
              </w:rPr>
              <w:t>strat</w:t>
            </w:r>
            <w:r w:rsidR="00E41D01">
              <w:rPr>
                <w:sz w:val="20"/>
                <w:szCs w:val="20"/>
              </w:rPr>
              <w:t>e</w:t>
            </w:r>
            <w:r w:rsidR="00466FB5">
              <w:rPr>
                <w:sz w:val="20"/>
                <w:szCs w:val="20"/>
              </w:rPr>
              <w:t>g</w:t>
            </w:r>
            <w:r w:rsidR="00E41D01">
              <w:rPr>
                <w:sz w:val="20"/>
                <w:szCs w:val="20"/>
              </w:rPr>
              <w:t>y and plan</w:t>
            </w:r>
            <w:r w:rsidR="00A85B8E" w:rsidRPr="0000388C">
              <w:rPr>
                <w:sz w:val="20"/>
                <w:szCs w:val="20"/>
              </w:rPr>
              <w:t xml:space="preserve"> should positive, real-world outcome no longer be achievable.</w:t>
            </w:r>
          </w:p>
          <w:bookmarkEnd w:id="2"/>
          <w:p w14:paraId="1398F4AB" w14:textId="77C038F1" w:rsidR="008B6864" w:rsidRDefault="008B6864" w:rsidP="008B6864">
            <w:pPr>
              <w:spacing w:after="0" w:line="259" w:lineRule="auto"/>
              <w:ind w:left="0" w:firstLine="0"/>
              <w:jc w:val="left"/>
            </w:pPr>
          </w:p>
        </w:tc>
      </w:tr>
    </w:tbl>
    <w:p w14:paraId="056F254F" w14:textId="77777777" w:rsidR="0045673A" w:rsidRDefault="00E17DF3">
      <w:pPr>
        <w:spacing w:after="216" w:line="259" w:lineRule="auto"/>
        <w:ind w:left="0" w:firstLine="0"/>
        <w:jc w:val="left"/>
      </w:pPr>
      <w:r>
        <w:t xml:space="preserve"> </w:t>
      </w:r>
    </w:p>
    <w:p w14:paraId="13F6EB4B" w14:textId="77777777" w:rsidR="0045673A" w:rsidRDefault="00E17DF3">
      <w:pPr>
        <w:ind w:right="643"/>
      </w:pPr>
      <w:r>
        <w:t>For product category B of question 4.1.4</w:t>
      </w:r>
      <w:r>
        <w:rPr>
          <w:b/>
        </w:rPr>
        <w:t xml:space="preserve"> </w:t>
      </w:r>
    </w:p>
    <w:tbl>
      <w:tblPr>
        <w:tblW w:w="8610" w:type="dxa"/>
        <w:tblCellMar>
          <w:top w:w="14" w:type="dxa"/>
          <w:right w:w="51" w:type="dxa"/>
        </w:tblCellMar>
        <w:tblLook w:val="04A0" w:firstRow="1" w:lastRow="0" w:firstColumn="1" w:lastColumn="0" w:noHBand="0" w:noVBand="1"/>
      </w:tblPr>
      <w:tblGrid>
        <w:gridCol w:w="5432"/>
        <w:gridCol w:w="451"/>
        <w:gridCol w:w="451"/>
        <w:gridCol w:w="452"/>
        <w:gridCol w:w="451"/>
        <w:gridCol w:w="451"/>
        <w:gridCol w:w="922"/>
      </w:tblGrid>
      <w:tr w:rsidR="0045673A" w14:paraId="6F5B051B"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02AD5A71"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F734B62"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151FE07F"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02F43637"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6DD099CB"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76A8FB54"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4BBEBCBA" w14:textId="77777777" w:rsidR="0045673A" w:rsidRDefault="00E17DF3">
            <w:pPr>
              <w:spacing w:after="0" w:line="259" w:lineRule="auto"/>
              <w:ind w:left="0" w:firstLine="0"/>
              <w:jc w:val="center"/>
            </w:pPr>
            <w:r>
              <w:t xml:space="preserve">Don’t know </w:t>
            </w:r>
          </w:p>
        </w:tc>
      </w:tr>
      <w:tr w:rsidR="0045673A" w14:paraId="735CFCC7"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11DFDF56" w14:textId="77777777" w:rsidR="0045673A" w:rsidRDefault="00E17DF3">
            <w:pPr>
              <w:spacing w:after="0" w:line="259" w:lineRule="auto"/>
              <w:ind w:left="0" w:firstLine="0"/>
              <w:jc w:val="left"/>
            </w:pPr>
            <w:r>
              <w:t xml:space="preserve">Taxonomy alignment  </w:t>
            </w:r>
          </w:p>
        </w:tc>
        <w:tc>
          <w:tcPr>
            <w:tcW w:w="451" w:type="dxa"/>
            <w:tcBorders>
              <w:top w:val="single" w:sz="4" w:space="0" w:color="000000"/>
              <w:left w:val="single" w:sz="4" w:space="0" w:color="000000"/>
              <w:bottom w:val="single" w:sz="4" w:space="0" w:color="000000"/>
              <w:right w:val="single" w:sz="4" w:space="0" w:color="000000"/>
            </w:tcBorders>
          </w:tcPr>
          <w:p w14:paraId="5487A9E7" w14:textId="77777777" w:rsidR="0045673A" w:rsidRDefault="00E17DF3">
            <w:pPr>
              <w:spacing w:after="0" w:line="259" w:lineRule="auto"/>
              <w:ind w:left="8"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38DDD94" w14:textId="2ECA01FD" w:rsidR="0045673A" w:rsidRDefault="00E17DF3">
            <w:pPr>
              <w:spacing w:after="0" w:line="259" w:lineRule="auto"/>
              <w:ind w:left="3" w:firstLine="0"/>
              <w:jc w:val="center"/>
            </w:pPr>
            <w:r>
              <w:t xml:space="preserve"> </w:t>
            </w:r>
            <w:r w:rsidR="00A53634">
              <w:t>X</w:t>
            </w:r>
          </w:p>
        </w:tc>
        <w:tc>
          <w:tcPr>
            <w:tcW w:w="452" w:type="dxa"/>
            <w:tcBorders>
              <w:top w:val="single" w:sz="4" w:space="0" w:color="000000"/>
              <w:left w:val="single" w:sz="4" w:space="0" w:color="000000"/>
              <w:bottom w:val="single" w:sz="4" w:space="0" w:color="000000"/>
              <w:right w:val="single" w:sz="4" w:space="0" w:color="000000"/>
            </w:tcBorders>
          </w:tcPr>
          <w:p w14:paraId="247A6EBA" w14:textId="16BB082D" w:rsidR="0045673A" w:rsidRDefault="00E17DF3">
            <w:pPr>
              <w:spacing w:after="0" w:line="259" w:lineRule="auto"/>
              <w:ind w:left="4"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7F6A812" w14:textId="77777777" w:rsidR="0045673A" w:rsidRDefault="00E17DF3">
            <w:pPr>
              <w:spacing w:after="0" w:line="259" w:lineRule="auto"/>
              <w:ind w:left="3"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1C9A6D7E" w14:textId="77777777" w:rsidR="0045673A" w:rsidRDefault="00E17DF3">
            <w:pPr>
              <w:spacing w:after="0" w:line="259" w:lineRule="auto"/>
              <w:ind w:left="3"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6B674207" w14:textId="77777777" w:rsidR="0045673A" w:rsidRDefault="00E17DF3">
            <w:pPr>
              <w:spacing w:after="0" w:line="259" w:lineRule="auto"/>
              <w:ind w:left="3" w:firstLine="0"/>
              <w:jc w:val="center"/>
            </w:pPr>
            <w:r>
              <w:t xml:space="preserve"> </w:t>
            </w:r>
          </w:p>
        </w:tc>
      </w:tr>
      <w:tr w:rsidR="00F168FF" w14:paraId="5EE131A3" w14:textId="77777777">
        <w:trPr>
          <w:trHeight w:val="529"/>
        </w:trPr>
        <w:tc>
          <w:tcPr>
            <w:tcW w:w="5432" w:type="dxa"/>
            <w:tcBorders>
              <w:top w:val="single" w:sz="4" w:space="0" w:color="000000"/>
              <w:left w:val="single" w:sz="4" w:space="0" w:color="000000"/>
              <w:bottom w:val="single" w:sz="4" w:space="0" w:color="000000"/>
              <w:right w:val="single" w:sz="4" w:space="0" w:color="000000"/>
            </w:tcBorders>
          </w:tcPr>
          <w:p w14:paraId="515A5068" w14:textId="77777777" w:rsidR="00F168FF" w:rsidRDefault="00F168FF" w:rsidP="00F168FF">
            <w:pPr>
              <w:spacing w:after="0" w:line="259" w:lineRule="auto"/>
              <w:ind w:left="0" w:firstLine="0"/>
              <w:jc w:val="left"/>
            </w:pPr>
            <w:r>
              <w:t xml:space="preserve">Engagement strategies </w:t>
            </w:r>
          </w:p>
        </w:tc>
        <w:tc>
          <w:tcPr>
            <w:tcW w:w="451" w:type="dxa"/>
            <w:tcBorders>
              <w:top w:val="single" w:sz="4" w:space="0" w:color="000000"/>
              <w:left w:val="single" w:sz="4" w:space="0" w:color="000000"/>
              <w:bottom w:val="single" w:sz="4" w:space="0" w:color="000000"/>
              <w:right w:val="single" w:sz="4" w:space="0" w:color="000000"/>
            </w:tcBorders>
          </w:tcPr>
          <w:p w14:paraId="10CB9833" w14:textId="51FFDD58" w:rsidR="00F168FF" w:rsidRDefault="00F168FF" w:rsidP="00F168FF">
            <w:pPr>
              <w:spacing w:after="0" w:line="259" w:lineRule="auto"/>
              <w:ind w:left="8"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6D9A9E03" w14:textId="0E07882D" w:rsidR="00F168FF" w:rsidRDefault="00F168FF" w:rsidP="00F168FF">
            <w:pPr>
              <w:spacing w:after="0" w:line="259" w:lineRule="auto"/>
              <w:ind w:left="3" w:firstLine="0"/>
              <w:jc w:val="center"/>
            </w:pPr>
          </w:p>
        </w:tc>
        <w:tc>
          <w:tcPr>
            <w:tcW w:w="452" w:type="dxa"/>
            <w:tcBorders>
              <w:top w:val="single" w:sz="4" w:space="0" w:color="000000"/>
              <w:left w:val="single" w:sz="4" w:space="0" w:color="000000"/>
              <w:bottom w:val="single" w:sz="4" w:space="0" w:color="000000"/>
              <w:right w:val="single" w:sz="4" w:space="0" w:color="000000"/>
            </w:tcBorders>
          </w:tcPr>
          <w:p w14:paraId="5FACCFD9" w14:textId="77777777" w:rsidR="00F168FF" w:rsidRDefault="00F168FF" w:rsidP="00F168FF">
            <w:pPr>
              <w:spacing w:after="0" w:line="259" w:lineRule="auto"/>
              <w:ind w:left="4"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3AEB44B" w14:textId="4C5B093F" w:rsidR="00F168FF" w:rsidRDefault="00F168FF" w:rsidP="00F168FF">
            <w:pPr>
              <w:spacing w:after="0" w:line="259" w:lineRule="auto"/>
              <w:ind w:left="3" w:firstLine="0"/>
              <w:jc w:val="center"/>
            </w:pPr>
            <w:r w:rsidRPr="00686364">
              <w:t xml:space="preserve"> X</w:t>
            </w:r>
          </w:p>
        </w:tc>
        <w:tc>
          <w:tcPr>
            <w:tcW w:w="451" w:type="dxa"/>
            <w:tcBorders>
              <w:top w:val="single" w:sz="4" w:space="0" w:color="000000"/>
              <w:left w:val="single" w:sz="4" w:space="0" w:color="000000"/>
              <w:bottom w:val="single" w:sz="4" w:space="0" w:color="000000"/>
              <w:right w:val="single" w:sz="4" w:space="0" w:color="000000"/>
            </w:tcBorders>
          </w:tcPr>
          <w:p w14:paraId="60474968" w14:textId="77777777" w:rsidR="00F168FF" w:rsidRDefault="00F168FF" w:rsidP="00F168FF">
            <w:pPr>
              <w:spacing w:after="0" w:line="259" w:lineRule="auto"/>
              <w:ind w:left="3"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29D80269" w14:textId="77777777" w:rsidR="00F168FF" w:rsidRDefault="00F168FF" w:rsidP="00F168FF">
            <w:pPr>
              <w:spacing w:after="0" w:line="259" w:lineRule="auto"/>
              <w:ind w:left="3" w:firstLine="0"/>
              <w:jc w:val="center"/>
            </w:pPr>
            <w:r>
              <w:t xml:space="preserve"> </w:t>
            </w:r>
          </w:p>
        </w:tc>
      </w:tr>
      <w:tr w:rsidR="00F168FF" w14:paraId="7580ACA2"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003A1C9A" w14:textId="77777777" w:rsidR="00F168FF" w:rsidRDefault="00F168FF" w:rsidP="00F168FF">
            <w:pPr>
              <w:spacing w:after="0" w:line="259" w:lineRule="auto"/>
              <w:ind w:left="0" w:firstLine="0"/>
              <w:jc w:val="left"/>
            </w:pPr>
            <w:r>
              <w:t xml:space="preserve">Exclusions </w:t>
            </w:r>
          </w:p>
        </w:tc>
        <w:tc>
          <w:tcPr>
            <w:tcW w:w="451" w:type="dxa"/>
            <w:tcBorders>
              <w:top w:val="single" w:sz="4" w:space="0" w:color="000000"/>
              <w:left w:val="single" w:sz="4" w:space="0" w:color="000000"/>
              <w:bottom w:val="single" w:sz="4" w:space="0" w:color="000000"/>
              <w:right w:val="single" w:sz="4" w:space="0" w:color="000000"/>
            </w:tcBorders>
          </w:tcPr>
          <w:p w14:paraId="5067E004" w14:textId="7DE1CB66" w:rsidR="00F168FF" w:rsidRDefault="00F168FF" w:rsidP="00F168FF">
            <w:pPr>
              <w:spacing w:after="0" w:line="259" w:lineRule="auto"/>
              <w:ind w:left="2"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3C09C967" w14:textId="5FDB5F3F" w:rsidR="00F168FF" w:rsidRDefault="00F168FF" w:rsidP="00F168FF">
            <w:pPr>
              <w:spacing w:after="0" w:line="259" w:lineRule="auto"/>
              <w:ind w:left="0" w:firstLine="0"/>
              <w:jc w:val="left"/>
            </w:pPr>
          </w:p>
        </w:tc>
        <w:tc>
          <w:tcPr>
            <w:tcW w:w="452" w:type="dxa"/>
            <w:tcBorders>
              <w:top w:val="single" w:sz="4" w:space="0" w:color="000000"/>
              <w:left w:val="single" w:sz="4" w:space="0" w:color="000000"/>
              <w:bottom w:val="single" w:sz="4" w:space="0" w:color="000000"/>
              <w:right w:val="single" w:sz="4" w:space="0" w:color="000000"/>
            </w:tcBorders>
          </w:tcPr>
          <w:p w14:paraId="5E805560" w14:textId="77777777" w:rsidR="00F168FF" w:rsidRDefault="00F168FF" w:rsidP="00F168FF">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C581F5C" w14:textId="2073CEB8" w:rsidR="00F168FF" w:rsidRDefault="00F168FF" w:rsidP="00F168FF">
            <w:pPr>
              <w:spacing w:after="0" w:line="259" w:lineRule="auto"/>
              <w:ind w:left="0" w:firstLine="0"/>
              <w:jc w:val="left"/>
            </w:pPr>
            <w:r w:rsidRPr="00686364">
              <w:t xml:space="preserve"> X</w:t>
            </w:r>
          </w:p>
        </w:tc>
        <w:tc>
          <w:tcPr>
            <w:tcW w:w="451" w:type="dxa"/>
            <w:tcBorders>
              <w:top w:val="single" w:sz="4" w:space="0" w:color="000000"/>
              <w:left w:val="single" w:sz="4" w:space="0" w:color="000000"/>
              <w:bottom w:val="single" w:sz="4" w:space="0" w:color="000000"/>
              <w:right w:val="single" w:sz="4" w:space="0" w:color="000000"/>
            </w:tcBorders>
          </w:tcPr>
          <w:p w14:paraId="5BB8044E" w14:textId="77777777" w:rsidR="00F168FF" w:rsidRDefault="00F168FF" w:rsidP="00F168FF">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3D8A1627" w14:textId="77777777" w:rsidR="00F168FF" w:rsidRDefault="00F168FF" w:rsidP="00F168FF">
            <w:pPr>
              <w:spacing w:after="0" w:line="259" w:lineRule="auto"/>
              <w:ind w:left="0" w:firstLine="0"/>
              <w:jc w:val="left"/>
            </w:pPr>
            <w:r>
              <w:t xml:space="preserve"> </w:t>
            </w:r>
          </w:p>
        </w:tc>
      </w:tr>
      <w:tr w:rsidR="00F168FF" w14:paraId="09ED80F0"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646BB437" w14:textId="77777777" w:rsidR="00F168FF" w:rsidRDefault="00F168FF" w:rsidP="00F168FF">
            <w:pPr>
              <w:spacing w:after="0" w:line="259" w:lineRule="auto"/>
              <w:ind w:left="0" w:firstLine="0"/>
            </w:pPr>
            <w:r>
              <w:t xml:space="preserve">Pre-defined, measurable, positive environmental, social or governance-related outcome  </w:t>
            </w:r>
          </w:p>
        </w:tc>
        <w:tc>
          <w:tcPr>
            <w:tcW w:w="451" w:type="dxa"/>
            <w:tcBorders>
              <w:top w:val="single" w:sz="4" w:space="0" w:color="000000"/>
              <w:left w:val="single" w:sz="4" w:space="0" w:color="000000"/>
              <w:bottom w:val="single" w:sz="4" w:space="0" w:color="000000"/>
              <w:right w:val="single" w:sz="4" w:space="0" w:color="000000"/>
            </w:tcBorders>
          </w:tcPr>
          <w:p w14:paraId="12ED9B71" w14:textId="26409361" w:rsidR="00F168FF" w:rsidRDefault="00F168FF" w:rsidP="00F168FF">
            <w:pPr>
              <w:spacing w:after="0" w:line="259" w:lineRule="auto"/>
              <w:ind w:left="2"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40710263" w14:textId="5A450E40" w:rsidR="00F168FF" w:rsidRDefault="00F168FF" w:rsidP="00F168FF">
            <w:pPr>
              <w:spacing w:after="0" w:line="259" w:lineRule="auto"/>
              <w:ind w:left="0" w:firstLine="0"/>
              <w:jc w:val="left"/>
            </w:pPr>
          </w:p>
        </w:tc>
        <w:tc>
          <w:tcPr>
            <w:tcW w:w="452" w:type="dxa"/>
            <w:tcBorders>
              <w:top w:val="single" w:sz="4" w:space="0" w:color="000000"/>
              <w:left w:val="single" w:sz="4" w:space="0" w:color="000000"/>
              <w:bottom w:val="single" w:sz="4" w:space="0" w:color="000000"/>
              <w:right w:val="single" w:sz="4" w:space="0" w:color="000000"/>
            </w:tcBorders>
          </w:tcPr>
          <w:p w14:paraId="4A755C9E" w14:textId="77777777" w:rsidR="00F168FF" w:rsidRDefault="00F168FF" w:rsidP="00F168FF">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136EEC46" w14:textId="2317F9D0" w:rsidR="00F168FF" w:rsidRDefault="00F168FF" w:rsidP="00F168FF">
            <w:pPr>
              <w:spacing w:after="0" w:line="259" w:lineRule="auto"/>
              <w:ind w:left="0" w:firstLine="0"/>
              <w:jc w:val="left"/>
            </w:pPr>
            <w:r w:rsidRPr="00686364">
              <w:t xml:space="preserve"> X</w:t>
            </w:r>
          </w:p>
        </w:tc>
        <w:tc>
          <w:tcPr>
            <w:tcW w:w="451" w:type="dxa"/>
            <w:tcBorders>
              <w:top w:val="single" w:sz="4" w:space="0" w:color="000000"/>
              <w:left w:val="single" w:sz="4" w:space="0" w:color="000000"/>
              <w:bottom w:val="single" w:sz="4" w:space="0" w:color="000000"/>
              <w:right w:val="single" w:sz="4" w:space="0" w:color="000000"/>
            </w:tcBorders>
          </w:tcPr>
          <w:p w14:paraId="216AE8DD" w14:textId="77777777" w:rsidR="00F168FF" w:rsidRDefault="00F168FF" w:rsidP="00F168FF">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1D7418F0" w14:textId="77777777" w:rsidR="00F168FF" w:rsidRDefault="00F168FF" w:rsidP="00F168FF">
            <w:pPr>
              <w:spacing w:after="0" w:line="259" w:lineRule="auto"/>
              <w:ind w:left="0" w:firstLine="0"/>
              <w:jc w:val="left"/>
            </w:pPr>
            <w:r>
              <w:t xml:space="preserve"> </w:t>
            </w:r>
          </w:p>
        </w:tc>
      </w:tr>
      <w:tr w:rsidR="0045673A" w14:paraId="15B02AA5"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7778312E" w14:textId="77777777" w:rsidR="0045673A" w:rsidRDefault="00E17DF3">
            <w:pPr>
              <w:spacing w:after="0" w:line="259" w:lineRule="auto"/>
              <w:ind w:left="0" w:firstLine="0"/>
              <w:jc w:val="left"/>
            </w:pPr>
            <w:r>
              <w:t xml:space="preserve">Other </w:t>
            </w:r>
          </w:p>
        </w:tc>
        <w:tc>
          <w:tcPr>
            <w:tcW w:w="451" w:type="dxa"/>
            <w:tcBorders>
              <w:top w:val="single" w:sz="4" w:space="0" w:color="000000"/>
              <w:left w:val="single" w:sz="4" w:space="0" w:color="000000"/>
              <w:bottom w:val="single" w:sz="4" w:space="0" w:color="000000"/>
              <w:right w:val="single" w:sz="4" w:space="0" w:color="000000"/>
            </w:tcBorders>
          </w:tcPr>
          <w:p w14:paraId="5903A22D"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B718AE9"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4DEB026E" w14:textId="77777777"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BC9247B"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E895972"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763977A7" w14:textId="77777777" w:rsidR="0045673A" w:rsidRDefault="00E17DF3">
            <w:pPr>
              <w:spacing w:after="0" w:line="259" w:lineRule="auto"/>
              <w:ind w:left="0" w:firstLine="0"/>
              <w:jc w:val="left"/>
            </w:pPr>
            <w:r>
              <w:t xml:space="preserve"> </w:t>
            </w:r>
          </w:p>
        </w:tc>
      </w:tr>
    </w:tbl>
    <w:p w14:paraId="2260C1DA"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74F98DBA" w14:textId="77777777" w:rsidR="0045673A" w:rsidRDefault="00E17DF3">
      <w:pPr>
        <w:spacing w:after="47"/>
        <w:ind w:right="643"/>
      </w:pPr>
      <w:r w:rsidRPr="00124281">
        <w:t>Please specify reply:</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0315FA" w14:paraId="4FA252A5"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76750406" w14:textId="77777777" w:rsidR="006852C1" w:rsidRDefault="006852C1" w:rsidP="00EE05D9">
            <w:pPr>
              <w:spacing w:after="0" w:line="259" w:lineRule="auto"/>
              <w:ind w:left="0" w:firstLine="0"/>
              <w:jc w:val="left"/>
              <w:rPr>
                <w:sz w:val="20"/>
                <w:szCs w:val="20"/>
              </w:rPr>
            </w:pPr>
          </w:p>
          <w:p w14:paraId="68B9546B" w14:textId="776846E7" w:rsidR="00EE05D9" w:rsidRPr="00C227F0" w:rsidRDefault="00E06AF9" w:rsidP="00EE05D9">
            <w:pPr>
              <w:spacing w:after="0" w:line="259" w:lineRule="auto"/>
              <w:ind w:left="0" w:firstLine="0"/>
              <w:jc w:val="left"/>
              <w:rPr>
                <w:sz w:val="20"/>
                <w:szCs w:val="20"/>
              </w:rPr>
            </w:pPr>
            <w:r w:rsidRPr="00C227F0">
              <w:rPr>
                <w:sz w:val="20"/>
                <w:szCs w:val="20"/>
              </w:rPr>
              <w:t>For products in Category B</w:t>
            </w:r>
            <w:r w:rsidR="00A74ACD" w:rsidRPr="00C227F0">
              <w:rPr>
                <w:sz w:val="20"/>
                <w:szCs w:val="20"/>
              </w:rPr>
              <w:t>, as mentioned in our previous response, we believe that the taxonomy and other sustainability criteria-such as the UN SDGs or a credible</w:t>
            </w:r>
            <w:r w:rsidR="00C227F0">
              <w:rPr>
                <w:sz w:val="20"/>
                <w:szCs w:val="20"/>
              </w:rPr>
              <w:t xml:space="preserve"> standard</w:t>
            </w:r>
            <w:r w:rsidR="00A74ACD" w:rsidRPr="00C227F0">
              <w:rPr>
                <w:sz w:val="20"/>
                <w:szCs w:val="20"/>
              </w:rPr>
              <w:t xml:space="preserve"> that has wide recognition in the market</w:t>
            </w:r>
            <w:r w:rsidR="00C227F0">
              <w:rPr>
                <w:sz w:val="20"/>
                <w:szCs w:val="20"/>
              </w:rPr>
              <w:t xml:space="preserve"> or a robust, objective internal </w:t>
            </w:r>
            <w:r w:rsidR="00C227F0" w:rsidRPr="00C227F0">
              <w:rPr>
                <w:sz w:val="20"/>
                <w:szCs w:val="20"/>
              </w:rPr>
              <w:t xml:space="preserve">standard </w:t>
            </w:r>
            <w:r w:rsidR="00A74ACD" w:rsidRPr="00C227F0">
              <w:rPr>
                <w:sz w:val="20"/>
                <w:szCs w:val="20"/>
              </w:rPr>
              <w:t xml:space="preserve">- could be used as a minimum criteria for these products. </w:t>
            </w:r>
          </w:p>
          <w:p w14:paraId="1103D4DD" w14:textId="77777777" w:rsidR="00787793" w:rsidRPr="00C227F0" w:rsidRDefault="00787793" w:rsidP="00EE05D9">
            <w:pPr>
              <w:spacing w:after="0" w:line="259" w:lineRule="auto"/>
              <w:ind w:left="0" w:firstLine="0"/>
              <w:jc w:val="left"/>
              <w:rPr>
                <w:sz w:val="20"/>
                <w:szCs w:val="20"/>
              </w:rPr>
            </w:pPr>
          </w:p>
          <w:p w14:paraId="28A7F616" w14:textId="61ED1885" w:rsidR="00C227F0" w:rsidRDefault="00787793" w:rsidP="00EB5538">
            <w:pPr>
              <w:spacing w:after="0" w:line="259" w:lineRule="auto"/>
              <w:ind w:left="0" w:firstLine="0"/>
              <w:jc w:val="left"/>
              <w:rPr>
                <w:sz w:val="20"/>
                <w:szCs w:val="20"/>
              </w:rPr>
            </w:pPr>
            <w:r w:rsidRPr="00C227F0">
              <w:rPr>
                <w:sz w:val="20"/>
                <w:szCs w:val="20"/>
              </w:rPr>
              <w:t xml:space="preserve">Separately, a similar rule to the </w:t>
            </w:r>
            <w:r w:rsidR="00C227F0">
              <w:rPr>
                <w:sz w:val="20"/>
                <w:szCs w:val="20"/>
              </w:rPr>
              <w:t>FCA’s 70% threshold for all of the UK’s labelling categories should be seriously considered</w:t>
            </w:r>
            <w:r w:rsidR="00CD67A6">
              <w:rPr>
                <w:sz w:val="20"/>
                <w:szCs w:val="20"/>
              </w:rPr>
              <w:t>.</w:t>
            </w:r>
          </w:p>
          <w:p w14:paraId="2BBBD6FC" w14:textId="77777777" w:rsidR="00CD67A6" w:rsidRDefault="00CD67A6" w:rsidP="00EB5538">
            <w:pPr>
              <w:spacing w:after="0" w:line="259" w:lineRule="auto"/>
              <w:ind w:left="0" w:firstLine="0"/>
              <w:jc w:val="left"/>
              <w:rPr>
                <w:sz w:val="20"/>
                <w:szCs w:val="20"/>
              </w:rPr>
            </w:pPr>
          </w:p>
          <w:p w14:paraId="39988416" w14:textId="77777777" w:rsidR="00EB5538" w:rsidRDefault="00787793" w:rsidP="00EB5538">
            <w:pPr>
              <w:spacing w:after="0" w:line="259" w:lineRule="auto"/>
              <w:ind w:left="0" w:firstLine="0"/>
              <w:jc w:val="left"/>
              <w:rPr>
                <w:sz w:val="20"/>
                <w:szCs w:val="20"/>
              </w:rPr>
            </w:pPr>
            <w:r w:rsidRPr="00C227F0">
              <w:rPr>
                <w:sz w:val="20"/>
                <w:szCs w:val="20"/>
              </w:rPr>
              <w:t xml:space="preserve">Alongside this, </w:t>
            </w:r>
            <w:r w:rsidR="008D3E0C" w:rsidRPr="00C227F0">
              <w:rPr>
                <w:sz w:val="20"/>
                <w:szCs w:val="20"/>
              </w:rPr>
              <w:t xml:space="preserve">minimum stewardship requirements should also be in place for this category, and as mentioned for all four categories highlighted in the consultation, one specific requirement could be disclosing how investor stewardship has been applied to promote </w:t>
            </w:r>
            <w:r w:rsidR="00EB5538" w:rsidRPr="00C227F0">
              <w:rPr>
                <w:sz w:val="20"/>
                <w:szCs w:val="20"/>
              </w:rPr>
              <w:t>alignment of the funds’ assets with increased progress against the quantitative threshold over time</w:t>
            </w:r>
            <w:r w:rsidR="00CD67A6">
              <w:rPr>
                <w:sz w:val="20"/>
                <w:szCs w:val="20"/>
              </w:rPr>
              <w:t>, as well as a stewardship escalation plan</w:t>
            </w:r>
            <w:r w:rsidR="006852C1">
              <w:rPr>
                <w:sz w:val="20"/>
                <w:szCs w:val="20"/>
              </w:rPr>
              <w:t xml:space="preserve"> should underlying assets not demonstrate</w:t>
            </w:r>
            <w:r w:rsidR="00B876C5">
              <w:rPr>
                <w:sz w:val="20"/>
                <w:szCs w:val="20"/>
              </w:rPr>
              <w:t xml:space="preserve"> sufficient</w:t>
            </w:r>
            <w:r w:rsidR="006852C1">
              <w:rPr>
                <w:sz w:val="20"/>
                <w:szCs w:val="20"/>
              </w:rPr>
              <w:t xml:space="preserve"> alignment with a fund’s sustainability objective over time</w:t>
            </w:r>
            <w:r w:rsidR="00CD67A6">
              <w:rPr>
                <w:sz w:val="20"/>
                <w:szCs w:val="20"/>
              </w:rPr>
              <w:t>.</w:t>
            </w:r>
          </w:p>
          <w:p w14:paraId="24BF07FE" w14:textId="1E00D33A" w:rsidR="002B6FEC" w:rsidRPr="002B6FEC" w:rsidRDefault="002B6FEC" w:rsidP="00EB5538">
            <w:pPr>
              <w:spacing w:after="0" w:line="259" w:lineRule="auto"/>
              <w:ind w:left="0" w:firstLine="0"/>
              <w:jc w:val="left"/>
              <w:rPr>
                <w:sz w:val="20"/>
                <w:szCs w:val="20"/>
              </w:rPr>
            </w:pPr>
          </w:p>
        </w:tc>
      </w:tr>
    </w:tbl>
    <w:p w14:paraId="214966B3" w14:textId="77777777" w:rsidR="0045673A" w:rsidRDefault="00E17DF3">
      <w:pPr>
        <w:spacing w:after="216" w:line="259" w:lineRule="auto"/>
        <w:ind w:left="0" w:firstLine="0"/>
        <w:jc w:val="left"/>
      </w:pPr>
      <w:r>
        <w:t xml:space="preserve"> </w:t>
      </w:r>
    </w:p>
    <w:p w14:paraId="17F5A3F1" w14:textId="77777777" w:rsidR="0045673A" w:rsidRDefault="00E17DF3">
      <w:pPr>
        <w:ind w:right="643"/>
      </w:pPr>
      <w:r>
        <w:t>For product category C of question 4.1.4</w:t>
      </w:r>
      <w:r>
        <w:rPr>
          <w:b/>
        </w:rPr>
        <w:t xml:space="preserve"> </w:t>
      </w:r>
    </w:p>
    <w:tbl>
      <w:tblPr>
        <w:tblW w:w="8610" w:type="dxa"/>
        <w:tblCellMar>
          <w:top w:w="14" w:type="dxa"/>
          <w:right w:w="51" w:type="dxa"/>
        </w:tblCellMar>
        <w:tblLook w:val="04A0" w:firstRow="1" w:lastRow="0" w:firstColumn="1" w:lastColumn="0" w:noHBand="0" w:noVBand="1"/>
      </w:tblPr>
      <w:tblGrid>
        <w:gridCol w:w="5432"/>
        <w:gridCol w:w="451"/>
        <w:gridCol w:w="451"/>
        <w:gridCol w:w="452"/>
        <w:gridCol w:w="451"/>
        <w:gridCol w:w="451"/>
        <w:gridCol w:w="922"/>
      </w:tblGrid>
      <w:tr w:rsidR="0045673A" w14:paraId="03E81A29"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459F0FE5"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23198A4"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43B973E4"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3C9FC108"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57BD1A29"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0CA170F6"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28774D95" w14:textId="77777777" w:rsidR="0045673A" w:rsidRDefault="00E17DF3">
            <w:pPr>
              <w:spacing w:after="0" w:line="259" w:lineRule="auto"/>
              <w:ind w:left="0" w:firstLine="0"/>
              <w:jc w:val="center"/>
            </w:pPr>
            <w:r>
              <w:t xml:space="preserve">Don’t know </w:t>
            </w:r>
          </w:p>
        </w:tc>
      </w:tr>
      <w:tr w:rsidR="0045673A" w14:paraId="22E38CC8"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7A403FE1" w14:textId="77777777" w:rsidR="0045673A" w:rsidRDefault="00E17DF3">
            <w:pPr>
              <w:spacing w:after="0" w:line="259" w:lineRule="auto"/>
              <w:ind w:left="0" w:firstLine="0"/>
              <w:jc w:val="left"/>
            </w:pPr>
            <w:r>
              <w:t xml:space="preserve">Taxonomy alignment  </w:t>
            </w:r>
          </w:p>
        </w:tc>
        <w:tc>
          <w:tcPr>
            <w:tcW w:w="451" w:type="dxa"/>
            <w:tcBorders>
              <w:top w:val="single" w:sz="4" w:space="0" w:color="000000"/>
              <w:left w:val="single" w:sz="4" w:space="0" w:color="000000"/>
              <w:bottom w:val="single" w:sz="4" w:space="0" w:color="000000"/>
              <w:right w:val="single" w:sz="4" w:space="0" w:color="000000"/>
            </w:tcBorders>
          </w:tcPr>
          <w:p w14:paraId="0DDF824B" w14:textId="7B51DB2A" w:rsidR="0045673A" w:rsidRDefault="0045673A">
            <w:pPr>
              <w:spacing w:after="0" w:line="259" w:lineRule="auto"/>
              <w:ind w:left="8"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52962BEB" w14:textId="6429EC46" w:rsidR="0045673A" w:rsidRDefault="0042011D">
            <w:pPr>
              <w:spacing w:after="0" w:line="259" w:lineRule="auto"/>
              <w:ind w:left="3" w:firstLine="0"/>
              <w:jc w:val="center"/>
            </w:pPr>
            <w:r>
              <w:t>X</w:t>
            </w:r>
          </w:p>
        </w:tc>
        <w:tc>
          <w:tcPr>
            <w:tcW w:w="452" w:type="dxa"/>
            <w:tcBorders>
              <w:top w:val="single" w:sz="4" w:space="0" w:color="000000"/>
              <w:left w:val="single" w:sz="4" w:space="0" w:color="000000"/>
              <w:bottom w:val="single" w:sz="4" w:space="0" w:color="000000"/>
              <w:right w:val="single" w:sz="4" w:space="0" w:color="000000"/>
            </w:tcBorders>
          </w:tcPr>
          <w:p w14:paraId="661FCACF" w14:textId="375A2EB2" w:rsidR="0045673A" w:rsidRDefault="00E17DF3">
            <w:pPr>
              <w:spacing w:after="0" w:line="259" w:lineRule="auto"/>
              <w:ind w:left="4"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CB44B60" w14:textId="77777777" w:rsidR="0045673A" w:rsidRDefault="00E17DF3">
            <w:pPr>
              <w:spacing w:after="0" w:line="259" w:lineRule="auto"/>
              <w:ind w:left="3"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5BBC9C75" w14:textId="77777777" w:rsidR="0045673A" w:rsidRDefault="00E17DF3">
            <w:pPr>
              <w:spacing w:after="0" w:line="259" w:lineRule="auto"/>
              <w:ind w:left="3"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6DCB14A2" w14:textId="77777777" w:rsidR="0045673A" w:rsidRDefault="00E17DF3">
            <w:pPr>
              <w:spacing w:after="0" w:line="259" w:lineRule="auto"/>
              <w:ind w:left="3" w:firstLine="0"/>
              <w:jc w:val="center"/>
            </w:pPr>
            <w:r>
              <w:t xml:space="preserve"> </w:t>
            </w:r>
          </w:p>
        </w:tc>
      </w:tr>
      <w:tr w:rsidR="00F168FF" w14:paraId="2E86D3CA"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0E9C86F0" w14:textId="77777777" w:rsidR="00F168FF" w:rsidRDefault="00F168FF" w:rsidP="00F168FF">
            <w:pPr>
              <w:spacing w:after="0" w:line="259" w:lineRule="auto"/>
              <w:ind w:left="0" w:firstLine="0"/>
              <w:jc w:val="left"/>
            </w:pPr>
            <w:r>
              <w:t xml:space="preserve">Engagement strategies </w:t>
            </w:r>
          </w:p>
        </w:tc>
        <w:tc>
          <w:tcPr>
            <w:tcW w:w="451" w:type="dxa"/>
            <w:tcBorders>
              <w:top w:val="single" w:sz="4" w:space="0" w:color="000000"/>
              <w:left w:val="single" w:sz="4" w:space="0" w:color="000000"/>
              <w:bottom w:val="single" w:sz="4" w:space="0" w:color="000000"/>
              <w:right w:val="single" w:sz="4" w:space="0" w:color="000000"/>
            </w:tcBorders>
          </w:tcPr>
          <w:p w14:paraId="25F15418" w14:textId="7245947F" w:rsidR="00F168FF" w:rsidRDefault="00F168FF" w:rsidP="00F168FF">
            <w:pPr>
              <w:spacing w:after="0" w:line="259" w:lineRule="auto"/>
              <w:ind w:left="8"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3633EB52" w14:textId="0E51C6D5" w:rsidR="00F168FF" w:rsidRDefault="00F168FF" w:rsidP="00F168FF">
            <w:pPr>
              <w:spacing w:after="0" w:line="259" w:lineRule="auto"/>
              <w:ind w:left="3" w:firstLine="0"/>
              <w:jc w:val="center"/>
            </w:pPr>
          </w:p>
        </w:tc>
        <w:tc>
          <w:tcPr>
            <w:tcW w:w="452" w:type="dxa"/>
            <w:tcBorders>
              <w:top w:val="single" w:sz="4" w:space="0" w:color="000000"/>
              <w:left w:val="single" w:sz="4" w:space="0" w:color="000000"/>
              <w:bottom w:val="single" w:sz="4" w:space="0" w:color="000000"/>
              <w:right w:val="single" w:sz="4" w:space="0" w:color="000000"/>
            </w:tcBorders>
          </w:tcPr>
          <w:p w14:paraId="00D77106" w14:textId="77777777" w:rsidR="00F168FF" w:rsidRDefault="00F168FF" w:rsidP="00F168FF">
            <w:pPr>
              <w:spacing w:after="0" w:line="259" w:lineRule="auto"/>
              <w:ind w:left="4"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417AA8D" w14:textId="450A01E1" w:rsidR="00F168FF" w:rsidRDefault="00F168FF" w:rsidP="00F168FF">
            <w:pPr>
              <w:spacing w:after="0" w:line="259" w:lineRule="auto"/>
              <w:ind w:left="3" w:firstLine="0"/>
              <w:jc w:val="center"/>
            </w:pPr>
            <w:r w:rsidRPr="00C63472">
              <w:t xml:space="preserve"> X</w:t>
            </w:r>
          </w:p>
        </w:tc>
        <w:tc>
          <w:tcPr>
            <w:tcW w:w="451" w:type="dxa"/>
            <w:tcBorders>
              <w:top w:val="single" w:sz="4" w:space="0" w:color="000000"/>
              <w:left w:val="single" w:sz="4" w:space="0" w:color="000000"/>
              <w:bottom w:val="single" w:sz="4" w:space="0" w:color="000000"/>
              <w:right w:val="single" w:sz="4" w:space="0" w:color="000000"/>
            </w:tcBorders>
          </w:tcPr>
          <w:p w14:paraId="7AF6C5FA" w14:textId="77777777" w:rsidR="00F168FF" w:rsidRDefault="00F168FF" w:rsidP="00F168FF">
            <w:pPr>
              <w:spacing w:after="0" w:line="259" w:lineRule="auto"/>
              <w:ind w:left="3"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6815FC8E" w14:textId="77777777" w:rsidR="00F168FF" w:rsidRDefault="00F168FF" w:rsidP="00F168FF">
            <w:pPr>
              <w:spacing w:after="0" w:line="259" w:lineRule="auto"/>
              <w:ind w:left="3" w:firstLine="0"/>
              <w:jc w:val="center"/>
            </w:pPr>
            <w:r>
              <w:t xml:space="preserve"> </w:t>
            </w:r>
          </w:p>
        </w:tc>
      </w:tr>
      <w:tr w:rsidR="00F168FF" w14:paraId="0AC26678" w14:textId="77777777">
        <w:trPr>
          <w:trHeight w:val="529"/>
        </w:trPr>
        <w:tc>
          <w:tcPr>
            <w:tcW w:w="5432" w:type="dxa"/>
            <w:tcBorders>
              <w:top w:val="single" w:sz="4" w:space="0" w:color="000000"/>
              <w:left w:val="single" w:sz="4" w:space="0" w:color="000000"/>
              <w:bottom w:val="single" w:sz="4" w:space="0" w:color="000000"/>
              <w:right w:val="single" w:sz="4" w:space="0" w:color="000000"/>
            </w:tcBorders>
          </w:tcPr>
          <w:p w14:paraId="0577BE0F" w14:textId="77777777" w:rsidR="00F168FF" w:rsidRDefault="00F168FF" w:rsidP="00F168FF">
            <w:pPr>
              <w:spacing w:after="0" w:line="259" w:lineRule="auto"/>
              <w:ind w:left="0" w:firstLine="0"/>
              <w:jc w:val="left"/>
            </w:pPr>
            <w:r>
              <w:t xml:space="preserve">Exclusions </w:t>
            </w:r>
          </w:p>
        </w:tc>
        <w:tc>
          <w:tcPr>
            <w:tcW w:w="451" w:type="dxa"/>
            <w:tcBorders>
              <w:top w:val="single" w:sz="4" w:space="0" w:color="000000"/>
              <w:left w:val="single" w:sz="4" w:space="0" w:color="000000"/>
              <w:bottom w:val="single" w:sz="4" w:space="0" w:color="000000"/>
              <w:right w:val="single" w:sz="4" w:space="0" w:color="000000"/>
            </w:tcBorders>
          </w:tcPr>
          <w:p w14:paraId="5DC2F879" w14:textId="35E104AC" w:rsidR="00F168FF" w:rsidRDefault="00F168FF" w:rsidP="00F168FF">
            <w:pPr>
              <w:spacing w:after="0" w:line="259" w:lineRule="auto"/>
              <w:ind w:left="2"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1BC32E8C" w14:textId="725EB209" w:rsidR="00F168FF" w:rsidRDefault="00F168FF" w:rsidP="00F168FF">
            <w:pPr>
              <w:spacing w:after="0" w:line="259" w:lineRule="auto"/>
              <w:ind w:left="0" w:firstLine="0"/>
              <w:jc w:val="left"/>
            </w:pPr>
          </w:p>
        </w:tc>
        <w:tc>
          <w:tcPr>
            <w:tcW w:w="452" w:type="dxa"/>
            <w:tcBorders>
              <w:top w:val="single" w:sz="4" w:space="0" w:color="000000"/>
              <w:left w:val="single" w:sz="4" w:space="0" w:color="000000"/>
              <w:bottom w:val="single" w:sz="4" w:space="0" w:color="000000"/>
              <w:right w:val="single" w:sz="4" w:space="0" w:color="000000"/>
            </w:tcBorders>
          </w:tcPr>
          <w:p w14:paraId="29DD7C9D" w14:textId="77777777" w:rsidR="00F168FF" w:rsidRDefault="00F168FF" w:rsidP="00F168FF">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1025F04" w14:textId="3BE08D4A" w:rsidR="00F168FF" w:rsidRDefault="00F168FF" w:rsidP="00F168FF">
            <w:pPr>
              <w:spacing w:after="0" w:line="259" w:lineRule="auto"/>
              <w:ind w:left="0" w:firstLine="0"/>
              <w:jc w:val="left"/>
            </w:pPr>
            <w:r w:rsidRPr="00C63472">
              <w:t xml:space="preserve"> X</w:t>
            </w:r>
          </w:p>
        </w:tc>
        <w:tc>
          <w:tcPr>
            <w:tcW w:w="451" w:type="dxa"/>
            <w:tcBorders>
              <w:top w:val="single" w:sz="4" w:space="0" w:color="000000"/>
              <w:left w:val="single" w:sz="4" w:space="0" w:color="000000"/>
              <w:bottom w:val="single" w:sz="4" w:space="0" w:color="000000"/>
              <w:right w:val="single" w:sz="4" w:space="0" w:color="000000"/>
            </w:tcBorders>
          </w:tcPr>
          <w:p w14:paraId="4303D6F9" w14:textId="1F7C0DE6" w:rsidR="00F168FF" w:rsidRDefault="00F168FF" w:rsidP="00F168FF">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055AE2FB" w14:textId="77777777" w:rsidR="00F168FF" w:rsidRDefault="00F168FF" w:rsidP="00F168FF">
            <w:pPr>
              <w:spacing w:after="0" w:line="259" w:lineRule="auto"/>
              <w:ind w:left="0" w:firstLine="0"/>
              <w:jc w:val="left"/>
            </w:pPr>
            <w:r>
              <w:t xml:space="preserve"> </w:t>
            </w:r>
          </w:p>
        </w:tc>
      </w:tr>
      <w:tr w:rsidR="00F168FF" w14:paraId="73BD2C07"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5EE1AE4F" w14:textId="77777777" w:rsidR="00F168FF" w:rsidRDefault="00F168FF" w:rsidP="00F168FF">
            <w:pPr>
              <w:spacing w:after="0" w:line="259" w:lineRule="auto"/>
              <w:ind w:left="0" w:firstLine="0"/>
            </w:pPr>
            <w:r>
              <w:t xml:space="preserve">Pre-defined, measurable, positive environmental, social or governance-related outcome  </w:t>
            </w:r>
          </w:p>
        </w:tc>
        <w:tc>
          <w:tcPr>
            <w:tcW w:w="451" w:type="dxa"/>
            <w:tcBorders>
              <w:top w:val="single" w:sz="4" w:space="0" w:color="000000"/>
              <w:left w:val="single" w:sz="4" w:space="0" w:color="000000"/>
              <w:bottom w:val="single" w:sz="4" w:space="0" w:color="000000"/>
              <w:right w:val="single" w:sz="4" w:space="0" w:color="000000"/>
            </w:tcBorders>
          </w:tcPr>
          <w:p w14:paraId="12E8E6B1" w14:textId="1BC11A00" w:rsidR="00F168FF" w:rsidRDefault="00F168FF" w:rsidP="00F168FF">
            <w:pPr>
              <w:spacing w:after="0" w:line="259" w:lineRule="auto"/>
              <w:ind w:left="2"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0BE6CD8D" w14:textId="147D08A3" w:rsidR="00F168FF" w:rsidRDefault="00F168FF" w:rsidP="00F168FF">
            <w:pPr>
              <w:spacing w:after="0" w:line="259" w:lineRule="auto"/>
              <w:ind w:left="0" w:firstLine="0"/>
              <w:jc w:val="left"/>
            </w:pPr>
          </w:p>
        </w:tc>
        <w:tc>
          <w:tcPr>
            <w:tcW w:w="452" w:type="dxa"/>
            <w:tcBorders>
              <w:top w:val="single" w:sz="4" w:space="0" w:color="000000"/>
              <w:left w:val="single" w:sz="4" w:space="0" w:color="000000"/>
              <w:bottom w:val="single" w:sz="4" w:space="0" w:color="000000"/>
              <w:right w:val="single" w:sz="4" w:space="0" w:color="000000"/>
            </w:tcBorders>
          </w:tcPr>
          <w:p w14:paraId="30684502" w14:textId="77777777" w:rsidR="00F168FF" w:rsidRDefault="00F168FF" w:rsidP="00F168FF">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2B2C2CB4" w14:textId="00274145" w:rsidR="00F168FF" w:rsidRDefault="00F168FF" w:rsidP="00F168FF">
            <w:pPr>
              <w:spacing w:after="0" w:line="259" w:lineRule="auto"/>
              <w:ind w:left="0" w:firstLine="0"/>
              <w:jc w:val="left"/>
            </w:pPr>
            <w:r w:rsidRPr="00C63472">
              <w:t xml:space="preserve"> X</w:t>
            </w:r>
          </w:p>
        </w:tc>
        <w:tc>
          <w:tcPr>
            <w:tcW w:w="451" w:type="dxa"/>
            <w:tcBorders>
              <w:top w:val="single" w:sz="4" w:space="0" w:color="000000"/>
              <w:left w:val="single" w:sz="4" w:space="0" w:color="000000"/>
              <w:bottom w:val="single" w:sz="4" w:space="0" w:color="000000"/>
              <w:right w:val="single" w:sz="4" w:space="0" w:color="000000"/>
            </w:tcBorders>
          </w:tcPr>
          <w:p w14:paraId="58BBBA19" w14:textId="77777777" w:rsidR="00F168FF" w:rsidRDefault="00F168FF" w:rsidP="00F168FF">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34DF4094" w14:textId="77777777" w:rsidR="00F168FF" w:rsidRDefault="00F168FF" w:rsidP="00F168FF">
            <w:pPr>
              <w:spacing w:after="0" w:line="259" w:lineRule="auto"/>
              <w:ind w:left="0" w:firstLine="0"/>
              <w:jc w:val="left"/>
            </w:pPr>
            <w:r>
              <w:t xml:space="preserve"> </w:t>
            </w:r>
          </w:p>
        </w:tc>
      </w:tr>
      <w:tr w:rsidR="0045673A" w14:paraId="07049F7D"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3B4F0693" w14:textId="77777777" w:rsidR="0045673A" w:rsidRDefault="00E17DF3">
            <w:pPr>
              <w:spacing w:after="0" w:line="259" w:lineRule="auto"/>
              <w:ind w:left="0" w:firstLine="0"/>
              <w:jc w:val="left"/>
            </w:pPr>
            <w:r>
              <w:t xml:space="preserve">Other </w:t>
            </w:r>
          </w:p>
        </w:tc>
        <w:tc>
          <w:tcPr>
            <w:tcW w:w="451" w:type="dxa"/>
            <w:tcBorders>
              <w:top w:val="single" w:sz="4" w:space="0" w:color="000000"/>
              <w:left w:val="single" w:sz="4" w:space="0" w:color="000000"/>
              <w:bottom w:val="single" w:sz="4" w:space="0" w:color="000000"/>
              <w:right w:val="single" w:sz="4" w:space="0" w:color="000000"/>
            </w:tcBorders>
          </w:tcPr>
          <w:p w14:paraId="61BBFCF5" w14:textId="16679998" w:rsidR="0045673A" w:rsidRDefault="0045673A">
            <w:pPr>
              <w:spacing w:after="0" w:line="259" w:lineRule="auto"/>
              <w:ind w:left="2"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03E42EC1" w14:textId="5A0F4219" w:rsidR="0045673A" w:rsidRDefault="0045673A">
            <w:pPr>
              <w:spacing w:after="0" w:line="259" w:lineRule="auto"/>
              <w:ind w:left="0" w:firstLine="0"/>
              <w:jc w:val="left"/>
            </w:pPr>
          </w:p>
        </w:tc>
        <w:tc>
          <w:tcPr>
            <w:tcW w:w="452" w:type="dxa"/>
            <w:tcBorders>
              <w:top w:val="single" w:sz="4" w:space="0" w:color="000000"/>
              <w:left w:val="single" w:sz="4" w:space="0" w:color="000000"/>
              <w:bottom w:val="single" w:sz="4" w:space="0" w:color="000000"/>
              <w:right w:val="single" w:sz="4" w:space="0" w:color="000000"/>
            </w:tcBorders>
          </w:tcPr>
          <w:p w14:paraId="63E25D3B" w14:textId="77777777"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E1F8655"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1A716C48"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0C53D44F" w14:textId="77777777" w:rsidR="0045673A" w:rsidRDefault="00E17DF3">
            <w:pPr>
              <w:spacing w:after="0" w:line="259" w:lineRule="auto"/>
              <w:ind w:left="0" w:firstLine="0"/>
              <w:jc w:val="left"/>
            </w:pPr>
            <w:r>
              <w:t xml:space="preserve"> </w:t>
            </w:r>
          </w:p>
        </w:tc>
      </w:tr>
    </w:tbl>
    <w:p w14:paraId="57672825"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2B7BF3F3" w14:textId="77777777" w:rsidR="0045673A" w:rsidRDefault="00E17DF3">
      <w:pPr>
        <w:spacing w:after="46"/>
        <w:ind w:right="643"/>
      </w:pPr>
      <w:r>
        <w:t xml:space="preserve">Please specify reply: </w:t>
      </w:r>
    </w:p>
    <w:tbl>
      <w:tblPr>
        <w:tblW w:w="8836" w:type="dxa"/>
        <w:tblInd w:w="-26" w:type="dxa"/>
        <w:tblCellMar>
          <w:top w:w="19" w:type="dxa"/>
          <w:right w:w="115" w:type="dxa"/>
        </w:tblCellMar>
        <w:tblLook w:val="04A0" w:firstRow="1" w:lastRow="0" w:firstColumn="1" w:lastColumn="0" w:noHBand="0" w:noVBand="1"/>
      </w:tblPr>
      <w:tblGrid>
        <w:gridCol w:w="8836"/>
      </w:tblGrid>
      <w:tr w:rsidR="000315FA" w14:paraId="3F82D2AD" w14:textId="77777777">
        <w:trPr>
          <w:trHeight w:val="536"/>
        </w:trPr>
        <w:tc>
          <w:tcPr>
            <w:tcW w:w="8836" w:type="dxa"/>
            <w:tcBorders>
              <w:top w:val="single" w:sz="8" w:space="0" w:color="000000"/>
              <w:left w:val="single" w:sz="8" w:space="0" w:color="000000"/>
              <w:bottom w:val="single" w:sz="8" w:space="0" w:color="000000"/>
              <w:right w:val="single" w:sz="4" w:space="0" w:color="000000"/>
            </w:tcBorders>
          </w:tcPr>
          <w:p w14:paraId="67475FA0" w14:textId="77777777" w:rsidR="007B1346" w:rsidRDefault="007B1346">
            <w:pPr>
              <w:spacing w:after="0" w:line="259" w:lineRule="auto"/>
              <w:ind w:left="0" w:firstLine="0"/>
              <w:jc w:val="left"/>
              <w:rPr>
                <w:sz w:val="20"/>
                <w:szCs w:val="20"/>
              </w:rPr>
            </w:pPr>
          </w:p>
          <w:p w14:paraId="01F233AC" w14:textId="0E3A226D" w:rsidR="00813001" w:rsidRPr="00AC549C" w:rsidRDefault="00813001">
            <w:pPr>
              <w:spacing w:after="0" w:line="259" w:lineRule="auto"/>
              <w:ind w:left="0" w:firstLine="0"/>
              <w:jc w:val="left"/>
              <w:rPr>
                <w:sz w:val="20"/>
                <w:szCs w:val="20"/>
              </w:rPr>
            </w:pPr>
            <w:r w:rsidRPr="00AC549C">
              <w:rPr>
                <w:sz w:val="20"/>
                <w:szCs w:val="20"/>
              </w:rPr>
              <w:t xml:space="preserve">No comments- we would not be supportive of product category C as proposed, as it would, in our view, </w:t>
            </w:r>
            <w:r w:rsidR="00781CF9" w:rsidRPr="00AC549C">
              <w:rPr>
                <w:sz w:val="20"/>
                <w:szCs w:val="20"/>
              </w:rPr>
              <w:t>exclusionary strategies or negative screening alone does not contribute sufficiently to sustainability outcomes in the real world to qualify for a label.</w:t>
            </w:r>
          </w:p>
          <w:p w14:paraId="4D4A8951" w14:textId="41EE78F8" w:rsidR="002603C4" w:rsidRDefault="002603C4" w:rsidP="008E58B3">
            <w:pPr>
              <w:spacing w:after="0" w:line="259" w:lineRule="auto"/>
              <w:ind w:left="0" w:firstLine="0"/>
              <w:jc w:val="left"/>
            </w:pPr>
          </w:p>
        </w:tc>
      </w:tr>
    </w:tbl>
    <w:p w14:paraId="18D9000E" w14:textId="77777777" w:rsidR="0045673A" w:rsidRDefault="00E17DF3">
      <w:pPr>
        <w:spacing w:after="216" w:line="259" w:lineRule="auto"/>
        <w:ind w:left="0" w:firstLine="0"/>
        <w:jc w:val="left"/>
      </w:pPr>
      <w:r>
        <w:t xml:space="preserve"> </w:t>
      </w:r>
    </w:p>
    <w:p w14:paraId="57E3DE52" w14:textId="77777777" w:rsidR="0045673A" w:rsidRDefault="00E17DF3">
      <w:pPr>
        <w:ind w:right="643"/>
      </w:pPr>
      <w:r>
        <w:t>For product category D of question 4.1.4</w:t>
      </w:r>
      <w:r>
        <w:rPr>
          <w:b/>
        </w:rPr>
        <w:t xml:space="preserve"> </w:t>
      </w:r>
    </w:p>
    <w:tbl>
      <w:tblPr>
        <w:tblW w:w="8610" w:type="dxa"/>
        <w:tblCellMar>
          <w:top w:w="14" w:type="dxa"/>
          <w:right w:w="51" w:type="dxa"/>
        </w:tblCellMar>
        <w:tblLook w:val="04A0" w:firstRow="1" w:lastRow="0" w:firstColumn="1" w:lastColumn="0" w:noHBand="0" w:noVBand="1"/>
      </w:tblPr>
      <w:tblGrid>
        <w:gridCol w:w="5432"/>
        <w:gridCol w:w="451"/>
        <w:gridCol w:w="451"/>
        <w:gridCol w:w="452"/>
        <w:gridCol w:w="451"/>
        <w:gridCol w:w="451"/>
        <w:gridCol w:w="922"/>
      </w:tblGrid>
      <w:tr w:rsidR="0045673A" w14:paraId="04F8A913"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5BD4C355"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C568207"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6DC6FA77"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0583A2B7"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26060725"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504CE6EA"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31437BFF" w14:textId="77777777" w:rsidR="0045673A" w:rsidRDefault="00E17DF3">
            <w:pPr>
              <w:spacing w:after="0" w:line="259" w:lineRule="auto"/>
              <w:ind w:left="0" w:firstLine="0"/>
              <w:jc w:val="center"/>
            </w:pPr>
            <w:r>
              <w:t xml:space="preserve">Don’t know </w:t>
            </w:r>
          </w:p>
        </w:tc>
      </w:tr>
      <w:tr w:rsidR="0045673A" w14:paraId="52F3BA99"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527B03A9" w14:textId="77777777" w:rsidR="0045673A" w:rsidRDefault="00E17DF3">
            <w:pPr>
              <w:spacing w:after="0" w:line="259" w:lineRule="auto"/>
              <w:ind w:left="0" w:firstLine="0"/>
              <w:jc w:val="left"/>
            </w:pPr>
            <w:r>
              <w:t xml:space="preserve">Taxonomy alignment  </w:t>
            </w:r>
          </w:p>
        </w:tc>
        <w:tc>
          <w:tcPr>
            <w:tcW w:w="451" w:type="dxa"/>
            <w:tcBorders>
              <w:top w:val="single" w:sz="4" w:space="0" w:color="000000"/>
              <w:left w:val="single" w:sz="4" w:space="0" w:color="000000"/>
              <w:bottom w:val="single" w:sz="4" w:space="0" w:color="000000"/>
              <w:right w:val="single" w:sz="4" w:space="0" w:color="000000"/>
            </w:tcBorders>
          </w:tcPr>
          <w:p w14:paraId="5448485B" w14:textId="632076FF" w:rsidR="0045673A" w:rsidRDefault="0045673A">
            <w:pPr>
              <w:spacing w:after="0" w:line="259" w:lineRule="auto"/>
              <w:ind w:left="8"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740C9C5A" w14:textId="7D1EFE21" w:rsidR="0045673A" w:rsidRDefault="00E73F95">
            <w:pPr>
              <w:spacing w:after="0" w:line="259" w:lineRule="auto"/>
              <w:ind w:left="3" w:firstLine="0"/>
              <w:jc w:val="center"/>
            </w:pPr>
            <w:r>
              <w:t>X</w:t>
            </w:r>
            <w:r w:rsidR="00E17DF3">
              <w:t xml:space="preserve"> </w:t>
            </w:r>
          </w:p>
        </w:tc>
        <w:tc>
          <w:tcPr>
            <w:tcW w:w="452" w:type="dxa"/>
            <w:tcBorders>
              <w:top w:val="single" w:sz="4" w:space="0" w:color="000000"/>
              <w:left w:val="single" w:sz="4" w:space="0" w:color="000000"/>
              <w:bottom w:val="single" w:sz="4" w:space="0" w:color="000000"/>
              <w:right w:val="single" w:sz="4" w:space="0" w:color="000000"/>
            </w:tcBorders>
          </w:tcPr>
          <w:p w14:paraId="22D72BF9" w14:textId="2908424F" w:rsidR="0045673A" w:rsidRDefault="00E17DF3">
            <w:pPr>
              <w:spacing w:after="0" w:line="259" w:lineRule="auto"/>
              <w:ind w:left="4"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3BEABED" w14:textId="7F04C1ED" w:rsidR="0045673A" w:rsidRDefault="0045673A">
            <w:pPr>
              <w:spacing w:after="0" w:line="259" w:lineRule="auto"/>
              <w:ind w:left="3"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34D66CFA" w14:textId="77777777" w:rsidR="0045673A" w:rsidRDefault="00E17DF3">
            <w:pPr>
              <w:spacing w:after="0" w:line="259" w:lineRule="auto"/>
              <w:ind w:left="3"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211F9068" w14:textId="77777777" w:rsidR="0045673A" w:rsidRDefault="00E17DF3">
            <w:pPr>
              <w:spacing w:after="0" w:line="259" w:lineRule="auto"/>
              <w:ind w:left="3" w:firstLine="0"/>
              <w:jc w:val="center"/>
            </w:pPr>
            <w:r>
              <w:t xml:space="preserve"> </w:t>
            </w:r>
          </w:p>
        </w:tc>
      </w:tr>
      <w:tr w:rsidR="00F168FF" w14:paraId="52C7D0C7" w14:textId="77777777">
        <w:trPr>
          <w:trHeight w:val="528"/>
        </w:trPr>
        <w:tc>
          <w:tcPr>
            <w:tcW w:w="5432" w:type="dxa"/>
            <w:tcBorders>
              <w:top w:val="single" w:sz="4" w:space="0" w:color="000000"/>
              <w:left w:val="single" w:sz="4" w:space="0" w:color="000000"/>
              <w:bottom w:val="single" w:sz="4" w:space="0" w:color="000000"/>
              <w:right w:val="single" w:sz="4" w:space="0" w:color="000000"/>
            </w:tcBorders>
          </w:tcPr>
          <w:p w14:paraId="6B4A7119" w14:textId="77777777" w:rsidR="00F168FF" w:rsidRDefault="00F168FF" w:rsidP="00F168FF">
            <w:pPr>
              <w:spacing w:after="0" w:line="259" w:lineRule="auto"/>
              <w:ind w:left="0" w:firstLine="0"/>
              <w:jc w:val="left"/>
            </w:pPr>
            <w:r>
              <w:t xml:space="preserve">Engagement strategies </w:t>
            </w:r>
          </w:p>
        </w:tc>
        <w:tc>
          <w:tcPr>
            <w:tcW w:w="451" w:type="dxa"/>
            <w:tcBorders>
              <w:top w:val="single" w:sz="4" w:space="0" w:color="000000"/>
              <w:left w:val="single" w:sz="4" w:space="0" w:color="000000"/>
              <w:bottom w:val="single" w:sz="4" w:space="0" w:color="000000"/>
              <w:right w:val="single" w:sz="4" w:space="0" w:color="000000"/>
            </w:tcBorders>
          </w:tcPr>
          <w:p w14:paraId="21E1AD0B" w14:textId="77777777" w:rsidR="00F168FF" w:rsidRDefault="00F168FF" w:rsidP="00F168FF">
            <w:pPr>
              <w:spacing w:after="0" w:line="259" w:lineRule="auto"/>
              <w:ind w:left="8"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9B83445" w14:textId="77777777" w:rsidR="00F168FF" w:rsidRDefault="00F168FF" w:rsidP="00F168FF">
            <w:pPr>
              <w:spacing w:after="0" w:line="259" w:lineRule="auto"/>
              <w:ind w:left="3"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5ABA1A86" w14:textId="68F0505F" w:rsidR="00F168FF" w:rsidRDefault="00F168FF" w:rsidP="00F168FF">
            <w:pPr>
              <w:spacing w:after="0" w:line="259" w:lineRule="auto"/>
              <w:ind w:left="4"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30987041" w14:textId="1BB055FE" w:rsidR="00F168FF" w:rsidRDefault="00F168FF" w:rsidP="00F168FF">
            <w:pPr>
              <w:spacing w:after="0" w:line="259" w:lineRule="auto"/>
              <w:ind w:left="3" w:firstLine="0"/>
              <w:jc w:val="center"/>
            </w:pPr>
            <w:r w:rsidRPr="006B72CB">
              <w:t xml:space="preserve"> </w:t>
            </w:r>
          </w:p>
        </w:tc>
        <w:tc>
          <w:tcPr>
            <w:tcW w:w="451" w:type="dxa"/>
            <w:tcBorders>
              <w:top w:val="single" w:sz="4" w:space="0" w:color="000000"/>
              <w:left w:val="single" w:sz="4" w:space="0" w:color="000000"/>
              <w:bottom w:val="single" w:sz="4" w:space="0" w:color="000000"/>
              <w:right w:val="single" w:sz="4" w:space="0" w:color="000000"/>
            </w:tcBorders>
          </w:tcPr>
          <w:p w14:paraId="631744D4" w14:textId="5E81714B" w:rsidR="00F168FF" w:rsidRDefault="008670B3" w:rsidP="00F168FF">
            <w:pPr>
              <w:spacing w:after="0" w:line="259" w:lineRule="auto"/>
              <w:ind w:left="3" w:firstLine="0"/>
              <w:jc w:val="center"/>
            </w:pPr>
            <w:r>
              <w:t>X</w:t>
            </w:r>
            <w:r w:rsidR="00F168FF">
              <w:t xml:space="preserve"> </w:t>
            </w:r>
          </w:p>
        </w:tc>
        <w:tc>
          <w:tcPr>
            <w:tcW w:w="922" w:type="dxa"/>
            <w:tcBorders>
              <w:top w:val="single" w:sz="4" w:space="0" w:color="000000"/>
              <w:left w:val="single" w:sz="4" w:space="0" w:color="000000"/>
              <w:bottom w:val="single" w:sz="4" w:space="0" w:color="000000"/>
              <w:right w:val="single" w:sz="4" w:space="0" w:color="000000"/>
            </w:tcBorders>
          </w:tcPr>
          <w:p w14:paraId="0EB86358" w14:textId="77777777" w:rsidR="00F168FF" w:rsidRDefault="00F168FF" w:rsidP="00F168FF">
            <w:pPr>
              <w:spacing w:after="0" w:line="259" w:lineRule="auto"/>
              <w:ind w:left="3" w:firstLine="0"/>
              <w:jc w:val="center"/>
            </w:pPr>
            <w:r>
              <w:t xml:space="preserve"> </w:t>
            </w:r>
          </w:p>
        </w:tc>
      </w:tr>
      <w:tr w:rsidR="00F168FF" w14:paraId="0523F418"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56A149C5" w14:textId="77777777" w:rsidR="00F168FF" w:rsidRDefault="00F168FF" w:rsidP="00F168FF">
            <w:pPr>
              <w:spacing w:after="0" w:line="259" w:lineRule="auto"/>
              <w:ind w:left="0" w:firstLine="0"/>
              <w:jc w:val="left"/>
            </w:pPr>
            <w:r>
              <w:t xml:space="preserve">Exclusions </w:t>
            </w:r>
          </w:p>
        </w:tc>
        <w:tc>
          <w:tcPr>
            <w:tcW w:w="451" w:type="dxa"/>
            <w:tcBorders>
              <w:top w:val="single" w:sz="4" w:space="0" w:color="000000"/>
              <w:left w:val="single" w:sz="4" w:space="0" w:color="000000"/>
              <w:bottom w:val="single" w:sz="4" w:space="0" w:color="000000"/>
              <w:right w:val="single" w:sz="4" w:space="0" w:color="000000"/>
            </w:tcBorders>
          </w:tcPr>
          <w:p w14:paraId="0497DE7D" w14:textId="7952F819" w:rsidR="00F168FF" w:rsidRDefault="00F168FF" w:rsidP="00F168FF">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513F25AB" w14:textId="77777777" w:rsidR="00F168FF" w:rsidRDefault="00F168FF" w:rsidP="00F168FF">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7E94FD2A" w14:textId="75461EFE" w:rsidR="00F168FF" w:rsidRDefault="00F168FF" w:rsidP="00F168FF">
            <w:pPr>
              <w:spacing w:after="0" w:line="259" w:lineRule="auto"/>
              <w:ind w:left="1" w:firstLine="0"/>
              <w:jc w:val="left"/>
            </w:pPr>
            <w:r>
              <w:t xml:space="preserve"> </w:t>
            </w:r>
            <w:r w:rsidR="003341E3">
              <w:t>X</w:t>
            </w:r>
          </w:p>
        </w:tc>
        <w:tc>
          <w:tcPr>
            <w:tcW w:w="451" w:type="dxa"/>
            <w:tcBorders>
              <w:top w:val="single" w:sz="4" w:space="0" w:color="000000"/>
              <w:left w:val="single" w:sz="4" w:space="0" w:color="000000"/>
              <w:bottom w:val="single" w:sz="4" w:space="0" w:color="000000"/>
              <w:right w:val="single" w:sz="4" w:space="0" w:color="000000"/>
            </w:tcBorders>
          </w:tcPr>
          <w:p w14:paraId="34C1319D" w14:textId="1E1FFF8B" w:rsidR="00F168FF" w:rsidRDefault="00F168FF" w:rsidP="00F168FF">
            <w:pPr>
              <w:spacing w:after="0" w:line="259" w:lineRule="auto"/>
              <w:ind w:left="0" w:firstLine="0"/>
              <w:jc w:val="left"/>
            </w:pPr>
            <w:r w:rsidRPr="006B72CB">
              <w:t xml:space="preserve"> </w:t>
            </w:r>
          </w:p>
        </w:tc>
        <w:tc>
          <w:tcPr>
            <w:tcW w:w="451" w:type="dxa"/>
            <w:tcBorders>
              <w:top w:val="single" w:sz="4" w:space="0" w:color="000000"/>
              <w:left w:val="single" w:sz="4" w:space="0" w:color="000000"/>
              <w:bottom w:val="single" w:sz="4" w:space="0" w:color="000000"/>
              <w:right w:val="single" w:sz="4" w:space="0" w:color="000000"/>
            </w:tcBorders>
          </w:tcPr>
          <w:p w14:paraId="72992987" w14:textId="77777777" w:rsidR="00F168FF" w:rsidRDefault="00F168FF" w:rsidP="00F168FF">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78DB038B" w14:textId="77777777" w:rsidR="00F168FF" w:rsidRDefault="00F168FF" w:rsidP="00F168FF">
            <w:pPr>
              <w:spacing w:after="0" w:line="259" w:lineRule="auto"/>
              <w:ind w:left="0" w:firstLine="0"/>
              <w:jc w:val="left"/>
            </w:pPr>
            <w:r>
              <w:t xml:space="preserve"> </w:t>
            </w:r>
          </w:p>
        </w:tc>
      </w:tr>
      <w:tr w:rsidR="00F168FF" w14:paraId="111115A7"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4F57F54A" w14:textId="77777777" w:rsidR="00F168FF" w:rsidRDefault="00F168FF" w:rsidP="00F168FF">
            <w:pPr>
              <w:spacing w:after="0" w:line="259" w:lineRule="auto"/>
              <w:ind w:left="0" w:firstLine="0"/>
            </w:pPr>
            <w:r>
              <w:t xml:space="preserve">Pre-defined, measurable, positive environmental, social or governance-related outcome  </w:t>
            </w:r>
          </w:p>
        </w:tc>
        <w:tc>
          <w:tcPr>
            <w:tcW w:w="451" w:type="dxa"/>
            <w:tcBorders>
              <w:top w:val="single" w:sz="4" w:space="0" w:color="000000"/>
              <w:left w:val="single" w:sz="4" w:space="0" w:color="000000"/>
              <w:bottom w:val="single" w:sz="4" w:space="0" w:color="000000"/>
              <w:right w:val="single" w:sz="4" w:space="0" w:color="000000"/>
            </w:tcBorders>
          </w:tcPr>
          <w:p w14:paraId="7C69F70A" w14:textId="77777777" w:rsidR="00F168FF" w:rsidRDefault="00F168FF" w:rsidP="00F168FF">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8372EB3" w14:textId="77777777" w:rsidR="00F168FF" w:rsidRDefault="00F168FF" w:rsidP="00F168FF">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48074A71" w14:textId="77777777" w:rsidR="00F168FF" w:rsidRDefault="00F168FF" w:rsidP="00F168FF">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5ABF9A7B" w14:textId="4A39350C" w:rsidR="00F168FF" w:rsidRDefault="00F168FF" w:rsidP="00F168FF">
            <w:pPr>
              <w:spacing w:after="0" w:line="259" w:lineRule="auto"/>
              <w:ind w:left="0" w:firstLine="0"/>
              <w:jc w:val="left"/>
            </w:pPr>
            <w:r w:rsidRPr="006B72CB">
              <w:t xml:space="preserve"> X</w:t>
            </w:r>
          </w:p>
        </w:tc>
        <w:tc>
          <w:tcPr>
            <w:tcW w:w="451" w:type="dxa"/>
            <w:tcBorders>
              <w:top w:val="single" w:sz="4" w:space="0" w:color="000000"/>
              <w:left w:val="single" w:sz="4" w:space="0" w:color="000000"/>
              <w:bottom w:val="single" w:sz="4" w:space="0" w:color="000000"/>
              <w:right w:val="single" w:sz="4" w:space="0" w:color="000000"/>
            </w:tcBorders>
          </w:tcPr>
          <w:p w14:paraId="03963AD4" w14:textId="77777777" w:rsidR="00F168FF" w:rsidRDefault="00F168FF" w:rsidP="00F168FF">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355B77D6" w14:textId="77777777" w:rsidR="00F168FF" w:rsidRDefault="00F168FF" w:rsidP="00F168FF">
            <w:pPr>
              <w:spacing w:after="0" w:line="259" w:lineRule="auto"/>
              <w:ind w:left="0" w:firstLine="0"/>
              <w:jc w:val="left"/>
            </w:pPr>
            <w:r>
              <w:t xml:space="preserve"> </w:t>
            </w:r>
          </w:p>
        </w:tc>
      </w:tr>
      <w:tr w:rsidR="0045673A" w14:paraId="18783207"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57785107" w14:textId="77777777" w:rsidR="0045673A" w:rsidRDefault="00E17DF3">
            <w:pPr>
              <w:spacing w:after="0" w:line="259" w:lineRule="auto"/>
              <w:ind w:left="0" w:firstLine="0"/>
              <w:jc w:val="left"/>
            </w:pPr>
            <w:r>
              <w:t xml:space="preserve">Other </w:t>
            </w:r>
          </w:p>
        </w:tc>
        <w:tc>
          <w:tcPr>
            <w:tcW w:w="451" w:type="dxa"/>
            <w:tcBorders>
              <w:top w:val="single" w:sz="4" w:space="0" w:color="000000"/>
              <w:left w:val="single" w:sz="4" w:space="0" w:color="000000"/>
              <w:bottom w:val="single" w:sz="4" w:space="0" w:color="000000"/>
              <w:right w:val="single" w:sz="4" w:space="0" w:color="000000"/>
            </w:tcBorders>
          </w:tcPr>
          <w:p w14:paraId="3DC95D93"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11796AF"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30FC9FF3" w14:textId="77777777"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691082A"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4F319C2"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5D3013E5" w14:textId="77777777" w:rsidR="0045673A" w:rsidRDefault="00E17DF3">
            <w:pPr>
              <w:spacing w:after="0" w:line="259" w:lineRule="auto"/>
              <w:ind w:left="0" w:firstLine="0"/>
              <w:jc w:val="left"/>
            </w:pPr>
            <w:r>
              <w:t xml:space="preserve"> </w:t>
            </w:r>
          </w:p>
        </w:tc>
      </w:tr>
    </w:tbl>
    <w:p w14:paraId="5623F75B"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3CD53C78" w14:textId="77777777" w:rsidR="0045673A" w:rsidRDefault="00E17DF3">
      <w:pPr>
        <w:spacing w:after="46"/>
        <w:ind w:right="643"/>
      </w:pPr>
      <w:r w:rsidRPr="00124281">
        <w:t>Please specify reply:</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0315FA" w14:paraId="7CE379C9" w14:textId="77777777">
        <w:trPr>
          <w:trHeight w:val="536"/>
        </w:trPr>
        <w:tc>
          <w:tcPr>
            <w:tcW w:w="8836" w:type="dxa"/>
            <w:tcBorders>
              <w:top w:val="single" w:sz="8" w:space="0" w:color="000000"/>
              <w:left w:val="single" w:sz="8" w:space="0" w:color="000000"/>
              <w:bottom w:val="single" w:sz="8" w:space="0" w:color="000000"/>
              <w:right w:val="single" w:sz="4" w:space="0" w:color="000000"/>
            </w:tcBorders>
          </w:tcPr>
          <w:p w14:paraId="1A8C56D3" w14:textId="77777777" w:rsidR="007B1346" w:rsidRDefault="007B1346">
            <w:pPr>
              <w:spacing w:after="0" w:line="259" w:lineRule="auto"/>
              <w:ind w:left="0" w:firstLine="0"/>
              <w:jc w:val="left"/>
              <w:rPr>
                <w:sz w:val="20"/>
                <w:szCs w:val="20"/>
              </w:rPr>
            </w:pPr>
          </w:p>
          <w:p w14:paraId="7F6D18AC" w14:textId="382C6786" w:rsidR="00456BA2" w:rsidRPr="0027134D" w:rsidRDefault="00337125">
            <w:pPr>
              <w:spacing w:after="0" w:line="259" w:lineRule="auto"/>
              <w:ind w:left="0" w:firstLine="0"/>
              <w:jc w:val="left"/>
              <w:rPr>
                <w:sz w:val="20"/>
                <w:szCs w:val="20"/>
              </w:rPr>
            </w:pPr>
            <w:r w:rsidRPr="0027134D">
              <w:rPr>
                <w:sz w:val="20"/>
                <w:szCs w:val="20"/>
              </w:rPr>
              <w:t xml:space="preserve">For product category D, </w:t>
            </w:r>
            <w:r w:rsidR="00750492" w:rsidRPr="0027134D">
              <w:rPr>
                <w:sz w:val="20"/>
                <w:szCs w:val="20"/>
              </w:rPr>
              <w:t xml:space="preserve">clear stewardship and engagement criteria will be particularly crucial, given the important role that this will play in improving the underlying sustainability profile and performance of the fund’s assets over time. </w:t>
            </w:r>
          </w:p>
          <w:p w14:paraId="426A47ED" w14:textId="77777777" w:rsidR="00750492" w:rsidRPr="0027134D" w:rsidRDefault="00750492">
            <w:pPr>
              <w:spacing w:after="0" w:line="259" w:lineRule="auto"/>
              <w:ind w:left="0" w:firstLine="0"/>
              <w:jc w:val="left"/>
              <w:rPr>
                <w:sz w:val="20"/>
                <w:szCs w:val="20"/>
              </w:rPr>
            </w:pPr>
          </w:p>
          <w:p w14:paraId="7E54A310" w14:textId="77777777" w:rsidR="0027134D" w:rsidRDefault="00750492">
            <w:pPr>
              <w:spacing w:after="0" w:line="259" w:lineRule="auto"/>
              <w:ind w:left="0" w:firstLine="0"/>
              <w:jc w:val="left"/>
              <w:rPr>
                <w:sz w:val="20"/>
                <w:szCs w:val="20"/>
              </w:rPr>
            </w:pPr>
            <w:r w:rsidRPr="0027134D">
              <w:rPr>
                <w:sz w:val="20"/>
                <w:szCs w:val="20"/>
              </w:rPr>
              <w:t>Clear and measurable stewardship metrics should be disclosed by the fund at the onset</w:t>
            </w:r>
            <w:r w:rsidR="00EE4FCF" w:rsidRPr="0027134D">
              <w:rPr>
                <w:sz w:val="20"/>
                <w:szCs w:val="20"/>
              </w:rPr>
              <w:t>.</w:t>
            </w:r>
            <w:r w:rsidRPr="0027134D">
              <w:rPr>
                <w:sz w:val="20"/>
                <w:szCs w:val="20"/>
              </w:rPr>
              <w:t xml:space="preserve"> </w:t>
            </w:r>
            <w:r w:rsidR="00EE4FCF" w:rsidRPr="0027134D">
              <w:rPr>
                <w:sz w:val="20"/>
                <w:szCs w:val="20"/>
              </w:rPr>
              <w:t>Firms should clearly state up front the key engagement metrics upon which they are seeking to improve against in this product category, and a minimum engagement metrics requirement could be outlined here.</w:t>
            </w:r>
          </w:p>
          <w:p w14:paraId="0424024D" w14:textId="77777777" w:rsidR="0027134D" w:rsidRDefault="0027134D">
            <w:pPr>
              <w:spacing w:after="0" w:line="259" w:lineRule="auto"/>
              <w:ind w:left="0" w:firstLine="0"/>
              <w:jc w:val="left"/>
              <w:rPr>
                <w:sz w:val="20"/>
                <w:szCs w:val="20"/>
              </w:rPr>
            </w:pPr>
          </w:p>
          <w:p w14:paraId="04809AD4" w14:textId="0850E67F" w:rsidR="00EE4FCF" w:rsidRPr="0027134D" w:rsidRDefault="00EE4FCF">
            <w:pPr>
              <w:spacing w:after="0" w:line="259" w:lineRule="auto"/>
              <w:ind w:left="0" w:firstLine="0"/>
              <w:jc w:val="left"/>
              <w:rPr>
                <w:sz w:val="20"/>
                <w:szCs w:val="20"/>
              </w:rPr>
            </w:pPr>
            <w:r w:rsidRPr="0027134D">
              <w:rPr>
                <w:sz w:val="20"/>
                <w:szCs w:val="20"/>
              </w:rPr>
              <w:t>One such metric could be the introduction of fixed-engagement timeframes</w:t>
            </w:r>
            <w:r w:rsidR="008E1785" w:rsidRPr="0027134D">
              <w:rPr>
                <w:sz w:val="20"/>
                <w:szCs w:val="20"/>
              </w:rPr>
              <w:t>,</w:t>
            </w:r>
            <w:r w:rsidR="0027134D">
              <w:rPr>
                <w:sz w:val="20"/>
                <w:szCs w:val="20"/>
              </w:rPr>
              <w:t xml:space="preserve"> over the short term and medium term,</w:t>
            </w:r>
            <w:r w:rsidR="008E1785" w:rsidRPr="0027134D">
              <w:rPr>
                <w:sz w:val="20"/>
                <w:szCs w:val="20"/>
              </w:rPr>
              <w:t xml:space="preserve"> while another </w:t>
            </w:r>
            <w:r w:rsidRPr="0027134D">
              <w:rPr>
                <w:sz w:val="20"/>
                <w:szCs w:val="20"/>
              </w:rPr>
              <w:t>suggestion could be to bring in a ‘credible standard’ for this category</w:t>
            </w:r>
            <w:r w:rsidR="008E1785" w:rsidRPr="0027134D">
              <w:rPr>
                <w:sz w:val="20"/>
                <w:szCs w:val="20"/>
              </w:rPr>
              <w:t xml:space="preserve">, </w:t>
            </w:r>
            <w:r w:rsidRPr="0027134D">
              <w:rPr>
                <w:sz w:val="20"/>
                <w:szCs w:val="20"/>
              </w:rPr>
              <w:t>which would focus on specific improvements over time (e.g. a percentage increase in alignment with a sustainability standard each year), rather than a set threshold being met from the outset</w:t>
            </w:r>
            <w:r w:rsidR="008E1785" w:rsidRPr="0027134D">
              <w:rPr>
                <w:sz w:val="20"/>
                <w:szCs w:val="20"/>
              </w:rPr>
              <w:t>.</w:t>
            </w:r>
          </w:p>
          <w:p w14:paraId="7B7622CA" w14:textId="77777777" w:rsidR="00EE4FCF" w:rsidRPr="0027134D" w:rsidRDefault="00EE4FCF">
            <w:pPr>
              <w:spacing w:after="0" w:line="259" w:lineRule="auto"/>
              <w:ind w:left="0" w:firstLine="0"/>
              <w:jc w:val="left"/>
              <w:rPr>
                <w:sz w:val="20"/>
                <w:szCs w:val="20"/>
              </w:rPr>
            </w:pPr>
          </w:p>
          <w:p w14:paraId="6D144D17" w14:textId="516985ED" w:rsidR="00D4175B" w:rsidRPr="0027134D" w:rsidRDefault="008E1785" w:rsidP="0053427E">
            <w:pPr>
              <w:spacing w:after="0" w:line="259" w:lineRule="auto"/>
              <w:ind w:left="0" w:firstLine="0"/>
              <w:jc w:val="left"/>
              <w:rPr>
                <w:sz w:val="20"/>
                <w:szCs w:val="20"/>
              </w:rPr>
            </w:pPr>
            <w:r w:rsidRPr="0027134D">
              <w:rPr>
                <w:sz w:val="20"/>
                <w:szCs w:val="20"/>
              </w:rPr>
              <w:t>Minimum taxonomy alignment criteria could be considered, centring around the opex and capex of underlying investments rather than revenue</w:t>
            </w:r>
            <w:r w:rsidR="0035239E">
              <w:rPr>
                <w:sz w:val="20"/>
                <w:szCs w:val="20"/>
              </w:rPr>
              <w:t xml:space="preserve">, though we think as a part of a series of sustainability-related criteria that firms could use to inform their disclosures. </w:t>
            </w:r>
          </w:p>
          <w:p w14:paraId="5B7D9C56" w14:textId="1A05285A" w:rsidR="008E1785" w:rsidRDefault="008E1785" w:rsidP="0053427E">
            <w:pPr>
              <w:spacing w:after="0" w:line="259" w:lineRule="auto"/>
              <w:ind w:left="0" w:firstLine="0"/>
              <w:jc w:val="left"/>
            </w:pPr>
          </w:p>
        </w:tc>
      </w:tr>
    </w:tbl>
    <w:p w14:paraId="3DC41F76" w14:textId="77777777" w:rsidR="0045673A" w:rsidRDefault="00E17DF3">
      <w:pPr>
        <w:spacing w:after="0" w:line="259" w:lineRule="auto"/>
        <w:ind w:left="0" w:firstLine="0"/>
        <w:jc w:val="left"/>
      </w:pPr>
      <w:r>
        <w:t xml:space="preserve"> </w:t>
      </w:r>
    </w:p>
    <w:p w14:paraId="27F7CD0F" w14:textId="77777777" w:rsidR="0045673A" w:rsidRDefault="00E17DF3">
      <w:pPr>
        <w:ind w:right="643"/>
      </w:pPr>
      <w:r>
        <w:rPr>
          <w:b/>
          <w:u w:val="single" w:color="000000"/>
        </w:rPr>
        <w:t>Question 4.1.11</w:t>
      </w:r>
      <w:r>
        <w:t xml:space="preserve">: Should criteria focus to any extent on the processes implemented by the product manufacturer to demonstrate how sustainability considerations can constrain investment choices (for instance, a minimum year-on-year improvement of chosen key performance indicators (KPIs), or a minimum exclusion rate of the investable universe)?  </w:t>
      </w:r>
    </w:p>
    <w:tbl>
      <w:tblPr>
        <w:tblW w:w="8610" w:type="dxa"/>
        <w:tblCellMar>
          <w:top w:w="14" w:type="dxa"/>
          <w:right w:w="103" w:type="dxa"/>
        </w:tblCellMar>
        <w:tblLook w:val="04A0" w:firstRow="1" w:lastRow="0" w:firstColumn="1" w:lastColumn="0" w:noHBand="0" w:noVBand="1"/>
      </w:tblPr>
      <w:tblGrid>
        <w:gridCol w:w="5432"/>
        <w:gridCol w:w="451"/>
        <w:gridCol w:w="451"/>
        <w:gridCol w:w="452"/>
        <w:gridCol w:w="451"/>
        <w:gridCol w:w="451"/>
        <w:gridCol w:w="922"/>
      </w:tblGrid>
      <w:tr w:rsidR="0045673A" w14:paraId="2579705B"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68826E19"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EC69104"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52B641C9"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35069543"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5898EBA1"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7D94537B"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3E538746" w14:textId="77777777" w:rsidR="0045673A" w:rsidRDefault="00E17DF3">
            <w:pPr>
              <w:spacing w:after="0" w:line="259" w:lineRule="auto"/>
              <w:ind w:left="0" w:firstLine="0"/>
              <w:jc w:val="center"/>
            </w:pPr>
            <w:r>
              <w:t xml:space="preserve">Don’t know </w:t>
            </w:r>
          </w:p>
        </w:tc>
      </w:tr>
      <w:tr w:rsidR="00A94D9E" w14:paraId="53818BCF"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3ED82A6D" w14:textId="77777777" w:rsidR="00A94D9E" w:rsidRDefault="00A94D9E" w:rsidP="00A94D9E">
            <w:pPr>
              <w:spacing w:after="0" w:line="259" w:lineRule="auto"/>
              <w:ind w:left="0" w:firstLine="0"/>
              <w:jc w:val="left"/>
            </w:pPr>
            <w:r>
              <w:t xml:space="preserve">Category A of question 4.1.4 </w:t>
            </w:r>
          </w:p>
        </w:tc>
        <w:tc>
          <w:tcPr>
            <w:tcW w:w="451" w:type="dxa"/>
            <w:tcBorders>
              <w:top w:val="single" w:sz="4" w:space="0" w:color="000000"/>
              <w:left w:val="single" w:sz="4" w:space="0" w:color="000000"/>
              <w:bottom w:val="single" w:sz="4" w:space="0" w:color="000000"/>
              <w:right w:val="single" w:sz="4" w:space="0" w:color="000000"/>
            </w:tcBorders>
          </w:tcPr>
          <w:p w14:paraId="05E06980" w14:textId="02340F34" w:rsidR="00A94D9E" w:rsidRDefault="00A94D9E" w:rsidP="00A94D9E">
            <w:pPr>
              <w:spacing w:after="0" w:line="259" w:lineRule="auto"/>
              <w:ind w:left="60"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0D3BF512" w14:textId="77777777" w:rsidR="00A94D9E" w:rsidRDefault="00A94D9E" w:rsidP="00A94D9E">
            <w:pPr>
              <w:spacing w:after="0" w:line="259" w:lineRule="auto"/>
              <w:ind w:left="55"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50357566" w14:textId="77777777" w:rsidR="00A94D9E" w:rsidRDefault="00A94D9E" w:rsidP="00A94D9E">
            <w:pPr>
              <w:spacing w:after="0" w:line="259" w:lineRule="auto"/>
              <w:ind w:left="56"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2DE5BD4C" w14:textId="77777777" w:rsidR="00A94D9E" w:rsidRDefault="00A94D9E" w:rsidP="00A94D9E">
            <w:pPr>
              <w:spacing w:after="0" w:line="259" w:lineRule="auto"/>
              <w:ind w:left="55"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19BCE05" w14:textId="77777777" w:rsidR="00A94D9E" w:rsidRDefault="00A94D9E" w:rsidP="00A94D9E">
            <w:pPr>
              <w:spacing w:after="0" w:line="259" w:lineRule="auto"/>
              <w:ind w:left="55"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313B859C" w14:textId="4BF943D1" w:rsidR="00A94D9E" w:rsidRDefault="00A94D9E" w:rsidP="00AF6B81">
            <w:pPr>
              <w:spacing w:after="0" w:line="259" w:lineRule="auto"/>
              <w:ind w:left="55" w:firstLine="0"/>
              <w:jc w:val="right"/>
            </w:pPr>
            <w:r w:rsidRPr="00132213">
              <w:t xml:space="preserve"> X</w:t>
            </w:r>
          </w:p>
        </w:tc>
      </w:tr>
      <w:tr w:rsidR="00A94D9E" w14:paraId="00F1AF30"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2BDD71BF" w14:textId="77777777" w:rsidR="00A94D9E" w:rsidRDefault="00A94D9E" w:rsidP="00A94D9E">
            <w:pPr>
              <w:spacing w:after="0" w:line="259" w:lineRule="auto"/>
              <w:ind w:left="0" w:firstLine="0"/>
              <w:jc w:val="left"/>
            </w:pPr>
            <w:r>
              <w:t xml:space="preserve">Category B of question 4.1.4 </w:t>
            </w:r>
          </w:p>
        </w:tc>
        <w:tc>
          <w:tcPr>
            <w:tcW w:w="451" w:type="dxa"/>
            <w:tcBorders>
              <w:top w:val="single" w:sz="4" w:space="0" w:color="000000"/>
              <w:left w:val="single" w:sz="4" w:space="0" w:color="000000"/>
              <w:bottom w:val="single" w:sz="4" w:space="0" w:color="000000"/>
              <w:right w:val="single" w:sz="4" w:space="0" w:color="000000"/>
            </w:tcBorders>
          </w:tcPr>
          <w:p w14:paraId="6961754A" w14:textId="2237E694" w:rsidR="00A94D9E" w:rsidRDefault="00A94D9E" w:rsidP="00A94D9E">
            <w:pPr>
              <w:spacing w:after="0" w:line="259" w:lineRule="auto"/>
              <w:ind w:left="60"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5ADD8DF8" w14:textId="77777777" w:rsidR="00A94D9E" w:rsidRDefault="00A94D9E" w:rsidP="00A94D9E">
            <w:pPr>
              <w:spacing w:after="0" w:line="259" w:lineRule="auto"/>
              <w:ind w:left="55"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009C4721" w14:textId="77777777" w:rsidR="00A94D9E" w:rsidRDefault="00A94D9E" w:rsidP="00A94D9E">
            <w:pPr>
              <w:spacing w:after="0" w:line="259" w:lineRule="auto"/>
              <w:ind w:left="56"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6615CE9" w14:textId="77777777" w:rsidR="00A94D9E" w:rsidRDefault="00A94D9E" w:rsidP="00A94D9E">
            <w:pPr>
              <w:spacing w:after="0" w:line="259" w:lineRule="auto"/>
              <w:ind w:left="55"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03618A8" w14:textId="77777777" w:rsidR="00A94D9E" w:rsidRDefault="00A94D9E" w:rsidP="00A94D9E">
            <w:pPr>
              <w:spacing w:after="0" w:line="259" w:lineRule="auto"/>
              <w:ind w:left="55"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165CCB58" w14:textId="35E946AA" w:rsidR="00A94D9E" w:rsidRDefault="00A94D9E" w:rsidP="00AF6B81">
            <w:pPr>
              <w:spacing w:after="0" w:line="259" w:lineRule="auto"/>
              <w:ind w:left="55" w:firstLine="0"/>
              <w:jc w:val="right"/>
            </w:pPr>
            <w:r w:rsidRPr="00132213">
              <w:t xml:space="preserve"> X</w:t>
            </w:r>
          </w:p>
        </w:tc>
      </w:tr>
      <w:tr w:rsidR="00A94D9E" w14:paraId="2182B470"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52DA6B1A" w14:textId="77777777" w:rsidR="00A94D9E" w:rsidRDefault="00A94D9E" w:rsidP="00A94D9E">
            <w:pPr>
              <w:spacing w:after="0" w:line="259" w:lineRule="auto"/>
              <w:ind w:left="0" w:firstLine="0"/>
              <w:jc w:val="left"/>
            </w:pPr>
            <w:r>
              <w:t xml:space="preserve">Category C of question 4.1.4 </w:t>
            </w:r>
          </w:p>
        </w:tc>
        <w:tc>
          <w:tcPr>
            <w:tcW w:w="451" w:type="dxa"/>
            <w:tcBorders>
              <w:top w:val="single" w:sz="4" w:space="0" w:color="000000"/>
              <w:left w:val="single" w:sz="4" w:space="0" w:color="000000"/>
              <w:bottom w:val="single" w:sz="4" w:space="0" w:color="000000"/>
              <w:right w:val="single" w:sz="4" w:space="0" w:color="000000"/>
            </w:tcBorders>
          </w:tcPr>
          <w:p w14:paraId="204B93CC" w14:textId="55958772" w:rsidR="00A94D9E" w:rsidRDefault="00A94D9E" w:rsidP="00A94D9E">
            <w:pPr>
              <w:spacing w:after="0" w:line="259" w:lineRule="auto"/>
              <w:ind w:left="2"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0E71C5C4" w14:textId="77777777" w:rsidR="00A94D9E" w:rsidRDefault="00A94D9E" w:rsidP="00A94D9E">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3DBC9CB6" w14:textId="77777777" w:rsidR="00A94D9E" w:rsidRDefault="00A94D9E" w:rsidP="00A94D9E">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7D4C7EA" w14:textId="77777777" w:rsidR="00A94D9E" w:rsidRDefault="00A94D9E" w:rsidP="00A94D9E">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9060EAA" w14:textId="77777777" w:rsidR="00A94D9E" w:rsidRDefault="00A94D9E" w:rsidP="00A94D9E">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486D3B24" w14:textId="14D758C6" w:rsidR="00A94D9E" w:rsidRDefault="00A55D2E" w:rsidP="00A55D2E">
            <w:pPr>
              <w:spacing w:after="0" w:line="259" w:lineRule="auto"/>
              <w:ind w:left="0" w:firstLine="0"/>
              <w:jc w:val="right"/>
            </w:pPr>
            <w:r>
              <w:t>X</w:t>
            </w:r>
          </w:p>
        </w:tc>
      </w:tr>
      <w:tr w:rsidR="00A94D9E" w14:paraId="7DDE5CFF" w14:textId="77777777">
        <w:trPr>
          <w:trHeight w:val="528"/>
        </w:trPr>
        <w:tc>
          <w:tcPr>
            <w:tcW w:w="5432" w:type="dxa"/>
            <w:tcBorders>
              <w:top w:val="single" w:sz="4" w:space="0" w:color="000000"/>
              <w:left w:val="single" w:sz="4" w:space="0" w:color="000000"/>
              <w:bottom w:val="single" w:sz="4" w:space="0" w:color="000000"/>
              <w:right w:val="single" w:sz="4" w:space="0" w:color="000000"/>
            </w:tcBorders>
          </w:tcPr>
          <w:p w14:paraId="2E50F6CB" w14:textId="77777777" w:rsidR="00A94D9E" w:rsidRDefault="00A94D9E" w:rsidP="00A94D9E">
            <w:pPr>
              <w:spacing w:after="0" w:line="259" w:lineRule="auto"/>
              <w:ind w:left="0" w:firstLine="0"/>
              <w:jc w:val="left"/>
            </w:pPr>
            <w:r>
              <w:t xml:space="preserve">Category D of question 4.1.4 </w:t>
            </w:r>
          </w:p>
        </w:tc>
        <w:tc>
          <w:tcPr>
            <w:tcW w:w="451" w:type="dxa"/>
            <w:tcBorders>
              <w:top w:val="single" w:sz="4" w:space="0" w:color="000000"/>
              <w:left w:val="single" w:sz="4" w:space="0" w:color="000000"/>
              <w:bottom w:val="single" w:sz="4" w:space="0" w:color="000000"/>
              <w:right w:val="single" w:sz="4" w:space="0" w:color="000000"/>
            </w:tcBorders>
          </w:tcPr>
          <w:p w14:paraId="731895DF" w14:textId="6479FC6D" w:rsidR="00A94D9E" w:rsidRDefault="00A94D9E" w:rsidP="00A94D9E">
            <w:pPr>
              <w:spacing w:after="0" w:line="259" w:lineRule="auto"/>
              <w:ind w:left="2"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113A7AD5" w14:textId="77777777" w:rsidR="00A94D9E" w:rsidRDefault="00A94D9E" w:rsidP="00A94D9E">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0B8709BC" w14:textId="77777777" w:rsidR="00A94D9E" w:rsidRDefault="00A94D9E" w:rsidP="00A94D9E">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568D284B" w14:textId="77777777" w:rsidR="00A94D9E" w:rsidRDefault="00A94D9E" w:rsidP="00A94D9E">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04FAB87" w14:textId="77777777" w:rsidR="00A94D9E" w:rsidRDefault="00A94D9E" w:rsidP="00A94D9E">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0B740B33" w14:textId="693D2255" w:rsidR="00A94D9E" w:rsidRDefault="00A94D9E" w:rsidP="00A55D2E">
            <w:pPr>
              <w:spacing w:after="0" w:line="259" w:lineRule="auto"/>
              <w:ind w:left="0" w:firstLine="0"/>
              <w:jc w:val="right"/>
            </w:pPr>
            <w:r w:rsidRPr="00132213">
              <w:t xml:space="preserve"> X</w:t>
            </w:r>
          </w:p>
        </w:tc>
      </w:tr>
    </w:tbl>
    <w:p w14:paraId="56A29711"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368A3C38" w14:textId="77777777" w:rsidR="0045673A" w:rsidRDefault="00E17DF3">
      <w:pPr>
        <w:spacing w:after="44"/>
        <w:ind w:right="643"/>
      </w:pPr>
      <w:r w:rsidRPr="00124281">
        <w:rPr>
          <w:b/>
          <w:u w:val="single" w:color="000000"/>
        </w:rPr>
        <w:t>Question 4.1.11 a)</w:t>
      </w:r>
      <w:r w:rsidRPr="00124281">
        <w:t>: If so, what process criteria would you deem most relevant to demonstrate the stringency of the strategy implemented?</w:t>
      </w:r>
      <w:r>
        <w:t xml:space="preserve"> </w:t>
      </w:r>
    </w:p>
    <w:tbl>
      <w:tblPr>
        <w:tblW w:w="8836" w:type="dxa"/>
        <w:tblInd w:w="-26" w:type="dxa"/>
        <w:tblCellMar>
          <w:top w:w="21" w:type="dxa"/>
          <w:right w:w="115" w:type="dxa"/>
        </w:tblCellMar>
        <w:tblLook w:val="04A0" w:firstRow="1" w:lastRow="0" w:firstColumn="1" w:lastColumn="0" w:noHBand="0" w:noVBand="1"/>
      </w:tblPr>
      <w:tblGrid>
        <w:gridCol w:w="8836"/>
      </w:tblGrid>
      <w:tr w:rsidR="00C364A0" w14:paraId="3EC31403"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2D72233D" w14:textId="77777777" w:rsidR="007B1346" w:rsidRDefault="007B1346">
            <w:pPr>
              <w:spacing w:after="0" w:line="259" w:lineRule="auto"/>
              <w:ind w:left="0" w:firstLine="0"/>
              <w:jc w:val="left"/>
              <w:rPr>
                <w:sz w:val="20"/>
                <w:szCs w:val="20"/>
              </w:rPr>
            </w:pPr>
          </w:p>
          <w:p w14:paraId="13A03C81" w14:textId="14EB99A6" w:rsidR="00B80FB1" w:rsidRPr="004D2AAD" w:rsidRDefault="005D6D59">
            <w:pPr>
              <w:spacing w:after="0" w:line="259" w:lineRule="auto"/>
              <w:ind w:left="0" w:firstLine="0"/>
              <w:jc w:val="left"/>
              <w:rPr>
                <w:sz w:val="20"/>
                <w:szCs w:val="20"/>
              </w:rPr>
            </w:pPr>
            <w:r w:rsidRPr="004D2AAD">
              <w:rPr>
                <w:sz w:val="20"/>
                <w:szCs w:val="20"/>
              </w:rPr>
              <w:t xml:space="preserve">Broadly speaking, the </w:t>
            </w:r>
            <w:r w:rsidR="00366064" w:rsidRPr="004D2AAD">
              <w:rPr>
                <w:sz w:val="20"/>
                <w:szCs w:val="20"/>
              </w:rPr>
              <w:t xml:space="preserve">process </w:t>
            </w:r>
            <w:r w:rsidR="00E465BA" w:rsidRPr="004D2AAD">
              <w:rPr>
                <w:sz w:val="20"/>
                <w:szCs w:val="20"/>
              </w:rPr>
              <w:t>criteria should be as clear, measurable, and objective as possible, while striving to encourage a ‘high bar</w:t>
            </w:r>
            <w:r w:rsidR="00366064" w:rsidRPr="004D2AAD">
              <w:rPr>
                <w:sz w:val="20"/>
                <w:szCs w:val="20"/>
              </w:rPr>
              <w:t xml:space="preserve">’ in market practice. </w:t>
            </w:r>
          </w:p>
          <w:p w14:paraId="2F6CA643" w14:textId="77777777" w:rsidR="00B80FB1" w:rsidRPr="004D2AAD" w:rsidRDefault="00B80FB1">
            <w:pPr>
              <w:spacing w:after="0" w:line="259" w:lineRule="auto"/>
              <w:ind w:left="0" w:firstLine="0"/>
              <w:jc w:val="left"/>
              <w:rPr>
                <w:sz w:val="20"/>
                <w:szCs w:val="20"/>
              </w:rPr>
            </w:pPr>
          </w:p>
          <w:p w14:paraId="48D62F58" w14:textId="77777777" w:rsidR="007A16E5" w:rsidRDefault="00366064">
            <w:pPr>
              <w:spacing w:after="0" w:line="259" w:lineRule="auto"/>
              <w:ind w:left="0" w:firstLine="0"/>
              <w:jc w:val="left"/>
              <w:rPr>
                <w:sz w:val="20"/>
                <w:szCs w:val="20"/>
              </w:rPr>
            </w:pPr>
            <w:r w:rsidRPr="004D2AAD">
              <w:rPr>
                <w:sz w:val="20"/>
                <w:szCs w:val="20"/>
              </w:rPr>
              <w:t>These should be a mix of</w:t>
            </w:r>
            <w:r w:rsidR="00D84930" w:rsidRPr="004D2AAD">
              <w:rPr>
                <w:sz w:val="20"/>
                <w:szCs w:val="20"/>
              </w:rPr>
              <w:t xml:space="preserve"> more</w:t>
            </w:r>
            <w:r w:rsidRPr="004D2AAD">
              <w:rPr>
                <w:sz w:val="20"/>
                <w:szCs w:val="20"/>
              </w:rPr>
              <w:t xml:space="preserve"> </w:t>
            </w:r>
            <w:r w:rsidR="00D84930" w:rsidRPr="004D2AAD">
              <w:rPr>
                <w:sz w:val="20"/>
                <w:szCs w:val="20"/>
              </w:rPr>
              <w:t xml:space="preserve">principles-based </w:t>
            </w:r>
            <w:r w:rsidRPr="004D2AAD">
              <w:rPr>
                <w:sz w:val="20"/>
                <w:szCs w:val="20"/>
              </w:rPr>
              <w:t>and quantitative-based criteria</w:t>
            </w:r>
            <w:r w:rsidR="00D84930" w:rsidRPr="004D2AAD">
              <w:rPr>
                <w:sz w:val="20"/>
                <w:szCs w:val="20"/>
              </w:rPr>
              <w:t xml:space="preserve"> (e.g. specific KPIs)</w:t>
            </w:r>
            <w:r w:rsidRPr="004D2AAD">
              <w:rPr>
                <w:sz w:val="20"/>
                <w:szCs w:val="20"/>
              </w:rPr>
              <w:t xml:space="preserve"> to ensure that financial market participants are able to fully substantiate any sustainability claims that their products are making, whether in the fund name, marketing materials, or disclosures.</w:t>
            </w:r>
            <w:r w:rsidR="00B80FB1" w:rsidRPr="004D2AAD">
              <w:rPr>
                <w:sz w:val="20"/>
                <w:szCs w:val="20"/>
              </w:rPr>
              <w:t xml:space="preserve"> </w:t>
            </w:r>
          </w:p>
          <w:p w14:paraId="35F9DEA9" w14:textId="77777777" w:rsidR="007A16E5" w:rsidRDefault="007A16E5">
            <w:pPr>
              <w:spacing w:after="0" w:line="259" w:lineRule="auto"/>
              <w:ind w:left="0" w:firstLine="0"/>
              <w:jc w:val="left"/>
              <w:rPr>
                <w:sz w:val="20"/>
                <w:szCs w:val="20"/>
              </w:rPr>
            </w:pPr>
          </w:p>
          <w:p w14:paraId="21C7F034" w14:textId="5BE331C9" w:rsidR="0019716A" w:rsidRPr="004D2AAD" w:rsidRDefault="00B80FB1">
            <w:pPr>
              <w:spacing w:after="0" w:line="259" w:lineRule="auto"/>
              <w:ind w:left="0" w:firstLine="0"/>
              <w:jc w:val="left"/>
              <w:rPr>
                <w:sz w:val="20"/>
                <w:szCs w:val="20"/>
              </w:rPr>
            </w:pPr>
            <w:r w:rsidRPr="004D2AAD">
              <w:rPr>
                <w:sz w:val="20"/>
                <w:szCs w:val="20"/>
              </w:rPr>
              <w:t>Similarly to the UK SDRs, firms should be able to decide if they want to qualify for one of the sustainable product categories, and if so they s</w:t>
            </w:r>
            <w:r w:rsidR="000E33EF" w:rsidRPr="004D2AAD">
              <w:rPr>
                <w:sz w:val="20"/>
                <w:szCs w:val="20"/>
              </w:rPr>
              <w:t>hould then assess whether their funds can meet the process criteria on an ongoing basis.</w:t>
            </w:r>
          </w:p>
          <w:p w14:paraId="198E1B37" w14:textId="77777777" w:rsidR="000E33EF" w:rsidRPr="004D2AAD" w:rsidRDefault="000E33EF">
            <w:pPr>
              <w:spacing w:after="0" w:line="259" w:lineRule="auto"/>
              <w:ind w:left="0" w:firstLine="0"/>
              <w:jc w:val="left"/>
              <w:rPr>
                <w:sz w:val="20"/>
                <w:szCs w:val="20"/>
              </w:rPr>
            </w:pPr>
          </w:p>
          <w:p w14:paraId="416F9DFF" w14:textId="77777777" w:rsidR="0045673A" w:rsidRDefault="000E33EF" w:rsidP="00473C84">
            <w:pPr>
              <w:spacing w:after="0" w:line="259" w:lineRule="auto"/>
              <w:ind w:left="0" w:firstLine="0"/>
              <w:jc w:val="left"/>
              <w:rPr>
                <w:sz w:val="20"/>
                <w:szCs w:val="20"/>
              </w:rPr>
            </w:pPr>
            <w:r w:rsidRPr="004D2AAD">
              <w:rPr>
                <w:sz w:val="20"/>
                <w:szCs w:val="20"/>
              </w:rPr>
              <w:t>Specifically, the criteria</w:t>
            </w:r>
            <w:r w:rsidR="008C3532" w:rsidRPr="004D2AAD">
              <w:rPr>
                <w:sz w:val="20"/>
                <w:szCs w:val="20"/>
              </w:rPr>
              <w:t xml:space="preserve"> should draw on the SDRs approach covering</w:t>
            </w:r>
            <w:r w:rsidR="001C6F49" w:rsidRPr="004D2AAD">
              <w:rPr>
                <w:sz w:val="20"/>
                <w:szCs w:val="20"/>
              </w:rPr>
              <w:t xml:space="preserve"> product category-specific criteria</w:t>
            </w:r>
            <w:r w:rsidR="00822E42" w:rsidRPr="004D2AAD">
              <w:rPr>
                <w:sz w:val="20"/>
                <w:szCs w:val="20"/>
              </w:rPr>
              <w:t xml:space="preserve">, as well as </w:t>
            </w:r>
            <w:r w:rsidR="00473C84" w:rsidRPr="004D2AAD">
              <w:rPr>
                <w:sz w:val="20"/>
                <w:szCs w:val="20"/>
              </w:rPr>
              <w:t>broader</w:t>
            </w:r>
            <w:r w:rsidR="005D2BA5" w:rsidRPr="004D2AAD">
              <w:rPr>
                <w:sz w:val="20"/>
                <w:szCs w:val="20"/>
              </w:rPr>
              <w:t xml:space="preserve"> criteria (mainly principles-based)</w:t>
            </w:r>
            <w:r w:rsidR="00822E42" w:rsidRPr="004D2AAD">
              <w:rPr>
                <w:sz w:val="20"/>
                <w:szCs w:val="20"/>
              </w:rPr>
              <w:t xml:space="preserve"> that all firms would need to satisfy</w:t>
            </w:r>
            <w:r w:rsidR="00D84930" w:rsidRPr="004D2AAD">
              <w:rPr>
                <w:sz w:val="20"/>
                <w:szCs w:val="20"/>
              </w:rPr>
              <w:t xml:space="preserve"> in order to qualify for one of the categories. </w:t>
            </w:r>
            <w:r w:rsidR="00830CEF" w:rsidRPr="004D2AAD">
              <w:rPr>
                <w:sz w:val="20"/>
                <w:szCs w:val="20"/>
              </w:rPr>
              <w:t>In terms of quantitative-based criteria, the EU taxonomy should be one of a series of criteria that firms could disclose</w:t>
            </w:r>
            <w:r w:rsidR="00473C84" w:rsidRPr="004D2AAD">
              <w:rPr>
                <w:sz w:val="20"/>
                <w:szCs w:val="20"/>
              </w:rPr>
              <w:t>,</w:t>
            </w:r>
            <w:r w:rsidR="008B3DDC" w:rsidRPr="004D2AAD">
              <w:rPr>
                <w:sz w:val="20"/>
                <w:szCs w:val="20"/>
              </w:rPr>
              <w:t xml:space="preserve"> though not the sole criteria we believe to determine whether a fund meets the threshold to qualify for one of the categories. </w:t>
            </w:r>
            <w:r w:rsidR="00473C84" w:rsidRPr="004D2AAD">
              <w:rPr>
                <w:sz w:val="20"/>
                <w:szCs w:val="20"/>
              </w:rPr>
              <w:t>Finally, the criteria for each of the categories would need to be sufficiently distinct from one another to ensure these remain mutually exclusive</w:t>
            </w:r>
            <w:r w:rsidR="000305AE" w:rsidRPr="004D2AAD">
              <w:rPr>
                <w:sz w:val="20"/>
                <w:szCs w:val="20"/>
              </w:rPr>
              <w:t>.</w:t>
            </w:r>
          </w:p>
          <w:p w14:paraId="70351066" w14:textId="5F24253C" w:rsidR="007B1346" w:rsidRDefault="007B1346" w:rsidP="00473C84">
            <w:pPr>
              <w:spacing w:after="0" w:line="259" w:lineRule="auto"/>
              <w:ind w:left="0" w:firstLine="0"/>
              <w:jc w:val="left"/>
            </w:pPr>
          </w:p>
        </w:tc>
      </w:tr>
    </w:tbl>
    <w:p w14:paraId="5CE393C6" w14:textId="77777777" w:rsidR="0045673A" w:rsidRDefault="00E17DF3">
      <w:pPr>
        <w:spacing w:after="267" w:line="259" w:lineRule="auto"/>
        <w:ind w:left="0" w:firstLine="0"/>
        <w:jc w:val="left"/>
      </w:pPr>
      <w:r>
        <w:rPr>
          <w:b/>
        </w:rPr>
        <w:t xml:space="preserve"> </w:t>
      </w:r>
    </w:p>
    <w:p w14:paraId="21A90738" w14:textId="3C114135" w:rsidR="0045673A" w:rsidRDefault="00E17DF3">
      <w:pPr>
        <w:pStyle w:val="Heading2"/>
        <w:spacing w:after="10"/>
        <w:ind w:left="-5" w:right="636"/>
      </w:pPr>
      <w:r>
        <w:t xml:space="preserve">If a categorisation system was established according to approach 2 of question 4.1.2 </w:t>
      </w:r>
    </w:p>
    <w:p w14:paraId="6C86C595" w14:textId="77777777" w:rsidR="0045673A" w:rsidRDefault="00E17DF3">
      <w:pPr>
        <w:spacing w:after="216" w:line="259" w:lineRule="auto"/>
        <w:ind w:left="0" w:firstLine="0"/>
        <w:jc w:val="left"/>
      </w:pPr>
      <w:r>
        <w:t xml:space="preserve"> </w:t>
      </w:r>
    </w:p>
    <w:p w14:paraId="0956E7F5" w14:textId="77777777" w:rsidR="0045673A" w:rsidRDefault="00E17DF3">
      <w:pPr>
        <w:ind w:right="643"/>
      </w:pPr>
      <w:r>
        <w:rPr>
          <w:b/>
          <w:u w:val="single" w:color="000000"/>
        </w:rPr>
        <w:t>Question 4.1.12</w:t>
      </w:r>
      <w:r>
        <w:t>: If a categorisation system was established based on existing Articles 8 and 9, are the following concepts of the SFDR fit for that purpose?</w:t>
      </w:r>
      <w:r>
        <w:rPr>
          <w:i/>
          <w:sz w:val="20"/>
        </w:rPr>
        <w:t xml:space="preserve"> </w:t>
      </w:r>
    </w:p>
    <w:tbl>
      <w:tblPr>
        <w:tblW w:w="8342" w:type="dxa"/>
        <w:tblCellMar>
          <w:top w:w="14" w:type="dxa"/>
          <w:right w:w="50" w:type="dxa"/>
        </w:tblCellMar>
        <w:tblLook w:val="04A0" w:firstRow="1" w:lastRow="0" w:firstColumn="1" w:lastColumn="0" w:noHBand="0" w:noVBand="1"/>
      </w:tblPr>
      <w:tblGrid>
        <w:gridCol w:w="5313"/>
        <w:gridCol w:w="425"/>
        <w:gridCol w:w="427"/>
        <w:gridCol w:w="425"/>
        <w:gridCol w:w="427"/>
        <w:gridCol w:w="425"/>
        <w:gridCol w:w="900"/>
      </w:tblGrid>
      <w:tr w:rsidR="0045673A" w14:paraId="7DD6E5B0" w14:textId="77777777">
        <w:trPr>
          <w:trHeight w:val="802"/>
        </w:trPr>
        <w:tc>
          <w:tcPr>
            <w:tcW w:w="5312" w:type="dxa"/>
            <w:tcBorders>
              <w:top w:val="single" w:sz="4" w:space="0" w:color="000000"/>
              <w:left w:val="single" w:sz="4" w:space="0" w:color="000000"/>
              <w:bottom w:val="single" w:sz="4" w:space="0" w:color="000000"/>
              <w:right w:val="single" w:sz="4" w:space="0" w:color="000000"/>
            </w:tcBorders>
          </w:tcPr>
          <w:p w14:paraId="660D5B2C" w14:textId="7777777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96F9787" w14:textId="77777777" w:rsidR="0045673A" w:rsidRDefault="00E17DF3">
            <w:pPr>
              <w:spacing w:after="0" w:line="259" w:lineRule="auto"/>
              <w:ind w:left="46" w:firstLine="0"/>
              <w:jc w:val="left"/>
            </w:pPr>
            <w:r>
              <w:t xml:space="preserve">1 </w:t>
            </w:r>
          </w:p>
        </w:tc>
        <w:tc>
          <w:tcPr>
            <w:tcW w:w="427" w:type="dxa"/>
            <w:tcBorders>
              <w:top w:val="single" w:sz="4" w:space="0" w:color="000000"/>
              <w:left w:val="single" w:sz="4" w:space="0" w:color="000000"/>
              <w:bottom w:val="single" w:sz="4" w:space="0" w:color="000000"/>
              <w:right w:val="single" w:sz="4" w:space="0" w:color="000000"/>
            </w:tcBorders>
          </w:tcPr>
          <w:p w14:paraId="3914E924" w14:textId="77777777" w:rsidR="0045673A" w:rsidRDefault="00E17DF3">
            <w:pPr>
              <w:spacing w:after="0" w:line="259" w:lineRule="auto"/>
              <w:ind w:left="46" w:firstLine="0"/>
              <w:jc w:val="left"/>
            </w:pPr>
            <w:r>
              <w:t xml:space="preserve">2 </w:t>
            </w:r>
          </w:p>
        </w:tc>
        <w:tc>
          <w:tcPr>
            <w:tcW w:w="425" w:type="dxa"/>
            <w:tcBorders>
              <w:top w:val="single" w:sz="4" w:space="0" w:color="000000"/>
              <w:left w:val="single" w:sz="4" w:space="0" w:color="000000"/>
              <w:bottom w:val="single" w:sz="4" w:space="0" w:color="000000"/>
              <w:right w:val="single" w:sz="4" w:space="0" w:color="000000"/>
            </w:tcBorders>
          </w:tcPr>
          <w:p w14:paraId="7240CE69" w14:textId="77777777" w:rsidR="0045673A" w:rsidRDefault="00E17DF3">
            <w:pPr>
              <w:spacing w:after="0" w:line="259" w:lineRule="auto"/>
              <w:ind w:left="46" w:firstLine="0"/>
              <w:jc w:val="left"/>
            </w:pPr>
            <w:r>
              <w:t xml:space="preserve">3 </w:t>
            </w:r>
          </w:p>
        </w:tc>
        <w:tc>
          <w:tcPr>
            <w:tcW w:w="427" w:type="dxa"/>
            <w:tcBorders>
              <w:top w:val="single" w:sz="4" w:space="0" w:color="000000"/>
              <w:left w:val="single" w:sz="4" w:space="0" w:color="000000"/>
              <w:bottom w:val="single" w:sz="4" w:space="0" w:color="000000"/>
              <w:right w:val="single" w:sz="4" w:space="0" w:color="000000"/>
            </w:tcBorders>
          </w:tcPr>
          <w:p w14:paraId="3B3B8529" w14:textId="77777777" w:rsidR="0045673A" w:rsidRDefault="00E17DF3">
            <w:pPr>
              <w:spacing w:after="0" w:line="259" w:lineRule="auto"/>
              <w:ind w:left="46" w:firstLine="0"/>
              <w:jc w:val="left"/>
            </w:pPr>
            <w:r>
              <w:t xml:space="preserve">4 </w:t>
            </w:r>
          </w:p>
        </w:tc>
        <w:tc>
          <w:tcPr>
            <w:tcW w:w="425" w:type="dxa"/>
            <w:tcBorders>
              <w:top w:val="single" w:sz="4" w:space="0" w:color="000000"/>
              <w:left w:val="single" w:sz="4" w:space="0" w:color="000000"/>
              <w:bottom w:val="single" w:sz="4" w:space="0" w:color="000000"/>
              <w:right w:val="single" w:sz="4" w:space="0" w:color="000000"/>
            </w:tcBorders>
          </w:tcPr>
          <w:p w14:paraId="757048D6" w14:textId="77777777" w:rsidR="0045673A" w:rsidRDefault="00E17DF3">
            <w:pPr>
              <w:spacing w:after="0" w:line="259" w:lineRule="auto"/>
              <w:ind w:left="46" w:firstLine="0"/>
              <w:jc w:val="left"/>
            </w:pPr>
            <w:r>
              <w:t xml:space="preserve">5 </w:t>
            </w:r>
          </w:p>
        </w:tc>
        <w:tc>
          <w:tcPr>
            <w:tcW w:w="900" w:type="dxa"/>
            <w:tcBorders>
              <w:top w:val="single" w:sz="4" w:space="0" w:color="000000"/>
              <w:left w:val="single" w:sz="4" w:space="0" w:color="000000"/>
              <w:bottom w:val="single" w:sz="4" w:space="0" w:color="000000"/>
              <w:right w:val="single" w:sz="4" w:space="0" w:color="000000"/>
            </w:tcBorders>
          </w:tcPr>
          <w:p w14:paraId="6FA73CDD" w14:textId="77777777" w:rsidR="0045673A" w:rsidRDefault="00E17DF3">
            <w:pPr>
              <w:spacing w:after="0" w:line="259" w:lineRule="auto"/>
              <w:ind w:left="0" w:firstLine="0"/>
              <w:jc w:val="center"/>
            </w:pPr>
            <w:r>
              <w:t xml:space="preserve">Don’t know </w:t>
            </w:r>
          </w:p>
        </w:tc>
      </w:tr>
      <w:tr w:rsidR="0045673A" w14:paraId="42B9FF42" w14:textId="77777777">
        <w:trPr>
          <w:trHeight w:val="802"/>
        </w:trPr>
        <w:tc>
          <w:tcPr>
            <w:tcW w:w="5312" w:type="dxa"/>
            <w:tcBorders>
              <w:top w:val="single" w:sz="4" w:space="0" w:color="000000"/>
              <w:left w:val="single" w:sz="4" w:space="0" w:color="000000"/>
              <w:bottom w:val="single" w:sz="4" w:space="0" w:color="000000"/>
              <w:right w:val="single" w:sz="4" w:space="0" w:color="000000"/>
            </w:tcBorders>
          </w:tcPr>
          <w:p w14:paraId="3836976F" w14:textId="77777777" w:rsidR="0045673A" w:rsidRDefault="00E17DF3">
            <w:pPr>
              <w:spacing w:after="0" w:line="259" w:lineRule="auto"/>
              <w:ind w:left="0" w:firstLine="0"/>
              <w:jc w:val="left"/>
            </w:pPr>
            <w:r>
              <w:t xml:space="preserve">The current concept of ‘environmental and/or social characteristics’ </w:t>
            </w:r>
          </w:p>
        </w:tc>
        <w:tc>
          <w:tcPr>
            <w:tcW w:w="425" w:type="dxa"/>
            <w:tcBorders>
              <w:top w:val="single" w:sz="4" w:space="0" w:color="000000"/>
              <w:left w:val="single" w:sz="4" w:space="0" w:color="000000"/>
              <w:bottom w:val="single" w:sz="4" w:space="0" w:color="000000"/>
              <w:right w:val="single" w:sz="4" w:space="0" w:color="000000"/>
            </w:tcBorders>
          </w:tcPr>
          <w:p w14:paraId="215C58F7" w14:textId="368C57C9" w:rsidR="0045673A" w:rsidRDefault="0045673A">
            <w:pPr>
              <w:spacing w:after="0" w:line="259" w:lineRule="auto"/>
              <w:ind w:left="0" w:firstLine="0"/>
              <w:jc w:val="left"/>
            </w:pPr>
          </w:p>
        </w:tc>
        <w:tc>
          <w:tcPr>
            <w:tcW w:w="427" w:type="dxa"/>
            <w:tcBorders>
              <w:top w:val="single" w:sz="4" w:space="0" w:color="000000"/>
              <w:left w:val="single" w:sz="4" w:space="0" w:color="000000"/>
              <w:bottom w:val="single" w:sz="4" w:space="0" w:color="000000"/>
              <w:right w:val="single" w:sz="4" w:space="0" w:color="000000"/>
            </w:tcBorders>
          </w:tcPr>
          <w:p w14:paraId="6ECDB4D3" w14:textId="41108878" w:rsidR="0045673A" w:rsidRDefault="00E17DF3">
            <w:pPr>
              <w:spacing w:after="0" w:line="259" w:lineRule="auto"/>
              <w:ind w:left="0" w:firstLine="0"/>
              <w:jc w:val="left"/>
            </w:pPr>
            <w:r>
              <w:t xml:space="preserve"> </w:t>
            </w:r>
            <w:r w:rsidR="003E6F45">
              <w:t>X</w:t>
            </w:r>
          </w:p>
        </w:tc>
        <w:tc>
          <w:tcPr>
            <w:tcW w:w="425" w:type="dxa"/>
            <w:tcBorders>
              <w:top w:val="single" w:sz="4" w:space="0" w:color="000000"/>
              <w:left w:val="single" w:sz="4" w:space="0" w:color="000000"/>
              <w:bottom w:val="single" w:sz="4" w:space="0" w:color="000000"/>
              <w:right w:val="single" w:sz="4" w:space="0" w:color="000000"/>
            </w:tcBorders>
          </w:tcPr>
          <w:p w14:paraId="649EEC39" w14:textId="77777777" w:rsidR="0045673A" w:rsidRDefault="00E17DF3">
            <w:pPr>
              <w:spacing w:after="0" w:line="259" w:lineRule="auto"/>
              <w:ind w:left="0"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3FD9445D" w14:textId="7777777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D206EB8" w14:textId="77777777" w:rsidR="0045673A" w:rsidRDefault="00E17DF3">
            <w:pPr>
              <w:spacing w:after="0" w:line="259" w:lineRule="auto"/>
              <w:ind w:left="0" w:firstLine="0"/>
              <w:jc w:val="left"/>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30442E89" w14:textId="77777777" w:rsidR="0045673A" w:rsidRDefault="00E17DF3">
            <w:pPr>
              <w:spacing w:after="0" w:line="259" w:lineRule="auto"/>
              <w:ind w:left="0" w:firstLine="0"/>
              <w:jc w:val="left"/>
            </w:pPr>
            <w:r>
              <w:t xml:space="preserve"> </w:t>
            </w:r>
          </w:p>
        </w:tc>
      </w:tr>
      <w:tr w:rsidR="0045673A" w14:paraId="0291EB22" w14:textId="77777777">
        <w:trPr>
          <w:trHeight w:val="526"/>
        </w:trPr>
        <w:tc>
          <w:tcPr>
            <w:tcW w:w="5312" w:type="dxa"/>
            <w:tcBorders>
              <w:top w:val="single" w:sz="4" w:space="0" w:color="000000"/>
              <w:left w:val="single" w:sz="4" w:space="0" w:color="000000"/>
              <w:bottom w:val="single" w:sz="4" w:space="0" w:color="000000"/>
              <w:right w:val="single" w:sz="4" w:space="0" w:color="000000"/>
            </w:tcBorders>
          </w:tcPr>
          <w:p w14:paraId="7482575F" w14:textId="77777777" w:rsidR="0045673A" w:rsidRDefault="00E17DF3">
            <w:pPr>
              <w:spacing w:after="0" w:line="259" w:lineRule="auto"/>
              <w:ind w:left="0" w:firstLine="0"/>
              <w:jc w:val="left"/>
            </w:pPr>
            <w:r>
              <w:t xml:space="preserve">The current concept of ‘sustainable investment’ </w:t>
            </w:r>
          </w:p>
        </w:tc>
        <w:tc>
          <w:tcPr>
            <w:tcW w:w="425" w:type="dxa"/>
            <w:tcBorders>
              <w:top w:val="single" w:sz="4" w:space="0" w:color="000000"/>
              <w:left w:val="single" w:sz="4" w:space="0" w:color="000000"/>
              <w:bottom w:val="single" w:sz="4" w:space="0" w:color="000000"/>
              <w:right w:val="single" w:sz="4" w:space="0" w:color="000000"/>
            </w:tcBorders>
          </w:tcPr>
          <w:p w14:paraId="475ED3E4" w14:textId="6153F6B2" w:rsidR="0045673A" w:rsidRDefault="00E17DF3">
            <w:pPr>
              <w:spacing w:after="0" w:line="259" w:lineRule="auto"/>
              <w:ind w:left="0" w:firstLine="0"/>
              <w:jc w:val="left"/>
            </w:pPr>
            <w:r>
              <w:t xml:space="preserve"> </w:t>
            </w:r>
            <w:r w:rsidR="00A94D9E">
              <w:t>X</w:t>
            </w:r>
          </w:p>
        </w:tc>
        <w:tc>
          <w:tcPr>
            <w:tcW w:w="427" w:type="dxa"/>
            <w:tcBorders>
              <w:top w:val="single" w:sz="4" w:space="0" w:color="000000"/>
              <w:left w:val="single" w:sz="4" w:space="0" w:color="000000"/>
              <w:bottom w:val="single" w:sz="4" w:space="0" w:color="000000"/>
              <w:right w:val="single" w:sz="4" w:space="0" w:color="000000"/>
            </w:tcBorders>
          </w:tcPr>
          <w:p w14:paraId="1BF3BFC0" w14:textId="7777777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710FEE22" w14:textId="77777777" w:rsidR="0045673A" w:rsidRDefault="00E17DF3">
            <w:pPr>
              <w:spacing w:after="0" w:line="259" w:lineRule="auto"/>
              <w:ind w:left="0"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0B2F6FD6" w14:textId="0524B03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35E2245B" w14:textId="77777777" w:rsidR="0045673A" w:rsidRDefault="00E17DF3">
            <w:pPr>
              <w:spacing w:after="0" w:line="259" w:lineRule="auto"/>
              <w:ind w:left="0" w:firstLine="0"/>
              <w:jc w:val="left"/>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3F999911" w14:textId="77777777" w:rsidR="0045673A" w:rsidRDefault="00E17DF3">
            <w:pPr>
              <w:spacing w:after="0" w:line="259" w:lineRule="auto"/>
              <w:ind w:left="0" w:firstLine="0"/>
              <w:jc w:val="left"/>
            </w:pPr>
            <w:r>
              <w:t xml:space="preserve"> </w:t>
            </w:r>
          </w:p>
        </w:tc>
      </w:tr>
      <w:tr w:rsidR="0045673A" w14:paraId="1DBCF114" w14:textId="77777777">
        <w:trPr>
          <w:trHeight w:val="1080"/>
        </w:trPr>
        <w:tc>
          <w:tcPr>
            <w:tcW w:w="5312" w:type="dxa"/>
            <w:tcBorders>
              <w:top w:val="single" w:sz="4" w:space="0" w:color="000000"/>
              <w:left w:val="single" w:sz="4" w:space="0" w:color="000000"/>
              <w:bottom w:val="single" w:sz="4" w:space="0" w:color="000000"/>
              <w:right w:val="single" w:sz="4" w:space="0" w:color="000000"/>
            </w:tcBorders>
          </w:tcPr>
          <w:p w14:paraId="32F6358B" w14:textId="77777777" w:rsidR="0045673A" w:rsidRDefault="00E17DF3">
            <w:pPr>
              <w:spacing w:after="0" w:line="259" w:lineRule="auto"/>
              <w:ind w:left="0" w:right="59" w:firstLine="0"/>
            </w:pPr>
            <w:r>
              <w:t>The current element of ‘contribution to an environmental or social objective’ of the sustainable investment concept</w:t>
            </w: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A70E633"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483BEEB2"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3E40F709" w14:textId="4C5D755A" w:rsidR="0045673A" w:rsidRDefault="004736A6">
            <w:pPr>
              <w:spacing w:after="0" w:line="259" w:lineRule="auto"/>
              <w:ind w:left="0" w:firstLine="0"/>
              <w:jc w:val="left"/>
            </w:pPr>
            <w:r>
              <w:t>X</w:t>
            </w:r>
            <w:r w:rsidR="00E17DF3">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5D51DBF9" w14:textId="041C8369"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870D924" w14:textId="77777777" w:rsidR="0045673A" w:rsidRDefault="00E17DF3">
            <w:pPr>
              <w:spacing w:after="0" w:line="259" w:lineRule="auto"/>
              <w:ind w:left="0" w:firstLine="0"/>
              <w:jc w:val="left"/>
            </w:pPr>
            <w:r>
              <w:rPr>
                <w:rFonts w:ascii="Calibri" w:eastAsia="Calibri" w:hAnsi="Calibri" w:cs="Calibri"/>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0C471352" w14:textId="77777777" w:rsidR="0045673A" w:rsidRDefault="00E17DF3">
            <w:pPr>
              <w:spacing w:after="0" w:line="259" w:lineRule="auto"/>
              <w:ind w:left="0" w:firstLine="0"/>
              <w:jc w:val="left"/>
            </w:pPr>
            <w:r>
              <w:rPr>
                <w:rFonts w:ascii="Calibri" w:eastAsia="Calibri" w:hAnsi="Calibri" w:cs="Calibri"/>
              </w:rPr>
              <w:t xml:space="preserve"> </w:t>
            </w:r>
          </w:p>
        </w:tc>
      </w:tr>
      <w:tr w:rsidR="0045673A" w14:paraId="66C209FC" w14:textId="77777777">
        <w:trPr>
          <w:trHeight w:val="1630"/>
        </w:trPr>
        <w:tc>
          <w:tcPr>
            <w:tcW w:w="5312" w:type="dxa"/>
            <w:tcBorders>
              <w:top w:val="single" w:sz="4" w:space="0" w:color="000000"/>
              <w:left w:val="single" w:sz="4" w:space="0" w:color="000000"/>
              <w:bottom w:val="single" w:sz="4" w:space="0" w:color="000000"/>
              <w:right w:val="single" w:sz="4" w:space="0" w:color="000000"/>
            </w:tcBorders>
          </w:tcPr>
          <w:p w14:paraId="74796042" w14:textId="77777777" w:rsidR="0045673A" w:rsidRDefault="00E17DF3">
            <w:pPr>
              <w:spacing w:after="0" w:line="259" w:lineRule="auto"/>
              <w:ind w:left="0" w:right="60" w:firstLine="0"/>
            </w:pPr>
            <w:r>
              <w:t>The current element ‘do no significant harm’ of the sustainable investment concept, and its link with the entity level principal adverse impact indicators listed in tables 1, 2 and 3 of Annex I of the Delegated Regulation</w:t>
            </w: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6F6EB591"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0538639B" w14:textId="2EDA6672" w:rsidR="0045673A" w:rsidRDefault="00E17DF3">
            <w:pPr>
              <w:spacing w:after="0" w:line="259" w:lineRule="auto"/>
              <w:ind w:left="0" w:firstLine="0"/>
              <w:jc w:val="left"/>
            </w:pPr>
            <w:r>
              <w:rPr>
                <w:rFonts w:ascii="Calibri" w:eastAsia="Calibri" w:hAnsi="Calibri" w:cs="Calibri"/>
              </w:rPr>
              <w:t xml:space="preserve"> </w:t>
            </w:r>
            <w:r w:rsidR="00A94D9E">
              <w:t>X</w:t>
            </w:r>
          </w:p>
        </w:tc>
        <w:tc>
          <w:tcPr>
            <w:tcW w:w="425" w:type="dxa"/>
            <w:tcBorders>
              <w:top w:val="single" w:sz="4" w:space="0" w:color="000000"/>
              <w:left w:val="single" w:sz="4" w:space="0" w:color="000000"/>
              <w:bottom w:val="single" w:sz="4" w:space="0" w:color="000000"/>
              <w:right w:val="single" w:sz="4" w:space="0" w:color="000000"/>
            </w:tcBorders>
          </w:tcPr>
          <w:p w14:paraId="5F51E263" w14:textId="0B98EF65" w:rsidR="0045673A" w:rsidRDefault="00E17DF3">
            <w:pPr>
              <w:spacing w:after="0" w:line="259" w:lineRule="auto"/>
              <w:ind w:left="0" w:firstLine="0"/>
              <w:jc w:val="left"/>
            </w:pPr>
            <w:r>
              <w:rPr>
                <w:rFonts w:ascii="Calibri" w:eastAsia="Calibri" w:hAnsi="Calibri" w:cs="Calibri"/>
              </w:rPr>
              <w:t xml:space="preserve"> </w:t>
            </w:r>
            <w:r w:rsidR="0067562F">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6366C8D4"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79335730" w14:textId="77777777" w:rsidR="0045673A" w:rsidRDefault="00E17DF3">
            <w:pPr>
              <w:spacing w:after="0" w:line="259" w:lineRule="auto"/>
              <w:ind w:left="0" w:firstLine="0"/>
              <w:jc w:val="left"/>
            </w:pPr>
            <w:r>
              <w:rPr>
                <w:rFonts w:ascii="Calibri" w:eastAsia="Calibri" w:hAnsi="Calibri" w:cs="Calibri"/>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41A4B50A" w14:textId="77777777" w:rsidR="0045673A" w:rsidRDefault="00E17DF3">
            <w:pPr>
              <w:spacing w:after="0" w:line="259" w:lineRule="auto"/>
              <w:ind w:left="0" w:firstLine="0"/>
              <w:jc w:val="left"/>
            </w:pPr>
            <w:r>
              <w:rPr>
                <w:rFonts w:ascii="Calibri" w:eastAsia="Calibri" w:hAnsi="Calibri" w:cs="Calibri"/>
              </w:rPr>
              <w:t xml:space="preserve"> </w:t>
            </w:r>
          </w:p>
        </w:tc>
      </w:tr>
      <w:tr w:rsidR="0045673A" w14:paraId="3FAF0700" w14:textId="77777777">
        <w:trPr>
          <w:trHeight w:val="1078"/>
        </w:trPr>
        <w:tc>
          <w:tcPr>
            <w:tcW w:w="5312" w:type="dxa"/>
            <w:tcBorders>
              <w:top w:val="single" w:sz="4" w:space="0" w:color="000000"/>
              <w:left w:val="single" w:sz="4" w:space="0" w:color="000000"/>
              <w:bottom w:val="single" w:sz="4" w:space="0" w:color="000000"/>
              <w:right w:val="single" w:sz="4" w:space="0" w:color="000000"/>
            </w:tcBorders>
          </w:tcPr>
          <w:p w14:paraId="3D060215" w14:textId="77777777" w:rsidR="0045673A" w:rsidRDefault="00E17DF3">
            <w:pPr>
              <w:spacing w:after="0" w:line="259" w:lineRule="auto"/>
              <w:ind w:left="0" w:right="59" w:firstLine="0"/>
            </w:pPr>
            <w:r>
              <w:t>The current element of ‘investee companies’ good governance practices’ of the sustainable investment concept</w:t>
            </w: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A8AAAEF"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24CC5B5B" w14:textId="515AEF54" w:rsidR="0045673A" w:rsidRDefault="0045673A">
            <w:pPr>
              <w:spacing w:after="0" w:line="259" w:lineRule="auto"/>
              <w:ind w:left="0" w:firstLine="0"/>
              <w:jc w:val="left"/>
            </w:pPr>
          </w:p>
        </w:tc>
        <w:tc>
          <w:tcPr>
            <w:tcW w:w="425" w:type="dxa"/>
            <w:tcBorders>
              <w:top w:val="single" w:sz="4" w:space="0" w:color="000000"/>
              <w:left w:val="single" w:sz="4" w:space="0" w:color="000000"/>
              <w:bottom w:val="single" w:sz="4" w:space="0" w:color="000000"/>
              <w:right w:val="single" w:sz="4" w:space="0" w:color="000000"/>
            </w:tcBorders>
          </w:tcPr>
          <w:p w14:paraId="4ED9854E" w14:textId="7C72005B" w:rsidR="0045673A" w:rsidRDefault="00A94D9E">
            <w:pPr>
              <w:spacing w:after="0" w:line="259" w:lineRule="auto"/>
              <w:ind w:left="0" w:firstLine="0"/>
              <w:jc w:val="left"/>
            </w:pPr>
            <w:r>
              <w:t>X</w:t>
            </w:r>
            <w:r w:rsidR="00E17DF3">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09DBD39C"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5151CC15" w14:textId="77777777" w:rsidR="0045673A" w:rsidRDefault="00E17DF3">
            <w:pPr>
              <w:spacing w:after="0" w:line="259" w:lineRule="auto"/>
              <w:ind w:left="0" w:firstLine="0"/>
              <w:jc w:val="left"/>
            </w:pPr>
            <w:r>
              <w:rPr>
                <w:rFonts w:ascii="Calibri" w:eastAsia="Calibri" w:hAnsi="Calibri" w:cs="Calibri"/>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4A0F1540" w14:textId="77777777" w:rsidR="0045673A" w:rsidRDefault="00E17DF3">
            <w:pPr>
              <w:spacing w:after="0" w:line="259" w:lineRule="auto"/>
              <w:ind w:left="0" w:firstLine="0"/>
              <w:jc w:val="left"/>
            </w:pPr>
            <w:r>
              <w:rPr>
                <w:rFonts w:ascii="Calibri" w:eastAsia="Calibri" w:hAnsi="Calibri" w:cs="Calibri"/>
              </w:rPr>
              <w:t xml:space="preserve"> </w:t>
            </w:r>
          </w:p>
        </w:tc>
      </w:tr>
    </w:tbl>
    <w:p w14:paraId="38AC612B" w14:textId="77777777" w:rsidR="0045673A" w:rsidRDefault="00E17DF3">
      <w:pPr>
        <w:spacing w:after="245" w:line="268" w:lineRule="auto"/>
        <w:ind w:left="-5" w:right="365"/>
        <w:jc w:val="left"/>
      </w:pPr>
      <w:r>
        <w:rPr>
          <w:i/>
          <w:sz w:val="20"/>
        </w:rPr>
        <w:t>(1= not at all, 2= to a limited extent, 3= to some extent, 4= to a large extent, 5= to a very large extent)</w:t>
      </w:r>
      <w:r>
        <w:rPr>
          <w:sz w:val="20"/>
        </w:rPr>
        <w:t xml:space="preserve"> </w:t>
      </w:r>
    </w:p>
    <w:p w14:paraId="4818841D" w14:textId="77777777" w:rsidR="0045673A" w:rsidRDefault="00E17DF3">
      <w:pPr>
        <w:ind w:right="643"/>
      </w:pPr>
      <w:r w:rsidRPr="00124281">
        <w:rPr>
          <w:b/>
          <w:u w:val="single" w:color="000000"/>
        </w:rPr>
        <w:t>Question 4.1.12 a)</w:t>
      </w:r>
      <w:r w:rsidRPr="00124281">
        <w:t>: If you consider that the elements listed in question 4.1.12 are not fit for purpose, how would you further specify the different elements of the ‘sustainable investment’ concept, what should be the minimum criteria required for each of them?</w:t>
      </w:r>
      <w:r>
        <w:t xml:space="preserve"> </w:t>
      </w:r>
    </w:p>
    <w:p w14:paraId="6F91300A" w14:textId="77777777" w:rsidR="0045673A" w:rsidRDefault="00E17DF3">
      <w:pPr>
        <w:spacing w:after="0" w:line="259" w:lineRule="auto"/>
        <w:ind w:left="0" w:firstLine="0"/>
        <w:jc w:val="left"/>
      </w:pPr>
      <w:r>
        <w:t xml:space="preserve"> </w:t>
      </w:r>
    </w:p>
    <w:tbl>
      <w:tblPr>
        <w:tblW w:w="8836" w:type="dxa"/>
        <w:tblCellMar>
          <w:top w:w="19" w:type="dxa"/>
          <w:right w:w="115" w:type="dxa"/>
        </w:tblCellMar>
        <w:tblLook w:val="04A0" w:firstRow="1" w:lastRow="0" w:firstColumn="1" w:lastColumn="0" w:noHBand="0" w:noVBand="1"/>
      </w:tblPr>
      <w:tblGrid>
        <w:gridCol w:w="4417"/>
        <w:gridCol w:w="4419"/>
      </w:tblGrid>
      <w:tr w:rsidR="0045673A" w14:paraId="34954581" w14:textId="77777777">
        <w:trPr>
          <w:trHeight w:val="1213"/>
        </w:trPr>
        <w:tc>
          <w:tcPr>
            <w:tcW w:w="4417" w:type="dxa"/>
            <w:tcBorders>
              <w:top w:val="single" w:sz="8" w:space="0" w:color="000000"/>
              <w:left w:val="single" w:sz="8" w:space="0" w:color="000000"/>
              <w:bottom w:val="single" w:sz="8" w:space="0" w:color="000000"/>
              <w:right w:val="single" w:sz="8" w:space="0" w:color="000000"/>
            </w:tcBorders>
          </w:tcPr>
          <w:p w14:paraId="2FECD1DD" w14:textId="77777777" w:rsidR="0045673A" w:rsidRDefault="00E17DF3">
            <w:pPr>
              <w:spacing w:after="0" w:line="259" w:lineRule="auto"/>
              <w:ind w:left="0" w:firstLine="0"/>
              <w:jc w:val="left"/>
            </w:pPr>
            <w:r>
              <w:t>‘contribution to an environmental or social objective’, element of the sustainable investment concept</w:t>
            </w:r>
            <w:r>
              <w:rPr>
                <w:rFonts w:ascii="Calibri" w:eastAsia="Calibri" w:hAnsi="Calibri" w:cs="Calibri"/>
              </w:rPr>
              <w:t xml:space="preserve"> </w:t>
            </w:r>
          </w:p>
        </w:tc>
        <w:tc>
          <w:tcPr>
            <w:tcW w:w="4419" w:type="dxa"/>
            <w:tcBorders>
              <w:top w:val="single" w:sz="8" w:space="0" w:color="000000"/>
              <w:left w:val="single" w:sz="8" w:space="0" w:color="000000"/>
              <w:bottom w:val="single" w:sz="8" w:space="0" w:color="000000"/>
              <w:right w:val="single" w:sz="8" w:space="0" w:color="000000"/>
            </w:tcBorders>
          </w:tcPr>
          <w:p w14:paraId="61ADF25D" w14:textId="0758E42B" w:rsidR="00875D2A" w:rsidRPr="007A16E5" w:rsidRDefault="008A4D13" w:rsidP="00C628AA">
            <w:pPr>
              <w:tabs>
                <w:tab w:val="left" w:pos="270"/>
                <w:tab w:val="center" w:pos="2133"/>
              </w:tabs>
              <w:spacing w:after="0" w:line="259" w:lineRule="auto"/>
              <w:ind w:left="70" w:firstLine="0"/>
              <w:jc w:val="left"/>
              <w:rPr>
                <w:sz w:val="20"/>
                <w:szCs w:val="20"/>
              </w:rPr>
            </w:pPr>
            <w:r w:rsidRPr="007A16E5">
              <w:rPr>
                <w:sz w:val="20"/>
                <w:szCs w:val="20"/>
              </w:rPr>
              <w:t xml:space="preserve">While supportive of this, </w:t>
            </w:r>
            <w:r w:rsidR="0008139E" w:rsidRPr="007A16E5">
              <w:rPr>
                <w:sz w:val="20"/>
                <w:szCs w:val="20"/>
              </w:rPr>
              <w:t>this concept should be clarified further and evolve over time, for example potentially including</w:t>
            </w:r>
            <w:r w:rsidR="00560F19" w:rsidRPr="007A16E5">
              <w:rPr>
                <w:sz w:val="20"/>
                <w:szCs w:val="20"/>
              </w:rPr>
              <w:t xml:space="preserve"> specific minimum quantitative KPIs such as a minimum percentage of alignment to the EU taxonomy or other </w:t>
            </w:r>
            <w:r w:rsidR="007A16E5">
              <w:rPr>
                <w:sz w:val="20"/>
                <w:szCs w:val="20"/>
              </w:rPr>
              <w:t>robust</w:t>
            </w:r>
            <w:r w:rsidR="00E81DFB" w:rsidRPr="007A16E5">
              <w:rPr>
                <w:sz w:val="20"/>
                <w:szCs w:val="20"/>
              </w:rPr>
              <w:t xml:space="preserve"> </w:t>
            </w:r>
            <w:r w:rsidR="00560F19" w:rsidRPr="007A16E5">
              <w:rPr>
                <w:sz w:val="20"/>
                <w:szCs w:val="20"/>
              </w:rPr>
              <w:t xml:space="preserve">environmental/social standard. </w:t>
            </w:r>
          </w:p>
          <w:p w14:paraId="1DE959A3" w14:textId="77777777" w:rsidR="00875D2A" w:rsidRDefault="00875D2A" w:rsidP="00C628AA">
            <w:pPr>
              <w:tabs>
                <w:tab w:val="left" w:pos="270"/>
                <w:tab w:val="center" w:pos="2133"/>
              </w:tabs>
              <w:spacing w:after="0" w:line="259" w:lineRule="auto"/>
              <w:ind w:left="70" w:firstLine="0"/>
              <w:jc w:val="left"/>
            </w:pPr>
          </w:p>
          <w:p w14:paraId="2B3BEA39" w14:textId="5317CD9B" w:rsidR="0045673A" w:rsidRDefault="0045673A" w:rsidP="00C628AA">
            <w:pPr>
              <w:tabs>
                <w:tab w:val="left" w:pos="270"/>
                <w:tab w:val="center" w:pos="2133"/>
              </w:tabs>
              <w:spacing w:after="0" w:line="259" w:lineRule="auto"/>
              <w:ind w:left="70" w:firstLine="0"/>
              <w:jc w:val="left"/>
            </w:pPr>
          </w:p>
        </w:tc>
      </w:tr>
      <w:tr w:rsidR="0045673A" w14:paraId="7C2372E9" w14:textId="77777777">
        <w:trPr>
          <w:trHeight w:val="895"/>
        </w:trPr>
        <w:tc>
          <w:tcPr>
            <w:tcW w:w="4417" w:type="dxa"/>
            <w:tcBorders>
              <w:top w:val="single" w:sz="8" w:space="0" w:color="000000"/>
              <w:left w:val="single" w:sz="8" w:space="0" w:color="000000"/>
              <w:bottom w:val="single" w:sz="8" w:space="0" w:color="000000"/>
              <w:right w:val="single" w:sz="8" w:space="0" w:color="000000"/>
            </w:tcBorders>
          </w:tcPr>
          <w:p w14:paraId="5D983390" w14:textId="77777777" w:rsidR="0045673A" w:rsidRDefault="00E17DF3">
            <w:pPr>
              <w:spacing w:after="0" w:line="259" w:lineRule="auto"/>
              <w:ind w:left="0" w:firstLine="0"/>
              <w:jc w:val="left"/>
            </w:pPr>
            <w:r>
              <w:t>‘do no significant harm’, element of the sustainable investment concept</w:t>
            </w:r>
            <w:r>
              <w:rPr>
                <w:rFonts w:ascii="Calibri" w:eastAsia="Calibri" w:hAnsi="Calibri" w:cs="Calibri"/>
              </w:rPr>
              <w:t xml:space="preserve"> </w:t>
            </w:r>
          </w:p>
        </w:tc>
        <w:tc>
          <w:tcPr>
            <w:tcW w:w="4419" w:type="dxa"/>
            <w:tcBorders>
              <w:top w:val="single" w:sz="8" w:space="0" w:color="000000"/>
              <w:left w:val="single" w:sz="8" w:space="0" w:color="000000"/>
              <w:bottom w:val="single" w:sz="8" w:space="0" w:color="000000"/>
              <w:right w:val="single" w:sz="8" w:space="0" w:color="000000"/>
            </w:tcBorders>
          </w:tcPr>
          <w:p w14:paraId="190B9F08" w14:textId="4D8129D6" w:rsidR="0024238D" w:rsidRPr="007A16E5" w:rsidRDefault="0024238D">
            <w:pPr>
              <w:spacing w:after="0" w:line="259" w:lineRule="auto"/>
              <w:ind w:left="2" w:firstLine="0"/>
              <w:jc w:val="left"/>
              <w:rPr>
                <w:sz w:val="20"/>
                <w:szCs w:val="20"/>
              </w:rPr>
            </w:pPr>
            <w:r w:rsidRPr="007A16E5">
              <w:rPr>
                <w:sz w:val="20"/>
                <w:szCs w:val="20"/>
              </w:rPr>
              <w:t>Similarly, while supportive of the objectives of the DNSH principle, efforts should be made to clarify and simplify its implementation in practice</w:t>
            </w:r>
            <w:r w:rsidR="00DB5DA3" w:rsidRPr="007A16E5">
              <w:rPr>
                <w:sz w:val="20"/>
                <w:szCs w:val="20"/>
              </w:rPr>
              <w:t xml:space="preserve">. </w:t>
            </w:r>
            <w:r w:rsidR="000E643A" w:rsidRPr="007A16E5">
              <w:rPr>
                <w:sz w:val="20"/>
                <w:szCs w:val="20"/>
              </w:rPr>
              <w:t>The ‘DNSH’ element has at times been too restrictive, resulting in a disproportionate number of investments being discounted from the potential investment universe of a number of products.</w:t>
            </w:r>
          </w:p>
          <w:p w14:paraId="32FF0304" w14:textId="16543961" w:rsidR="0045673A" w:rsidRDefault="0045673A" w:rsidP="00DB5DA3">
            <w:pPr>
              <w:spacing w:after="0" w:line="259" w:lineRule="auto"/>
              <w:ind w:left="0" w:firstLine="0"/>
              <w:jc w:val="left"/>
            </w:pPr>
          </w:p>
        </w:tc>
      </w:tr>
      <w:tr w:rsidR="0045673A" w14:paraId="01BE879F" w14:textId="77777777">
        <w:trPr>
          <w:trHeight w:val="1212"/>
        </w:trPr>
        <w:tc>
          <w:tcPr>
            <w:tcW w:w="4417" w:type="dxa"/>
            <w:tcBorders>
              <w:top w:val="single" w:sz="8" w:space="0" w:color="000000"/>
              <w:left w:val="single" w:sz="8" w:space="0" w:color="000000"/>
              <w:bottom w:val="single" w:sz="8" w:space="0" w:color="000000"/>
              <w:right w:val="single" w:sz="8" w:space="0" w:color="000000"/>
            </w:tcBorders>
          </w:tcPr>
          <w:p w14:paraId="76FC5944" w14:textId="77777777" w:rsidR="0045673A" w:rsidRDefault="00E17DF3">
            <w:pPr>
              <w:spacing w:after="0" w:line="259" w:lineRule="auto"/>
              <w:ind w:left="0" w:firstLine="0"/>
              <w:jc w:val="left"/>
            </w:pPr>
            <w:r>
              <w:t>‘investee companies’ good governance practices’, element of the sustainable investment concept</w:t>
            </w:r>
            <w:r>
              <w:rPr>
                <w:rFonts w:ascii="Calibri" w:eastAsia="Calibri" w:hAnsi="Calibri" w:cs="Calibri"/>
              </w:rPr>
              <w:t xml:space="preserve"> </w:t>
            </w:r>
          </w:p>
        </w:tc>
        <w:tc>
          <w:tcPr>
            <w:tcW w:w="4419" w:type="dxa"/>
            <w:tcBorders>
              <w:top w:val="single" w:sz="8" w:space="0" w:color="000000"/>
              <w:left w:val="single" w:sz="8" w:space="0" w:color="000000"/>
              <w:bottom w:val="single" w:sz="8" w:space="0" w:color="000000"/>
              <w:right w:val="single" w:sz="8" w:space="0" w:color="000000"/>
            </w:tcBorders>
          </w:tcPr>
          <w:p w14:paraId="260FFC82" w14:textId="52C0AE99" w:rsidR="00DB5DA3" w:rsidRPr="007019C4" w:rsidRDefault="00DB5DA3" w:rsidP="008E4B49">
            <w:pPr>
              <w:spacing w:after="0" w:line="259" w:lineRule="auto"/>
              <w:ind w:left="2" w:firstLine="0"/>
              <w:jc w:val="left"/>
              <w:rPr>
                <w:rFonts w:eastAsia="Calibri"/>
                <w:sz w:val="20"/>
                <w:szCs w:val="20"/>
              </w:rPr>
            </w:pPr>
            <w:r w:rsidRPr="007019C4">
              <w:rPr>
                <w:rFonts w:eastAsia="Calibri"/>
                <w:sz w:val="20"/>
                <w:szCs w:val="20"/>
              </w:rPr>
              <w:t xml:space="preserve">The principle of ‘good governance practices’ should be </w:t>
            </w:r>
            <w:r w:rsidR="00D23B62" w:rsidRPr="007019C4">
              <w:rPr>
                <w:rFonts w:eastAsia="Calibri"/>
                <w:sz w:val="20"/>
                <w:szCs w:val="20"/>
              </w:rPr>
              <w:t>clarified, and one way of achieving this could be to highlight a requirement that companies respect international frameworks and principles such as the UN Guiding Principles or OECD Guidelines.</w:t>
            </w:r>
          </w:p>
          <w:p w14:paraId="49F97306" w14:textId="43577DA8" w:rsidR="0045673A" w:rsidRPr="007019C4" w:rsidRDefault="0045673A" w:rsidP="008E398E">
            <w:pPr>
              <w:spacing w:after="0" w:line="259" w:lineRule="auto"/>
              <w:ind w:left="0" w:firstLine="0"/>
              <w:jc w:val="left"/>
              <w:rPr>
                <w:sz w:val="20"/>
                <w:szCs w:val="20"/>
              </w:rPr>
            </w:pPr>
          </w:p>
        </w:tc>
      </w:tr>
    </w:tbl>
    <w:p w14:paraId="05659B75" w14:textId="77777777" w:rsidR="0045673A" w:rsidRDefault="00E17DF3">
      <w:pPr>
        <w:spacing w:after="0" w:line="259" w:lineRule="auto"/>
        <w:ind w:left="0" w:firstLine="0"/>
        <w:jc w:val="left"/>
      </w:pPr>
      <w:r>
        <w:rPr>
          <w:b/>
        </w:rPr>
        <w:t xml:space="preserve"> </w:t>
      </w:r>
    </w:p>
    <w:p w14:paraId="26098FEE" w14:textId="77777777" w:rsidR="0045673A" w:rsidRDefault="00E17DF3">
      <w:pPr>
        <w:ind w:right="643"/>
      </w:pPr>
      <w:r>
        <w:rPr>
          <w:b/>
          <w:u w:val="single" w:color="000000"/>
        </w:rPr>
        <w:t>Question 4.1.12 b)</w:t>
      </w:r>
      <w:r>
        <w:t xml:space="preserve">: Should the good governance concept be adapted to include investments in government bonds? </w:t>
      </w:r>
    </w:p>
    <w:p w14:paraId="57E35F50" w14:textId="77777777" w:rsidR="0045673A" w:rsidRDefault="00E17DF3">
      <w:pPr>
        <w:spacing w:after="0" w:line="259" w:lineRule="auto"/>
        <w:ind w:left="0" w:firstLine="0"/>
        <w:jc w:val="left"/>
      </w:pPr>
      <w:r>
        <w:rPr>
          <w:rFonts w:ascii="Calibri" w:eastAsia="Calibri" w:hAnsi="Calibri" w:cs="Calibri"/>
        </w:rPr>
        <w:t xml:space="preserve"> </w:t>
      </w:r>
    </w:p>
    <w:tbl>
      <w:tblPr>
        <w:tblW w:w="4417" w:type="dxa"/>
        <w:tblCellMar>
          <w:top w:w="19" w:type="dxa"/>
          <w:right w:w="98" w:type="dxa"/>
        </w:tblCellMar>
        <w:tblLook w:val="04A0" w:firstRow="1" w:lastRow="0" w:firstColumn="1" w:lastColumn="0" w:noHBand="0" w:noVBand="1"/>
      </w:tblPr>
      <w:tblGrid>
        <w:gridCol w:w="1471"/>
        <w:gridCol w:w="1474"/>
        <w:gridCol w:w="1472"/>
      </w:tblGrid>
      <w:tr w:rsidR="0045673A" w14:paraId="0BD41D89"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48CC640E" w14:textId="77777777" w:rsidR="0045673A" w:rsidRDefault="00E17DF3">
            <w:pPr>
              <w:spacing w:after="0" w:line="259" w:lineRule="auto"/>
              <w:ind w:left="0" w:right="15" w:firstLine="0"/>
              <w:jc w:val="center"/>
            </w:pPr>
            <w:r>
              <w:t xml:space="preserve">Yes </w:t>
            </w:r>
          </w:p>
        </w:tc>
        <w:tc>
          <w:tcPr>
            <w:tcW w:w="1474" w:type="dxa"/>
            <w:tcBorders>
              <w:top w:val="single" w:sz="8" w:space="0" w:color="000000"/>
              <w:left w:val="single" w:sz="8" w:space="0" w:color="000000"/>
              <w:bottom w:val="single" w:sz="8" w:space="0" w:color="000000"/>
              <w:right w:val="single" w:sz="8" w:space="0" w:color="000000"/>
            </w:tcBorders>
          </w:tcPr>
          <w:p w14:paraId="6427431A" w14:textId="77777777" w:rsidR="0045673A" w:rsidRDefault="00E17DF3">
            <w:pPr>
              <w:spacing w:after="0" w:line="259" w:lineRule="auto"/>
              <w:ind w:left="0" w:right="9" w:firstLine="0"/>
              <w:jc w:val="center"/>
            </w:pPr>
            <w:r>
              <w:t xml:space="preserve">No </w:t>
            </w:r>
          </w:p>
        </w:tc>
        <w:tc>
          <w:tcPr>
            <w:tcW w:w="1472" w:type="dxa"/>
            <w:tcBorders>
              <w:top w:val="single" w:sz="8" w:space="0" w:color="000000"/>
              <w:left w:val="single" w:sz="8" w:space="0" w:color="000000"/>
              <w:bottom w:val="single" w:sz="8" w:space="0" w:color="000000"/>
              <w:right w:val="single" w:sz="8" w:space="0" w:color="000000"/>
            </w:tcBorders>
          </w:tcPr>
          <w:p w14:paraId="51462A5D" w14:textId="77777777" w:rsidR="0045673A" w:rsidRDefault="00E17DF3">
            <w:pPr>
              <w:spacing w:after="0" w:line="259" w:lineRule="auto"/>
              <w:ind w:left="50" w:firstLine="0"/>
              <w:jc w:val="left"/>
            </w:pPr>
            <w:r>
              <w:t xml:space="preserve">Don’t know </w:t>
            </w:r>
          </w:p>
        </w:tc>
      </w:tr>
      <w:tr w:rsidR="0045673A" w14:paraId="0D483D97"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637DCBE3" w14:textId="4D0A3770" w:rsidR="0045673A" w:rsidRDefault="00E17DF3">
            <w:pPr>
              <w:spacing w:after="0" w:line="259" w:lineRule="auto"/>
              <w:ind w:left="0" w:firstLine="0"/>
              <w:jc w:val="left"/>
            </w:pPr>
            <w:r>
              <w:t xml:space="preserve"> </w:t>
            </w:r>
            <w:r w:rsidR="0013411B">
              <w:t xml:space="preserve"> </w:t>
            </w:r>
            <w:r w:rsidR="0046615F">
              <w:t>X</w:t>
            </w:r>
          </w:p>
        </w:tc>
        <w:tc>
          <w:tcPr>
            <w:tcW w:w="1474" w:type="dxa"/>
            <w:tcBorders>
              <w:top w:val="single" w:sz="8" w:space="0" w:color="000000"/>
              <w:left w:val="single" w:sz="8" w:space="0" w:color="000000"/>
              <w:bottom w:val="single" w:sz="8" w:space="0" w:color="000000"/>
              <w:right w:val="single" w:sz="8" w:space="0" w:color="000000"/>
            </w:tcBorders>
          </w:tcPr>
          <w:p w14:paraId="6C03A95D" w14:textId="77777777" w:rsidR="0045673A" w:rsidRDefault="00E17DF3">
            <w:pPr>
              <w:spacing w:after="0" w:line="259" w:lineRule="auto"/>
              <w:ind w:left="2" w:firstLine="0"/>
              <w:jc w:val="left"/>
            </w:pPr>
            <w:r>
              <w:t xml:space="preserve"> </w:t>
            </w:r>
          </w:p>
        </w:tc>
        <w:tc>
          <w:tcPr>
            <w:tcW w:w="1472" w:type="dxa"/>
            <w:tcBorders>
              <w:top w:val="single" w:sz="8" w:space="0" w:color="000000"/>
              <w:left w:val="single" w:sz="8" w:space="0" w:color="000000"/>
              <w:bottom w:val="single" w:sz="8" w:space="0" w:color="000000"/>
              <w:right w:val="single" w:sz="8" w:space="0" w:color="000000"/>
            </w:tcBorders>
          </w:tcPr>
          <w:p w14:paraId="6385562F" w14:textId="1BFDAC84" w:rsidR="0045673A" w:rsidRDefault="00E17DF3">
            <w:pPr>
              <w:spacing w:after="0" w:line="259" w:lineRule="auto"/>
              <w:ind w:left="0" w:firstLine="0"/>
              <w:jc w:val="left"/>
            </w:pPr>
            <w:r>
              <w:t xml:space="preserve"> </w:t>
            </w:r>
          </w:p>
        </w:tc>
      </w:tr>
    </w:tbl>
    <w:p w14:paraId="276F8EA4" w14:textId="77777777" w:rsidR="0045673A" w:rsidRDefault="00E17DF3">
      <w:pPr>
        <w:spacing w:after="0" w:line="259" w:lineRule="auto"/>
        <w:ind w:left="0" w:firstLine="0"/>
        <w:jc w:val="left"/>
      </w:pPr>
      <w:r>
        <w:t xml:space="preserve"> </w:t>
      </w:r>
    </w:p>
    <w:p w14:paraId="7DBFF9AC" w14:textId="77777777" w:rsidR="0045673A" w:rsidRDefault="00E17DF3">
      <w:pPr>
        <w:ind w:right="643"/>
      </w:pPr>
      <w:r w:rsidRPr="00124281">
        <w:t>If yes, what should be the minimum criteria required for this element?</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C364A0" w14:paraId="78307519"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72C8D0D5" w14:textId="77777777" w:rsidR="000535EE" w:rsidRDefault="000535EE" w:rsidP="003E3944">
            <w:pPr>
              <w:spacing w:after="0" w:line="259" w:lineRule="auto"/>
              <w:ind w:left="0" w:firstLine="0"/>
              <w:jc w:val="left"/>
              <w:rPr>
                <w:sz w:val="20"/>
                <w:szCs w:val="20"/>
              </w:rPr>
            </w:pPr>
          </w:p>
          <w:p w14:paraId="48DA425B" w14:textId="1A2AB0AE" w:rsidR="0013411B" w:rsidRPr="001671EC" w:rsidRDefault="00C25ADB" w:rsidP="003E3944">
            <w:pPr>
              <w:spacing w:after="0" w:line="259" w:lineRule="auto"/>
              <w:ind w:left="0" w:firstLine="0"/>
              <w:jc w:val="left"/>
              <w:rPr>
                <w:sz w:val="20"/>
                <w:szCs w:val="20"/>
              </w:rPr>
            </w:pPr>
            <w:r w:rsidRPr="001671EC">
              <w:rPr>
                <w:sz w:val="20"/>
                <w:szCs w:val="20"/>
              </w:rPr>
              <w:t>An extension of the ‘good governance’ concept to encompass investment in government bonds could be beneficial</w:t>
            </w:r>
            <w:r w:rsidR="003E3944" w:rsidRPr="001671EC">
              <w:rPr>
                <w:sz w:val="20"/>
                <w:szCs w:val="20"/>
              </w:rPr>
              <w:t>, and could be linked to PAI 16: investee countries subject to social violations.</w:t>
            </w:r>
          </w:p>
        </w:tc>
      </w:tr>
    </w:tbl>
    <w:p w14:paraId="76092A54" w14:textId="77777777" w:rsidR="0045673A" w:rsidRDefault="00E17DF3">
      <w:pPr>
        <w:spacing w:after="216" w:line="259" w:lineRule="auto"/>
        <w:ind w:left="0" w:firstLine="0"/>
        <w:jc w:val="left"/>
      </w:pPr>
      <w:r>
        <w:t xml:space="preserve"> </w:t>
      </w:r>
    </w:p>
    <w:p w14:paraId="58A9C83C" w14:textId="77777777" w:rsidR="0045673A" w:rsidRDefault="00E17DF3">
      <w:pPr>
        <w:ind w:right="643"/>
      </w:pPr>
      <w:r>
        <w:rPr>
          <w:b/>
          <w:u w:val="single" w:color="000000"/>
        </w:rPr>
        <w:t>Question 4.1.12 c)</w:t>
      </w:r>
      <w:r>
        <w:t xml:space="preserve">: Should the good governance concept be adapted to include investments in real estate investments? </w:t>
      </w:r>
    </w:p>
    <w:p w14:paraId="0473790C" w14:textId="77777777" w:rsidR="0045673A" w:rsidRDefault="00E17DF3">
      <w:pPr>
        <w:spacing w:after="0" w:line="259" w:lineRule="auto"/>
        <w:ind w:left="0" w:firstLine="0"/>
        <w:jc w:val="left"/>
      </w:pPr>
      <w:r>
        <w:rPr>
          <w:rFonts w:ascii="Calibri" w:eastAsia="Calibri" w:hAnsi="Calibri" w:cs="Calibri"/>
        </w:rPr>
        <w:t xml:space="preserve"> </w:t>
      </w:r>
    </w:p>
    <w:tbl>
      <w:tblPr>
        <w:tblW w:w="4417" w:type="dxa"/>
        <w:tblCellMar>
          <w:top w:w="19" w:type="dxa"/>
          <w:right w:w="98" w:type="dxa"/>
        </w:tblCellMar>
        <w:tblLook w:val="04A0" w:firstRow="1" w:lastRow="0" w:firstColumn="1" w:lastColumn="0" w:noHBand="0" w:noVBand="1"/>
      </w:tblPr>
      <w:tblGrid>
        <w:gridCol w:w="1471"/>
        <w:gridCol w:w="1474"/>
        <w:gridCol w:w="1472"/>
      </w:tblGrid>
      <w:tr w:rsidR="0045673A" w14:paraId="01900F4E"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5CF76D44" w14:textId="77777777" w:rsidR="0045673A" w:rsidRDefault="00E17DF3">
            <w:pPr>
              <w:spacing w:after="0" w:line="259" w:lineRule="auto"/>
              <w:ind w:left="0" w:right="15" w:firstLine="0"/>
              <w:jc w:val="center"/>
            </w:pPr>
            <w:r>
              <w:t xml:space="preserve">Yes </w:t>
            </w:r>
          </w:p>
        </w:tc>
        <w:tc>
          <w:tcPr>
            <w:tcW w:w="1474" w:type="dxa"/>
            <w:tcBorders>
              <w:top w:val="single" w:sz="8" w:space="0" w:color="000000"/>
              <w:left w:val="single" w:sz="8" w:space="0" w:color="000000"/>
              <w:bottom w:val="single" w:sz="8" w:space="0" w:color="000000"/>
              <w:right w:val="single" w:sz="8" w:space="0" w:color="000000"/>
            </w:tcBorders>
          </w:tcPr>
          <w:p w14:paraId="1B27B47A" w14:textId="77777777" w:rsidR="0045673A" w:rsidRDefault="00E17DF3">
            <w:pPr>
              <w:spacing w:after="0" w:line="259" w:lineRule="auto"/>
              <w:ind w:left="0" w:right="9" w:firstLine="0"/>
              <w:jc w:val="center"/>
            </w:pPr>
            <w:r>
              <w:t xml:space="preserve">No </w:t>
            </w:r>
          </w:p>
        </w:tc>
        <w:tc>
          <w:tcPr>
            <w:tcW w:w="1472" w:type="dxa"/>
            <w:tcBorders>
              <w:top w:val="single" w:sz="8" w:space="0" w:color="000000"/>
              <w:left w:val="single" w:sz="8" w:space="0" w:color="000000"/>
              <w:bottom w:val="single" w:sz="8" w:space="0" w:color="000000"/>
              <w:right w:val="single" w:sz="8" w:space="0" w:color="000000"/>
            </w:tcBorders>
          </w:tcPr>
          <w:p w14:paraId="5D437FF0" w14:textId="77777777" w:rsidR="0045673A" w:rsidRDefault="00E17DF3">
            <w:pPr>
              <w:spacing w:after="0" w:line="259" w:lineRule="auto"/>
              <w:ind w:left="50" w:firstLine="0"/>
              <w:jc w:val="left"/>
            </w:pPr>
            <w:r>
              <w:t xml:space="preserve">Don’t know </w:t>
            </w:r>
          </w:p>
        </w:tc>
      </w:tr>
      <w:tr w:rsidR="0045673A" w14:paraId="6CD4CFD6"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0EA7D325" w14:textId="77777777" w:rsidR="0045673A" w:rsidRDefault="00E17DF3">
            <w:pPr>
              <w:spacing w:after="0" w:line="259" w:lineRule="auto"/>
              <w:ind w:left="0" w:firstLine="0"/>
              <w:jc w:val="left"/>
            </w:pPr>
            <w:r>
              <w:t xml:space="preserve"> </w:t>
            </w:r>
          </w:p>
        </w:tc>
        <w:tc>
          <w:tcPr>
            <w:tcW w:w="1474" w:type="dxa"/>
            <w:tcBorders>
              <w:top w:val="single" w:sz="8" w:space="0" w:color="000000"/>
              <w:left w:val="single" w:sz="8" w:space="0" w:color="000000"/>
              <w:bottom w:val="single" w:sz="8" w:space="0" w:color="000000"/>
              <w:right w:val="single" w:sz="8" w:space="0" w:color="000000"/>
            </w:tcBorders>
          </w:tcPr>
          <w:p w14:paraId="575BE192" w14:textId="192F7C5C" w:rsidR="0045673A" w:rsidRDefault="0013411B">
            <w:pPr>
              <w:spacing w:after="0" w:line="259" w:lineRule="auto"/>
              <w:ind w:left="2" w:firstLine="0"/>
              <w:jc w:val="left"/>
            </w:pPr>
            <w:r>
              <w:t xml:space="preserve"> </w:t>
            </w:r>
          </w:p>
        </w:tc>
        <w:tc>
          <w:tcPr>
            <w:tcW w:w="1472" w:type="dxa"/>
            <w:tcBorders>
              <w:top w:val="single" w:sz="8" w:space="0" w:color="000000"/>
              <w:left w:val="single" w:sz="8" w:space="0" w:color="000000"/>
              <w:bottom w:val="single" w:sz="8" w:space="0" w:color="000000"/>
              <w:right w:val="single" w:sz="8" w:space="0" w:color="000000"/>
            </w:tcBorders>
          </w:tcPr>
          <w:p w14:paraId="7AE98D0B" w14:textId="4FFF88CA" w:rsidR="0045673A" w:rsidRDefault="00E17DF3">
            <w:pPr>
              <w:spacing w:after="0" w:line="259" w:lineRule="auto"/>
              <w:ind w:left="0" w:firstLine="0"/>
              <w:jc w:val="left"/>
            </w:pPr>
            <w:r>
              <w:t xml:space="preserve"> </w:t>
            </w:r>
            <w:r w:rsidR="008010AF">
              <w:t>X</w:t>
            </w:r>
          </w:p>
        </w:tc>
      </w:tr>
    </w:tbl>
    <w:p w14:paraId="3B3633DD" w14:textId="77777777" w:rsidR="0045673A" w:rsidRDefault="00E17DF3">
      <w:pPr>
        <w:spacing w:after="0" w:line="259" w:lineRule="auto"/>
        <w:ind w:left="0" w:firstLine="0"/>
        <w:jc w:val="left"/>
      </w:pPr>
      <w:r>
        <w:t xml:space="preserve"> </w:t>
      </w:r>
    </w:p>
    <w:p w14:paraId="29706726" w14:textId="77777777" w:rsidR="0045673A" w:rsidRDefault="00E17DF3">
      <w:pPr>
        <w:ind w:right="643"/>
      </w:pPr>
      <w:r>
        <w:t xml:space="preserve">If yes, what should be the minimum criteria required for this element? </w:t>
      </w:r>
    </w:p>
    <w:tbl>
      <w:tblPr>
        <w:tblW w:w="8836" w:type="dxa"/>
        <w:tblInd w:w="-26" w:type="dxa"/>
        <w:tblCellMar>
          <w:top w:w="19" w:type="dxa"/>
          <w:right w:w="115" w:type="dxa"/>
        </w:tblCellMar>
        <w:tblLook w:val="04A0" w:firstRow="1" w:lastRow="0" w:firstColumn="1" w:lastColumn="0" w:noHBand="0" w:noVBand="1"/>
      </w:tblPr>
      <w:tblGrid>
        <w:gridCol w:w="8836"/>
      </w:tblGrid>
      <w:tr w:rsidR="00C364A0" w14:paraId="0DDE9FFD" w14:textId="77777777">
        <w:trPr>
          <w:trHeight w:val="536"/>
        </w:trPr>
        <w:tc>
          <w:tcPr>
            <w:tcW w:w="8836" w:type="dxa"/>
            <w:tcBorders>
              <w:top w:val="single" w:sz="8" w:space="0" w:color="000000"/>
              <w:left w:val="single" w:sz="8" w:space="0" w:color="000000"/>
              <w:bottom w:val="single" w:sz="8" w:space="0" w:color="000000"/>
              <w:right w:val="single" w:sz="4" w:space="0" w:color="000000"/>
            </w:tcBorders>
          </w:tcPr>
          <w:p w14:paraId="6BA90557" w14:textId="1A2C1F1A" w:rsidR="007F10AB" w:rsidRPr="00C40816" w:rsidRDefault="00E17DF3" w:rsidP="007F10AB">
            <w:pPr>
              <w:spacing w:after="0" w:line="259" w:lineRule="auto"/>
              <w:ind w:left="0" w:firstLine="0"/>
              <w:jc w:val="left"/>
            </w:pPr>
            <w:r w:rsidRPr="00C40816">
              <w:t xml:space="preserve"> </w:t>
            </w:r>
            <w:r w:rsidR="007F10AB" w:rsidRPr="00C40816">
              <w:t>No comments here</w:t>
            </w:r>
            <w:r w:rsidR="00C40816">
              <w:t xml:space="preserve"> from UKSIF.</w:t>
            </w:r>
          </w:p>
          <w:p w14:paraId="5831E9AE" w14:textId="4E3ED497" w:rsidR="0045673A" w:rsidRDefault="0045673A">
            <w:pPr>
              <w:spacing w:after="0" w:line="259" w:lineRule="auto"/>
              <w:ind w:left="0" w:firstLine="0"/>
              <w:jc w:val="left"/>
            </w:pPr>
          </w:p>
        </w:tc>
      </w:tr>
    </w:tbl>
    <w:p w14:paraId="30AC7657" w14:textId="77777777" w:rsidR="0045673A" w:rsidRDefault="00E17DF3">
      <w:pPr>
        <w:spacing w:after="0" w:line="259" w:lineRule="auto"/>
        <w:ind w:left="0" w:firstLine="0"/>
        <w:jc w:val="left"/>
      </w:pPr>
      <w:r>
        <w:t xml:space="preserve"> </w:t>
      </w:r>
    </w:p>
    <w:p w14:paraId="6344C1BE" w14:textId="77777777" w:rsidR="0045673A" w:rsidRPr="00124281" w:rsidRDefault="00E17DF3">
      <w:pPr>
        <w:tabs>
          <w:tab w:val="center" w:pos="1543"/>
          <w:tab w:val="center" w:pos="2397"/>
          <w:tab w:val="center" w:pos="3216"/>
          <w:tab w:val="center" w:pos="3984"/>
          <w:tab w:val="center" w:pos="4778"/>
          <w:tab w:val="center" w:pos="5739"/>
          <w:tab w:val="center" w:pos="6606"/>
          <w:tab w:val="center" w:pos="7628"/>
          <w:tab w:val="center" w:pos="8517"/>
        </w:tabs>
        <w:ind w:left="0" w:firstLine="0"/>
        <w:jc w:val="left"/>
      </w:pPr>
      <w:r w:rsidRPr="00124281">
        <w:rPr>
          <w:b/>
          <w:u w:val="single" w:color="000000"/>
        </w:rPr>
        <w:t xml:space="preserve">Question </w:t>
      </w:r>
      <w:r w:rsidRPr="00124281">
        <w:rPr>
          <w:b/>
          <w:u w:val="single" w:color="000000"/>
        </w:rPr>
        <w:tab/>
        <w:t>4.1.13</w:t>
      </w:r>
      <w:r w:rsidRPr="00124281">
        <w:t xml:space="preserve">: </w:t>
      </w:r>
      <w:r w:rsidRPr="00124281">
        <w:tab/>
        <w:t xml:space="preserve">How </w:t>
      </w:r>
      <w:r w:rsidRPr="00124281">
        <w:tab/>
        <w:t xml:space="preserve">would </w:t>
      </w:r>
      <w:r w:rsidRPr="00124281">
        <w:tab/>
        <w:t xml:space="preserve">you </w:t>
      </w:r>
      <w:r w:rsidRPr="00124281">
        <w:tab/>
        <w:t xml:space="preserve">further </w:t>
      </w:r>
      <w:r w:rsidRPr="00124281">
        <w:tab/>
        <w:t xml:space="preserve">specify </w:t>
      </w:r>
      <w:r w:rsidRPr="00124281">
        <w:tab/>
        <w:t xml:space="preserve">what </w:t>
      </w:r>
      <w:r w:rsidRPr="00124281">
        <w:tab/>
        <w:t xml:space="preserve">promotion </w:t>
      </w:r>
      <w:r w:rsidRPr="00124281">
        <w:tab/>
        <w:t xml:space="preserve">of </w:t>
      </w:r>
    </w:p>
    <w:p w14:paraId="5FC98391" w14:textId="77777777" w:rsidR="0045673A" w:rsidRDefault="00E17DF3">
      <w:pPr>
        <w:ind w:right="643"/>
      </w:pPr>
      <w:r w:rsidRPr="00124281">
        <w:t>‘environmental/social characteristics’ means, what should be the minimum criteria required for such characteristics and what should be the trigger for a product to be considered as promoting those characteristics?</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C364A0" w14:paraId="53CD53A3"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0724645B" w14:textId="77777777" w:rsidR="000535EE" w:rsidRDefault="000535EE">
            <w:pPr>
              <w:spacing w:after="0" w:line="259" w:lineRule="auto"/>
              <w:ind w:left="0" w:firstLine="0"/>
              <w:jc w:val="left"/>
              <w:rPr>
                <w:sz w:val="20"/>
                <w:szCs w:val="20"/>
              </w:rPr>
            </w:pPr>
          </w:p>
          <w:p w14:paraId="7EF07280" w14:textId="378868AC" w:rsidR="00331A12" w:rsidRPr="00081C39" w:rsidRDefault="005F0D38">
            <w:pPr>
              <w:spacing w:after="0" w:line="259" w:lineRule="auto"/>
              <w:ind w:left="0" w:firstLine="0"/>
              <w:jc w:val="left"/>
              <w:rPr>
                <w:sz w:val="20"/>
                <w:szCs w:val="20"/>
              </w:rPr>
            </w:pPr>
            <w:r w:rsidRPr="00081C39">
              <w:rPr>
                <w:sz w:val="20"/>
                <w:szCs w:val="20"/>
              </w:rPr>
              <w:t xml:space="preserve">One way of adding further specificity to the promotion of ‘environmental/social characteristics’ could be to </w:t>
            </w:r>
            <w:r w:rsidR="00F756FB" w:rsidRPr="00081C39">
              <w:rPr>
                <w:sz w:val="20"/>
                <w:szCs w:val="20"/>
              </w:rPr>
              <w:t>bring in the concept of ‘intentionality’ into this concept, with relevant products required to</w:t>
            </w:r>
            <w:r w:rsidR="00FD3F21" w:rsidRPr="00081C39">
              <w:rPr>
                <w:sz w:val="20"/>
                <w:szCs w:val="20"/>
              </w:rPr>
              <w:t xml:space="preserve"> clearly</w:t>
            </w:r>
            <w:r w:rsidR="00F756FB" w:rsidRPr="00081C39">
              <w:rPr>
                <w:sz w:val="20"/>
                <w:szCs w:val="20"/>
              </w:rPr>
              <w:t xml:space="preserve"> demonstrate</w:t>
            </w:r>
            <w:r w:rsidR="00373EA9" w:rsidRPr="00081C39">
              <w:rPr>
                <w:sz w:val="20"/>
                <w:szCs w:val="20"/>
              </w:rPr>
              <w:t xml:space="preserve"> and provide a statement of intention</w:t>
            </w:r>
            <w:r w:rsidR="000F7F32" w:rsidRPr="00081C39">
              <w:rPr>
                <w:sz w:val="20"/>
                <w:szCs w:val="20"/>
              </w:rPr>
              <w:t>, with performance then measured against this</w:t>
            </w:r>
            <w:r w:rsidR="00D25E34" w:rsidRPr="00081C39">
              <w:rPr>
                <w:sz w:val="20"/>
                <w:szCs w:val="20"/>
              </w:rPr>
              <w:t xml:space="preserve"> and disclosed. </w:t>
            </w:r>
          </w:p>
          <w:p w14:paraId="7B54EF7A" w14:textId="77777777" w:rsidR="00331A12" w:rsidRPr="00081C39" w:rsidRDefault="00331A12">
            <w:pPr>
              <w:spacing w:after="0" w:line="259" w:lineRule="auto"/>
              <w:ind w:left="0" w:firstLine="0"/>
              <w:jc w:val="left"/>
              <w:rPr>
                <w:sz w:val="20"/>
                <w:szCs w:val="20"/>
              </w:rPr>
            </w:pPr>
          </w:p>
          <w:p w14:paraId="50C940F2" w14:textId="4B52886D" w:rsidR="00743110" w:rsidRPr="005F0D38" w:rsidRDefault="00331A12">
            <w:pPr>
              <w:spacing w:after="0" w:line="259" w:lineRule="auto"/>
              <w:ind w:left="0" w:firstLine="0"/>
              <w:jc w:val="left"/>
            </w:pPr>
            <w:r w:rsidRPr="00081C39">
              <w:rPr>
                <w:sz w:val="20"/>
                <w:szCs w:val="20"/>
              </w:rPr>
              <w:t xml:space="preserve">‘Promotion’ could be replaced by ‘demonstration’ in this respect </w:t>
            </w:r>
            <w:r w:rsidR="003547EE" w:rsidRPr="00081C39">
              <w:rPr>
                <w:sz w:val="20"/>
                <w:szCs w:val="20"/>
              </w:rPr>
              <w:t xml:space="preserve">of </w:t>
            </w:r>
            <w:r w:rsidRPr="00081C39">
              <w:rPr>
                <w:sz w:val="20"/>
                <w:szCs w:val="20"/>
              </w:rPr>
              <w:t>the sustainability features of a product</w:t>
            </w:r>
            <w:r w:rsidR="003547EE" w:rsidRPr="00081C39">
              <w:rPr>
                <w:sz w:val="20"/>
                <w:szCs w:val="20"/>
              </w:rPr>
              <w:t>.</w:t>
            </w:r>
          </w:p>
        </w:tc>
      </w:tr>
    </w:tbl>
    <w:p w14:paraId="070E783F" w14:textId="77777777" w:rsidR="0045673A" w:rsidRDefault="00E17DF3">
      <w:pPr>
        <w:spacing w:after="0" w:line="259" w:lineRule="auto"/>
        <w:ind w:left="0" w:firstLine="0"/>
        <w:jc w:val="left"/>
      </w:pPr>
      <w:r>
        <w:rPr>
          <w:b/>
        </w:rPr>
        <w:t xml:space="preserve"> </w:t>
      </w:r>
    </w:p>
    <w:p w14:paraId="5127CF2B" w14:textId="77777777" w:rsidR="0045673A" w:rsidRDefault="00E17DF3">
      <w:pPr>
        <w:ind w:right="643"/>
      </w:pPr>
      <w:r>
        <w:rPr>
          <w:b/>
          <w:u w:val="single" w:color="000000"/>
        </w:rPr>
        <w:t>Question 4.1.14:</w:t>
      </w:r>
      <w:r>
        <w:rPr>
          <w:b/>
        </w:rPr>
        <w:t xml:space="preserve"> </w:t>
      </w:r>
      <w:r>
        <w:t xml:space="preserve">Do you think that a minimum proportion of investments in taxonomy aligned activities shall be required as a criterion to: </w:t>
      </w:r>
    </w:p>
    <w:p w14:paraId="7F438CFE" w14:textId="77777777" w:rsidR="0045673A" w:rsidRDefault="00E17DF3">
      <w:pPr>
        <w:spacing w:after="0" w:line="259" w:lineRule="auto"/>
        <w:ind w:left="0" w:firstLine="0"/>
        <w:jc w:val="left"/>
      </w:pPr>
      <w:r>
        <w:rPr>
          <w:rFonts w:ascii="Calibri" w:eastAsia="Calibri" w:hAnsi="Calibri" w:cs="Calibri"/>
        </w:rPr>
        <w:t xml:space="preserve"> </w:t>
      </w:r>
    </w:p>
    <w:tbl>
      <w:tblPr>
        <w:tblW w:w="8836" w:type="dxa"/>
        <w:tblCellMar>
          <w:top w:w="19" w:type="dxa"/>
          <w:right w:w="49" w:type="dxa"/>
        </w:tblCellMar>
        <w:tblLook w:val="04A0" w:firstRow="1" w:lastRow="0" w:firstColumn="1" w:lastColumn="0" w:noHBand="0" w:noVBand="1"/>
      </w:tblPr>
      <w:tblGrid>
        <w:gridCol w:w="3262"/>
        <w:gridCol w:w="1858"/>
        <w:gridCol w:w="1858"/>
        <w:gridCol w:w="1858"/>
      </w:tblGrid>
      <w:tr w:rsidR="0045673A" w14:paraId="0769641A" w14:textId="77777777">
        <w:trPr>
          <w:trHeight w:val="598"/>
        </w:trPr>
        <w:tc>
          <w:tcPr>
            <w:tcW w:w="3262" w:type="dxa"/>
            <w:tcBorders>
              <w:top w:val="single" w:sz="8" w:space="0" w:color="000000"/>
              <w:left w:val="single" w:sz="8" w:space="0" w:color="000000"/>
              <w:bottom w:val="single" w:sz="8" w:space="0" w:color="000000"/>
              <w:right w:val="single" w:sz="8" w:space="0" w:color="000000"/>
            </w:tcBorders>
          </w:tcPr>
          <w:p w14:paraId="5D84ED73" w14:textId="77777777" w:rsidR="0045673A" w:rsidRDefault="00E17DF3">
            <w:pPr>
              <w:spacing w:after="0" w:line="259" w:lineRule="auto"/>
              <w:ind w:left="0" w:right="8" w:firstLine="0"/>
              <w:jc w:val="center"/>
            </w:pPr>
            <w:r>
              <w:rPr>
                <w:rFonts w:ascii="Calibri" w:eastAsia="Calibri" w:hAnsi="Calibri" w:cs="Calibri"/>
              </w:rPr>
              <w:t xml:space="preserve"> </w:t>
            </w:r>
          </w:p>
        </w:tc>
        <w:tc>
          <w:tcPr>
            <w:tcW w:w="1858" w:type="dxa"/>
            <w:tcBorders>
              <w:top w:val="single" w:sz="8" w:space="0" w:color="000000"/>
              <w:left w:val="single" w:sz="8" w:space="0" w:color="000000"/>
              <w:bottom w:val="single" w:sz="8" w:space="0" w:color="000000"/>
              <w:right w:val="single" w:sz="8" w:space="0" w:color="000000"/>
            </w:tcBorders>
          </w:tcPr>
          <w:p w14:paraId="4F96344F" w14:textId="77777777" w:rsidR="0045673A" w:rsidRDefault="00E17DF3">
            <w:pPr>
              <w:spacing w:after="0" w:line="259" w:lineRule="auto"/>
              <w:ind w:left="0" w:right="62" w:firstLine="0"/>
              <w:jc w:val="center"/>
            </w:pPr>
            <w:r>
              <w:t xml:space="preserve">Yes </w:t>
            </w:r>
          </w:p>
        </w:tc>
        <w:tc>
          <w:tcPr>
            <w:tcW w:w="1858" w:type="dxa"/>
            <w:tcBorders>
              <w:top w:val="single" w:sz="8" w:space="0" w:color="000000"/>
              <w:left w:val="single" w:sz="8" w:space="0" w:color="000000"/>
              <w:bottom w:val="single" w:sz="8" w:space="0" w:color="000000"/>
              <w:right w:val="single" w:sz="8" w:space="0" w:color="000000"/>
            </w:tcBorders>
          </w:tcPr>
          <w:p w14:paraId="5061AB3E" w14:textId="77777777" w:rsidR="0045673A" w:rsidRDefault="00E17DF3">
            <w:pPr>
              <w:spacing w:after="0" w:line="259" w:lineRule="auto"/>
              <w:ind w:left="0" w:right="60" w:firstLine="0"/>
              <w:jc w:val="center"/>
            </w:pPr>
            <w:r>
              <w:t xml:space="preserve">No </w:t>
            </w:r>
          </w:p>
        </w:tc>
        <w:tc>
          <w:tcPr>
            <w:tcW w:w="1858" w:type="dxa"/>
            <w:tcBorders>
              <w:top w:val="single" w:sz="8" w:space="0" w:color="000000"/>
              <w:left w:val="single" w:sz="8" w:space="0" w:color="000000"/>
              <w:bottom w:val="single" w:sz="8" w:space="0" w:color="000000"/>
              <w:right w:val="single" w:sz="8" w:space="0" w:color="000000"/>
            </w:tcBorders>
          </w:tcPr>
          <w:p w14:paraId="4DF33C9E" w14:textId="77777777" w:rsidR="0045673A" w:rsidRDefault="00E17DF3">
            <w:pPr>
              <w:spacing w:after="0" w:line="259" w:lineRule="auto"/>
              <w:ind w:left="0" w:right="64" w:firstLine="0"/>
              <w:jc w:val="center"/>
            </w:pPr>
            <w:r>
              <w:t xml:space="preserve">Don’t know </w:t>
            </w:r>
          </w:p>
        </w:tc>
      </w:tr>
      <w:tr w:rsidR="0045673A" w14:paraId="21E27236" w14:textId="77777777">
        <w:trPr>
          <w:trHeight w:val="895"/>
        </w:trPr>
        <w:tc>
          <w:tcPr>
            <w:tcW w:w="3262" w:type="dxa"/>
            <w:tcBorders>
              <w:top w:val="single" w:sz="8" w:space="0" w:color="000000"/>
              <w:left w:val="single" w:sz="8" w:space="0" w:color="000000"/>
              <w:bottom w:val="single" w:sz="8" w:space="0" w:color="000000"/>
              <w:right w:val="single" w:sz="8" w:space="0" w:color="000000"/>
            </w:tcBorders>
          </w:tcPr>
          <w:p w14:paraId="7131DFBB" w14:textId="77777777" w:rsidR="0045673A" w:rsidRDefault="00E17DF3">
            <w:pPr>
              <w:spacing w:after="0" w:line="259" w:lineRule="auto"/>
              <w:ind w:left="0" w:firstLine="0"/>
            </w:pPr>
            <w:r>
              <w:t>…fall under the potential new product category of Article 8?</w:t>
            </w:r>
            <w:r>
              <w:rPr>
                <w:rFonts w:ascii="Calibri" w:eastAsia="Calibri" w:hAnsi="Calibri" w:cs="Calibri"/>
              </w:rPr>
              <w:t xml:space="preserve"> </w:t>
            </w:r>
          </w:p>
        </w:tc>
        <w:tc>
          <w:tcPr>
            <w:tcW w:w="1858" w:type="dxa"/>
            <w:tcBorders>
              <w:top w:val="single" w:sz="8" w:space="0" w:color="000000"/>
              <w:left w:val="single" w:sz="8" w:space="0" w:color="000000"/>
              <w:bottom w:val="single" w:sz="8" w:space="0" w:color="000000"/>
              <w:right w:val="single" w:sz="8" w:space="0" w:color="000000"/>
            </w:tcBorders>
          </w:tcPr>
          <w:p w14:paraId="2161022B" w14:textId="77777777" w:rsidR="0045673A" w:rsidRDefault="00E17DF3">
            <w:pPr>
              <w:spacing w:after="0" w:line="259" w:lineRule="auto"/>
              <w:ind w:left="0" w:firstLine="0"/>
              <w:jc w:val="left"/>
            </w:pPr>
            <w:r>
              <w:t xml:space="preserve"> </w:t>
            </w:r>
          </w:p>
        </w:tc>
        <w:tc>
          <w:tcPr>
            <w:tcW w:w="1858" w:type="dxa"/>
            <w:tcBorders>
              <w:top w:val="single" w:sz="8" w:space="0" w:color="000000"/>
              <w:left w:val="single" w:sz="8" w:space="0" w:color="000000"/>
              <w:bottom w:val="single" w:sz="8" w:space="0" w:color="000000"/>
              <w:right w:val="single" w:sz="8" w:space="0" w:color="000000"/>
            </w:tcBorders>
          </w:tcPr>
          <w:p w14:paraId="219D0191" w14:textId="74CB1F05" w:rsidR="0045673A" w:rsidRDefault="00E17DF3">
            <w:pPr>
              <w:spacing w:after="0" w:line="259" w:lineRule="auto"/>
              <w:ind w:left="0" w:firstLine="0"/>
              <w:jc w:val="left"/>
            </w:pPr>
            <w:r>
              <w:t xml:space="preserve"> </w:t>
            </w:r>
            <w:r w:rsidR="007678C7">
              <w:t xml:space="preserve"> </w:t>
            </w:r>
          </w:p>
        </w:tc>
        <w:tc>
          <w:tcPr>
            <w:tcW w:w="1858" w:type="dxa"/>
            <w:tcBorders>
              <w:top w:val="single" w:sz="8" w:space="0" w:color="000000"/>
              <w:left w:val="single" w:sz="8" w:space="0" w:color="000000"/>
              <w:bottom w:val="single" w:sz="8" w:space="0" w:color="000000"/>
              <w:right w:val="single" w:sz="8" w:space="0" w:color="000000"/>
            </w:tcBorders>
          </w:tcPr>
          <w:p w14:paraId="1F51D844" w14:textId="4D909145" w:rsidR="0045673A" w:rsidRDefault="00676F2E">
            <w:pPr>
              <w:spacing w:after="0" w:line="259" w:lineRule="auto"/>
              <w:ind w:left="0" w:firstLine="0"/>
              <w:jc w:val="left"/>
            </w:pPr>
            <w:r>
              <w:t>X</w:t>
            </w:r>
          </w:p>
        </w:tc>
      </w:tr>
      <w:tr w:rsidR="0045673A" w14:paraId="7251EA15" w14:textId="77777777">
        <w:trPr>
          <w:trHeight w:val="895"/>
        </w:trPr>
        <w:tc>
          <w:tcPr>
            <w:tcW w:w="3262" w:type="dxa"/>
            <w:tcBorders>
              <w:top w:val="single" w:sz="8" w:space="0" w:color="000000"/>
              <w:left w:val="single" w:sz="8" w:space="0" w:color="000000"/>
              <w:bottom w:val="single" w:sz="8" w:space="0" w:color="000000"/>
              <w:right w:val="single" w:sz="8" w:space="0" w:color="000000"/>
            </w:tcBorders>
          </w:tcPr>
          <w:p w14:paraId="07443C5D" w14:textId="77777777" w:rsidR="0045673A" w:rsidRDefault="00E17DF3">
            <w:pPr>
              <w:spacing w:after="0" w:line="259" w:lineRule="auto"/>
              <w:ind w:left="0" w:firstLine="0"/>
            </w:pPr>
            <w:r>
              <w:t>…fall under the potential new product category of Article 9?</w:t>
            </w:r>
            <w:r>
              <w:rPr>
                <w:rFonts w:ascii="Calibri" w:eastAsia="Calibri" w:hAnsi="Calibri" w:cs="Calibri"/>
              </w:rPr>
              <w:t xml:space="preserve"> </w:t>
            </w:r>
          </w:p>
        </w:tc>
        <w:tc>
          <w:tcPr>
            <w:tcW w:w="1858" w:type="dxa"/>
            <w:tcBorders>
              <w:top w:val="single" w:sz="8" w:space="0" w:color="000000"/>
              <w:left w:val="single" w:sz="8" w:space="0" w:color="000000"/>
              <w:bottom w:val="single" w:sz="8" w:space="0" w:color="000000"/>
              <w:right w:val="single" w:sz="8" w:space="0" w:color="000000"/>
            </w:tcBorders>
          </w:tcPr>
          <w:p w14:paraId="5FCC7ED8" w14:textId="77777777" w:rsidR="0045673A" w:rsidRDefault="00E17DF3">
            <w:pPr>
              <w:spacing w:after="0" w:line="259" w:lineRule="auto"/>
              <w:ind w:left="0" w:firstLine="0"/>
              <w:jc w:val="left"/>
            </w:pPr>
            <w:r>
              <w:rPr>
                <w:rFonts w:ascii="Calibri" w:eastAsia="Calibri" w:hAnsi="Calibri" w:cs="Calibri"/>
              </w:rPr>
              <w:t xml:space="preserve"> </w:t>
            </w:r>
          </w:p>
        </w:tc>
        <w:tc>
          <w:tcPr>
            <w:tcW w:w="1858" w:type="dxa"/>
            <w:tcBorders>
              <w:top w:val="single" w:sz="8" w:space="0" w:color="000000"/>
              <w:left w:val="single" w:sz="8" w:space="0" w:color="000000"/>
              <w:bottom w:val="single" w:sz="8" w:space="0" w:color="000000"/>
              <w:right w:val="single" w:sz="8" w:space="0" w:color="000000"/>
            </w:tcBorders>
          </w:tcPr>
          <w:p w14:paraId="432B141D" w14:textId="2F720AAA" w:rsidR="0045673A" w:rsidRDefault="00E17DF3">
            <w:pPr>
              <w:spacing w:after="0" w:line="259" w:lineRule="auto"/>
              <w:ind w:left="0" w:firstLine="0"/>
              <w:jc w:val="left"/>
            </w:pPr>
            <w:r>
              <w:rPr>
                <w:rFonts w:ascii="Calibri" w:eastAsia="Calibri" w:hAnsi="Calibri" w:cs="Calibri"/>
              </w:rPr>
              <w:t xml:space="preserve"> </w:t>
            </w:r>
          </w:p>
        </w:tc>
        <w:tc>
          <w:tcPr>
            <w:tcW w:w="1858" w:type="dxa"/>
            <w:tcBorders>
              <w:top w:val="single" w:sz="8" w:space="0" w:color="000000"/>
              <w:left w:val="single" w:sz="8" w:space="0" w:color="000000"/>
              <w:bottom w:val="single" w:sz="8" w:space="0" w:color="000000"/>
              <w:right w:val="single" w:sz="8" w:space="0" w:color="000000"/>
            </w:tcBorders>
          </w:tcPr>
          <w:p w14:paraId="66AF68BC" w14:textId="14F3FE1C" w:rsidR="0045673A" w:rsidRDefault="00E01612">
            <w:pPr>
              <w:spacing w:after="0" w:line="259" w:lineRule="auto"/>
              <w:ind w:left="0" w:firstLine="0"/>
              <w:jc w:val="left"/>
            </w:pPr>
            <w:r>
              <w:t>X</w:t>
            </w:r>
          </w:p>
        </w:tc>
      </w:tr>
    </w:tbl>
    <w:p w14:paraId="4B8E1626" w14:textId="77777777" w:rsidR="0045673A" w:rsidRDefault="00E17DF3">
      <w:pPr>
        <w:spacing w:after="0" w:line="259" w:lineRule="auto"/>
        <w:ind w:left="0" w:firstLine="0"/>
        <w:jc w:val="left"/>
      </w:pPr>
      <w:r>
        <w:t xml:space="preserve"> </w:t>
      </w:r>
    </w:p>
    <w:p w14:paraId="24F486A6" w14:textId="77777777" w:rsidR="0045673A" w:rsidRDefault="00E17DF3">
      <w:pPr>
        <w:ind w:right="643"/>
      </w:pPr>
      <w:r>
        <w:rPr>
          <w:b/>
          <w:u w:val="single" w:color="000000"/>
        </w:rPr>
        <w:t>Question 4.1.14 a):</w:t>
      </w:r>
      <w:r>
        <w:rPr>
          <w:b/>
        </w:rPr>
        <w:t xml:space="preserve"> </w:t>
      </w:r>
      <w:r>
        <w:t xml:space="preserve">If yes, what should be this minimum proportion for Article 8?  </w:t>
      </w:r>
    </w:p>
    <w:p w14:paraId="53DE55C9" w14:textId="77777777" w:rsidR="0045673A" w:rsidRDefault="00E17DF3">
      <w:pPr>
        <w:spacing w:after="0" w:line="259" w:lineRule="auto"/>
        <w:ind w:left="0" w:firstLine="0"/>
        <w:jc w:val="left"/>
      </w:pP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C364A0" w14:paraId="458F4BB6"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138DE4CD" w14:textId="29D46244" w:rsidR="0045673A" w:rsidRPr="007D4E37" w:rsidRDefault="00E17DF3">
            <w:pPr>
              <w:spacing w:after="0" w:line="259" w:lineRule="auto"/>
              <w:ind w:left="0" w:firstLine="0"/>
              <w:jc w:val="left"/>
              <w:rPr>
                <w:szCs w:val="24"/>
              </w:rPr>
            </w:pPr>
            <w:r w:rsidRPr="007D4E37">
              <w:rPr>
                <w:szCs w:val="24"/>
              </w:rPr>
              <w:t xml:space="preserve"> </w:t>
            </w:r>
            <w:r w:rsidR="006317C5" w:rsidRPr="007D4E37">
              <w:rPr>
                <w:szCs w:val="24"/>
              </w:rPr>
              <w:t>No comments</w:t>
            </w:r>
          </w:p>
        </w:tc>
      </w:tr>
    </w:tbl>
    <w:p w14:paraId="25586AA6" w14:textId="77777777" w:rsidR="0045673A" w:rsidRDefault="00E17DF3">
      <w:pPr>
        <w:spacing w:after="0" w:line="259" w:lineRule="auto"/>
        <w:ind w:left="0" w:firstLine="0"/>
        <w:jc w:val="left"/>
      </w:pPr>
      <w:r>
        <w:rPr>
          <w:b/>
        </w:rPr>
        <w:t xml:space="preserve"> </w:t>
      </w:r>
    </w:p>
    <w:p w14:paraId="4C001A80" w14:textId="77777777" w:rsidR="0045673A" w:rsidRDefault="00E17DF3">
      <w:pPr>
        <w:ind w:right="643"/>
      </w:pPr>
      <w:r>
        <w:rPr>
          <w:b/>
          <w:u w:val="single" w:color="000000"/>
        </w:rPr>
        <w:t>Question 4.1.14 b):</w:t>
      </w:r>
      <w:r>
        <w:rPr>
          <w:b/>
        </w:rPr>
        <w:t xml:space="preserve"> </w:t>
      </w:r>
      <w:r>
        <w:t xml:space="preserve">If yes, what should be this minimum proportion for Article 9? </w:t>
      </w:r>
    </w:p>
    <w:p w14:paraId="3B05832E" w14:textId="77777777" w:rsidR="0045673A" w:rsidRDefault="00E17DF3">
      <w:pPr>
        <w:spacing w:after="0" w:line="259" w:lineRule="auto"/>
        <w:ind w:left="0" w:firstLine="0"/>
        <w:jc w:val="left"/>
      </w:pPr>
      <w:r>
        <w:t xml:space="preserve"> </w:t>
      </w:r>
    </w:p>
    <w:tbl>
      <w:tblPr>
        <w:tblW w:w="8836" w:type="dxa"/>
        <w:tblInd w:w="-26" w:type="dxa"/>
        <w:tblCellMar>
          <w:top w:w="21" w:type="dxa"/>
          <w:right w:w="115" w:type="dxa"/>
        </w:tblCellMar>
        <w:tblLook w:val="04A0" w:firstRow="1" w:lastRow="0" w:firstColumn="1" w:lastColumn="0" w:noHBand="0" w:noVBand="1"/>
      </w:tblPr>
      <w:tblGrid>
        <w:gridCol w:w="8836"/>
      </w:tblGrid>
      <w:tr w:rsidR="00C364A0" w14:paraId="06D1A549"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5D865E04" w14:textId="3E567ECD" w:rsidR="0045673A" w:rsidRPr="007D4E37" w:rsidRDefault="00E17DF3">
            <w:pPr>
              <w:spacing w:after="0" w:line="259" w:lineRule="auto"/>
              <w:ind w:left="0" w:firstLine="0"/>
              <w:jc w:val="left"/>
            </w:pPr>
            <w:r w:rsidRPr="007D4E37">
              <w:t xml:space="preserve"> </w:t>
            </w:r>
            <w:r w:rsidR="006317C5" w:rsidRPr="007D4E37">
              <w:t>No comments</w:t>
            </w:r>
          </w:p>
        </w:tc>
      </w:tr>
    </w:tbl>
    <w:p w14:paraId="33BE8F3A" w14:textId="77777777" w:rsidR="0045673A" w:rsidRDefault="00E17DF3">
      <w:pPr>
        <w:spacing w:after="0" w:line="259" w:lineRule="auto"/>
        <w:ind w:left="0" w:firstLine="0"/>
        <w:jc w:val="left"/>
      </w:pPr>
      <w:r>
        <w:rPr>
          <w:b/>
        </w:rPr>
        <w:t xml:space="preserve"> </w:t>
      </w:r>
    </w:p>
    <w:p w14:paraId="30897645" w14:textId="77777777" w:rsidR="0045673A" w:rsidRDefault="00E17DF3">
      <w:pPr>
        <w:ind w:right="643"/>
      </w:pPr>
      <w:r w:rsidRPr="00124281">
        <w:rPr>
          <w:b/>
          <w:u w:val="single" w:color="000000"/>
        </w:rPr>
        <w:t xml:space="preserve">Question 4.1.15: </w:t>
      </w:r>
      <w:r w:rsidRPr="00124281">
        <w:t>Apart from the need to promote environmental/social characteristics and to invest in companies that follow good governance practices for Article 8 products and the need to have sustainable investments as an objective for Article 9 products, should any other criterion be considered for a product to fall under one of the categories?</w:t>
      </w:r>
      <w:r>
        <w:t xml:space="preserve"> </w:t>
      </w:r>
    </w:p>
    <w:p w14:paraId="248AF282" w14:textId="77777777" w:rsidR="0045673A" w:rsidRDefault="00E17DF3">
      <w:pPr>
        <w:spacing w:after="0" w:line="259" w:lineRule="auto"/>
        <w:ind w:left="0" w:firstLine="0"/>
        <w:jc w:val="left"/>
      </w:pP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C364A0" w14:paraId="15DDC479"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379A48FB" w14:textId="77777777" w:rsidR="000535EE" w:rsidRDefault="000535EE">
            <w:pPr>
              <w:spacing w:after="0" w:line="259" w:lineRule="auto"/>
              <w:ind w:left="0" w:firstLine="0"/>
              <w:jc w:val="left"/>
              <w:rPr>
                <w:sz w:val="20"/>
                <w:szCs w:val="20"/>
              </w:rPr>
            </w:pPr>
          </w:p>
          <w:p w14:paraId="6D2ACACF" w14:textId="1D00827A" w:rsidR="00C06AF5" w:rsidRDefault="00C732EF">
            <w:pPr>
              <w:spacing w:after="0" w:line="259" w:lineRule="auto"/>
              <w:ind w:left="0" w:firstLine="0"/>
              <w:jc w:val="left"/>
              <w:rPr>
                <w:sz w:val="20"/>
                <w:szCs w:val="20"/>
              </w:rPr>
            </w:pPr>
            <w:r w:rsidRPr="00E168D4">
              <w:rPr>
                <w:sz w:val="20"/>
                <w:szCs w:val="20"/>
              </w:rPr>
              <w:t>As previously highlighted in our response, the concept of ‘promoting</w:t>
            </w:r>
            <w:r w:rsidR="00B24F3B" w:rsidRPr="00E168D4">
              <w:rPr>
                <w:sz w:val="20"/>
                <w:szCs w:val="20"/>
              </w:rPr>
              <w:t xml:space="preserve"> environmental/social characteristics’ should evolve to require demonstration </w:t>
            </w:r>
            <w:r w:rsidR="006A3878" w:rsidRPr="00E168D4">
              <w:rPr>
                <w:sz w:val="20"/>
                <w:szCs w:val="20"/>
              </w:rPr>
              <w:t xml:space="preserve">in practice and the intention that these characteristics are at the heart of the investment decision-making process. </w:t>
            </w:r>
          </w:p>
          <w:p w14:paraId="42553A8D" w14:textId="77777777" w:rsidR="001709D3" w:rsidRDefault="001709D3">
            <w:pPr>
              <w:spacing w:after="0" w:line="259" w:lineRule="auto"/>
              <w:ind w:left="0" w:firstLine="0"/>
              <w:jc w:val="left"/>
              <w:rPr>
                <w:sz w:val="20"/>
                <w:szCs w:val="20"/>
              </w:rPr>
            </w:pPr>
          </w:p>
          <w:p w14:paraId="49F57E82" w14:textId="40FEC400" w:rsidR="001709D3" w:rsidRPr="00E168D4" w:rsidRDefault="001709D3" w:rsidP="006508E4">
            <w:pPr>
              <w:spacing w:after="0" w:line="259" w:lineRule="auto"/>
              <w:ind w:left="0" w:firstLine="0"/>
              <w:jc w:val="left"/>
              <w:rPr>
                <w:sz w:val="20"/>
                <w:szCs w:val="20"/>
              </w:rPr>
            </w:pPr>
            <w:r>
              <w:rPr>
                <w:sz w:val="20"/>
                <w:szCs w:val="20"/>
              </w:rPr>
              <w:t xml:space="preserve">We would advise the Commission adopt a broader approach to criteria for those funds falling under one of the categories, beyond a ‘green taxonomy’ alone. This is in part due to </w:t>
            </w:r>
            <w:r w:rsidR="00204C5E">
              <w:rPr>
                <w:sz w:val="20"/>
                <w:szCs w:val="20"/>
              </w:rPr>
              <w:t xml:space="preserve">the challenges of obtaining high-quality taxonomy-related data in the market, and </w:t>
            </w:r>
            <w:r w:rsidR="00923CBC">
              <w:rPr>
                <w:sz w:val="20"/>
                <w:szCs w:val="20"/>
              </w:rPr>
              <w:t xml:space="preserve">more limited applicability to environmental-focused funds. The new criteria for the EU’s categories should be based on the FCA’s SDR approach whereby </w:t>
            </w:r>
            <w:r w:rsidR="006508E4">
              <w:rPr>
                <w:sz w:val="20"/>
                <w:szCs w:val="20"/>
              </w:rPr>
              <w:t xml:space="preserve">funds must disclose </w:t>
            </w:r>
            <w:r w:rsidR="006508E4" w:rsidRPr="006508E4">
              <w:rPr>
                <w:sz w:val="20"/>
                <w:szCs w:val="20"/>
              </w:rPr>
              <w:t>a ‘robust, evidence-based</w:t>
            </w:r>
            <w:r w:rsidR="006508E4">
              <w:rPr>
                <w:sz w:val="20"/>
                <w:szCs w:val="20"/>
              </w:rPr>
              <w:t xml:space="preserve"> </w:t>
            </w:r>
            <w:r w:rsidR="006508E4" w:rsidRPr="006508E4">
              <w:rPr>
                <w:sz w:val="20"/>
                <w:szCs w:val="20"/>
              </w:rPr>
              <w:t>standard that is an absolute measure of sustainability’</w:t>
            </w:r>
            <w:r w:rsidR="006508E4">
              <w:rPr>
                <w:sz w:val="20"/>
                <w:szCs w:val="20"/>
              </w:rPr>
              <w:t xml:space="preserve">, </w:t>
            </w:r>
            <w:r w:rsidR="00306720">
              <w:rPr>
                <w:sz w:val="20"/>
                <w:szCs w:val="20"/>
              </w:rPr>
              <w:t>based on a taxonomy or other authoritative standard.</w:t>
            </w:r>
          </w:p>
          <w:p w14:paraId="01863CF9" w14:textId="26C9512C" w:rsidR="0045673A" w:rsidRDefault="0045673A" w:rsidP="006B019E">
            <w:pPr>
              <w:spacing w:after="0" w:line="259" w:lineRule="auto"/>
              <w:ind w:left="0" w:firstLine="0"/>
              <w:jc w:val="left"/>
            </w:pPr>
          </w:p>
        </w:tc>
      </w:tr>
    </w:tbl>
    <w:p w14:paraId="77C70948" w14:textId="77777777" w:rsidR="0045673A" w:rsidRDefault="00E17DF3">
      <w:pPr>
        <w:spacing w:after="260" w:line="259" w:lineRule="auto"/>
        <w:ind w:left="0" w:firstLine="0"/>
        <w:jc w:val="left"/>
      </w:pPr>
      <w:r>
        <w:rPr>
          <w:b/>
        </w:rPr>
        <w:t xml:space="preserve"> </w:t>
      </w:r>
    </w:p>
    <w:p w14:paraId="29BC04C2" w14:textId="77777777" w:rsidR="0045673A" w:rsidRDefault="00E17DF3">
      <w:pPr>
        <w:spacing w:after="226" w:line="265" w:lineRule="auto"/>
        <w:ind w:left="1187" w:hanging="720"/>
        <w:jc w:val="left"/>
      </w:pPr>
      <w:r>
        <w:rPr>
          <w:b/>
        </w:rPr>
        <w:t>4.2.</w:t>
      </w:r>
      <w:r>
        <w:rPr>
          <w:rFonts w:ascii="Arial" w:eastAsia="Arial" w:hAnsi="Arial" w:cs="Arial"/>
          <w:b/>
        </w:rPr>
        <w:t xml:space="preserve"> </w:t>
      </w:r>
      <w:r>
        <w:rPr>
          <w:rFonts w:ascii="Arial" w:eastAsia="Arial" w:hAnsi="Arial" w:cs="Arial"/>
          <w:b/>
        </w:rPr>
        <w:tab/>
      </w:r>
      <w:r>
        <w:rPr>
          <w:b/>
        </w:rPr>
        <w:t>G</w:t>
      </w:r>
      <w:r>
        <w:rPr>
          <w:b/>
          <w:sz w:val="19"/>
        </w:rPr>
        <w:t xml:space="preserve">ENERAL </w:t>
      </w:r>
      <w:r>
        <w:rPr>
          <w:b/>
          <w:sz w:val="19"/>
        </w:rPr>
        <w:tab/>
        <w:t xml:space="preserve">QUESTIONS </w:t>
      </w:r>
      <w:r>
        <w:rPr>
          <w:b/>
          <w:sz w:val="19"/>
        </w:rPr>
        <w:tab/>
        <w:t xml:space="preserve">ABOUT </w:t>
      </w:r>
      <w:r>
        <w:rPr>
          <w:b/>
          <w:sz w:val="19"/>
        </w:rPr>
        <w:tab/>
        <w:t xml:space="preserve">THE </w:t>
      </w:r>
      <w:r>
        <w:rPr>
          <w:b/>
          <w:sz w:val="19"/>
        </w:rPr>
        <w:tab/>
        <w:t xml:space="preserve">POTENTIAL </w:t>
      </w:r>
      <w:r>
        <w:rPr>
          <w:b/>
          <w:sz w:val="19"/>
        </w:rPr>
        <w:tab/>
        <w:t xml:space="preserve">ESTABLISHMENT </w:t>
      </w:r>
      <w:r>
        <w:rPr>
          <w:b/>
          <w:sz w:val="19"/>
        </w:rPr>
        <w:tab/>
        <w:t>OF SUSTAINABILITY PRODUCTS CATEGORIES</w:t>
      </w:r>
      <w:r>
        <w:rPr>
          <w:b/>
        </w:rPr>
        <w:t xml:space="preserve"> </w:t>
      </w:r>
    </w:p>
    <w:p w14:paraId="2D0F506F" w14:textId="77777777" w:rsidR="0045673A" w:rsidRDefault="00E17DF3">
      <w:pPr>
        <w:spacing w:after="226"/>
        <w:ind w:right="643"/>
      </w:pPr>
      <w:r>
        <w:rPr>
          <w:b/>
          <w:u w:val="single" w:color="000000"/>
        </w:rPr>
        <w:t>Question 4.2.1</w:t>
      </w:r>
      <w:r>
        <w:t xml:space="preserve">: In addition to these criteria, and to other possible crosscutting/horizontal disclosure requirements on financial products, should there be some additional disclosure requirements when a product falls within a specific sustainability product category? This question presents clear links with question 3.2.3 in section 3. </w:t>
      </w:r>
    </w:p>
    <w:p w14:paraId="3F8D7084" w14:textId="77777777" w:rsidR="0045673A" w:rsidRDefault="00E17DF3">
      <w:pPr>
        <w:spacing w:after="0" w:line="259" w:lineRule="auto"/>
        <w:ind w:left="0" w:firstLine="0"/>
        <w:jc w:val="left"/>
      </w:pPr>
      <w:r>
        <w:t xml:space="preserve"> </w:t>
      </w:r>
    </w:p>
    <w:tbl>
      <w:tblPr>
        <w:tblW w:w="8829"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2826"/>
      </w:tblGrid>
      <w:tr w:rsidR="0045673A" w14:paraId="5C384218" w14:textId="77777777">
        <w:trPr>
          <w:trHeight w:val="531"/>
        </w:trPr>
        <w:tc>
          <w:tcPr>
            <w:tcW w:w="1229" w:type="dxa"/>
            <w:tcBorders>
              <w:top w:val="single" w:sz="6" w:space="0" w:color="000000"/>
              <w:left w:val="single" w:sz="6" w:space="0" w:color="000000"/>
              <w:bottom w:val="single" w:sz="6" w:space="0" w:color="000000"/>
              <w:right w:val="single" w:sz="6" w:space="0" w:color="000000"/>
            </w:tcBorders>
          </w:tcPr>
          <w:p w14:paraId="302248A7"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2E49FA32"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67102D99"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72B233D3"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397B1F69" w14:textId="77777777" w:rsidR="0045673A" w:rsidRDefault="00E17DF3">
            <w:pPr>
              <w:spacing w:after="0" w:line="259" w:lineRule="auto"/>
              <w:ind w:left="2" w:firstLine="0"/>
              <w:jc w:val="center"/>
            </w:pPr>
            <w:r>
              <w:t xml:space="preserve">5 </w:t>
            </w:r>
          </w:p>
        </w:tc>
        <w:tc>
          <w:tcPr>
            <w:tcW w:w="2826" w:type="dxa"/>
            <w:tcBorders>
              <w:top w:val="single" w:sz="6" w:space="0" w:color="000000"/>
              <w:left w:val="single" w:sz="6" w:space="0" w:color="000000"/>
              <w:bottom w:val="single" w:sz="6" w:space="0" w:color="000000"/>
              <w:right w:val="single" w:sz="6" w:space="0" w:color="000000"/>
            </w:tcBorders>
          </w:tcPr>
          <w:p w14:paraId="4370DF6D" w14:textId="77777777" w:rsidR="0045673A" w:rsidRDefault="00E17DF3">
            <w:pPr>
              <w:spacing w:after="0" w:line="259" w:lineRule="auto"/>
              <w:ind w:left="0" w:right="2" w:firstLine="0"/>
              <w:jc w:val="center"/>
            </w:pPr>
            <w:r>
              <w:t xml:space="preserve">Don’t know </w:t>
            </w:r>
          </w:p>
        </w:tc>
      </w:tr>
      <w:tr w:rsidR="0045673A" w14:paraId="3F2D9C22" w14:textId="77777777">
        <w:trPr>
          <w:trHeight w:val="533"/>
        </w:trPr>
        <w:tc>
          <w:tcPr>
            <w:tcW w:w="1229" w:type="dxa"/>
            <w:tcBorders>
              <w:top w:val="single" w:sz="6" w:space="0" w:color="000000"/>
              <w:left w:val="single" w:sz="6" w:space="0" w:color="000000"/>
              <w:bottom w:val="single" w:sz="6" w:space="0" w:color="000000"/>
              <w:right w:val="single" w:sz="6" w:space="0" w:color="000000"/>
            </w:tcBorders>
          </w:tcPr>
          <w:p w14:paraId="754C8954" w14:textId="6146962A" w:rsidR="0045673A" w:rsidRDefault="0045673A">
            <w:pPr>
              <w:spacing w:after="0" w:line="259" w:lineRule="auto"/>
              <w:ind w:left="60" w:firstLine="0"/>
              <w:jc w:val="center"/>
            </w:pPr>
          </w:p>
        </w:tc>
        <w:tc>
          <w:tcPr>
            <w:tcW w:w="1215" w:type="dxa"/>
            <w:tcBorders>
              <w:top w:val="single" w:sz="6" w:space="0" w:color="000000"/>
              <w:left w:val="single" w:sz="6" w:space="0" w:color="000000"/>
              <w:bottom w:val="single" w:sz="6" w:space="0" w:color="000000"/>
              <w:right w:val="single" w:sz="6" w:space="0" w:color="000000"/>
            </w:tcBorders>
          </w:tcPr>
          <w:p w14:paraId="143D49F7" w14:textId="77777777" w:rsidR="0045673A" w:rsidRDefault="00E17DF3">
            <w:pPr>
              <w:spacing w:after="0" w:line="259" w:lineRule="auto"/>
              <w:ind w:left="61"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0E4B3252" w14:textId="69CFDD82" w:rsidR="0045673A" w:rsidRDefault="00E17DF3">
            <w:pPr>
              <w:spacing w:after="0" w:line="259" w:lineRule="auto"/>
              <w:ind w:left="62"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75D61FFE" w14:textId="6671AC86" w:rsidR="0045673A" w:rsidRDefault="00682FA9">
            <w:pPr>
              <w:spacing w:after="0" w:line="259" w:lineRule="auto"/>
              <w:ind w:left="63" w:firstLine="0"/>
              <w:jc w:val="center"/>
            </w:pPr>
            <w:r>
              <w:t>X</w:t>
            </w:r>
            <w:r w:rsidR="00E17DF3">
              <w:t xml:space="preserve"> </w:t>
            </w:r>
          </w:p>
        </w:tc>
        <w:tc>
          <w:tcPr>
            <w:tcW w:w="1135" w:type="dxa"/>
            <w:tcBorders>
              <w:top w:val="single" w:sz="6" w:space="0" w:color="000000"/>
              <w:left w:val="single" w:sz="6" w:space="0" w:color="000000"/>
              <w:bottom w:val="single" w:sz="6" w:space="0" w:color="000000"/>
              <w:right w:val="single" w:sz="6" w:space="0" w:color="000000"/>
            </w:tcBorders>
          </w:tcPr>
          <w:p w14:paraId="329659EC" w14:textId="77777777" w:rsidR="0045673A" w:rsidRDefault="00E17DF3">
            <w:pPr>
              <w:spacing w:after="0" w:line="259" w:lineRule="auto"/>
              <w:ind w:left="62" w:firstLine="0"/>
              <w:jc w:val="center"/>
            </w:pPr>
            <w:r>
              <w:t xml:space="preserve"> </w:t>
            </w:r>
          </w:p>
        </w:tc>
        <w:tc>
          <w:tcPr>
            <w:tcW w:w="2826" w:type="dxa"/>
            <w:tcBorders>
              <w:top w:val="single" w:sz="6" w:space="0" w:color="000000"/>
              <w:left w:val="single" w:sz="6" w:space="0" w:color="000000"/>
              <w:bottom w:val="single" w:sz="6" w:space="0" w:color="000000"/>
              <w:right w:val="single" w:sz="6" w:space="0" w:color="000000"/>
            </w:tcBorders>
          </w:tcPr>
          <w:p w14:paraId="4D0475F2" w14:textId="77777777" w:rsidR="0045673A" w:rsidRDefault="00E17DF3">
            <w:pPr>
              <w:spacing w:after="0" w:line="259" w:lineRule="auto"/>
              <w:ind w:left="63" w:firstLine="0"/>
              <w:jc w:val="center"/>
            </w:pPr>
            <w:r>
              <w:t xml:space="preserve"> </w:t>
            </w:r>
          </w:p>
        </w:tc>
      </w:tr>
    </w:tbl>
    <w:p w14:paraId="53CB8850"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4239353C" w14:textId="77777777" w:rsidR="0045673A" w:rsidRDefault="00E17DF3">
      <w:pPr>
        <w:ind w:right="643"/>
      </w:pPr>
      <w:r>
        <w:rPr>
          <w:b/>
          <w:u w:val="single" w:color="000000"/>
        </w:rPr>
        <w:t>Question 4.2.1 a):</w:t>
      </w:r>
      <w:r>
        <w:t xml:space="preserve"> Please see a list of examples of disclosures that could be required when a product falls within a specific sustainability product category. Should this information be required when a product falls within a specific sustainability product category, and/or should any other information be required about those products?</w:t>
      </w:r>
      <w:r>
        <w:rPr>
          <w:i/>
        </w:rPr>
        <w:t xml:space="preserve"> </w:t>
      </w:r>
    </w:p>
    <w:tbl>
      <w:tblPr>
        <w:tblW w:w="8342" w:type="dxa"/>
        <w:tblCellMar>
          <w:top w:w="14" w:type="dxa"/>
          <w:right w:w="52" w:type="dxa"/>
        </w:tblCellMar>
        <w:tblLook w:val="04A0" w:firstRow="1" w:lastRow="0" w:firstColumn="1" w:lastColumn="0" w:noHBand="0" w:noVBand="1"/>
      </w:tblPr>
      <w:tblGrid>
        <w:gridCol w:w="5313"/>
        <w:gridCol w:w="425"/>
        <w:gridCol w:w="427"/>
        <w:gridCol w:w="425"/>
        <w:gridCol w:w="427"/>
        <w:gridCol w:w="425"/>
        <w:gridCol w:w="900"/>
      </w:tblGrid>
      <w:tr w:rsidR="0045673A" w14:paraId="783E4726" w14:textId="77777777">
        <w:trPr>
          <w:trHeight w:val="802"/>
        </w:trPr>
        <w:tc>
          <w:tcPr>
            <w:tcW w:w="5312" w:type="dxa"/>
            <w:tcBorders>
              <w:top w:val="single" w:sz="4" w:space="0" w:color="000000"/>
              <w:left w:val="single" w:sz="4" w:space="0" w:color="000000"/>
              <w:bottom w:val="single" w:sz="4" w:space="0" w:color="000000"/>
              <w:right w:val="single" w:sz="4" w:space="0" w:color="000000"/>
            </w:tcBorders>
          </w:tcPr>
          <w:p w14:paraId="27BC2646" w14:textId="7777777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78151F59" w14:textId="77777777" w:rsidR="0045673A" w:rsidRDefault="00E17DF3">
            <w:pPr>
              <w:spacing w:after="0" w:line="259" w:lineRule="auto"/>
              <w:ind w:left="46" w:firstLine="0"/>
              <w:jc w:val="left"/>
            </w:pPr>
            <w:r>
              <w:t xml:space="preserve">1 </w:t>
            </w:r>
          </w:p>
        </w:tc>
        <w:tc>
          <w:tcPr>
            <w:tcW w:w="427" w:type="dxa"/>
            <w:tcBorders>
              <w:top w:val="single" w:sz="4" w:space="0" w:color="000000"/>
              <w:left w:val="single" w:sz="4" w:space="0" w:color="000000"/>
              <w:bottom w:val="single" w:sz="4" w:space="0" w:color="000000"/>
              <w:right w:val="single" w:sz="4" w:space="0" w:color="000000"/>
            </w:tcBorders>
          </w:tcPr>
          <w:p w14:paraId="5D6083F4" w14:textId="77777777" w:rsidR="0045673A" w:rsidRDefault="00E17DF3">
            <w:pPr>
              <w:spacing w:after="0" w:line="259" w:lineRule="auto"/>
              <w:ind w:left="46" w:firstLine="0"/>
              <w:jc w:val="left"/>
            </w:pPr>
            <w:r>
              <w:t xml:space="preserve">2 </w:t>
            </w:r>
          </w:p>
        </w:tc>
        <w:tc>
          <w:tcPr>
            <w:tcW w:w="425" w:type="dxa"/>
            <w:tcBorders>
              <w:top w:val="single" w:sz="4" w:space="0" w:color="000000"/>
              <w:left w:val="single" w:sz="4" w:space="0" w:color="000000"/>
              <w:bottom w:val="single" w:sz="4" w:space="0" w:color="000000"/>
              <w:right w:val="single" w:sz="4" w:space="0" w:color="000000"/>
            </w:tcBorders>
          </w:tcPr>
          <w:p w14:paraId="5AB313C3" w14:textId="77777777" w:rsidR="0045673A" w:rsidRDefault="00E17DF3">
            <w:pPr>
              <w:spacing w:after="0" w:line="259" w:lineRule="auto"/>
              <w:ind w:left="46" w:firstLine="0"/>
              <w:jc w:val="left"/>
            </w:pPr>
            <w:r>
              <w:t xml:space="preserve">3 </w:t>
            </w:r>
          </w:p>
        </w:tc>
        <w:tc>
          <w:tcPr>
            <w:tcW w:w="427" w:type="dxa"/>
            <w:tcBorders>
              <w:top w:val="single" w:sz="4" w:space="0" w:color="000000"/>
              <w:left w:val="single" w:sz="4" w:space="0" w:color="000000"/>
              <w:bottom w:val="single" w:sz="4" w:space="0" w:color="000000"/>
              <w:right w:val="single" w:sz="4" w:space="0" w:color="000000"/>
            </w:tcBorders>
          </w:tcPr>
          <w:p w14:paraId="2309FDCD" w14:textId="77777777" w:rsidR="0045673A" w:rsidRDefault="00E17DF3">
            <w:pPr>
              <w:spacing w:after="0" w:line="259" w:lineRule="auto"/>
              <w:ind w:left="46" w:firstLine="0"/>
              <w:jc w:val="left"/>
            </w:pPr>
            <w:r>
              <w:t xml:space="preserve">4 </w:t>
            </w:r>
          </w:p>
        </w:tc>
        <w:tc>
          <w:tcPr>
            <w:tcW w:w="425" w:type="dxa"/>
            <w:tcBorders>
              <w:top w:val="single" w:sz="4" w:space="0" w:color="000000"/>
              <w:left w:val="single" w:sz="4" w:space="0" w:color="000000"/>
              <w:bottom w:val="single" w:sz="4" w:space="0" w:color="000000"/>
              <w:right w:val="single" w:sz="4" w:space="0" w:color="000000"/>
            </w:tcBorders>
          </w:tcPr>
          <w:p w14:paraId="515A72C5" w14:textId="77777777" w:rsidR="0045673A" w:rsidRDefault="00E17DF3">
            <w:pPr>
              <w:spacing w:after="0" w:line="259" w:lineRule="auto"/>
              <w:ind w:left="46" w:firstLine="0"/>
              <w:jc w:val="left"/>
            </w:pPr>
            <w:r>
              <w:t xml:space="preserve">5 </w:t>
            </w:r>
          </w:p>
        </w:tc>
        <w:tc>
          <w:tcPr>
            <w:tcW w:w="900" w:type="dxa"/>
            <w:tcBorders>
              <w:top w:val="single" w:sz="4" w:space="0" w:color="000000"/>
              <w:left w:val="single" w:sz="4" w:space="0" w:color="000000"/>
              <w:bottom w:val="single" w:sz="4" w:space="0" w:color="000000"/>
              <w:right w:val="single" w:sz="4" w:space="0" w:color="000000"/>
            </w:tcBorders>
          </w:tcPr>
          <w:p w14:paraId="15F1CC7B" w14:textId="77777777" w:rsidR="0045673A" w:rsidRDefault="00E17DF3">
            <w:pPr>
              <w:spacing w:after="0" w:line="259" w:lineRule="auto"/>
              <w:ind w:left="0" w:firstLine="0"/>
              <w:jc w:val="center"/>
            </w:pPr>
            <w:r>
              <w:t xml:space="preserve">Don’t know </w:t>
            </w:r>
          </w:p>
        </w:tc>
      </w:tr>
      <w:tr w:rsidR="0045673A" w14:paraId="0698AC43" w14:textId="77777777">
        <w:trPr>
          <w:trHeight w:val="528"/>
        </w:trPr>
        <w:tc>
          <w:tcPr>
            <w:tcW w:w="5312" w:type="dxa"/>
            <w:tcBorders>
              <w:top w:val="single" w:sz="4" w:space="0" w:color="000000"/>
              <w:left w:val="single" w:sz="4" w:space="0" w:color="000000"/>
              <w:bottom w:val="single" w:sz="4" w:space="0" w:color="000000"/>
              <w:right w:val="single" w:sz="4" w:space="0" w:color="000000"/>
            </w:tcBorders>
          </w:tcPr>
          <w:p w14:paraId="083C6D0D" w14:textId="77777777" w:rsidR="0045673A" w:rsidRDefault="00E17DF3">
            <w:pPr>
              <w:spacing w:after="0" w:line="259" w:lineRule="auto"/>
              <w:ind w:left="0" w:firstLine="0"/>
              <w:jc w:val="left"/>
            </w:pPr>
            <w:r>
              <w:t xml:space="preserve">Taxonomy-related disclosures </w:t>
            </w:r>
          </w:p>
        </w:tc>
        <w:tc>
          <w:tcPr>
            <w:tcW w:w="425" w:type="dxa"/>
            <w:tcBorders>
              <w:top w:val="single" w:sz="4" w:space="0" w:color="000000"/>
              <w:left w:val="single" w:sz="4" w:space="0" w:color="000000"/>
              <w:bottom w:val="single" w:sz="4" w:space="0" w:color="000000"/>
              <w:right w:val="single" w:sz="4" w:space="0" w:color="000000"/>
            </w:tcBorders>
          </w:tcPr>
          <w:p w14:paraId="11304319" w14:textId="5B918FCB" w:rsidR="0045673A" w:rsidRDefault="0045673A">
            <w:pPr>
              <w:spacing w:after="0" w:line="259" w:lineRule="auto"/>
              <w:ind w:left="0" w:firstLine="0"/>
              <w:jc w:val="left"/>
            </w:pPr>
          </w:p>
        </w:tc>
        <w:tc>
          <w:tcPr>
            <w:tcW w:w="427" w:type="dxa"/>
            <w:tcBorders>
              <w:top w:val="single" w:sz="4" w:space="0" w:color="000000"/>
              <w:left w:val="single" w:sz="4" w:space="0" w:color="000000"/>
              <w:bottom w:val="single" w:sz="4" w:space="0" w:color="000000"/>
              <w:right w:val="single" w:sz="4" w:space="0" w:color="000000"/>
            </w:tcBorders>
          </w:tcPr>
          <w:p w14:paraId="038AD27A" w14:textId="1B15C85E" w:rsidR="0045673A" w:rsidRDefault="00E17DF3">
            <w:pPr>
              <w:spacing w:after="0" w:line="259" w:lineRule="auto"/>
              <w:ind w:left="0" w:firstLine="0"/>
              <w:jc w:val="left"/>
            </w:pPr>
            <w:r>
              <w:t xml:space="preserve"> </w:t>
            </w:r>
            <w:r w:rsidR="00957DFD">
              <w:t>X</w:t>
            </w:r>
          </w:p>
        </w:tc>
        <w:tc>
          <w:tcPr>
            <w:tcW w:w="425" w:type="dxa"/>
            <w:tcBorders>
              <w:top w:val="single" w:sz="4" w:space="0" w:color="000000"/>
              <w:left w:val="single" w:sz="4" w:space="0" w:color="000000"/>
              <w:bottom w:val="single" w:sz="4" w:space="0" w:color="000000"/>
              <w:right w:val="single" w:sz="4" w:space="0" w:color="000000"/>
            </w:tcBorders>
          </w:tcPr>
          <w:p w14:paraId="7FB9553A" w14:textId="348F2F80" w:rsidR="0045673A" w:rsidRDefault="0045673A">
            <w:pPr>
              <w:spacing w:after="0" w:line="259" w:lineRule="auto"/>
              <w:ind w:left="0" w:firstLine="0"/>
              <w:jc w:val="left"/>
            </w:pPr>
          </w:p>
        </w:tc>
        <w:tc>
          <w:tcPr>
            <w:tcW w:w="427" w:type="dxa"/>
            <w:tcBorders>
              <w:top w:val="single" w:sz="4" w:space="0" w:color="000000"/>
              <w:left w:val="single" w:sz="4" w:space="0" w:color="000000"/>
              <w:bottom w:val="single" w:sz="4" w:space="0" w:color="000000"/>
              <w:right w:val="single" w:sz="4" w:space="0" w:color="000000"/>
            </w:tcBorders>
          </w:tcPr>
          <w:p w14:paraId="04079A25" w14:textId="2DB48A5A"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32B12B86" w14:textId="77777777" w:rsidR="0045673A" w:rsidRDefault="00E17DF3">
            <w:pPr>
              <w:spacing w:after="0" w:line="259" w:lineRule="auto"/>
              <w:ind w:left="0" w:firstLine="0"/>
              <w:jc w:val="left"/>
            </w:pPr>
            <w:r>
              <w:t xml:space="preserve"> </w:t>
            </w:r>
          </w:p>
        </w:tc>
        <w:tc>
          <w:tcPr>
            <w:tcW w:w="900" w:type="dxa"/>
            <w:tcBorders>
              <w:top w:val="single" w:sz="4" w:space="0" w:color="000000"/>
              <w:left w:val="single" w:sz="4" w:space="0" w:color="000000"/>
              <w:bottom w:val="single" w:sz="4" w:space="0" w:color="000000"/>
              <w:right w:val="single" w:sz="4" w:space="0" w:color="000000"/>
            </w:tcBorders>
          </w:tcPr>
          <w:p w14:paraId="51DF825B" w14:textId="77777777" w:rsidR="0045673A" w:rsidRDefault="00E17DF3">
            <w:pPr>
              <w:spacing w:after="0" w:line="259" w:lineRule="auto"/>
              <w:ind w:left="0" w:firstLine="0"/>
              <w:jc w:val="left"/>
            </w:pPr>
            <w:r>
              <w:t xml:space="preserve"> </w:t>
            </w:r>
          </w:p>
        </w:tc>
      </w:tr>
      <w:tr w:rsidR="0045673A" w14:paraId="5E22B40F" w14:textId="77777777">
        <w:trPr>
          <w:trHeight w:val="526"/>
        </w:trPr>
        <w:tc>
          <w:tcPr>
            <w:tcW w:w="5312" w:type="dxa"/>
            <w:tcBorders>
              <w:top w:val="single" w:sz="4" w:space="0" w:color="000000"/>
              <w:left w:val="single" w:sz="4" w:space="0" w:color="000000"/>
              <w:bottom w:val="single" w:sz="4" w:space="0" w:color="000000"/>
              <w:right w:val="single" w:sz="4" w:space="0" w:color="000000"/>
            </w:tcBorders>
          </w:tcPr>
          <w:p w14:paraId="2A153998" w14:textId="77777777" w:rsidR="0045673A" w:rsidRDefault="00E17DF3">
            <w:pPr>
              <w:spacing w:after="0" w:line="259" w:lineRule="auto"/>
              <w:ind w:left="0" w:firstLine="0"/>
              <w:jc w:val="left"/>
            </w:pPr>
            <w:r>
              <w:t xml:space="preserve">Engagement strategies </w:t>
            </w:r>
          </w:p>
        </w:tc>
        <w:tc>
          <w:tcPr>
            <w:tcW w:w="425" w:type="dxa"/>
            <w:tcBorders>
              <w:top w:val="single" w:sz="4" w:space="0" w:color="000000"/>
              <w:left w:val="single" w:sz="4" w:space="0" w:color="000000"/>
              <w:bottom w:val="single" w:sz="4" w:space="0" w:color="000000"/>
              <w:right w:val="single" w:sz="4" w:space="0" w:color="000000"/>
            </w:tcBorders>
          </w:tcPr>
          <w:p w14:paraId="0B4F38FD" w14:textId="7A4637AF" w:rsidR="0045673A" w:rsidRDefault="0045673A">
            <w:pPr>
              <w:spacing w:after="0" w:line="259" w:lineRule="auto"/>
              <w:ind w:left="0" w:firstLine="0"/>
              <w:jc w:val="left"/>
            </w:pPr>
          </w:p>
        </w:tc>
        <w:tc>
          <w:tcPr>
            <w:tcW w:w="427" w:type="dxa"/>
            <w:tcBorders>
              <w:top w:val="single" w:sz="4" w:space="0" w:color="000000"/>
              <w:left w:val="single" w:sz="4" w:space="0" w:color="000000"/>
              <w:bottom w:val="single" w:sz="4" w:space="0" w:color="000000"/>
              <w:right w:val="single" w:sz="4" w:space="0" w:color="000000"/>
            </w:tcBorders>
          </w:tcPr>
          <w:p w14:paraId="794A014C" w14:textId="77777777" w:rsidR="0045673A" w:rsidRDefault="00E17DF3">
            <w:pPr>
              <w:spacing w:after="0" w:line="259" w:lineRule="auto"/>
              <w:ind w:left="0" w:firstLine="0"/>
              <w:jc w:val="left"/>
            </w:pPr>
            <w: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720B413" w14:textId="77777777" w:rsidR="0045673A" w:rsidRDefault="00E17DF3">
            <w:pPr>
              <w:spacing w:after="0" w:line="259" w:lineRule="auto"/>
              <w:ind w:left="0" w:firstLine="0"/>
              <w:jc w:val="left"/>
            </w:pPr>
            <w:r>
              <w:t xml:space="preserve"> </w:t>
            </w:r>
          </w:p>
        </w:tc>
        <w:tc>
          <w:tcPr>
            <w:tcW w:w="427" w:type="dxa"/>
            <w:tcBorders>
              <w:top w:val="single" w:sz="4" w:space="0" w:color="000000"/>
              <w:left w:val="single" w:sz="4" w:space="0" w:color="000000"/>
              <w:bottom w:val="single" w:sz="4" w:space="0" w:color="000000"/>
              <w:right w:val="single" w:sz="4" w:space="0" w:color="000000"/>
            </w:tcBorders>
          </w:tcPr>
          <w:p w14:paraId="2CA9134C" w14:textId="0D810A1F" w:rsidR="0045673A" w:rsidRDefault="00E17DF3">
            <w:pPr>
              <w:spacing w:after="0" w:line="259" w:lineRule="auto"/>
              <w:ind w:left="0" w:firstLine="0"/>
              <w:jc w:val="left"/>
            </w:pPr>
            <w:r>
              <w:t xml:space="preserve"> </w:t>
            </w:r>
            <w:r w:rsidR="00682FA9">
              <w:t>X</w:t>
            </w:r>
          </w:p>
        </w:tc>
        <w:tc>
          <w:tcPr>
            <w:tcW w:w="425" w:type="dxa"/>
            <w:tcBorders>
              <w:top w:val="single" w:sz="4" w:space="0" w:color="000000"/>
              <w:left w:val="single" w:sz="4" w:space="0" w:color="000000"/>
              <w:bottom w:val="single" w:sz="4" w:space="0" w:color="000000"/>
              <w:right w:val="single" w:sz="4" w:space="0" w:color="000000"/>
            </w:tcBorders>
          </w:tcPr>
          <w:p w14:paraId="6D560EA4" w14:textId="3DCD1B2A" w:rsidR="0045673A" w:rsidRDefault="0045673A">
            <w:pPr>
              <w:spacing w:after="0" w:line="259" w:lineRule="auto"/>
              <w:ind w:left="0" w:firstLine="0"/>
              <w:jc w:val="left"/>
            </w:pPr>
          </w:p>
        </w:tc>
        <w:tc>
          <w:tcPr>
            <w:tcW w:w="900" w:type="dxa"/>
            <w:tcBorders>
              <w:top w:val="single" w:sz="4" w:space="0" w:color="000000"/>
              <w:left w:val="single" w:sz="4" w:space="0" w:color="000000"/>
              <w:bottom w:val="single" w:sz="4" w:space="0" w:color="000000"/>
              <w:right w:val="single" w:sz="4" w:space="0" w:color="000000"/>
            </w:tcBorders>
          </w:tcPr>
          <w:p w14:paraId="197CA716" w14:textId="77777777" w:rsidR="0045673A" w:rsidRDefault="00E17DF3">
            <w:pPr>
              <w:spacing w:after="0" w:line="259" w:lineRule="auto"/>
              <w:ind w:left="0" w:firstLine="0"/>
              <w:jc w:val="left"/>
            </w:pPr>
            <w:r>
              <w:t xml:space="preserve"> </w:t>
            </w:r>
          </w:p>
        </w:tc>
      </w:tr>
      <w:tr w:rsidR="0045673A" w14:paraId="5E81E9FB" w14:textId="77777777">
        <w:trPr>
          <w:trHeight w:val="542"/>
        </w:trPr>
        <w:tc>
          <w:tcPr>
            <w:tcW w:w="5312" w:type="dxa"/>
            <w:tcBorders>
              <w:top w:val="single" w:sz="4" w:space="0" w:color="000000"/>
              <w:left w:val="single" w:sz="4" w:space="0" w:color="000000"/>
              <w:bottom w:val="single" w:sz="4" w:space="0" w:color="000000"/>
              <w:right w:val="single" w:sz="4" w:space="0" w:color="000000"/>
            </w:tcBorders>
          </w:tcPr>
          <w:p w14:paraId="74627EB6" w14:textId="77777777" w:rsidR="0045673A" w:rsidRDefault="00E17DF3">
            <w:pPr>
              <w:spacing w:after="0" w:line="259" w:lineRule="auto"/>
              <w:ind w:left="0" w:firstLine="0"/>
              <w:jc w:val="left"/>
            </w:pPr>
            <w:r>
              <w:t>Exclusions</w:t>
            </w: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1A3EF1A" w14:textId="72D325B7" w:rsidR="0045673A" w:rsidRDefault="0045673A">
            <w:pPr>
              <w:spacing w:after="0" w:line="259" w:lineRule="auto"/>
              <w:ind w:left="0" w:firstLine="0"/>
              <w:jc w:val="left"/>
            </w:pPr>
          </w:p>
        </w:tc>
        <w:tc>
          <w:tcPr>
            <w:tcW w:w="427" w:type="dxa"/>
            <w:tcBorders>
              <w:top w:val="single" w:sz="4" w:space="0" w:color="000000"/>
              <w:left w:val="single" w:sz="4" w:space="0" w:color="000000"/>
              <w:bottom w:val="single" w:sz="4" w:space="0" w:color="000000"/>
              <w:right w:val="single" w:sz="4" w:space="0" w:color="000000"/>
            </w:tcBorders>
          </w:tcPr>
          <w:p w14:paraId="091869FA"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8A651C6"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6F9BCF83" w14:textId="2A6E1111" w:rsidR="0045673A" w:rsidRDefault="00E17DF3">
            <w:pPr>
              <w:spacing w:after="0" w:line="259" w:lineRule="auto"/>
              <w:ind w:left="0" w:firstLine="0"/>
              <w:jc w:val="left"/>
            </w:pPr>
            <w:r>
              <w:rPr>
                <w:rFonts w:ascii="Calibri" w:eastAsia="Calibri" w:hAnsi="Calibri" w:cs="Calibri"/>
              </w:rPr>
              <w:t xml:space="preserve"> </w:t>
            </w:r>
            <w:r w:rsidR="00682FA9">
              <w:t>X</w:t>
            </w:r>
          </w:p>
        </w:tc>
        <w:tc>
          <w:tcPr>
            <w:tcW w:w="425" w:type="dxa"/>
            <w:tcBorders>
              <w:top w:val="single" w:sz="4" w:space="0" w:color="000000"/>
              <w:left w:val="single" w:sz="4" w:space="0" w:color="000000"/>
              <w:bottom w:val="single" w:sz="4" w:space="0" w:color="000000"/>
              <w:right w:val="single" w:sz="4" w:space="0" w:color="000000"/>
            </w:tcBorders>
          </w:tcPr>
          <w:p w14:paraId="4774CE16" w14:textId="5E264FA7" w:rsidR="0045673A" w:rsidRDefault="0045673A">
            <w:pPr>
              <w:spacing w:after="0" w:line="259" w:lineRule="auto"/>
              <w:ind w:left="0" w:firstLine="0"/>
              <w:jc w:val="left"/>
            </w:pPr>
          </w:p>
        </w:tc>
        <w:tc>
          <w:tcPr>
            <w:tcW w:w="900" w:type="dxa"/>
            <w:tcBorders>
              <w:top w:val="single" w:sz="4" w:space="0" w:color="000000"/>
              <w:left w:val="single" w:sz="4" w:space="0" w:color="000000"/>
              <w:bottom w:val="single" w:sz="4" w:space="0" w:color="000000"/>
              <w:right w:val="single" w:sz="4" w:space="0" w:color="000000"/>
            </w:tcBorders>
          </w:tcPr>
          <w:p w14:paraId="6712FD07" w14:textId="77777777" w:rsidR="0045673A" w:rsidRDefault="00E17DF3">
            <w:pPr>
              <w:spacing w:after="0" w:line="259" w:lineRule="auto"/>
              <w:ind w:left="0" w:firstLine="0"/>
              <w:jc w:val="left"/>
            </w:pPr>
            <w:r>
              <w:rPr>
                <w:rFonts w:ascii="Calibri" w:eastAsia="Calibri" w:hAnsi="Calibri" w:cs="Calibri"/>
              </w:rPr>
              <w:t xml:space="preserve"> </w:t>
            </w:r>
          </w:p>
        </w:tc>
      </w:tr>
      <w:tr w:rsidR="0045673A" w14:paraId="2CEBEE9C" w14:textId="77777777">
        <w:trPr>
          <w:trHeight w:val="1078"/>
        </w:trPr>
        <w:tc>
          <w:tcPr>
            <w:tcW w:w="5312" w:type="dxa"/>
            <w:tcBorders>
              <w:top w:val="single" w:sz="4" w:space="0" w:color="000000"/>
              <w:left w:val="single" w:sz="4" w:space="0" w:color="000000"/>
              <w:bottom w:val="single" w:sz="4" w:space="0" w:color="000000"/>
              <w:right w:val="single" w:sz="4" w:space="0" w:color="000000"/>
            </w:tcBorders>
          </w:tcPr>
          <w:p w14:paraId="38FA265D" w14:textId="77777777" w:rsidR="0045673A" w:rsidRDefault="00E17DF3">
            <w:pPr>
              <w:spacing w:after="0" w:line="259" w:lineRule="auto"/>
              <w:ind w:left="0" w:right="60" w:firstLine="0"/>
            </w:pPr>
            <w:r>
              <w:t>Information about how the criteria required to fall within a specific sustainability product category have been met</w:t>
            </w: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6F9E9201"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3154107F"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109B3C7"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6C429263"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50F6C98A" w14:textId="19D583EA" w:rsidR="0045673A" w:rsidRDefault="00E17DF3">
            <w:pPr>
              <w:spacing w:after="0" w:line="259" w:lineRule="auto"/>
              <w:ind w:left="0" w:firstLine="0"/>
              <w:jc w:val="left"/>
            </w:pPr>
            <w:r>
              <w:rPr>
                <w:rFonts w:ascii="Calibri" w:eastAsia="Calibri" w:hAnsi="Calibri" w:cs="Calibri"/>
              </w:rPr>
              <w:t xml:space="preserve"> </w:t>
            </w:r>
            <w:r w:rsidR="00682FA9">
              <w:t>X</w:t>
            </w:r>
          </w:p>
        </w:tc>
        <w:tc>
          <w:tcPr>
            <w:tcW w:w="900" w:type="dxa"/>
            <w:tcBorders>
              <w:top w:val="single" w:sz="4" w:space="0" w:color="000000"/>
              <w:left w:val="single" w:sz="4" w:space="0" w:color="000000"/>
              <w:bottom w:val="single" w:sz="4" w:space="0" w:color="000000"/>
              <w:right w:val="single" w:sz="4" w:space="0" w:color="000000"/>
            </w:tcBorders>
          </w:tcPr>
          <w:p w14:paraId="269E95F7" w14:textId="77777777" w:rsidR="0045673A" w:rsidRDefault="00E17DF3">
            <w:pPr>
              <w:spacing w:after="0" w:line="259" w:lineRule="auto"/>
              <w:ind w:left="0" w:firstLine="0"/>
              <w:jc w:val="left"/>
            </w:pPr>
            <w:r>
              <w:rPr>
                <w:rFonts w:ascii="Calibri" w:eastAsia="Calibri" w:hAnsi="Calibri" w:cs="Calibri"/>
              </w:rPr>
              <w:t xml:space="preserve"> </w:t>
            </w:r>
          </w:p>
        </w:tc>
      </w:tr>
      <w:tr w:rsidR="0045673A" w14:paraId="55F059A3" w14:textId="77777777">
        <w:trPr>
          <w:trHeight w:val="545"/>
        </w:trPr>
        <w:tc>
          <w:tcPr>
            <w:tcW w:w="5312" w:type="dxa"/>
            <w:tcBorders>
              <w:top w:val="single" w:sz="4" w:space="0" w:color="000000"/>
              <w:left w:val="single" w:sz="4" w:space="0" w:color="000000"/>
              <w:bottom w:val="single" w:sz="4" w:space="0" w:color="000000"/>
              <w:right w:val="single" w:sz="4" w:space="0" w:color="000000"/>
            </w:tcBorders>
          </w:tcPr>
          <w:p w14:paraId="722DB441" w14:textId="77777777" w:rsidR="0045673A" w:rsidRDefault="00E17DF3">
            <w:pPr>
              <w:spacing w:after="0" w:line="259" w:lineRule="auto"/>
              <w:ind w:left="0" w:firstLine="0"/>
              <w:jc w:val="left"/>
            </w:pPr>
            <w:r>
              <w:t>Other information</w:t>
            </w: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5E691CCB"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01828944"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7D8B04D" w14:textId="77777777" w:rsidR="0045673A" w:rsidRDefault="00E17DF3">
            <w:pPr>
              <w:spacing w:after="0" w:line="259" w:lineRule="auto"/>
              <w:ind w:left="0" w:firstLine="0"/>
              <w:jc w:val="left"/>
            </w:pPr>
            <w:r>
              <w:rPr>
                <w:rFonts w:ascii="Calibri" w:eastAsia="Calibri" w:hAnsi="Calibri" w:cs="Calibri"/>
              </w:rPr>
              <w:t xml:space="preserve"> </w:t>
            </w:r>
          </w:p>
        </w:tc>
        <w:tc>
          <w:tcPr>
            <w:tcW w:w="427" w:type="dxa"/>
            <w:tcBorders>
              <w:top w:val="single" w:sz="4" w:space="0" w:color="000000"/>
              <w:left w:val="single" w:sz="4" w:space="0" w:color="000000"/>
              <w:bottom w:val="single" w:sz="4" w:space="0" w:color="000000"/>
              <w:right w:val="single" w:sz="4" w:space="0" w:color="000000"/>
            </w:tcBorders>
          </w:tcPr>
          <w:p w14:paraId="1EF02F1A" w14:textId="77777777" w:rsidR="0045673A" w:rsidRDefault="00E17DF3">
            <w:pPr>
              <w:spacing w:after="0" w:line="259" w:lineRule="auto"/>
              <w:ind w:left="0" w:firstLine="0"/>
              <w:jc w:val="left"/>
            </w:pPr>
            <w:r>
              <w:rPr>
                <w:rFonts w:ascii="Calibri" w:eastAsia="Calibri" w:hAnsi="Calibri" w:cs="Calibri"/>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7F4BAF1A" w14:textId="77777777" w:rsidR="0045673A" w:rsidRDefault="00E17DF3">
            <w:pPr>
              <w:spacing w:after="0" w:line="259" w:lineRule="auto"/>
              <w:ind w:left="0" w:firstLine="0"/>
              <w:jc w:val="left"/>
            </w:pPr>
            <w:r>
              <w:rPr>
                <w:rFonts w:ascii="Calibri" w:eastAsia="Calibri" w:hAnsi="Calibri" w:cs="Calibri"/>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158978EA" w14:textId="642B6BFB" w:rsidR="0045673A" w:rsidRDefault="0045673A">
            <w:pPr>
              <w:spacing w:after="0" w:line="259" w:lineRule="auto"/>
              <w:ind w:left="0" w:firstLine="0"/>
              <w:jc w:val="left"/>
            </w:pPr>
          </w:p>
        </w:tc>
      </w:tr>
    </w:tbl>
    <w:p w14:paraId="00AB97A3" w14:textId="77777777" w:rsidR="0045673A" w:rsidRDefault="00E17DF3">
      <w:pPr>
        <w:spacing w:after="0" w:line="268" w:lineRule="auto"/>
        <w:ind w:left="-5" w:right="365"/>
        <w:jc w:val="left"/>
      </w:pPr>
      <w:r w:rsidRPr="00124281">
        <w:rPr>
          <w:i/>
          <w:sz w:val="20"/>
        </w:rPr>
        <w:t>(1= not at all, 2= to a limited extent, 3= to some extent, 4= to a large extent, 5= to a very large extent)</w:t>
      </w:r>
      <w:r w:rsidRPr="00124281">
        <w:rPr>
          <w:sz w:val="20"/>
        </w:rPr>
        <w:t xml:space="preserve"> </w:t>
      </w:r>
      <w:r w:rsidRPr="00124281">
        <w:t>Please specify any other information:</w:t>
      </w:r>
      <w:r>
        <w:t xml:space="preserve"> </w:t>
      </w:r>
    </w:p>
    <w:tbl>
      <w:tblPr>
        <w:tblW w:w="8836" w:type="dxa"/>
        <w:tblInd w:w="-26" w:type="dxa"/>
        <w:tblCellMar>
          <w:top w:w="21" w:type="dxa"/>
          <w:right w:w="115" w:type="dxa"/>
        </w:tblCellMar>
        <w:tblLook w:val="04A0" w:firstRow="1" w:lastRow="0" w:firstColumn="1" w:lastColumn="0" w:noHBand="0" w:noVBand="1"/>
      </w:tblPr>
      <w:tblGrid>
        <w:gridCol w:w="8836"/>
      </w:tblGrid>
      <w:tr w:rsidR="00C364A0" w14:paraId="59000251"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3AD574AC" w14:textId="63303651" w:rsidR="000312F9" w:rsidRPr="00F17448" w:rsidRDefault="00116C92">
            <w:pPr>
              <w:spacing w:after="0" w:line="259" w:lineRule="auto"/>
              <w:ind w:left="0" w:firstLine="0"/>
              <w:jc w:val="left"/>
              <w:rPr>
                <w:sz w:val="20"/>
                <w:szCs w:val="20"/>
              </w:rPr>
            </w:pPr>
            <w:r w:rsidRPr="00F17448">
              <w:rPr>
                <w:sz w:val="20"/>
                <w:szCs w:val="20"/>
              </w:rPr>
              <w:t>No comments</w:t>
            </w:r>
          </w:p>
          <w:p w14:paraId="51E4FE63" w14:textId="4AFA689A" w:rsidR="002B2A78" w:rsidRDefault="002B2A78">
            <w:pPr>
              <w:spacing w:after="0" w:line="259" w:lineRule="auto"/>
              <w:ind w:left="0" w:firstLine="0"/>
              <w:jc w:val="left"/>
            </w:pPr>
          </w:p>
        </w:tc>
      </w:tr>
    </w:tbl>
    <w:p w14:paraId="7065C75F" w14:textId="77777777" w:rsidR="0045673A" w:rsidRDefault="00E17DF3">
      <w:pPr>
        <w:spacing w:after="216" w:line="259" w:lineRule="auto"/>
        <w:ind w:left="0" w:firstLine="0"/>
        <w:jc w:val="left"/>
      </w:pPr>
      <w:r>
        <w:t xml:space="preserve"> </w:t>
      </w:r>
    </w:p>
    <w:p w14:paraId="0B9E8193" w14:textId="77777777" w:rsidR="0045673A" w:rsidRDefault="00E17DF3">
      <w:pPr>
        <w:ind w:right="643"/>
      </w:pPr>
      <w:r>
        <w:rPr>
          <w:b/>
          <w:u w:val="single" w:color="000000"/>
        </w:rPr>
        <w:t>Question 4.2.2</w:t>
      </w:r>
      <w:r>
        <w:rPr>
          <w:u w:val="single" w:color="000000"/>
        </w:rPr>
        <w:t>:</w:t>
      </w:r>
      <w:r>
        <w:t xml:space="preserve"> If a product categorisation system was set up, what governance system should be created? </w:t>
      </w:r>
    </w:p>
    <w:tbl>
      <w:tblPr>
        <w:tblW w:w="8610" w:type="dxa"/>
        <w:tblCellMar>
          <w:top w:w="14" w:type="dxa"/>
          <w:right w:w="49" w:type="dxa"/>
        </w:tblCellMar>
        <w:tblLook w:val="04A0" w:firstRow="1" w:lastRow="0" w:firstColumn="1" w:lastColumn="0" w:noHBand="0" w:noVBand="1"/>
      </w:tblPr>
      <w:tblGrid>
        <w:gridCol w:w="5432"/>
        <w:gridCol w:w="451"/>
        <w:gridCol w:w="451"/>
        <w:gridCol w:w="452"/>
        <w:gridCol w:w="451"/>
        <w:gridCol w:w="451"/>
        <w:gridCol w:w="922"/>
      </w:tblGrid>
      <w:tr w:rsidR="0045673A" w14:paraId="4CC9870A"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5ADD93D5"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17D2B66"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39F69370"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4383100C"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160B71EE"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501E7B92"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3C776E26" w14:textId="77777777" w:rsidR="0045673A" w:rsidRDefault="00E17DF3">
            <w:pPr>
              <w:spacing w:after="0" w:line="259" w:lineRule="auto"/>
              <w:ind w:left="0" w:firstLine="0"/>
              <w:jc w:val="center"/>
            </w:pPr>
            <w:r>
              <w:t xml:space="preserve">Don’t know </w:t>
            </w:r>
          </w:p>
        </w:tc>
      </w:tr>
      <w:tr w:rsidR="0045673A" w14:paraId="25A626A4" w14:textId="77777777">
        <w:trPr>
          <w:trHeight w:val="1906"/>
        </w:trPr>
        <w:tc>
          <w:tcPr>
            <w:tcW w:w="5432" w:type="dxa"/>
            <w:tcBorders>
              <w:top w:val="single" w:sz="4" w:space="0" w:color="000000"/>
              <w:left w:val="single" w:sz="4" w:space="0" w:color="000000"/>
              <w:bottom w:val="single" w:sz="4" w:space="0" w:color="000000"/>
              <w:right w:val="single" w:sz="4" w:space="0" w:color="000000"/>
            </w:tcBorders>
          </w:tcPr>
          <w:p w14:paraId="6A4E5F4D" w14:textId="77777777" w:rsidR="0045673A" w:rsidRDefault="00E17DF3">
            <w:pPr>
              <w:spacing w:after="0" w:line="259" w:lineRule="auto"/>
              <w:ind w:left="0" w:right="58" w:firstLine="0"/>
            </w:pPr>
            <w:r>
              <w:t xml:space="preserve">Third-party verification of categories should be mandatory (i.e. assurance engagements to verify the alignment of candidate products with a sustainability product category and assurance engagements to monitor on-going compliance with the product category criteria) </w:t>
            </w:r>
          </w:p>
        </w:tc>
        <w:tc>
          <w:tcPr>
            <w:tcW w:w="451" w:type="dxa"/>
            <w:tcBorders>
              <w:top w:val="single" w:sz="4" w:space="0" w:color="000000"/>
              <w:left w:val="single" w:sz="4" w:space="0" w:color="000000"/>
              <w:bottom w:val="single" w:sz="4" w:space="0" w:color="000000"/>
              <w:right w:val="single" w:sz="4" w:space="0" w:color="000000"/>
            </w:tcBorders>
          </w:tcPr>
          <w:p w14:paraId="5BAAF08D" w14:textId="2339ACE8" w:rsidR="0045673A" w:rsidRDefault="00E17DF3">
            <w:pPr>
              <w:spacing w:after="0" w:line="259" w:lineRule="auto"/>
              <w:ind w:left="6"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7DB3A6C" w14:textId="76AB1865" w:rsidR="0045673A" w:rsidRDefault="00E17DF3">
            <w:pPr>
              <w:spacing w:after="0" w:line="259" w:lineRule="auto"/>
              <w:ind w:left="1" w:firstLine="0"/>
              <w:jc w:val="center"/>
            </w:pPr>
            <w:r>
              <w:t xml:space="preserve"> </w:t>
            </w:r>
            <w:r w:rsidR="00A630FF">
              <w:t>X</w:t>
            </w:r>
          </w:p>
        </w:tc>
        <w:tc>
          <w:tcPr>
            <w:tcW w:w="452" w:type="dxa"/>
            <w:tcBorders>
              <w:top w:val="single" w:sz="4" w:space="0" w:color="000000"/>
              <w:left w:val="single" w:sz="4" w:space="0" w:color="000000"/>
              <w:bottom w:val="single" w:sz="4" w:space="0" w:color="000000"/>
              <w:right w:val="single" w:sz="4" w:space="0" w:color="000000"/>
            </w:tcBorders>
          </w:tcPr>
          <w:p w14:paraId="405D1BF9" w14:textId="77777777" w:rsidR="0045673A" w:rsidRDefault="00E17DF3">
            <w:pPr>
              <w:spacing w:after="0" w:line="259" w:lineRule="auto"/>
              <w:ind w:left="1"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F06F806" w14:textId="77777777" w:rsidR="0045673A" w:rsidRDefault="00E17DF3">
            <w:pPr>
              <w:spacing w:after="0" w:line="259" w:lineRule="auto"/>
              <w:ind w:left="1"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5965CC7B" w14:textId="77777777" w:rsidR="0045673A" w:rsidRDefault="00E17DF3">
            <w:pPr>
              <w:spacing w:after="0" w:line="259" w:lineRule="auto"/>
              <w:ind w:left="1"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31625D68" w14:textId="77777777" w:rsidR="0045673A" w:rsidRDefault="00E17DF3">
            <w:pPr>
              <w:spacing w:after="0" w:line="259" w:lineRule="auto"/>
              <w:ind w:left="1" w:firstLine="0"/>
              <w:jc w:val="center"/>
            </w:pPr>
            <w:r>
              <w:t xml:space="preserve"> </w:t>
            </w:r>
          </w:p>
        </w:tc>
      </w:tr>
      <w:tr w:rsidR="0045673A" w14:paraId="3CF05BD9" w14:textId="77777777">
        <w:trPr>
          <w:trHeight w:val="1354"/>
        </w:trPr>
        <w:tc>
          <w:tcPr>
            <w:tcW w:w="5432" w:type="dxa"/>
            <w:tcBorders>
              <w:top w:val="single" w:sz="4" w:space="0" w:color="000000"/>
              <w:left w:val="single" w:sz="4" w:space="0" w:color="000000"/>
              <w:bottom w:val="single" w:sz="4" w:space="0" w:color="000000"/>
              <w:right w:val="single" w:sz="4" w:space="0" w:color="000000"/>
            </w:tcBorders>
          </w:tcPr>
          <w:p w14:paraId="72251C78" w14:textId="77777777" w:rsidR="0045673A" w:rsidRDefault="00E17DF3">
            <w:pPr>
              <w:spacing w:after="0" w:line="259" w:lineRule="auto"/>
              <w:ind w:left="0" w:right="60" w:firstLine="0"/>
            </w:pPr>
            <w:r>
              <w:t xml:space="preserve">Market participants should be able to use this categorisation system based on a self-declaration by the product manufacturer supervised by national competent authorities </w:t>
            </w:r>
          </w:p>
        </w:tc>
        <w:tc>
          <w:tcPr>
            <w:tcW w:w="451" w:type="dxa"/>
            <w:tcBorders>
              <w:top w:val="single" w:sz="4" w:space="0" w:color="000000"/>
              <w:left w:val="single" w:sz="4" w:space="0" w:color="000000"/>
              <w:bottom w:val="single" w:sz="4" w:space="0" w:color="000000"/>
              <w:right w:val="single" w:sz="4" w:space="0" w:color="000000"/>
            </w:tcBorders>
          </w:tcPr>
          <w:p w14:paraId="14C21EF5" w14:textId="77777777" w:rsidR="0045673A" w:rsidRDefault="00E17DF3">
            <w:pPr>
              <w:spacing w:after="0" w:line="259" w:lineRule="auto"/>
              <w:ind w:left="6"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62A5E1D" w14:textId="77777777" w:rsidR="0045673A" w:rsidRDefault="00E17DF3">
            <w:pPr>
              <w:spacing w:after="0" w:line="259" w:lineRule="auto"/>
              <w:ind w:left="1"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526978D1" w14:textId="77777777" w:rsidR="0045673A" w:rsidRDefault="00E17DF3">
            <w:pPr>
              <w:spacing w:after="0" w:line="259" w:lineRule="auto"/>
              <w:ind w:left="1"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34CD48D" w14:textId="5A7874BF" w:rsidR="0045673A" w:rsidRDefault="00E17DF3">
            <w:pPr>
              <w:spacing w:after="0" w:line="259" w:lineRule="auto"/>
              <w:ind w:left="1" w:firstLine="0"/>
              <w:jc w:val="center"/>
            </w:pPr>
            <w:r>
              <w:t xml:space="preserve"> </w:t>
            </w:r>
            <w:r w:rsidR="00A630FF">
              <w:t>X</w:t>
            </w:r>
          </w:p>
        </w:tc>
        <w:tc>
          <w:tcPr>
            <w:tcW w:w="451" w:type="dxa"/>
            <w:tcBorders>
              <w:top w:val="single" w:sz="4" w:space="0" w:color="000000"/>
              <w:left w:val="single" w:sz="4" w:space="0" w:color="000000"/>
              <w:bottom w:val="single" w:sz="4" w:space="0" w:color="000000"/>
              <w:right w:val="single" w:sz="4" w:space="0" w:color="000000"/>
            </w:tcBorders>
          </w:tcPr>
          <w:p w14:paraId="2582EAE8" w14:textId="044DE868" w:rsidR="0045673A" w:rsidRDefault="00E17DF3">
            <w:pPr>
              <w:spacing w:after="0" w:line="259" w:lineRule="auto"/>
              <w:ind w:left="1" w:firstLine="0"/>
              <w:jc w:val="center"/>
            </w:pPr>
            <w:r>
              <w:t xml:space="preserve"> </w:t>
            </w:r>
            <w:r w:rsidR="002B2A78">
              <w:t xml:space="preserve"> </w:t>
            </w:r>
          </w:p>
        </w:tc>
        <w:tc>
          <w:tcPr>
            <w:tcW w:w="922" w:type="dxa"/>
            <w:tcBorders>
              <w:top w:val="single" w:sz="4" w:space="0" w:color="000000"/>
              <w:left w:val="single" w:sz="4" w:space="0" w:color="000000"/>
              <w:bottom w:val="single" w:sz="4" w:space="0" w:color="000000"/>
              <w:right w:val="single" w:sz="4" w:space="0" w:color="000000"/>
            </w:tcBorders>
          </w:tcPr>
          <w:p w14:paraId="2A7A9D46" w14:textId="77777777" w:rsidR="0045673A" w:rsidRDefault="00E17DF3">
            <w:pPr>
              <w:spacing w:after="0" w:line="259" w:lineRule="auto"/>
              <w:ind w:left="1" w:firstLine="0"/>
              <w:jc w:val="center"/>
            </w:pPr>
            <w:r>
              <w:t xml:space="preserve"> </w:t>
            </w:r>
          </w:p>
        </w:tc>
      </w:tr>
      <w:tr w:rsidR="0045673A" w14:paraId="58D2178F"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6C00705E" w14:textId="77777777" w:rsidR="0045673A" w:rsidRDefault="00E17DF3">
            <w:pPr>
              <w:spacing w:after="0" w:line="259" w:lineRule="auto"/>
              <w:ind w:left="0" w:firstLine="0"/>
              <w:jc w:val="left"/>
            </w:pPr>
            <w:r>
              <w:t xml:space="preserve">Other  </w:t>
            </w:r>
          </w:p>
        </w:tc>
        <w:tc>
          <w:tcPr>
            <w:tcW w:w="451" w:type="dxa"/>
            <w:tcBorders>
              <w:top w:val="single" w:sz="4" w:space="0" w:color="000000"/>
              <w:left w:val="single" w:sz="4" w:space="0" w:color="000000"/>
              <w:bottom w:val="single" w:sz="4" w:space="0" w:color="000000"/>
              <w:right w:val="single" w:sz="4" w:space="0" w:color="000000"/>
            </w:tcBorders>
          </w:tcPr>
          <w:p w14:paraId="67E3AC80" w14:textId="77777777" w:rsidR="0045673A" w:rsidRDefault="00E17DF3">
            <w:pPr>
              <w:spacing w:after="0" w:line="259" w:lineRule="auto"/>
              <w:ind w:left="2"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245D8923" w14:textId="77777777" w:rsidR="0045673A" w:rsidRDefault="00E17DF3">
            <w:pPr>
              <w:spacing w:after="0" w:line="259" w:lineRule="auto"/>
              <w:ind w:left="0" w:firstLine="0"/>
              <w:jc w:val="left"/>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3362C700" w14:textId="77777777" w:rsidR="0045673A" w:rsidRDefault="00E17DF3">
            <w:pPr>
              <w:spacing w:after="0" w:line="259" w:lineRule="auto"/>
              <w:ind w:left="1"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F79292F"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162DD647"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77823256" w14:textId="77777777" w:rsidR="0045673A" w:rsidRDefault="00E17DF3">
            <w:pPr>
              <w:spacing w:after="0" w:line="259" w:lineRule="auto"/>
              <w:ind w:left="0" w:firstLine="0"/>
              <w:jc w:val="left"/>
            </w:pPr>
            <w:r>
              <w:t xml:space="preserve"> </w:t>
            </w:r>
          </w:p>
        </w:tc>
      </w:tr>
    </w:tbl>
    <w:p w14:paraId="0EDEAEC8"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0FE3DC5E" w14:textId="77777777" w:rsidR="0045673A" w:rsidRDefault="00E17DF3">
      <w:pPr>
        <w:ind w:right="643"/>
      </w:pPr>
      <w:r w:rsidRPr="00DB6773">
        <w:t>Please explain your answer to question 4.2.2:</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C364A0" w14:paraId="43E459FD" w14:textId="77777777">
        <w:trPr>
          <w:trHeight w:val="535"/>
        </w:trPr>
        <w:tc>
          <w:tcPr>
            <w:tcW w:w="8836" w:type="dxa"/>
            <w:tcBorders>
              <w:top w:val="single" w:sz="8" w:space="0" w:color="000000"/>
              <w:left w:val="single" w:sz="8" w:space="0" w:color="000000"/>
              <w:bottom w:val="single" w:sz="8" w:space="0" w:color="000000"/>
              <w:right w:val="single" w:sz="4" w:space="0" w:color="000000"/>
            </w:tcBorders>
          </w:tcPr>
          <w:p w14:paraId="3D3E4A0E" w14:textId="77777777" w:rsidR="000535EE" w:rsidRDefault="000535EE">
            <w:pPr>
              <w:spacing w:after="0" w:line="259" w:lineRule="auto"/>
              <w:ind w:left="0" w:firstLine="0"/>
              <w:jc w:val="left"/>
              <w:rPr>
                <w:sz w:val="20"/>
                <w:szCs w:val="20"/>
              </w:rPr>
            </w:pPr>
          </w:p>
          <w:p w14:paraId="658CA8C0" w14:textId="34EE83AD" w:rsidR="000906D6" w:rsidRDefault="00AC7F83">
            <w:pPr>
              <w:spacing w:after="0" w:line="259" w:lineRule="auto"/>
              <w:ind w:left="0" w:firstLine="0"/>
              <w:jc w:val="left"/>
              <w:rPr>
                <w:sz w:val="20"/>
                <w:szCs w:val="20"/>
              </w:rPr>
            </w:pPr>
            <w:r w:rsidRPr="00DC18DB">
              <w:rPr>
                <w:sz w:val="20"/>
                <w:szCs w:val="20"/>
              </w:rPr>
              <w:t xml:space="preserve">At this point, we </w:t>
            </w:r>
            <w:r w:rsidR="001A178D" w:rsidRPr="00DC18DB">
              <w:rPr>
                <w:sz w:val="20"/>
                <w:szCs w:val="20"/>
              </w:rPr>
              <w:t xml:space="preserve">do not support mandatory over mandatory independent verification at this stage, which is the approach that is being adopted by the FCA. </w:t>
            </w:r>
          </w:p>
          <w:p w14:paraId="3EEF6FC8" w14:textId="77777777" w:rsidR="0015442C" w:rsidRPr="00DC18DB" w:rsidRDefault="0015442C">
            <w:pPr>
              <w:spacing w:after="0" w:line="259" w:lineRule="auto"/>
              <w:ind w:left="0" w:firstLine="0"/>
              <w:jc w:val="left"/>
              <w:rPr>
                <w:sz w:val="20"/>
                <w:szCs w:val="20"/>
              </w:rPr>
            </w:pPr>
          </w:p>
          <w:p w14:paraId="37C78795" w14:textId="77777777" w:rsidR="001A178D" w:rsidRPr="00DC18DB" w:rsidRDefault="001A178D">
            <w:pPr>
              <w:spacing w:after="0" w:line="259" w:lineRule="auto"/>
              <w:ind w:left="0" w:firstLine="0"/>
              <w:jc w:val="left"/>
              <w:rPr>
                <w:sz w:val="20"/>
                <w:szCs w:val="20"/>
              </w:rPr>
            </w:pPr>
            <w:r w:rsidRPr="00DC18DB">
              <w:rPr>
                <w:sz w:val="20"/>
                <w:szCs w:val="20"/>
              </w:rPr>
              <w:t xml:space="preserve">We have concerns that third-party verification could have a disproportionate negative impact on smaller market participants, which would be less well-placed to have resources to spend on verification. </w:t>
            </w:r>
          </w:p>
          <w:p w14:paraId="1592D828" w14:textId="77777777" w:rsidR="000906D6" w:rsidRPr="00DC18DB" w:rsidRDefault="000906D6">
            <w:pPr>
              <w:spacing w:after="0" w:line="259" w:lineRule="auto"/>
              <w:ind w:left="0" w:firstLine="0"/>
              <w:jc w:val="left"/>
              <w:rPr>
                <w:sz w:val="20"/>
                <w:szCs w:val="20"/>
              </w:rPr>
            </w:pPr>
          </w:p>
          <w:p w14:paraId="3389ADFC" w14:textId="4E4920C5" w:rsidR="002B2A78" w:rsidRPr="000906D6" w:rsidRDefault="001A178D" w:rsidP="001A178D">
            <w:pPr>
              <w:spacing w:after="0" w:line="259" w:lineRule="auto"/>
              <w:ind w:left="0" w:firstLine="0"/>
              <w:jc w:val="left"/>
              <w:rPr>
                <w:sz w:val="20"/>
                <w:szCs w:val="20"/>
              </w:rPr>
            </w:pPr>
            <w:r w:rsidRPr="00DC18DB">
              <w:rPr>
                <w:sz w:val="20"/>
                <w:szCs w:val="20"/>
              </w:rPr>
              <w:t>Larger, better resourced firms could gain an unfair advantage, for example by markedly increasing their funds’ sustainability attributes through third-party verification, with smaller firms not able to do this to the same extent, due to high costs incurred by verification. The possibility of requiring independent verification should be kept under review in the coming years, and there could be a role for an independent body, in some form, in overseeing verification for the product labels should this approach be adopte</w:t>
            </w:r>
            <w:r w:rsidR="000906D6">
              <w:rPr>
                <w:sz w:val="20"/>
                <w:szCs w:val="20"/>
              </w:rPr>
              <w:t xml:space="preserve">d. </w:t>
            </w:r>
          </w:p>
        </w:tc>
      </w:tr>
    </w:tbl>
    <w:p w14:paraId="2A5D16A7" w14:textId="77777777" w:rsidR="0045673A" w:rsidRDefault="00E17DF3">
      <w:pPr>
        <w:spacing w:after="216" w:line="259" w:lineRule="auto"/>
        <w:ind w:left="0" w:firstLine="0"/>
        <w:jc w:val="left"/>
      </w:pPr>
      <w:r>
        <w:t xml:space="preserve"> </w:t>
      </w:r>
    </w:p>
    <w:p w14:paraId="503AD30B" w14:textId="77777777" w:rsidR="0045673A" w:rsidRDefault="00E17DF3">
      <w:pPr>
        <w:ind w:right="643"/>
      </w:pPr>
      <w:r>
        <w:rPr>
          <w:b/>
          <w:u w:val="single" w:color="000000"/>
        </w:rPr>
        <w:t>Question 4.2.3</w:t>
      </w:r>
      <w:r>
        <w:t xml:space="preserve">: If a categorisation system was established, to what extent do you agree with the following statement? “When determining the criteria for product categories it should be taken into account: ...” </w:t>
      </w:r>
    </w:p>
    <w:tbl>
      <w:tblPr>
        <w:tblW w:w="8610" w:type="dxa"/>
        <w:tblCellMar>
          <w:top w:w="14" w:type="dxa"/>
          <w:right w:w="51" w:type="dxa"/>
        </w:tblCellMar>
        <w:tblLook w:val="04A0" w:firstRow="1" w:lastRow="0" w:firstColumn="1" w:lastColumn="0" w:noHBand="0" w:noVBand="1"/>
      </w:tblPr>
      <w:tblGrid>
        <w:gridCol w:w="5432"/>
        <w:gridCol w:w="451"/>
        <w:gridCol w:w="451"/>
        <w:gridCol w:w="452"/>
        <w:gridCol w:w="451"/>
        <w:gridCol w:w="451"/>
        <w:gridCol w:w="922"/>
      </w:tblGrid>
      <w:tr w:rsidR="0045673A" w14:paraId="1F1BE47C" w14:textId="77777777">
        <w:trPr>
          <w:trHeight w:val="804"/>
        </w:trPr>
        <w:tc>
          <w:tcPr>
            <w:tcW w:w="5432" w:type="dxa"/>
            <w:tcBorders>
              <w:top w:val="single" w:sz="4" w:space="0" w:color="000000"/>
              <w:left w:val="single" w:sz="4" w:space="0" w:color="000000"/>
              <w:bottom w:val="single" w:sz="4" w:space="0" w:color="000000"/>
              <w:right w:val="single" w:sz="4" w:space="0" w:color="000000"/>
            </w:tcBorders>
          </w:tcPr>
          <w:p w14:paraId="7BBF26AF"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F3BF1AC"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69B3351D"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1B098D74"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58844E8A"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66C5F533"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535C8309" w14:textId="77777777" w:rsidR="0045673A" w:rsidRDefault="00E17DF3">
            <w:pPr>
              <w:spacing w:after="0" w:line="259" w:lineRule="auto"/>
              <w:ind w:left="0" w:firstLine="0"/>
              <w:jc w:val="center"/>
            </w:pPr>
            <w:r>
              <w:t xml:space="preserve">Don’t know </w:t>
            </w:r>
          </w:p>
        </w:tc>
      </w:tr>
      <w:tr w:rsidR="0045673A" w14:paraId="188478DF" w14:textId="77777777">
        <w:trPr>
          <w:trHeight w:val="1078"/>
        </w:trPr>
        <w:tc>
          <w:tcPr>
            <w:tcW w:w="5432" w:type="dxa"/>
            <w:tcBorders>
              <w:top w:val="single" w:sz="4" w:space="0" w:color="000000"/>
              <w:left w:val="single" w:sz="4" w:space="0" w:color="000000"/>
              <w:bottom w:val="single" w:sz="4" w:space="0" w:color="000000"/>
              <w:right w:val="single" w:sz="4" w:space="0" w:color="000000"/>
            </w:tcBorders>
          </w:tcPr>
          <w:p w14:paraId="0C193853" w14:textId="77777777" w:rsidR="0045673A" w:rsidRDefault="00E17DF3">
            <w:pPr>
              <w:spacing w:after="0" w:line="259" w:lineRule="auto"/>
              <w:ind w:left="0" w:right="54" w:firstLine="0"/>
            </w:pPr>
            <w:r>
              <w:t xml:space="preserve">Whether the product is a wrapper offering choices between underlying investment options like a MultiOption Product  </w:t>
            </w:r>
          </w:p>
        </w:tc>
        <w:tc>
          <w:tcPr>
            <w:tcW w:w="451" w:type="dxa"/>
            <w:tcBorders>
              <w:top w:val="single" w:sz="4" w:space="0" w:color="000000"/>
              <w:left w:val="single" w:sz="4" w:space="0" w:color="000000"/>
              <w:bottom w:val="single" w:sz="4" w:space="0" w:color="000000"/>
              <w:right w:val="single" w:sz="4" w:space="0" w:color="000000"/>
            </w:tcBorders>
          </w:tcPr>
          <w:p w14:paraId="3E92825F" w14:textId="6ABA2B68" w:rsidR="0045673A" w:rsidRDefault="0045673A">
            <w:pPr>
              <w:spacing w:after="0" w:line="259" w:lineRule="auto"/>
              <w:ind w:left="7"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15A05586" w14:textId="03A1A16B" w:rsidR="0045673A" w:rsidRDefault="0045673A">
            <w:pPr>
              <w:spacing w:after="0" w:line="259" w:lineRule="auto"/>
              <w:ind w:left="3" w:firstLine="0"/>
              <w:jc w:val="center"/>
            </w:pPr>
          </w:p>
        </w:tc>
        <w:tc>
          <w:tcPr>
            <w:tcW w:w="452" w:type="dxa"/>
            <w:tcBorders>
              <w:top w:val="single" w:sz="4" w:space="0" w:color="000000"/>
              <w:left w:val="single" w:sz="4" w:space="0" w:color="000000"/>
              <w:bottom w:val="single" w:sz="4" w:space="0" w:color="000000"/>
              <w:right w:val="single" w:sz="4" w:space="0" w:color="000000"/>
            </w:tcBorders>
          </w:tcPr>
          <w:p w14:paraId="42FDB572" w14:textId="04426ECF" w:rsidR="0045673A" w:rsidRDefault="0045673A">
            <w:pPr>
              <w:spacing w:after="0" w:line="259" w:lineRule="auto"/>
              <w:ind w:left="3"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1A269FFF" w14:textId="6C02A870" w:rsidR="0045673A" w:rsidRDefault="00343671">
            <w:pPr>
              <w:spacing w:after="0" w:line="259" w:lineRule="auto"/>
              <w:ind w:left="3" w:firstLine="0"/>
              <w:jc w:val="center"/>
            </w:pPr>
            <w:r>
              <w:t>X</w:t>
            </w:r>
          </w:p>
        </w:tc>
        <w:tc>
          <w:tcPr>
            <w:tcW w:w="451" w:type="dxa"/>
            <w:tcBorders>
              <w:top w:val="single" w:sz="4" w:space="0" w:color="000000"/>
              <w:left w:val="single" w:sz="4" w:space="0" w:color="000000"/>
              <w:bottom w:val="single" w:sz="4" w:space="0" w:color="000000"/>
              <w:right w:val="single" w:sz="4" w:space="0" w:color="000000"/>
            </w:tcBorders>
          </w:tcPr>
          <w:p w14:paraId="56D4BB59" w14:textId="77777777" w:rsidR="0045673A" w:rsidRDefault="00E17DF3">
            <w:pPr>
              <w:spacing w:after="0" w:line="259" w:lineRule="auto"/>
              <w:ind w:left="3"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3A242AA3" w14:textId="1DF4DB4F" w:rsidR="0045673A" w:rsidRDefault="0045673A">
            <w:pPr>
              <w:spacing w:after="0" w:line="259" w:lineRule="auto"/>
              <w:ind w:left="3" w:firstLine="0"/>
              <w:jc w:val="center"/>
            </w:pPr>
          </w:p>
        </w:tc>
      </w:tr>
      <w:tr w:rsidR="0045673A" w14:paraId="7684E1E5"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2D1DCBB2" w14:textId="7B049923" w:rsidR="0045673A" w:rsidRDefault="00E17DF3">
            <w:pPr>
              <w:spacing w:after="0" w:line="259" w:lineRule="auto"/>
              <w:ind w:left="0" w:firstLine="0"/>
            </w:pPr>
            <w:r>
              <w:t xml:space="preserve">Whether the underlying investments are outside the EU </w:t>
            </w:r>
          </w:p>
        </w:tc>
        <w:tc>
          <w:tcPr>
            <w:tcW w:w="451" w:type="dxa"/>
            <w:tcBorders>
              <w:top w:val="single" w:sz="4" w:space="0" w:color="000000"/>
              <w:left w:val="single" w:sz="4" w:space="0" w:color="000000"/>
              <w:bottom w:val="single" w:sz="4" w:space="0" w:color="000000"/>
              <w:right w:val="single" w:sz="4" w:space="0" w:color="000000"/>
            </w:tcBorders>
          </w:tcPr>
          <w:p w14:paraId="6B1C267B" w14:textId="0E338BB9" w:rsidR="0045673A" w:rsidRDefault="0045673A">
            <w:pPr>
              <w:spacing w:after="0" w:line="259" w:lineRule="auto"/>
              <w:ind w:left="7"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31FD2D14" w14:textId="73869CA0" w:rsidR="0045673A" w:rsidRDefault="0045673A">
            <w:pPr>
              <w:spacing w:after="0" w:line="259" w:lineRule="auto"/>
              <w:ind w:left="3" w:firstLine="0"/>
              <w:jc w:val="center"/>
            </w:pPr>
          </w:p>
        </w:tc>
        <w:tc>
          <w:tcPr>
            <w:tcW w:w="452" w:type="dxa"/>
            <w:tcBorders>
              <w:top w:val="single" w:sz="4" w:space="0" w:color="000000"/>
              <w:left w:val="single" w:sz="4" w:space="0" w:color="000000"/>
              <w:bottom w:val="single" w:sz="4" w:space="0" w:color="000000"/>
              <w:right w:val="single" w:sz="4" w:space="0" w:color="000000"/>
            </w:tcBorders>
          </w:tcPr>
          <w:p w14:paraId="58B71D6C" w14:textId="05A05918" w:rsidR="0045673A" w:rsidRDefault="0045673A">
            <w:pPr>
              <w:spacing w:after="0" w:line="259" w:lineRule="auto"/>
              <w:ind w:left="3"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03F0AB2E" w14:textId="3D04C01B" w:rsidR="0045673A" w:rsidRDefault="00343671">
            <w:pPr>
              <w:spacing w:after="0" w:line="259" w:lineRule="auto"/>
              <w:ind w:left="3" w:firstLine="0"/>
              <w:jc w:val="center"/>
            </w:pPr>
            <w:r>
              <w:t>X</w:t>
            </w:r>
          </w:p>
        </w:tc>
        <w:tc>
          <w:tcPr>
            <w:tcW w:w="451" w:type="dxa"/>
            <w:tcBorders>
              <w:top w:val="single" w:sz="4" w:space="0" w:color="000000"/>
              <w:left w:val="single" w:sz="4" w:space="0" w:color="000000"/>
              <w:bottom w:val="single" w:sz="4" w:space="0" w:color="000000"/>
              <w:right w:val="single" w:sz="4" w:space="0" w:color="000000"/>
            </w:tcBorders>
          </w:tcPr>
          <w:p w14:paraId="42E3A940" w14:textId="77777777" w:rsidR="0045673A" w:rsidRDefault="00E17DF3">
            <w:pPr>
              <w:spacing w:after="0" w:line="259" w:lineRule="auto"/>
              <w:ind w:left="3"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32E0D62A" w14:textId="77777777" w:rsidR="0045673A" w:rsidRDefault="00E17DF3">
            <w:pPr>
              <w:spacing w:after="0" w:line="259" w:lineRule="auto"/>
              <w:ind w:left="3" w:firstLine="0"/>
              <w:jc w:val="center"/>
            </w:pPr>
            <w:r>
              <w:t xml:space="preserve"> </w:t>
            </w:r>
          </w:p>
        </w:tc>
      </w:tr>
      <w:tr w:rsidR="0045673A" w14:paraId="0246D2D8"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62DB09D2" w14:textId="77777777" w:rsidR="0045673A" w:rsidRDefault="00E17DF3">
            <w:pPr>
              <w:spacing w:after="0" w:line="259" w:lineRule="auto"/>
              <w:ind w:left="0" w:firstLine="0"/>
              <w:jc w:val="left"/>
            </w:pPr>
            <w:r>
              <w:t xml:space="preserve">Whether the underlying investments are in an emerging economy </w:t>
            </w:r>
          </w:p>
        </w:tc>
        <w:tc>
          <w:tcPr>
            <w:tcW w:w="451" w:type="dxa"/>
            <w:tcBorders>
              <w:top w:val="single" w:sz="4" w:space="0" w:color="000000"/>
              <w:left w:val="single" w:sz="4" w:space="0" w:color="000000"/>
              <w:bottom w:val="single" w:sz="4" w:space="0" w:color="000000"/>
              <w:right w:val="single" w:sz="4" w:space="0" w:color="000000"/>
            </w:tcBorders>
          </w:tcPr>
          <w:p w14:paraId="0814B268" w14:textId="586824B1" w:rsidR="0045673A" w:rsidRDefault="0045673A">
            <w:pPr>
              <w:spacing w:after="0" w:line="259" w:lineRule="auto"/>
              <w:ind w:left="2"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1D0CEF97" w14:textId="4E52C54E" w:rsidR="0045673A" w:rsidRDefault="0045673A">
            <w:pPr>
              <w:spacing w:after="0" w:line="259" w:lineRule="auto"/>
              <w:ind w:left="0" w:firstLine="0"/>
              <w:jc w:val="left"/>
            </w:pPr>
          </w:p>
        </w:tc>
        <w:tc>
          <w:tcPr>
            <w:tcW w:w="452" w:type="dxa"/>
            <w:tcBorders>
              <w:top w:val="single" w:sz="4" w:space="0" w:color="000000"/>
              <w:left w:val="single" w:sz="4" w:space="0" w:color="000000"/>
              <w:bottom w:val="single" w:sz="4" w:space="0" w:color="000000"/>
              <w:right w:val="single" w:sz="4" w:space="0" w:color="000000"/>
            </w:tcBorders>
          </w:tcPr>
          <w:p w14:paraId="145022FD" w14:textId="02F9D9B9" w:rsidR="0045673A" w:rsidRDefault="0045673A">
            <w:pPr>
              <w:spacing w:after="0" w:line="259" w:lineRule="auto"/>
              <w:ind w:left="1"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615B010D" w14:textId="46224CC6" w:rsidR="0045673A" w:rsidRDefault="00EC6C04">
            <w:pPr>
              <w:spacing w:after="0" w:line="259" w:lineRule="auto"/>
              <w:ind w:left="0" w:firstLine="0"/>
              <w:jc w:val="left"/>
            </w:pPr>
            <w:r>
              <w:t>X</w:t>
            </w:r>
          </w:p>
        </w:tc>
        <w:tc>
          <w:tcPr>
            <w:tcW w:w="451" w:type="dxa"/>
            <w:tcBorders>
              <w:top w:val="single" w:sz="4" w:space="0" w:color="000000"/>
              <w:left w:val="single" w:sz="4" w:space="0" w:color="000000"/>
              <w:bottom w:val="single" w:sz="4" w:space="0" w:color="000000"/>
              <w:right w:val="single" w:sz="4" w:space="0" w:color="000000"/>
            </w:tcBorders>
          </w:tcPr>
          <w:p w14:paraId="7B4431F3" w14:textId="77777777" w:rsidR="0045673A" w:rsidRDefault="00E17DF3">
            <w:pPr>
              <w:spacing w:after="0" w:line="259" w:lineRule="auto"/>
              <w:ind w:left="0" w:firstLine="0"/>
              <w:jc w:val="left"/>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023D3C81" w14:textId="77777777" w:rsidR="0045673A" w:rsidRDefault="00E17DF3">
            <w:pPr>
              <w:spacing w:after="0" w:line="259" w:lineRule="auto"/>
              <w:ind w:left="0" w:firstLine="0"/>
              <w:jc w:val="left"/>
            </w:pPr>
            <w:r>
              <w:t xml:space="preserve"> </w:t>
            </w:r>
          </w:p>
        </w:tc>
      </w:tr>
      <w:tr w:rsidR="0045673A" w14:paraId="1FC8173B" w14:textId="77777777">
        <w:trPr>
          <w:trHeight w:val="542"/>
        </w:trPr>
        <w:tc>
          <w:tcPr>
            <w:tcW w:w="5432" w:type="dxa"/>
            <w:tcBorders>
              <w:top w:val="single" w:sz="4" w:space="0" w:color="000000"/>
              <w:left w:val="single" w:sz="4" w:space="0" w:color="000000"/>
              <w:bottom w:val="single" w:sz="4" w:space="0" w:color="000000"/>
              <w:right w:val="single" w:sz="4" w:space="0" w:color="000000"/>
            </w:tcBorders>
          </w:tcPr>
          <w:p w14:paraId="721361DD" w14:textId="77777777" w:rsidR="0045673A" w:rsidRDefault="00E17DF3">
            <w:pPr>
              <w:spacing w:after="0" w:line="259" w:lineRule="auto"/>
              <w:ind w:left="0" w:firstLine="0"/>
              <w:jc w:val="left"/>
            </w:pPr>
            <w:r>
              <w:t xml:space="preserve">Whether the underlying investments are in SMEs </w:t>
            </w:r>
            <w:r>
              <w:rPr>
                <w:rFonts w:ascii="Calibri" w:eastAsia="Calibri" w:hAnsi="Calibri" w:cs="Calibri"/>
              </w:rP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C9E515D" w14:textId="2E2C7160" w:rsidR="0045673A" w:rsidRDefault="0045673A">
            <w:pPr>
              <w:spacing w:after="0" w:line="259" w:lineRule="auto"/>
              <w:ind w:left="2"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10A45FB0" w14:textId="0A63B53C" w:rsidR="0045673A" w:rsidRDefault="0045673A">
            <w:pPr>
              <w:spacing w:after="0" w:line="259" w:lineRule="auto"/>
              <w:ind w:left="0" w:firstLine="0"/>
              <w:jc w:val="left"/>
            </w:pPr>
          </w:p>
        </w:tc>
        <w:tc>
          <w:tcPr>
            <w:tcW w:w="452" w:type="dxa"/>
            <w:tcBorders>
              <w:top w:val="single" w:sz="4" w:space="0" w:color="000000"/>
              <w:left w:val="single" w:sz="4" w:space="0" w:color="000000"/>
              <w:bottom w:val="single" w:sz="4" w:space="0" w:color="000000"/>
              <w:right w:val="single" w:sz="4" w:space="0" w:color="000000"/>
            </w:tcBorders>
          </w:tcPr>
          <w:p w14:paraId="0CF7A301" w14:textId="7823A451" w:rsidR="0045673A" w:rsidRDefault="0045673A">
            <w:pPr>
              <w:spacing w:after="0" w:line="259" w:lineRule="auto"/>
              <w:ind w:left="1"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13351C75" w14:textId="1D571C41" w:rsidR="0045673A" w:rsidRDefault="00343671">
            <w:pPr>
              <w:spacing w:after="0" w:line="259" w:lineRule="auto"/>
              <w:ind w:left="0" w:firstLine="0"/>
              <w:jc w:val="left"/>
            </w:pPr>
            <w:r>
              <w:t>X</w:t>
            </w:r>
          </w:p>
        </w:tc>
        <w:tc>
          <w:tcPr>
            <w:tcW w:w="451" w:type="dxa"/>
            <w:tcBorders>
              <w:top w:val="single" w:sz="4" w:space="0" w:color="000000"/>
              <w:left w:val="single" w:sz="4" w:space="0" w:color="000000"/>
              <w:bottom w:val="single" w:sz="4" w:space="0" w:color="000000"/>
              <w:right w:val="single" w:sz="4" w:space="0" w:color="000000"/>
            </w:tcBorders>
          </w:tcPr>
          <w:p w14:paraId="779165BB" w14:textId="77777777" w:rsidR="0045673A" w:rsidRDefault="00E17DF3">
            <w:pPr>
              <w:spacing w:after="0" w:line="259" w:lineRule="auto"/>
              <w:ind w:left="0" w:firstLine="0"/>
              <w:jc w:val="left"/>
            </w:pPr>
            <w:r>
              <w:rPr>
                <w:rFonts w:ascii="Calibri" w:eastAsia="Calibri" w:hAnsi="Calibri" w:cs="Calibri"/>
              </w:rPr>
              <w:t xml:space="preserve"> </w:t>
            </w:r>
          </w:p>
        </w:tc>
        <w:tc>
          <w:tcPr>
            <w:tcW w:w="922" w:type="dxa"/>
            <w:tcBorders>
              <w:top w:val="single" w:sz="4" w:space="0" w:color="000000"/>
              <w:left w:val="single" w:sz="4" w:space="0" w:color="000000"/>
              <w:bottom w:val="single" w:sz="4" w:space="0" w:color="000000"/>
              <w:right w:val="single" w:sz="4" w:space="0" w:color="000000"/>
            </w:tcBorders>
          </w:tcPr>
          <w:p w14:paraId="1FF89DBD" w14:textId="77777777" w:rsidR="0045673A" w:rsidRDefault="00E17DF3">
            <w:pPr>
              <w:spacing w:after="0" w:line="259" w:lineRule="auto"/>
              <w:ind w:left="0" w:firstLine="0"/>
              <w:jc w:val="left"/>
            </w:pPr>
            <w:r>
              <w:rPr>
                <w:rFonts w:ascii="Calibri" w:eastAsia="Calibri" w:hAnsi="Calibri" w:cs="Calibri"/>
              </w:rPr>
              <w:t xml:space="preserve"> </w:t>
            </w:r>
          </w:p>
        </w:tc>
      </w:tr>
      <w:tr w:rsidR="0045673A" w14:paraId="7F00A378"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5A2FF56B" w14:textId="77777777" w:rsidR="0045673A" w:rsidRDefault="00E17DF3">
            <w:pPr>
              <w:spacing w:after="0" w:line="259" w:lineRule="auto"/>
              <w:ind w:left="0" w:firstLine="0"/>
            </w:pPr>
            <w:r>
              <w:t>Whether the underlying investments are in certain economic activities</w:t>
            </w:r>
            <w:r>
              <w:rPr>
                <w:rFonts w:ascii="Calibri" w:eastAsia="Calibri" w:hAnsi="Calibri" w:cs="Calibri"/>
              </w:rP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CE6F28B" w14:textId="60D08B4A" w:rsidR="0045673A" w:rsidRDefault="0045673A">
            <w:pPr>
              <w:spacing w:after="0" w:line="259" w:lineRule="auto"/>
              <w:ind w:left="2"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42F3B52F" w14:textId="4670649C" w:rsidR="0045673A" w:rsidRDefault="0045673A">
            <w:pPr>
              <w:spacing w:after="0" w:line="259" w:lineRule="auto"/>
              <w:ind w:left="0" w:firstLine="0"/>
              <w:jc w:val="left"/>
            </w:pPr>
          </w:p>
        </w:tc>
        <w:tc>
          <w:tcPr>
            <w:tcW w:w="452" w:type="dxa"/>
            <w:tcBorders>
              <w:top w:val="single" w:sz="4" w:space="0" w:color="000000"/>
              <w:left w:val="single" w:sz="4" w:space="0" w:color="000000"/>
              <w:bottom w:val="single" w:sz="4" w:space="0" w:color="000000"/>
              <w:right w:val="single" w:sz="4" w:space="0" w:color="000000"/>
            </w:tcBorders>
          </w:tcPr>
          <w:p w14:paraId="1A7A9B20" w14:textId="31E3ACAD" w:rsidR="0045673A" w:rsidRDefault="00343671">
            <w:pPr>
              <w:spacing w:after="0" w:line="259" w:lineRule="auto"/>
              <w:ind w:left="1" w:firstLine="0"/>
              <w:jc w:val="left"/>
            </w:pPr>
            <w:r>
              <w:t>X</w:t>
            </w:r>
          </w:p>
        </w:tc>
        <w:tc>
          <w:tcPr>
            <w:tcW w:w="451" w:type="dxa"/>
            <w:tcBorders>
              <w:top w:val="single" w:sz="4" w:space="0" w:color="000000"/>
              <w:left w:val="single" w:sz="4" w:space="0" w:color="000000"/>
              <w:bottom w:val="single" w:sz="4" w:space="0" w:color="000000"/>
              <w:right w:val="single" w:sz="4" w:space="0" w:color="000000"/>
            </w:tcBorders>
          </w:tcPr>
          <w:p w14:paraId="6C9DE64D" w14:textId="7A063AA6" w:rsidR="0045673A" w:rsidRDefault="0045673A">
            <w:pPr>
              <w:spacing w:after="0" w:line="259" w:lineRule="auto"/>
              <w:ind w:left="0"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00990359" w14:textId="77777777" w:rsidR="0045673A" w:rsidRDefault="00E17DF3">
            <w:pPr>
              <w:spacing w:after="0" w:line="259" w:lineRule="auto"/>
              <w:ind w:left="0" w:firstLine="0"/>
              <w:jc w:val="left"/>
            </w:pPr>
            <w:r>
              <w:rPr>
                <w:rFonts w:ascii="Calibri" w:eastAsia="Calibri" w:hAnsi="Calibri" w:cs="Calibri"/>
              </w:rPr>
              <w:t xml:space="preserve"> </w:t>
            </w:r>
          </w:p>
        </w:tc>
        <w:tc>
          <w:tcPr>
            <w:tcW w:w="922" w:type="dxa"/>
            <w:tcBorders>
              <w:top w:val="single" w:sz="4" w:space="0" w:color="000000"/>
              <w:left w:val="single" w:sz="4" w:space="0" w:color="000000"/>
              <w:bottom w:val="single" w:sz="4" w:space="0" w:color="000000"/>
              <w:right w:val="single" w:sz="4" w:space="0" w:color="000000"/>
            </w:tcBorders>
          </w:tcPr>
          <w:p w14:paraId="09222C0D" w14:textId="77777777" w:rsidR="0045673A" w:rsidRDefault="00E17DF3">
            <w:pPr>
              <w:spacing w:after="0" w:line="259" w:lineRule="auto"/>
              <w:ind w:left="0" w:firstLine="0"/>
              <w:jc w:val="left"/>
            </w:pPr>
            <w:r>
              <w:rPr>
                <w:rFonts w:ascii="Calibri" w:eastAsia="Calibri" w:hAnsi="Calibri" w:cs="Calibri"/>
              </w:rPr>
              <w:t xml:space="preserve"> </w:t>
            </w:r>
          </w:p>
        </w:tc>
      </w:tr>
      <w:tr w:rsidR="0045673A" w14:paraId="7FB760FC" w14:textId="77777777">
        <w:trPr>
          <w:trHeight w:val="804"/>
        </w:trPr>
        <w:tc>
          <w:tcPr>
            <w:tcW w:w="5432" w:type="dxa"/>
            <w:tcBorders>
              <w:top w:val="single" w:sz="4" w:space="0" w:color="000000"/>
              <w:left w:val="single" w:sz="4" w:space="0" w:color="000000"/>
              <w:bottom w:val="single" w:sz="4" w:space="0" w:color="000000"/>
              <w:right w:val="single" w:sz="4" w:space="0" w:color="000000"/>
            </w:tcBorders>
          </w:tcPr>
          <w:p w14:paraId="568C3980" w14:textId="77777777" w:rsidR="0045673A" w:rsidRDefault="00E17DF3">
            <w:pPr>
              <w:spacing w:after="0" w:line="259" w:lineRule="auto"/>
              <w:ind w:left="0" w:firstLine="0"/>
            </w:pPr>
            <w:r>
              <w:t>Other considerations as regards the type of product or underlying investments</w:t>
            </w:r>
            <w:r>
              <w:rPr>
                <w:rFonts w:ascii="Calibri" w:eastAsia="Calibri" w:hAnsi="Calibri" w:cs="Calibri"/>
              </w:rPr>
              <w:t xml:space="preserve"> </w:t>
            </w:r>
          </w:p>
        </w:tc>
        <w:tc>
          <w:tcPr>
            <w:tcW w:w="451" w:type="dxa"/>
            <w:tcBorders>
              <w:top w:val="single" w:sz="4" w:space="0" w:color="000000"/>
              <w:left w:val="single" w:sz="4" w:space="0" w:color="000000"/>
              <w:bottom w:val="single" w:sz="4" w:space="0" w:color="000000"/>
              <w:right w:val="single" w:sz="4" w:space="0" w:color="000000"/>
            </w:tcBorders>
          </w:tcPr>
          <w:p w14:paraId="5C86D251" w14:textId="50CB2FC8" w:rsidR="0045673A" w:rsidRDefault="0045673A">
            <w:pPr>
              <w:spacing w:after="0" w:line="259" w:lineRule="auto"/>
              <w:ind w:left="2"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3B3F6011" w14:textId="35BDE371" w:rsidR="0045673A" w:rsidRDefault="0045673A">
            <w:pPr>
              <w:spacing w:after="0" w:line="259" w:lineRule="auto"/>
              <w:ind w:left="0" w:firstLine="0"/>
              <w:jc w:val="left"/>
            </w:pPr>
          </w:p>
        </w:tc>
        <w:tc>
          <w:tcPr>
            <w:tcW w:w="452" w:type="dxa"/>
            <w:tcBorders>
              <w:top w:val="single" w:sz="4" w:space="0" w:color="000000"/>
              <w:left w:val="single" w:sz="4" w:space="0" w:color="000000"/>
              <w:bottom w:val="single" w:sz="4" w:space="0" w:color="000000"/>
              <w:right w:val="single" w:sz="4" w:space="0" w:color="000000"/>
            </w:tcBorders>
          </w:tcPr>
          <w:p w14:paraId="09554292" w14:textId="2FB45F6F" w:rsidR="0045673A" w:rsidRDefault="0045673A">
            <w:pPr>
              <w:spacing w:after="0" w:line="259" w:lineRule="auto"/>
              <w:ind w:left="1"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26E79F13" w14:textId="3B7C6ED3" w:rsidR="0045673A" w:rsidRDefault="0045673A">
            <w:pPr>
              <w:spacing w:after="0" w:line="259" w:lineRule="auto"/>
              <w:ind w:left="0" w:firstLine="0"/>
              <w:jc w:val="left"/>
            </w:pPr>
          </w:p>
        </w:tc>
        <w:tc>
          <w:tcPr>
            <w:tcW w:w="451" w:type="dxa"/>
            <w:tcBorders>
              <w:top w:val="single" w:sz="4" w:space="0" w:color="000000"/>
              <w:left w:val="single" w:sz="4" w:space="0" w:color="000000"/>
              <w:bottom w:val="single" w:sz="4" w:space="0" w:color="000000"/>
              <w:right w:val="single" w:sz="4" w:space="0" w:color="000000"/>
            </w:tcBorders>
          </w:tcPr>
          <w:p w14:paraId="1ECE730C" w14:textId="77777777" w:rsidR="0045673A" w:rsidRDefault="00E17DF3">
            <w:pPr>
              <w:spacing w:after="0" w:line="259" w:lineRule="auto"/>
              <w:ind w:left="0" w:firstLine="0"/>
              <w:jc w:val="left"/>
            </w:pPr>
            <w:r>
              <w:rPr>
                <w:rFonts w:ascii="Calibri" w:eastAsia="Calibri" w:hAnsi="Calibri" w:cs="Calibri"/>
              </w:rPr>
              <w:t xml:space="preserve"> </w:t>
            </w:r>
          </w:p>
        </w:tc>
        <w:tc>
          <w:tcPr>
            <w:tcW w:w="922" w:type="dxa"/>
            <w:tcBorders>
              <w:top w:val="single" w:sz="4" w:space="0" w:color="000000"/>
              <w:left w:val="single" w:sz="4" w:space="0" w:color="000000"/>
              <w:bottom w:val="single" w:sz="4" w:space="0" w:color="000000"/>
              <w:right w:val="single" w:sz="4" w:space="0" w:color="000000"/>
            </w:tcBorders>
          </w:tcPr>
          <w:p w14:paraId="71205059" w14:textId="06643222" w:rsidR="0045673A" w:rsidRDefault="00E17DF3">
            <w:pPr>
              <w:spacing w:after="0" w:line="259" w:lineRule="auto"/>
              <w:ind w:left="0" w:firstLine="0"/>
              <w:jc w:val="left"/>
            </w:pPr>
            <w:r>
              <w:rPr>
                <w:rFonts w:ascii="Calibri" w:eastAsia="Calibri" w:hAnsi="Calibri" w:cs="Calibri"/>
              </w:rPr>
              <w:t xml:space="preserve"> </w:t>
            </w:r>
            <w:r w:rsidR="00343671">
              <w:rPr>
                <w:rFonts w:ascii="Calibri" w:eastAsia="Calibri" w:hAnsi="Calibri" w:cs="Calibri"/>
              </w:rPr>
              <w:t>X</w:t>
            </w:r>
          </w:p>
        </w:tc>
      </w:tr>
    </w:tbl>
    <w:p w14:paraId="3910B116"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5066777A" w14:textId="77777777" w:rsidR="0045673A" w:rsidRDefault="00E17DF3">
      <w:pPr>
        <w:ind w:right="643"/>
      </w:pPr>
      <w:r w:rsidRPr="007E62B7">
        <w:t>Please explain your reply to question 4.2.3:</w:t>
      </w:r>
      <w:r>
        <w:t xml:space="preserve"> </w:t>
      </w:r>
    </w:p>
    <w:tbl>
      <w:tblPr>
        <w:tblW w:w="8836" w:type="dxa"/>
        <w:tblInd w:w="-26" w:type="dxa"/>
        <w:tblCellMar>
          <w:top w:w="21" w:type="dxa"/>
          <w:right w:w="115" w:type="dxa"/>
        </w:tblCellMar>
        <w:tblLook w:val="04A0" w:firstRow="1" w:lastRow="0" w:firstColumn="1" w:lastColumn="0" w:noHBand="0" w:noVBand="1"/>
      </w:tblPr>
      <w:tblGrid>
        <w:gridCol w:w="8836"/>
      </w:tblGrid>
      <w:tr w:rsidR="00C364A0" w14:paraId="24049C56"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7136ACB4" w14:textId="77777777" w:rsidR="000535EE" w:rsidRDefault="000535EE">
            <w:pPr>
              <w:spacing w:after="0" w:line="259" w:lineRule="auto"/>
              <w:ind w:left="0" w:firstLine="0"/>
              <w:jc w:val="left"/>
              <w:rPr>
                <w:sz w:val="20"/>
                <w:szCs w:val="20"/>
              </w:rPr>
            </w:pPr>
          </w:p>
          <w:p w14:paraId="5AABFED3" w14:textId="19ABDC7F" w:rsidR="007E62B7" w:rsidRPr="0036286A" w:rsidRDefault="00BB7D9B">
            <w:pPr>
              <w:spacing w:after="0" w:line="259" w:lineRule="auto"/>
              <w:ind w:left="0" w:firstLine="0"/>
              <w:jc w:val="left"/>
              <w:rPr>
                <w:sz w:val="20"/>
                <w:szCs w:val="20"/>
              </w:rPr>
            </w:pPr>
            <w:r w:rsidRPr="0036286A">
              <w:rPr>
                <w:sz w:val="20"/>
                <w:szCs w:val="20"/>
              </w:rPr>
              <w:t xml:space="preserve">We </w:t>
            </w:r>
            <w:r w:rsidR="00815302" w:rsidRPr="0036286A">
              <w:rPr>
                <w:sz w:val="20"/>
                <w:szCs w:val="20"/>
              </w:rPr>
              <w:t xml:space="preserve">believe that many of these considerations noted above in the consultation will need to be taken into account when determining the </w:t>
            </w:r>
            <w:r w:rsidR="008C1DE4" w:rsidRPr="0036286A">
              <w:rPr>
                <w:sz w:val="20"/>
                <w:szCs w:val="20"/>
              </w:rPr>
              <w:t>criteria for the sustainability product categories.</w:t>
            </w:r>
          </w:p>
          <w:p w14:paraId="29E79D4B" w14:textId="77777777" w:rsidR="007E62B7" w:rsidRPr="0036286A" w:rsidRDefault="007E62B7">
            <w:pPr>
              <w:spacing w:after="0" w:line="259" w:lineRule="auto"/>
              <w:ind w:left="0" w:firstLine="0"/>
              <w:jc w:val="left"/>
              <w:rPr>
                <w:sz w:val="20"/>
                <w:szCs w:val="20"/>
              </w:rPr>
            </w:pPr>
          </w:p>
          <w:p w14:paraId="53C2EC95" w14:textId="2FF15B42" w:rsidR="00BB7D9B" w:rsidRPr="0036286A" w:rsidRDefault="008C1DE4">
            <w:pPr>
              <w:spacing w:after="0" w:line="259" w:lineRule="auto"/>
              <w:ind w:left="0" w:firstLine="0"/>
              <w:jc w:val="left"/>
              <w:rPr>
                <w:sz w:val="20"/>
                <w:szCs w:val="20"/>
              </w:rPr>
            </w:pPr>
            <w:r w:rsidRPr="0036286A">
              <w:rPr>
                <w:sz w:val="20"/>
                <w:szCs w:val="20"/>
              </w:rPr>
              <w:t>This includes the first consideration note</w:t>
            </w:r>
            <w:r w:rsidR="0036286A">
              <w:rPr>
                <w:sz w:val="20"/>
                <w:szCs w:val="20"/>
              </w:rPr>
              <w:t>d</w:t>
            </w:r>
            <w:r w:rsidRPr="0036286A">
              <w:rPr>
                <w:sz w:val="20"/>
                <w:szCs w:val="20"/>
              </w:rPr>
              <w:t xml:space="preserve">, with </w:t>
            </w:r>
            <w:r w:rsidR="00387E5F" w:rsidRPr="0036286A">
              <w:rPr>
                <w:sz w:val="20"/>
                <w:szCs w:val="20"/>
              </w:rPr>
              <w:t xml:space="preserve">multi-asset funds and blended investment strategies </w:t>
            </w:r>
            <w:r w:rsidRPr="0036286A">
              <w:rPr>
                <w:sz w:val="20"/>
                <w:szCs w:val="20"/>
              </w:rPr>
              <w:t xml:space="preserve">requiring particular careful treatment under a revised SFDR framework to ensure that these </w:t>
            </w:r>
            <w:r w:rsidR="001448BB" w:rsidRPr="0036286A">
              <w:rPr>
                <w:sz w:val="20"/>
                <w:szCs w:val="20"/>
              </w:rPr>
              <w:t>funds that may be adopting a sustainable investment approach and have a sustainability objective can be accommodated in the framework.</w:t>
            </w:r>
          </w:p>
          <w:p w14:paraId="73A8D113" w14:textId="77777777" w:rsidR="007D0AC2" w:rsidRPr="0036286A" w:rsidRDefault="007D0AC2">
            <w:pPr>
              <w:spacing w:after="0" w:line="259" w:lineRule="auto"/>
              <w:ind w:left="0" w:firstLine="0"/>
              <w:jc w:val="left"/>
              <w:rPr>
                <w:sz w:val="20"/>
                <w:szCs w:val="20"/>
              </w:rPr>
            </w:pPr>
          </w:p>
          <w:p w14:paraId="65825714" w14:textId="4B25DEF0" w:rsidR="009E05B8" w:rsidRPr="0036286A" w:rsidRDefault="009E05B8" w:rsidP="007D0AC2">
            <w:pPr>
              <w:spacing w:after="0" w:line="259" w:lineRule="auto"/>
              <w:ind w:left="0" w:firstLine="0"/>
              <w:jc w:val="left"/>
              <w:rPr>
                <w:sz w:val="20"/>
                <w:szCs w:val="20"/>
              </w:rPr>
            </w:pPr>
            <w:r w:rsidRPr="0036286A">
              <w:rPr>
                <w:sz w:val="20"/>
                <w:szCs w:val="20"/>
              </w:rPr>
              <w:t>The second consideration noted is also important to ensure as much as interoperability as possible between EU-domiciled funds</w:t>
            </w:r>
            <w:r w:rsidR="00A970F4" w:rsidRPr="0036286A">
              <w:rPr>
                <w:sz w:val="20"/>
                <w:szCs w:val="20"/>
              </w:rPr>
              <w:t>, UK funds,</w:t>
            </w:r>
            <w:r w:rsidRPr="0036286A">
              <w:rPr>
                <w:sz w:val="20"/>
                <w:szCs w:val="20"/>
              </w:rPr>
              <w:t xml:space="preserve"> and </w:t>
            </w:r>
            <w:r w:rsidR="00A970F4" w:rsidRPr="0036286A">
              <w:rPr>
                <w:sz w:val="20"/>
                <w:szCs w:val="20"/>
              </w:rPr>
              <w:t xml:space="preserve">other overseas funds. </w:t>
            </w:r>
            <w:r w:rsidR="00727AF2" w:rsidRPr="0036286A">
              <w:rPr>
                <w:sz w:val="20"/>
                <w:szCs w:val="20"/>
              </w:rPr>
              <w:t>We expect many of our members will have questions in terms of understanding the full implications for their funds based in the UK and other third-countries, and ensuring equal treatment in the fund disclosures for end clients</w:t>
            </w:r>
            <w:r w:rsidR="001A688A">
              <w:rPr>
                <w:sz w:val="20"/>
                <w:szCs w:val="20"/>
              </w:rPr>
              <w:t>.</w:t>
            </w:r>
          </w:p>
          <w:p w14:paraId="6E95C580" w14:textId="77777777" w:rsidR="009E05B8" w:rsidRPr="0036286A" w:rsidRDefault="009E05B8" w:rsidP="007D0AC2">
            <w:pPr>
              <w:spacing w:after="0" w:line="259" w:lineRule="auto"/>
              <w:ind w:left="0" w:firstLine="0"/>
              <w:jc w:val="left"/>
              <w:rPr>
                <w:sz w:val="20"/>
                <w:szCs w:val="20"/>
              </w:rPr>
            </w:pPr>
          </w:p>
          <w:p w14:paraId="06025F09" w14:textId="42BEFBEE" w:rsidR="0062387D" w:rsidRPr="0062387D" w:rsidRDefault="007D0AC2" w:rsidP="00B40B2D">
            <w:pPr>
              <w:spacing w:after="0" w:line="259" w:lineRule="auto"/>
              <w:ind w:left="0" w:firstLine="0"/>
              <w:jc w:val="left"/>
              <w:rPr>
                <w:sz w:val="20"/>
                <w:szCs w:val="20"/>
              </w:rPr>
            </w:pPr>
            <w:r w:rsidRPr="0036286A">
              <w:rPr>
                <w:sz w:val="20"/>
                <w:szCs w:val="20"/>
              </w:rPr>
              <w:t xml:space="preserve">In terms of emerging markets, there will be particular considerations for emerging markets focused funds, and making sure the SFDR does not put up disproportionately higher barriers for these investments, due to issues in gathering good data in many regions in emerging economies. This will be important for regulatory authorities to keep under </w:t>
            </w:r>
            <w:r w:rsidR="00952AC9" w:rsidRPr="0036286A">
              <w:rPr>
                <w:sz w:val="20"/>
                <w:szCs w:val="20"/>
              </w:rPr>
              <w:t>close review.</w:t>
            </w:r>
          </w:p>
        </w:tc>
      </w:tr>
    </w:tbl>
    <w:p w14:paraId="5FEE4E55" w14:textId="77777777" w:rsidR="0045673A" w:rsidRDefault="00E17DF3">
      <w:pPr>
        <w:spacing w:after="501" w:line="259" w:lineRule="auto"/>
        <w:ind w:left="0" w:firstLine="0"/>
        <w:jc w:val="left"/>
      </w:pPr>
      <w:r>
        <w:t xml:space="preserve"> </w:t>
      </w:r>
    </w:p>
    <w:p w14:paraId="543FEA78" w14:textId="77777777" w:rsidR="0045673A" w:rsidRDefault="00E17DF3">
      <w:pPr>
        <w:spacing w:after="226" w:line="265" w:lineRule="auto"/>
        <w:ind w:left="1187" w:hanging="720"/>
        <w:jc w:val="left"/>
      </w:pPr>
      <w:r>
        <w:rPr>
          <w:b/>
        </w:rPr>
        <w:t>4.3.</w:t>
      </w:r>
      <w:r>
        <w:rPr>
          <w:rFonts w:ascii="Arial" w:eastAsia="Arial" w:hAnsi="Arial" w:cs="Arial"/>
          <w:b/>
        </w:rPr>
        <w:t xml:space="preserve"> </w:t>
      </w:r>
      <w:r>
        <w:rPr>
          <w:b/>
        </w:rPr>
        <w:t>C</w:t>
      </w:r>
      <w:r>
        <w:rPr>
          <w:b/>
          <w:sz w:val="19"/>
        </w:rPr>
        <w:t>ONSEQUENCES OF THE ESTABLISHMENT OF A SUSTAINABILITY PRODUCTS CATEGORISATION SYSTEM</w:t>
      </w:r>
      <w:r>
        <w:rPr>
          <w:b/>
        </w:rPr>
        <w:t xml:space="preserve"> </w:t>
      </w:r>
    </w:p>
    <w:p w14:paraId="3312E465" w14:textId="442BDF66" w:rsidR="0045673A" w:rsidRDefault="00E17DF3">
      <w:pPr>
        <w:ind w:right="643"/>
      </w:pPr>
      <w:r>
        <w:t xml:space="preserve">As highlighted in Section 2, any potential changes to the current disclosure regime and the creation of a categorisation system would need to take into account the interactions between the SFDR and other sustainable finance legislation. The following questions address these interactions for different legal acts, in such a scenario of regulatory changes in the arena of financial product disclosures and categorisation. </w:t>
      </w:r>
    </w:p>
    <w:p w14:paraId="62261482" w14:textId="77777777" w:rsidR="00331A27" w:rsidRDefault="00331A27">
      <w:pPr>
        <w:ind w:right="643"/>
      </w:pPr>
    </w:p>
    <w:p w14:paraId="76D0D89F" w14:textId="77777777" w:rsidR="0045673A" w:rsidRDefault="00E17DF3">
      <w:pPr>
        <w:spacing w:after="233"/>
        <w:ind w:right="643"/>
      </w:pPr>
      <w:r>
        <w:rPr>
          <w:b/>
          <w:u w:val="single" w:color="000000"/>
        </w:rPr>
        <w:t>Question 4.3.1</w:t>
      </w:r>
      <w:r>
        <w:t xml:space="preserve">: The objective of the PRIIPs KID is to provide short and simple information to retail investors. Do you think that if a product categorisation system was established under the SFDR, the category that a particular product falls in should be included in the PRIIPS KID? </w:t>
      </w:r>
    </w:p>
    <w:p w14:paraId="4513351C" w14:textId="77777777" w:rsidR="0045673A" w:rsidRDefault="00E17DF3">
      <w:pPr>
        <w:spacing w:after="0" w:line="259" w:lineRule="auto"/>
        <w:ind w:left="0" w:firstLine="0"/>
        <w:jc w:val="left"/>
      </w:pPr>
      <w:r>
        <w:rPr>
          <w:rFonts w:ascii="Calibri" w:eastAsia="Calibri" w:hAnsi="Calibri" w:cs="Calibri"/>
        </w:rPr>
        <w:t xml:space="preserve"> </w:t>
      </w:r>
    </w:p>
    <w:tbl>
      <w:tblPr>
        <w:tblW w:w="4417" w:type="dxa"/>
        <w:tblCellMar>
          <w:top w:w="19" w:type="dxa"/>
          <w:right w:w="98" w:type="dxa"/>
        </w:tblCellMar>
        <w:tblLook w:val="04A0" w:firstRow="1" w:lastRow="0" w:firstColumn="1" w:lastColumn="0" w:noHBand="0" w:noVBand="1"/>
      </w:tblPr>
      <w:tblGrid>
        <w:gridCol w:w="1471"/>
        <w:gridCol w:w="1474"/>
        <w:gridCol w:w="1472"/>
      </w:tblGrid>
      <w:tr w:rsidR="0045673A" w14:paraId="0BFDBD4A"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0CE95C00" w14:textId="77777777" w:rsidR="0045673A" w:rsidRDefault="00E17DF3">
            <w:pPr>
              <w:spacing w:after="0" w:line="259" w:lineRule="auto"/>
              <w:ind w:left="0" w:right="15" w:firstLine="0"/>
              <w:jc w:val="center"/>
            </w:pPr>
            <w:r>
              <w:t xml:space="preserve">Yes </w:t>
            </w:r>
          </w:p>
        </w:tc>
        <w:tc>
          <w:tcPr>
            <w:tcW w:w="1474" w:type="dxa"/>
            <w:tcBorders>
              <w:top w:val="single" w:sz="8" w:space="0" w:color="000000"/>
              <w:left w:val="single" w:sz="8" w:space="0" w:color="000000"/>
              <w:bottom w:val="single" w:sz="8" w:space="0" w:color="000000"/>
              <w:right w:val="single" w:sz="8" w:space="0" w:color="000000"/>
            </w:tcBorders>
          </w:tcPr>
          <w:p w14:paraId="6F7B23E5" w14:textId="77777777" w:rsidR="0045673A" w:rsidRDefault="00E17DF3">
            <w:pPr>
              <w:spacing w:after="0" w:line="259" w:lineRule="auto"/>
              <w:ind w:left="0" w:right="9" w:firstLine="0"/>
              <w:jc w:val="center"/>
            </w:pPr>
            <w:r>
              <w:t xml:space="preserve">No </w:t>
            </w:r>
          </w:p>
        </w:tc>
        <w:tc>
          <w:tcPr>
            <w:tcW w:w="1472" w:type="dxa"/>
            <w:tcBorders>
              <w:top w:val="single" w:sz="8" w:space="0" w:color="000000"/>
              <w:left w:val="single" w:sz="8" w:space="0" w:color="000000"/>
              <w:bottom w:val="single" w:sz="8" w:space="0" w:color="000000"/>
              <w:right w:val="single" w:sz="8" w:space="0" w:color="000000"/>
            </w:tcBorders>
          </w:tcPr>
          <w:p w14:paraId="621CF55C" w14:textId="77777777" w:rsidR="0045673A" w:rsidRDefault="00E17DF3">
            <w:pPr>
              <w:spacing w:after="0" w:line="259" w:lineRule="auto"/>
              <w:ind w:left="50" w:firstLine="0"/>
              <w:jc w:val="left"/>
            </w:pPr>
            <w:r>
              <w:t xml:space="preserve">Don’t know </w:t>
            </w:r>
          </w:p>
        </w:tc>
      </w:tr>
      <w:tr w:rsidR="0045673A" w14:paraId="0F375BA5" w14:textId="77777777">
        <w:trPr>
          <w:trHeight w:val="576"/>
        </w:trPr>
        <w:tc>
          <w:tcPr>
            <w:tcW w:w="1471" w:type="dxa"/>
            <w:tcBorders>
              <w:top w:val="single" w:sz="8" w:space="0" w:color="000000"/>
              <w:left w:val="single" w:sz="8" w:space="0" w:color="000000"/>
              <w:bottom w:val="single" w:sz="8" w:space="0" w:color="000000"/>
              <w:right w:val="single" w:sz="8" w:space="0" w:color="000000"/>
            </w:tcBorders>
          </w:tcPr>
          <w:p w14:paraId="205384D2" w14:textId="6F875A32" w:rsidR="0045673A" w:rsidRDefault="00E17DF3">
            <w:pPr>
              <w:spacing w:after="0" w:line="259" w:lineRule="auto"/>
              <w:ind w:left="0" w:firstLine="0"/>
              <w:jc w:val="left"/>
            </w:pPr>
            <w:r>
              <w:t xml:space="preserve"> </w:t>
            </w:r>
            <w:r w:rsidR="00A630FF">
              <w:t>X</w:t>
            </w:r>
          </w:p>
        </w:tc>
        <w:tc>
          <w:tcPr>
            <w:tcW w:w="1474" w:type="dxa"/>
            <w:tcBorders>
              <w:top w:val="single" w:sz="8" w:space="0" w:color="000000"/>
              <w:left w:val="single" w:sz="8" w:space="0" w:color="000000"/>
              <w:bottom w:val="single" w:sz="8" w:space="0" w:color="000000"/>
              <w:right w:val="single" w:sz="8" w:space="0" w:color="000000"/>
            </w:tcBorders>
          </w:tcPr>
          <w:p w14:paraId="3F1B23F6" w14:textId="77777777" w:rsidR="0045673A" w:rsidRDefault="00E17DF3">
            <w:pPr>
              <w:spacing w:after="0" w:line="259" w:lineRule="auto"/>
              <w:ind w:left="2" w:firstLine="0"/>
              <w:jc w:val="left"/>
            </w:pPr>
            <w:r>
              <w:t xml:space="preserve"> </w:t>
            </w:r>
          </w:p>
        </w:tc>
        <w:tc>
          <w:tcPr>
            <w:tcW w:w="1472" w:type="dxa"/>
            <w:tcBorders>
              <w:top w:val="single" w:sz="8" w:space="0" w:color="000000"/>
              <w:left w:val="single" w:sz="8" w:space="0" w:color="000000"/>
              <w:bottom w:val="single" w:sz="8" w:space="0" w:color="000000"/>
              <w:right w:val="single" w:sz="8" w:space="0" w:color="000000"/>
            </w:tcBorders>
          </w:tcPr>
          <w:p w14:paraId="0F3F6CA3" w14:textId="77777777" w:rsidR="0045673A" w:rsidRDefault="00E17DF3">
            <w:pPr>
              <w:spacing w:after="0" w:line="259" w:lineRule="auto"/>
              <w:ind w:left="0" w:firstLine="0"/>
              <w:jc w:val="left"/>
            </w:pPr>
            <w:r>
              <w:t xml:space="preserve"> </w:t>
            </w:r>
          </w:p>
        </w:tc>
      </w:tr>
    </w:tbl>
    <w:p w14:paraId="59C385C8" w14:textId="77777777" w:rsidR="0045673A" w:rsidRDefault="00E17DF3">
      <w:pPr>
        <w:spacing w:after="0" w:line="259" w:lineRule="auto"/>
        <w:ind w:left="0" w:firstLine="0"/>
        <w:jc w:val="left"/>
      </w:pPr>
      <w:r>
        <w:t xml:space="preserve"> </w:t>
      </w:r>
    </w:p>
    <w:p w14:paraId="3CF03661" w14:textId="77777777" w:rsidR="0045673A" w:rsidRDefault="00E17DF3">
      <w:pPr>
        <w:ind w:right="643"/>
      </w:pPr>
      <w:r w:rsidRPr="007E62B7">
        <w:t>Please explain your answer to question 4.3.1:</w:t>
      </w:r>
      <w:r>
        <w:t xml:space="preserve"> </w:t>
      </w:r>
    </w:p>
    <w:tbl>
      <w:tblPr>
        <w:tblW w:w="8836" w:type="dxa"/>
        <w:tblInd w:w="-26" w:type="dxa"/>
        <w:tblCellMar>
          <w:top w:w="21" w:type="dxa"/>
          <w:right w:w="115" w:type="dxa"/>
        </w:tblCellMar>
        <w:tblLook w:val="04A0" w:firstRow="1" w:lastRow="0" w:firstColumn="1" w:lastColumn="0" w:noHBand="0" w:noVBand="1"/>
      </w:tblPr>
      <w:tblGrid>
        <w:gridCol w:w="8836"/>
      </w:tblGrid>
      <w:tr w:rsidR="00C364A0" w14:paraId="7CA66B08"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7D5430DB" w14:textId="77777777" w:rsidR="000535EE" w:rsidRDefault="000535EE" w:rsidP="00E62284">
            <w:pPr>
              <w:spacing w:after="0" w:line="259" w:lineRule="auto"/>
              <w:ind w:left="0" w:firstLine="0"/>
              <w:jc w:val="left"/>
              <w:rPr>
                <w:sz w:val="20"/>
                <w:szCs w:val="20"/>
              </w:rPr>
            </w:pPr>
          </w:p>
          <w:p w14:paraId="0A9CB01B" w14:textId="598C7AE9" w:rsidR="007E62B7" w:rsidRPr="00A13715" w:rsidRDefault="00382F26" w:rsidP="00E62284">
            <w:pPr>
              <w:spacing w:after="0" w:line="259" w:lineRule="auto"/>
              <w:ind w:left="0" w:firstLine="0"/>
              <w:jc w:val="left"/>
              <w:rPr>
                <w:sz w:val="20"/>
                <w:szCs w:val="20"/>
              </w:rPr>
            </w:pPr>
            <w:r w:rsidRPr="00A13715">
              <w:rPr>
                <w:sz w:val="20"/>
                <w:szCs w:val="20"/>
              </w:rPr>
              <w:t xml:space="preserve">It will be important to </w:t>
            </w:r>
            <w:r w:rsidR="00FD1F66" w:rsidRPr="00A13715">
              <w:rPr>
                <w:sz w:val="20"/>
                <w:szCs w:val="20"/>
              </w:rPr>
              <w:t>include the</w:t>
            </w:r>
            <w:r w:rsidRPr="00A13715">
              <w:rPr>
                <w:sz w:val="20"/>
                <w:szCs w:val="20"/>
              </w:rPr>
              <w:t xml:space="preserve"> fund disclosures to retail investors </w:t>
            </w:r>
            <w:r w:rsidR="00FD1F66" w:rsidRPr="00A13715">
              <w:rPr>
                <w:sz w:val="20"/>
                <w:szCs w:val="20"/>
              </w:rPr>
              <w:t>within the</w:t>
            </w:r>
            <w:r w:rsidR="00A64E64" w:rsidRPr="00A13715">
              <w:rPr>
                <w:sz w:val="20"/>
                <w:szCs w:val="20"/>
              </w:rPr>
              <w:t xml:space="preserve"> </w:t>
            </w:r>
            <w:r w:rsidR="00FD1F66" w:rsidRPr="00A13715">
              <w:rPr>
                <w:sz w:val="20"/>
                <w:szCs w:val="20"/>
              </w:rPr>
              <w:t>PRIIPs KID to promote accessibility of disclosures and transparency</w:t>
            </w:r>
            <w:r w:rsidR="009E5497">
              <w:rPr>
                <w:sz w:val="20"/>
                <w:szCs w:val="20"/>
              </w:rPr>
              <w:t xml:space="preserve">. </w:t>
            </w:r>
          </w:p>
          <w:p w14:paraId="3ED0DCF4" w14:textId="77777777" w:rsidR="007E62B7" w:rsidRPr="00A13715" w:rsidRDefault="007E62B7" w:rsidP="00E62284">
            <w:pPr>
              <w:spacing w:after="0" w:line="259" w:lineRule="auto"/>
              <w:ind w:left="0" w:firstLine="0"/>
              <w:jc w:val="left"/>
              <w:rPr>
                <w:sz w:val="20"/>
                <w:szCs w:val="20"/>
              </w:rPr>
            </w:pPr>
          </w:p>
          <w:p w14:paraId="6662F037" w14:textId="381CAACA" w:rsidR="00E62284" w:rsidRDefault="00FD1F66" w:rsidP="00E62284">
            <w:pPr>
              <w:spacing w:after="0" w:line="259" w:lineRule="auto"/>
              <w:ind w:left="0" w:firstLine="0"/>
              <w:jc w:val="left"/>
            </w:pPr>
            <w:r w:rsidRPr="00A13715">
              <w:rPr>
                <w:sz w:val="20"/>
                <w:szCs w:val="20"/>
              </w:rPr>
              <w:t xml:space="preserve">Alongside this, consideration could be given to a short, high-level ‘factsheet’ </w:t>
            </w:r>
            <w:r w:rsidR="00E62284" w:rsidRPr="00A13715">
              <w:rPr>
                <w:sz w:val="20"/>
                <w:szCs w:val="20"/>
              </w:rPr>
              <w:t xml:space="preserve">to illustrate the key objectives and features of the product, which could draw on the FCA’s approach </w:t>
            </w:r>
            <w:r w:rsidR="005473A5" w:rsidRPr="00A13715">
              <w:rPr>
                <w:sz w:val="20"/>
                <w:szCs w:val="20"/>
              </w:rPr>
              <w:t>to a ‘sustainability factsheet’ containing the most decision-useful disclosures and content for retail investors.</w:t>
            </w:r>
          </w:p>
        </w:tc>
      </w:tr>
    </w:tbl>
    <w:p w14:paraId="1765182E" w14:textId="77777777" w:rsidR="0045673A" w:rsidRDefault="00E17DF3">
      <w:pPr>
        <w:spacing w:after="216" w:line="259" w:lineRule="auto"/>
        <w:ind w:left="0" w:firstLine="0"/>
        <w:jc w:val="left"/>
      </w:pPr>
      <w:r>
        <w:t xml:space="preserve"> </w:t>
      </w:r>
    </w:p>
    <w:p w14:paraId="1C5D635F" w14:textId="77777777" w:rsidR="0045673A" w:rsidRDefault="00E17DF3">
      <w:pPr>
        <w:ind w:right="643"/>
      </w:pPr>
      <w:r>
        <w:rPr>
          <w:b/>
          <w:u w:val="single" w:color="000000"/>
        </w:rPr>
        <w:t>Question 4.3.2</w:t>
      </w:r>
      <w:r>
        <w:t xml:space="preserve">: If new ESG Benchmarks were developed at EU level (in addition to the existing Paris-aligned benchmarks (PAB) and climate transition benchmarks (CTB), how should their criteria interact with a new product categorisation system? </w:t>
      </w:r>
    </w:p>
    <w:tbl>
      <w:tblPr>
        <w:tblW w:w="8610" w:type="dxa"/>
        <w:tblCellMar>
          <w:top w:w="14" w:type="dxa"/>
          <w:right w:w="48" w:type="dxa"/>
        </w:tblCellMar>
        <w:tblLook w:val="04A0" w:firstRow="1" w:lastRow="0" w:firstColumn="1" w:lastColumn="0" w:noHBand="0" w:noVBand="1"/>
      </w:tblPr>
      <w:tblGrid>
        <w:gridCol w:w="5432"/>
        <w:gridCol w:w="451"/>
        <w:gridCol w:w="451"/>
        <w:gridCol w:w="452"/>
        <w:gridCol w:w="451"/>
        <w:gridCol w:w="451"/>
        <w:gridCol w:w="922"/>
      </w:tblGrid>
      <w:tr w:rsidR="0045673A" w14:paraId="1144CF10"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45B9F200"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985D693"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6E858071"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129D745A"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3D855991"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3FC9E458"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3F49E78C" w14:textId="77777777" w:rsidR="0045673A" w:rsidRDefault="00E17DF3">
            <w:pPr>
              <w:spacing w:after="0" w:line="259" w:lineRule="auto"/>
              <w:ind w:left="0" w:firstLine="0"/>
              <w:jc w:val="center"/>
            </w:pPr>
            <w:r>
              <w:t xml:space="preserve">Don’t know </w:t>
            </w:r>
          </w:p>
        </w:tc>
      </w:tr>
      <w:tr w:rsidR="0045673A" w14:paraId="527FEEAF" w14:textId="77777777">
        <w:trPr>
          <w:trHeight w:val="1078"/>
        </w:trPr>
        <w:tc>
          <w:tcPr>
            <w:tcW w:w="5432" w:type="dxa"/>
            <w:tcBorders>
              <w:top w:val="single" w:sz="4" w:space="0" w:color="000000"/>
              <w:left w:val="single" w:sz="4" w:space="0" w:color="000000"/>
              <w:bottom w:val="single" w:sz="4" w:space="0" w:color="000000"/>
              <w:right w:val="single" w:sz="4" w:space="0" w:color="000000"/>
            </w:tcBorders>
          </w:tcPr>
          <w:p w14:paraId="17C84D31" w14:textId="77777777" w:rsidR="0045673A" w:rsidRDefault="00E17DF3">
            <w:pPr>
              <w:spacing w:after="0" w:line="238" w:lineRule="auto"/>
              <w:ind w:left="0" w:firstLine="0"/>
            </w:pPr>
            <w:r>
              <w:t xml:space="preserve">The criteria set for the ESG benchmarks and the criteria defined for sustainability product categories </w:t>
            </w:r>
          </w:p>
          <w:p w14:paraId="7A460300" w14:textId="77777777" w:rsidR="0045673A" w:rsidRDefault="00E17DF3">
            <w:pPr>
              <w:spacing w:after="0" w:line="259" w:lineRule="auto"/>
              <w:ind w:left="0" w:firstLine="0"/>
              <w:jc w:val="left"/>
            </w:pPr>
            <w:r>
              <w:t xml:space="preserve">should be closely aligned </w:t>
            </w:r>
          </w:p>
        </w:tc>
        <w:tc>
          <w:tcPr>
            <w:tcW w:w="451" w:type="dxa"/>
            <w:tcBorders>
              <w:top w:val="single" w:sz="4" w:space="0" w:color="000000"/>
              <w:left w:val="single" w:sz="4" w:space="0" w:color="000000"/>
              <w:bottom w:val="single" w:sz="4" w:space="0" w:color="000000"/>
              <w:right w:val="single" w:sz="4" w:space="0" w:color="000000"/>
            </w:tcBorders>
          </w:tcPr>
          <w:p w14:paraId="6AEE0BA9" w14:textId="77777777" w:rsidR="0045673A" w:rsidRDefault="00E17DF3">
            <w:pPr>
              <w:spacing w:after="0" w:line="259" w:lineRule="auto"/>
              <w:ind w:left="5"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9424B8E" w14:textId="77777777" w:rsidR="0045673A" w:rsidRDefault="00E17DF3">
            <w:pPr>
              <w:spacing w:after="0" w:line="259" w:lineRule="auto"/>
              <w:ind w:left="0"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0F59557D" w14:textId="77777777" w:rsidR="0045673A" w:rsidRDefault="00E17DF3">
            <w:pPr>
              <w:spacing w:after="0" w:line="259" w:lineRule="auto"/>
              <w:ind w:left="1"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1315A26" w14:textId="77777777" w:rsidR="0045673A" w:rsidRDefault="00E17DF3">
            <w:pPr>
              <w:spacing w:after="0" w:line="259" w:lineRule="auto"/>
              <w:ind w:left="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D5C576C" w14:textId="67E565E8" w:rsidR="0045673A" w:rsidRDefault="00517058">
            <w:pPr>
              <w:spacing w:after="0" w:line="259" w:lineRule="auto"/>
              <w:ind w:left="0" w:firstLine="0"/>
              <w:jc w:val="center"/>
            </w:pPr>
            <w:r>
              <w:t>X</w:t>
            </w:r>
            <w:r w:rsidR="00E17DF3">
              <w:t xml:space="preserve"> </w:t>
            </w:r>
          </w:p>
        </w:tc>
        <w:tc>
          <w:tcPr>
            <w:tcW w:w="922" w:type="dxa"/>
            <w:tcBorders>
              <w:top w:val="single" w:sz="4" w:space="0" w:color="000000"/>
              <w:left w:val="single" w:sz="4" w:space="0" w:color="000000"/>
              <w:bottom w:val="single" w:sz="4" w:space="0" w:color="000000"/>
              <w:right w:val="single" w:sz="4" w:space="0" w:color="000000"/>
            </w:tcBorders>
          </w:tcPr>
          <w:p w14:paraId="2A928834" w14:textId="77777777" w:rsidR="0045673A" w:rsidRDefault="00E17DF3">
            <w:pPr>
              <w:spacing w:after="0" w:line="259" w:lineRule="auto"/>
              <w:ind w:left="0" w:firstLine="0"/>
              <w:jc w:val="center"/>
            </w:pPr>
            <w:r>
              <w:t xml:space="preserve"> </w:t>
            </w:r>
          </w:p>
        </w:tc>
      </w:tr>
      <w:tr w:rsidR="0045673A" w14:paraId="43CFA49A" w14:textId="77777777">
        <w:trPr>
          <w:trHeight w:val="526"/>
        </w:trPr>
        <w:tc>
          <w:tcPr>
            <w:tcW w:w="5432" w:type="dxa"/>
            <w:tcBorders>
              <w:top w:val="single" w:sz="4" w:space="0" w:color="000000"/>
              <w:left w:val="single" w:sz="4" w:space="0" w:color="000000"/>
              <w:bottom w:val="single" w:sz="4" w:space="0" w:color="000000"/>
              <w:right w:val="single" w:sz="4" w:space="0" w:color="000000"/>
            </w:tcBorders>
          </w:tcPr>
          <w:p w14:paraId="10F48778" w14:textId="77777777" w:rsidR="0045673A" w:rsidRDefault="00E17DF3">
            <w:pPr>
              <w:spacing w:after="0" w:line="259" w:lineRule="auto"/>
              <w:ind w:left="0" w:firstLine="0"/>
              <w:jc w:val="left"/>
            </w:pPr>
            <w:r>
              <w:t xml:space="preserve">Other </w:t>
            </w:r>
          </w:p>
        </w:tc>
        <w:tc>
          <w:tcPr>
            <w:tcW w:w="451" w:type="dxa"/>
            <w:tcBorders>
              <w:top w:val="single" w:sz="4" w:space="0" w:color="000000"/>
              <w:left w:val="single" w:sz="4" w:space="0" w:color="000000"/>
              <w:bottom w:val="single" w:sz="4" w:space="0" w:color="000000"/>
              <w:right w:val="single" w:sz="4" w:space="0" w:color="000000"/>
            </w:tcBorders>
          </w:tcPr>
          <w:p w14:paraId="0FFDBC8C" w14:textId="77777777" w:rsidR="0045673A" w:rsidRDefault="00E17DF3">
            <w:pPr>
              <w:spacing w:after="0" w:line="259" w:lineRule="auto"/>
              <w:ind w:left="5"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1436F1F2" w14:textId="77777777" w:rsidR="0045673A" w:rsidRDefault="00E17DF3">
            <w:pPr>
              <w:spacing w:after="0" w:line="259" w:lineRule="auto"/>
              <w:ind w:left="0"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1AEC9567" w14:textId="77777777" w:rsidR="0045673A" w:rsidRDefault="00E17DF3">
            <w:pPr>
              <w:spacing w:after="0" w:line="259" w:lineRule="auto"/>
              <w:ind w:left="1"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12C44A6" w14:textId="77777777" w:rsidR="0045673A" w:rsidRDefault="00E17DF3">
            <w:pPr>
              <w:spacing w:after="0" w:line="259" w:lineRule="auto"/>
              <w:ind w:left="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1A523893" w14:textId="77777777" w:rsidR="0045673A" w:rsidRDefault="00E17DF3">
            <w:pPr>
              <w:spacing w:after="0" w:line="259" w:lineRule="auto"/>
              <w:ind w:left="0"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5F510F95" w14:textId="668375C8" w:rsidR="0045673A" w:rsidRDefault="0045673A">
            <w:pPr>
              <w:spacing w:after="0" w:line="259" w:lineRule="auto"/>
              <w:ind w:left="0" w:firstLine="0"/>
              <w:jc w:val="center"/>
            </w:pPr>
          </w:p>
        </w:tc>
      </w:tr>
    </w:tbl>
    <w:p w14:paraId="0FEA8576"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330EA75B" w14:textId="77777777" w:rsidR="0045673A" w:rsidRDefault="00E17DF3">
      <w:pPr>
        <w:ind w:right="643"/>
      </w:pPr>
      <w:r>
        <w:t xml:space="preserve">If you chose other, please specify how should these criteria interact: </w:t>
      </w:r>
    </w:p>
    <w:tbl>
      <w:tblPr>
        <w:tblW w:w="8836" w:type="dxa"/>
        <w:tblInd w:w="-26" w:type="dxa"/>
        <w:tblCellMar>
          <w:top w:w="19" w:type="dxa"/>
          <w:right w:w="115" w:type="dxa"/>
        </w:tblCellMar>
        <w:tblLook w:val="04A0" w:firstRow="1" w:lastRow="0" w:firstColumn="1" w:lastColumn="0" w:noHBand="0" w:noVBand="1"/>
      </w:tblPr>
      <w:tblGrid>
        <w:gridCol w:w="8836"/>
      </w:tblGrid>
      <w:tr w:rsidR="00C364A0" w14:paraId="616D2676"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54371D55" w14:textId="77777777" w:rsidR="0045673A" w:rsidRDefault="00E17DF3">
            <w:pPr>
              <w:spacing w:after="0" w:line="259" w:lineRule="auto"/>
              <w:ind w:left="0" w:firstLine="0"/>
              <w:jc w:val="left"/>
            </w:pPr>
            <w:r>
              <w:t xml:space="preserve"> </w:t>
            </w:r>
          </w:p>
        </w:tc>
      </w:tr>
    </w:tbl>
    <w:p w14:paraId="33695BE1" w14:textId="77777777" w:rsidR="0045673A" w:rsidRDefault="00E17DF3">
      <w:pPr>
        <w:spacing w:after="216" w:line="259" w:lineRule="auto"/>
        <w:ind w:left="0" w:firstLine="0"/>
        <w:jc w:val="left"/>
      </w:pPr>
      <w:r>
        <w:t xml:space="preserve"> </w:t>
      </w:r>
    </w:p>
    <w:p w14:paraId="6BF68680" w14:textId="77777777" w:rsidR="0045673A" w:rsidRDefault="00E17DF3">
      <w:pPr>
        <w:ind w:right="643"/>
      </w:pPr>
      <w:r>
        <w:rPr>
          <w:b/>
          <w:u w:val="single" w:color="000000"/>
        </w:rPr>
        <w:t>Question 4.3.3:</w:t>
      </w:r>
      <w:r>
        <w:t xml:space="preserve"> Do you think that products passively tracking a PAB or a CTB should automatically be deemed to satisfy the criteria of a future sustainability product category? </w:t>
      </w:r>
    </w:p>
    <w:tbl>
      <w:tblPr>
        <w:tblW w:w="4417" w:type="dxa"/>
        <w:tblCellMar>
          <w:top w:w="19" w:type="dxa"/>
          <w:right w:w="98" w:type="dxa"/>
        </w:tblCellMar>
        <w:tblLook w:val="04A0" w:firstRow="1" w:lastRow="0" w:firstColumn="1" w:lastColumn="0" w:noHBand="0" w:noVBand="1"/>
      </w:tblPr>
      <w:tblGrid>
        <w:gridCol w:w="1471"/>
        <w:gridCol w:w="1474"/>
        <w:gridCol w:w="1472"/>
      </w:tblGrid>
      <w:tr w:rsidR="0045673A" w14:paraId="15B3E2D8" w14:textId="77777777">
        <w:trPr>
          <w:trHeight w:val="576"/>
        </w:trPr>
        <w:tc>
          <w:tcPr>
            <w:tcW w:w="1471" w:type="dxa"/>
            <w:tcBorders>
              <w:top w:val="single" w:sz="8" w:space="0" w:color="000000"/>
              <w:left w:val="single" w:sz="8" w:space="0" w:color="000000"/>
              <w:bottom w:val="single" w:sz="8" w:space="0" w:color="000000"/>
              <w:right w:val="single" w:sz="8" w:space="0" w:color="000000"/>
            </w:tcBorders>
          </w:tcPr>
          <w:p w14:paraId="6B92CC71" w14:textId="77777777" w:rsidR="0045673A" w:rsidRDefault="00E17DF3">
            <w:pPr>
              <w:spacing w:after="0" w:line="259" w:lineRule="auto"/>
              <w:ind w:left="0" w:right="15" w:firstLine="0"/>
              <w:jc w:val="center"/>
            </w:pPr>
            <w:r>
              <w:t xml:space="preserve">Yes </w:t>
            </w:r>
          </w:p>
        </w:tc>
        <w:tc>
          <w:tcPr>
            <w:tcW w:w="1474" w:type="dxa"/>
            <w:tcBorders>
              <w:top w:val="single" w:sz="8" w:space="0" w:color="000000"/>
              <w:left w:val="single" w:sz="8" w:space="0" w:color="000000"/>
              <w:bottom w:val="single" w:sz="8" w:space="0" w:color="000000"/>
              <w:right w:val="single" w:sz="8" w:space="0" w:color="000000"/>
            </w:tcBorders>
          </w:tcPr>
          <w:p w14:paraId="79B9F346" w14:textId="77777777" w:rsidR="0045673A" w:rsidRDefault="00E17DF3">
            <w:pPr>
              <w:spacing w:after="0" w:line="259" w:lineRule="auto"/>
              <w:ind w:left="0" w:right="9" w:firstLine="0"/>
              <w:jc w:val="center"/>
            </w:pPr>
            <w:r>
              <w:t xml:space="preserve">No </w:t>
            </w:r>
          </w:p>
        </w:tc>
        <w:tc>
          <w:tcPr>
            <w:tcW w:w="1472" w:type="dxa"/>
            <w:tcBorders>
              <w:top w:val="single" w:sz="8" w:space="0" w:color="000000"/>
              <w:left w:val="single" w:sz="8" w:space="0" w:color="000000"/>
              <w:bottom w:val="single" w:sz="8" w:space="0" w:color="000000"/>
              <w:right w:val="single" w:sz="8" w:space="0" w:color="000000"/>
            </w:tcBorders>
          </w:tcPr>
          <w:p w14:paraId="6DB6B7BE" w14:textId="77777777" w:rsidR="0045673A" w:rsidRDefault="00E17DF3">
            <w:pPr>
              <w:spacing w:after="0" w:line="259" w:lineRule="auto"/>
              <w:ind w:left="50" w:firstLine="0"/>
              <w:jc w:val="left"/>
            </w:pPr>
            <w:r>
              <w:t xml:space="preserve">Don’t know </w:t>
            </w:r>
          </w:p>
        </w:tc>
      </w:tr>
      <w:tr w:rsidR="0045673A" w14:paraId="554B2AA5"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311244D2" w14:textId="40F4978F" w:rsidR="0045673A" w:rsidRDefault="00E17DF3">
            <w:pPr>
              <w:spacing w:after="0" w:line="259" w:lineRule="auto"/>
              <w:ind w:left="0" w:firstLine="0"/>
              <w:jc w:val="left"/>
            </w:pPr>
            <w:r>
              <w:t xml:space="preserve"> </w:t>
            </w:r>
          </w:p>
        </w:tc>
        <w:tc>
          <w:tcPr>
            <w:tcW w:w="1474" w:type="dxa"/>
            <w:tcBorders>
              <w:top w:val="single" w:sz="8" w:space="0" w:color="000000"/>
              <w:left w:val="single" w:sz="8" w:space="0" w:color="000000"/>
              <w:bottom w:val="single" w:sz="8" w:space="0" w:color="000000"/>
              <w:right w:val="single" w:sz="8" w:space="0" w:color="000000"/>
            </w:tcBorders>
          </w:tcPr>
          <w:p w14:paraId="24E709A7" w14:textId="026718E7" w:rsidR="0045673A" w:rsidRDefault="00E17DF3">
            <w:pPr>
              <w:spacing w:after="0" w:line="259" w:lineRule="auto"/>
              <w:ind w:left="2" w:firstLine="0"/>
              <w:jc w:val="left"/>
            </w:pPr>
            <w:r>
              <w:t xml:space="preserve"> </w:t>
            </w:r>
            <w:r w:rsidR="00517058">
              <w:t>X</w:t>
            </w:r>
          </w:p>
        </w:tc>
        <w:tc>
          <w:tcPr>
            <w:tcW w:w="1472" w:type="dxa"/>
            <w:tcBorders>
              <w:top w:val="single" w:sz="8" w:space="0" w:color="000000"/>
              <w:left w:val="single" w:sz="8" w:space="0" w:color="000000"/>
              <w:bottom w:val="single" w:sz="8" w:space="0" w:color="000000"/>
              <w:right w:val="single" w:sz="8" w:space="0" w:color="000000"/>
            </w:tcBorders>
          </w:tcPr>
          <w:p w14:paraId="4E6A0B95" w14:textId="77777777" w:rsidR="0045673A" w:rsidRDefault="00E17DF3">
            <w:pPr>
              <w:spacing w:after="0" w:line="259" w:lineRule="auto"/>
              <w:ind w:left="0" w:firstLine="0"/>
              <w:jc w:val="left"/>
            </w:pPr>
            <w:r>
              <w:t xml:space="preserve"> </w:t>
            </w:r>
          </w:p>
        </w:tc>
      </w:tr>
    </w:tbl>
    <w:p w14:paraId="3FAFDBC6" w14:textId="77777777" w:rsidR="0045673A" w:rsidRDefault="00E17DF3">
      <w:pPr>
        <w:spacing w:after="216" w:line="259" w:lineRule="auto"/>
        <w:ind w:left="0" w:firstLine="0"/>
        <w:jc w:val="left"/>
      </w:pPr>
      <w:r>
        <w:t xml:space="preserve"> </w:t>
      </w:r>
    </w:p>
    <w:p w14:paraId="588F20FB" w14:textId="77777777" w:rsidR="0045673A" w:rsidRDefault="00E17DF3">
      <w:pPr>
        <w:spacing w:after="216" w:line="259" w:lineRule="auto"/>
        <w:ind w:left="0" w:firstLine="0"/>
        <w:jc w:val="left"/>
      </w:pPr>
      <w:r>
        <w:t xml:space="preserve"> </w:t>
      </w:r>
    </w:p>
    <w:p w14:paraId="05F12629" w14:textId="77777777" w:rsidR="0045673A" w:rsidRDefault="00E17DF3">
      <w:pPr>
        <w:ind w:right="643"/>
      </w:pPr>
      <w:r>
        <w:rPr>
          <w:b/>
          <w:u w:val="single" w:color="000000"/>
        </w:rPr>
        <w:t>Question 4.3.4</w:t>
      </w:r>
      <w:r>
        <w:t xml:space="preserve">: To what extent do you agree that, if a categorisation system is established, sustainability preferences under MiFID 2/IDD should refer to those possible sustainability product categories? </w:t>
      </w:r>
    </w:p>
    <w:tbl>
      <w:tblPr>
        <w:tblW w:w="8829"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2826"/>
      </w:tblGrid>
      <w:tr w:rsidR="0045673A" w14:paraId="70305D5D" w14:textId="77777777">
        <w:trPr>
          <w:trHeight w:val="531"/>
        </w:trPr>
        <w:tc>
          <w:tcPr>
            <w:tcW w:w="1229" w:type="dxa"/>
            <w:tcBorders>
              <w:top w:val="single" w:sz="6" w:space="0" w:color="000000"/>
              <w:left w:val="single" w:sz="6" w:space="0" w:color="000000"/>
              <w:bottom w:val="single" w:sz="6" w:space="0" w:color="000000"/>
              <w:right w:val="single" w:sz="6" w:space="0" w:color="000000"/>
            </w:tcBorders>
          </w:tcPr>
          <w:p w14:paraId="0F51B8BB"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4D289C80"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2A08A7AE"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29157523"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373B78A9" w14:textId="77777777" w:rsidR="0045673A" w:rsidRDefault="00E17DF3">
            <w:pPr>
              <w:spacing w:after="0" w:line="259" w:lineRule="auto"/>
              <w:ind w:left="2" w:firstLine="0"/>
              <w:jc w:val="center"/>
            </w:pPr>
            <w:r>
              <w:t xml:space="preserve">5 </w:t>
            </w:r>
          </w:p>
        </w:tc>
        <w:tc>
          <w:tcPr>
            <w:tcW w:w="2826" w:type="dxa"/>
            <w:tcBorders>
              <w:top w:val="single" w:sz="6" w:space="0" w:color="000000"/>
              <w:left w:val="single" w:sz="6" w:space="0" w:color="000000"/>
              <w:bottom w:val="single" w:sz="6" w:space="0" w:color="000000"/>
              <w:right w:val="single" w:sz="6" w:space="0" w:color="000000"/>
            </w:tcBorders>
          </w:tcPr>
          <w:p w14:paraId="7F90C707" w14:textId="77777777" w:rsidR="0045673A" w:rsidRDefault="00E17DF3">
            <w:pPr>
              <w:spacing w:after="0" w:line="259" w:lineRule="auto"/>
              <w:ind w:left="0" w:right="2" w:firstLine="0"/>
              <w:jc w:val="center"/>
            </w:pPr>
            <w:r>
              <w:t xml:space="preserve">Don’t know </w:t>
            </w:r>
          </w:p>
        </w:tc>
      </w:tr>
      <w:tr w:rsidR="0045673A" w14:paraId="2BA2BD86" w14:textId="77777777">
        <w:trPr>
          <w:trHeight w:val="533"/>
        </w:trPr>
        <w:tc>
          <w:tcPr>
            <w:tcW w:w="1229" w:type="dxa"/>
            <w:tcBorders>
              <w:top w:val="single" w:sz="6" w:space="0" w:color="000000"/>
              <w:left w:val="single" w:sz="6" w:space="0" w:color="000000"/>
              <w:bottom w:val="single" w:sz="6" w:space="0" w:color="000000"/>
              <w:right w:val="single" w:sz="6" w:space="0" w:color="000000"/>
            </w:tcBorders>
          </w:tcPr>
          <w:p w14:paraId="0A7AA283" w14:textId="77777777" w:rsidR="0045673A" w:rsidRDefault="00E17DF3">
            <w:pPr>
              <w:spacing w:after="0" w:line="259" w:lineRule="auto"/>
              <w:ind w:left="60" w:firstLine="0"/>
              <w:jc w:val="center"/>
            </w:pPr>
            <w:r>
              <w:t xml:space="preserve"> </w:t>
            </w:r>
          </w:p>
        </w:tc>
        <w:tc>
          <w:tcPr>
            <w:tcW w:w="1215" w:type="dxa"/>
            <w:tcBorders>
              <w:top w:val="single" w:sz="6" w:space="0" w:color="000000"/>
              <w:left w:val="single" w:sz="6" w:space="0" w:color="000000"/>
              <w:bottom w:val="single" w:sz="6" w:space="0" w:color="000000"/>
              <w:right w:val="single" w:sz="6" w:space="0" w:color="000000"/>
            </w:tcBorders>
          </w:tcPr>
          <w:p w14:paraId="1DB93A75" w14:textId="77777777" w:rsidR="0045673A" w:rsidRDefault="00E17DF3">
            <w:pPr>
              <w:spacing w:after="0" w:line="259" w:lineRule="auto"/>
              <w:ind w:left="61"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66045D30" w14:textId="77777777" w:rsidR="0045673A" w:rsidRDefault="00E17DF3">
            <w:pPr>
              <w:spacing w:after="0" w:line="259" w:lineRule="auto"/>
              <w:ind w:left="62"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5077ED9A" w14:textId="4737D46D" w:rsidR="0045673A" w:rsidRDefault="00E17DF3">
            <w:pPr>
              <w:spacing w:after="0" w:line="259" w:lineRule="auto"/>
              <w:ind w:left="63" w:firstLine="0"/>
              <w:jc w:val="center"/>
            </w:pPr>
            <w:r>
              <w:t xml:space="preserve"> </w:t>
            </w:r>
            <w:r w:rsidR="00517058">
              <w:t>X</w:t>
            </w:r>
          </w:p>
        </w:tc>
        <w:tc>
          <w:tcPr>
            <w:tcW w:w="1135" w:type="dxa"/>
            <w:tcBorders>
              <w:top w:val="single" w:sz="6" w:space="0" w:color="000000"/>
              <w:left w:val="single" w:sz="6" w:space="0" w:color="000000"/>
              <w:bottom w:val="single" w:sz="6" w:space="0" w:color="000000"/>
              <w:right w:val="single" w:sz="6" w:space="0" w:color="000000"/>
            </w:tcBorders>
          </w:tcPr>
          <w:p w14:paraId="23E30DC1" w14:textId="5DEF7A68" w:rsidR="0045673A" w:rsidRDefault="0045673A">
            <w:pPr>
              <w:spacing w:after="0" w:line="259" w:lineRule="auto"/>
              <w:ind w:left="62" w:firstLine="0"/>
              <w:jc w:val="center"/>
            </w:pPr>
          </w:p>
        </w:tc>
        <w:tc>
          <w:tcPr>
            <w:tcW w:w="2826" w:type="dxa"/>
            <w:tcBorders>
              <w:top w:val="single" w:sz="6" w:space="0" w:color="000000"/>
              <w:left w:val="single" w:sz="6" w:space="0" w:color="000000"/>
              <w:bottom w:val="single" w:sz="6" w:space="0" w:color="000000"/>
              <w:right w:val="single" w:sz="6" w:space="0" w:color="000000"/>
            </w:tcBorders>
          </w:tcPr>
          <w:p w14:paraId="589372AA" w14:textId="77777777" w:rsidR="0045673A" w:rsidRDefault="00E17DF3">
            <w:pPr>
              <w:spacing w:after="0" w:line="259" w:lineRule="auto"/>
              <w:ind w:left="63" w:firstLine="0"/>
              <w:jc w:val="center"/>
            </w:pPr>
            <w:r>
              <w:t xml:space="preserve"> </w:t>
            </w:r>
          </w:p>
        </w:tc>
      </w:tr>
    </w:tbl>
    <w:p w14:paraId="1D4D8863" w14:textId="77777777" w:rsidR="0045673A" w:rsidRDefault="00E17DF3">
      <w:pPr>
        <w:spacing w:after="523" w:line="268" w:lineRule="auto"/>
        <w:ind w:left="-5" w:right="365"/>
        <w:jc w:val="left"/>
      </w:pPr>
      <w:r>
        <w:rPr>
          <w:i/>
          <w:sz w:val="20"/>
        </w:rPr>
        <w:t xml:space="preserve">(1= totally disagree, 2= mostly disagree, 3= partially disagree and partially agree, 4= mostly agree, 5= totally agree) </w:t>
      </w:r>
    </w:p>
    <w:p w14:paraId="4275F51D" w14:textId="77777777" w:rsidR="0045673A" w:rsidRDefault="00E17DF3">
      <w:pPr>
        <w:tabs>
          <w:tab w:val="center" w:pos="662"/>
          <w:tab w:val="center" w:pos="3874"/>
        </w:tabs>
        <w:spacing w:after="226" w:line="265" w:lineRule="auto"/>
        <w:ind w:left="0" w:firstLine="0"/>
        <w:jc w:val="left"/>
      </w:pPr>
      <w:r>
        <w:rPr>
          <w:rFonts w:ascii="Calibri" w:eastAsia="Calibri" w:hAnsi="Calibri" w:cs="Calibri"/>
          <w:sz w:val="22"/>
        </w:rPr>
        <w:tab/>
      </w:r>
      <w:r>
        <w:rPr>
          <w:b/>
        </w:rPr>
        <w:t>4.4.</w:t>
      </w:r>
      <w:r>
        <w:rPr>
          <w:rFonts w:ascii="Arial" w:eastAsia="Arial" w:hAnsi="Arial" w:cs="Arial"/>
          <w:b/>
        </w:rPr>
        <w:t xml:space="preserve"> </w:t>
      </w:r>
      <w:r>
        <w:rPr>
          <w:rFonts w:ascii="Arial" w:eastAsia="Arial" w:hAnsi="Arial" w:cs="Arial"/>
          <w:b/>
        </w:rPr>
        <w:tab/>
      </w:r>
      <w:r>
        <w:rPr>
          <w:b/>
        </w:rPr>
        <w:t>M</w:t>
      </w:r>
      <w:r>
        <w:rPr>
          <w:b/>
          <w:sz w:val="19"/>
        </w:rPr>
        <w:t>ARKETING COMMUNICATIONS AND PRODUCT NAMES</w:t>
      </w:r>
      <w:r>
        <w:rPr>
          <w:b/>
        </w:rPr>
        <w:t xml:space="preserve"> </w:t>
      </w:r>
    </w:p>
    <w:p w14:paraId="42492763" w14:textId="77777777" w:rsidR="0045673A" w:rsidRDefault="00E17DF3">
      <w:pPr>
        <w:spacing w:after="229"/>
        <w:ind w:right="643"/>
      </w:pPr>
      <w:r>
        <w:t xml:space="preserve">Market participants are increasingly informing their clients about sustainability, both in the context of the SFDR and voluntarily in marketing communications and names. Potentially, any expression related to sustainability provided by market participants to describe and promote the entity or its products and services could mislead clients and other stakeholders if it does not appropriately consider the reasonable expectations. </w:t>
      </w:r>
    </w:p>
    <w:p w14:paraId="0B78D03E" w14:textId="77777777" w:rsidR="0045673A" w:rsidRDefault="00E17DF3">
      <w:pPr>
        <w:spacing w:after="229"/>
        <w:ind w:right="643"/>
      </w:pPr>
      <w:r>
        <w:t xml:space="preserve">The SFDR does address the issue of marketing communications in Article 13, prohibiting contradictions between such marketing communications and disclosures under the regulation. Article 13 also includes an empowerment for the European Supervisory Authorities to draft implementing technical standards on how marketing communication should be presented. This empowerment has not been used up to now.  </w:t>
      </w:r>
    </w:p>
    <w:p w14:paraId="34D994BE" w14:textId="77777777" w:rsidR="0045673A" w:rsidRDefault="00E17DF3">
      <w:pPr>
        <w:ind w:right="643"/>
      </w:pPr>
      <w:r>
        <w:rPr>
          <w:b/>
          <w:u w:val="single" w:color="000000"/>
        </w:rPr>
        <w:t xml:space="preserve">Question 4.4.1: </w:t>
      </w:r>
      <w:r>
        <w:t xml:space="preserve">Do you agree that the SFDR is the appropriate legal instrument to deal with the accuracy and fairness of marketing communications and the use of sustainability related names for financial products? </w:t>
      </w:r>
    </w:p>
    <w:tbl>
      <w:tblPr>
        <w:tblW w:w="4417" w:type="dxa"/>
        <w:tblCellMar>
          <w:top w:w="19" w:type="dxa"/>
          <w:right w:w="98" w:type="dxa"/>
        </w:tblCellMar>
        <w:tblLook w:val="04A0" w:firstRow="1" w:lastRow="0" w:firstColumn="1" w:lastColumn="0" w:noHBand="0" w:noVBand="1"/>
      </w:tblPr>
      <w:tblGrid>
        <w:gridCol w:w="1471"/>
        <w:gridCol w:w="1474"/>
        <w:gridCol w:w="1472"/>
      </w:tblGrid>
      <w:tr w:rsidR="0045673A" w14:paraId="629EF3E8"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1A2C1C09" w14:textId="77777777" w:rsidR="0045673A" w:rsidRDefault="00E17DF3">
            <w:pPr>
              <w:spacing w:after="0" w:line="259" w:lineRule="auto"/>
              <w:ind w:left="0" w:right="15" w:firstLine="0"/>
              <w:jc w:val="center"/>
            </w:pPr>
            <w:r>
              <w:t xml:space="preserve">Yes </w:t>
            </w:r>
          </w:p>
        </w:tc>
        <w:tc>
          <w:tcPr>
            <w:tcW w:w="1474" w:type="dxa"/>
            <w:tcBorders>
              <w:top w:val="single" w:sz="8" w:space="0" w:color="000000"/>
              <w:left w:val="single" w:sz="8" w:space="0" w:color="000000"/>
              <w:bottom w:val="single" w:sz="8" w:space="0" w:color="000000"/>
              <w:right w:val="single" w:sz="8" w:space="0" w:color="000000"/>
            </w:tcBorders>
          </w:tcPr>
          <w:p w14:paraId="293C4509" w14:textId="77777777" w:rsidR="0045673A" w:rsidRDefault="00E17DF3">
            <w:pPr>
              <w:spacing w:after="0" w:line="259" w:lineRule="auto"/>
              <w:ind w:left="0" w:right="9" w:firstLine="0"/>
              <w:jc w:val="center"/>
            </w:pPr>
            <w:r>
              <w:t xml:space="preserve">No </w:t>
            </w:r>
          </w:p>
        </w:tc>
        <w:tc>
          <w:tcPr>
            <w:tcW w:w="1472" w:type="dxa"/>
            <w:tcBorders>
              <w:top w:val="single" w:sz="8" w:space="0" w:color="000000"/>
              <w:left w:val="single" w:sz="8" w:space="0" w:color="000000"/>
              <w:bottom w:val="single" w:sz="8" w:space="0" w:color="000000"/>
              <w:right w:val="single" w:sz="8" w:space="0" w:color="000000"/>
            </w:tcBorders>
          </w:tcPr>
          <w:p w14:paraId="083133DA" w14:textId="77777777" w:rsidR="0045673A" w:rsidRDefault="00E17DF3">
            <w:pPr>
              <w:spacing w:after="0" w:line="259" w:lineRule="auto"/>
              <w:ind w:left="50" w:firstLine="0"/>
              <w:jc w:val="left"/>
            </w:pPr>
            <w:r>
              <w:t xml:space="preserve">Don’t know </w:t>
            </w:r>
          </w:p>
        </w:tc>
      </w:tr>
      <w:tr w:rsidR="0045673A" w14:paraId="2955DC3B" w14:textId="77777777">
        <w:trPr>
          <w:trHeight w:val="578"/>
        </w:trPr>
        <w:tc>
          <w:tcPr>
            <w:tcW w:w="1471" w:type="dxa"/>
            <w:tcBorders>
              <w:top w:val="single" w:sz="8" w:space="0" w:color="000000"/>
              <w:left w:val="single" w:sz="8" w:space="0" w:color="000000"/>
              <w:bottom w:val="single" w:sz="8" w:space="0" w:color="000000"/>
              <w:right w:val="single" w:sz="8" w:space="0" w:color="000000"/>
            </w:tcBorders>
          </w:tcPr>
          <w:p w14:paraId="06FFF097" w14:textId="1ED38420" w:rsidR="0045673A" w:rsidRDefault="00E17DF3">
            <w:pPr>
              <w:spacing w:after="0" w:line="259" w:lineRule="auto"/>
              <w:ind w:left="0" w:firstLine="0"/>
              <w:jc w:val="left"/>
            </w:pPr>
            <w:r>
              <w:t xml:space="preserve"> </w:t>
            </w:r>
            <w:r w:rsidR="00E60A65">
              <w:t xml:space="preserve"> </w:t>
            </w:r>
            <w:r w:rsidR="00517058">
              <w:t>X</w:t>
            </w:r>
          </w:p>
        </w:tc>
        <w:tc>
          <w:tcPr>
            <w:tcW w:w="1474" w:type="dxa"/>
            <w:tcBorders>
              <w:top w:val="single" w:sz="8" w:space="0" w:color="000000"/>
              <w:left w:val="single" w:sz="8" w:space="0" w:color="000000"/>
              <w:bottom w:val="single" w:sz="8" w:space="0" w:color="000000"/>
              <w:right w:val="single" w:sz="8" w:space="0" w:color="000000"/>
            </w:tcBorders>
          </w:tcPr>
          <w:p w14:paraId="23BD7426" w14:textId="77777777" w:rsidR="0045673A" w:rsidRDefault="00E17DF3">
            <w:pPr>
              <w:spacing w:after="0" w:line="259" w:lineRule="auto"/>
              <w:ind w:left="2" w:firstLine="0"/>
              <w:jc w:val="left"/>
            </w:pPr>
            <w:r>
              <w:t xml:space="preserve"> </w:t>
            </w:r>
          </w:p>
        </w:tc>
        <w:tc>
          <w:tcPr>
            <w:tcW w:w="1472" w:type="dxa"/>
            <w:tcBorders>
              <w:top w:val="single" w:sz="8" w:space="0" w:color="000000"/>
              <w:left w:val="single" w:sz="8" w:space="0" w:color="000000"/>
              <w:bottom w:val="single" w:sz="8" w:space="0" w:color="000000"/>
              <w:right w:val="single" w:sz="8" w:space="0" w:color="000000"/>
            </w:tcBorders>
          </w:tcPr>
          <w:p w14:paraId="361D9E7C" w14:textId="77777777" w:rsidR="0045673A" w:rsidRDefault="00E17DF3">
            <w:pPr>
              <w:spacing w:after="0" w:line="259" w:lineRule="auto"/>
              <w:ind w:left="0" w:firstLine="0"/>
              <w:jc w:val="left"/>
            </w:pPr>
            <w:r>
              <w:t xml:space="preserve"> </w:t>
            </w:r>
          </w:p>
        </w:tc>
      </w:tr>
    </w:tbl>
    <w:p w14:paraId="5DEE8D76" w14:textId="77777777" w:rsidR="0045673A" w:rsidRDefault="00E17DF3">
      <w:pPr>
        <w:spacing w:after="216" w:line="259" w:lineRule="auto"/>
        <w:ind w:left="0" w:firstLine="0"/>
        <w:jc w:val="left"/>
      </w:pPr>
      <w:r>
        <w:t xml:space="preserve"> </w:t>
      </w:r>
    </w:p>
    <w:p w14:paraId="23B5D364" w14:textId="77777777" w:rsidR="0045673A" w:rsidRDefault="00E17DF3">
      <w:pPr>
        <w:ind w:right="643"/>
      </w:pPr>
      <w:r>
        <w:rPr>
          <w:b/>
          <w:u w:val="single" w:color="000000"/>
        </w:rPr>
        <w:t>Question 4.4.2</w:t>
      </w:r>
      <w:r>
        <w:t xml:space="preserve">: To what extent do you agree with the following statements? </w:t>
      </w:r>
    </w:p>
    <w:tbl>
      <w:tblPr>
        <w:tblW w:w="8610" w:type="dxa"/>
        <w:tblCellMar>
          <w:top w:w="14" w:type="dxa"/>
          <w:right w:w="50" w:type="dxa"/>
        </w:tblCellMar>
        <w:tblLook w:val="04A0" w:firstRow="1" w:lastRow="0" w:firstColumn="1" w:lastColumn="0" w:noHBand="0" w:noVBand="1"/>
      </w:tblPr>
      <w:tblGrid>
        <w:gridCol w:w="5432"/>
        <w:gridCol w:w="451"/>
        <w:gridCol w:w="451"/>
        <w:gridCol w:w="452"/>
        <w:gridCol w:w="451"/>
        <w:gridCol w:w="451"/>
        <w:gridCol w:w="922"/>
      </w:tblGrid>
      <w:tr w:rsidR="0045673A" w14:paraId="775B278A" w14:textId="77777777">
        <w:trPr>
          <w:trHeight w:val="802"/>
        </w:trPr>
        <w:tc>
          <w:tcPr>
            <w:tcW w:w="5432" w:type="dxa"/>
            <w:tcBorders>
              <w:top w:val="single" w:sz="4" w:space="0" w:color="000000"/>
              <w:left w:val="single" w:sz="4" w:space="0" w:color="000000"/>
              <w:bottom w:val="single" w:sz="4" w:space="0" w:color="000000"/>
              <w:right w:val="single" w:sz="4" w:space="0" w:color="000000"/>
            </w:tcBorders>
          </w:tcPr>
          <w:p w14:paraId="117B6FE8" w14:textId="77777777" w:rsidR="0045673A" w:rsidRDefault="00E17DF3">
            <w:pPr>
              <w:spacing w:after="0" w:line="259" w:lineRule="auto"/>
              <w:ind w:left="0" w:firstLine="0"/>
              <w:jc w:val="left"/>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4780E32F" w14:textId="77777777" w:rsidR="0045673A" w:rsidRDefault="00E17DF3">
            <w:pPr>
              <w:spacing w:after="0" w:line="259" w:lineRule="auto"/>
              <w:ind w:left="60" w:firstLine="0"/>
              <w:jc w:val="left"/>
            </w:pPr>
            <w:r>
              <w:t xml:space="preserve">1 </w:t>
            </w:r>
          </w:p>
        </w:tc>
        <w:tc>
          <w:tcPr>
            <w:tcW w:w="451" w:type="dxa"/>
            <w:tcBorders>
              <w:top w:val="single" w:sz="4" w:space="0" w:color="000000"/>
              <w:left w:val="single" w:sz="4" w:space="0" w:color="000000"/>
              <w:bottom w:val="single" w:sz="4" w:space="0" w:color="000000"/>
              <w:right w:val="single" w:sz="4" w:space="0" w:color="000000"/>
            </w:tcBorders>
          </w:tcPr>
          <w:p w14:paraId="36985BFD" w14:textId="77777777" w:rsidR="0045673A" w:rsidRDefault="00E17DF3">
            <w:pPr>
              <w:spacing w:after="0" w:line="259" w:lineRule="auto"/>
              <w:ind w:left="58" w:firstLine="0"/>
              <w:jc w:val="left"/>
            </w:pPr>
            <w:r>
              <w:t xml:space="preserve">2 </w:t>
            </w:r>
          </w:p>
        </w:tc>
        <w:tc>
          <w:tcPr>
            <w:tcW w:w="452" w:type="dxa"/>
            <w:tcBorders>
              <w:top w:val="single" w:sz="4" w:space="0" w:color="000000"/>
              <w:left w:val="single" w:sz="4" w:space="0" w:color="000000"/>
              <w:bottom w:val="single" w:sz="4" w:space="0" w:color="000000"/>
              <w:right w:val="single" w:sz="4" w:space="0" w:color="000000"/>
            </w:tcBorders>
          </w:tcPr>
          <w:p w14:paraId="0E0DD18E" w14:textId="77777777" w:rsidR="0045673A" w:rsidRDefault="00E17DF3">
            <w:pPr>
              <w:spacing w:after="0" w:line="259" w:lineRule="auto"/>
              <w:ind w:left="58" w:firstLine="0"/>
              <w:jc w:val="left"/>
            </w:pPr>
            <w:r>
              <w:t xml:space="preserve">3 </w:t>
            </w:r>
          </w:p>
        </w:tc>
        <w:tc>
          <w:tcPr>
            <w:tcW w:w="451" w:type="dxa"/>
            <w:tcBorders>
              <w:top w:val="single" w:sz="4" w:space="0" w:color="000000"/>
              <w:left w:val="single" w:sz="4" w:space="0" w:color="000000"/>
              <w:bottom w:val="single" w:sz="4" w:space="0" w:color="000000"/>
              <w:right w:val="single" w:sz="4" w:space="0" w:color="000000"/>
            </w:tcBorders>
          </w:tcPr>
          <w:p w14:paraId="432CE37E" w14:textId="77777777" w:rsidR="0045673A" w:rsidRDefault="00E17DF3">
            <w:pPr>
              <w:spacing w:after="0" w:line="259" w:lineRule="auto"/>
              <w:ind w:left="58" w:firstLine="0"/>
              <w:jc w:val="left"/>
            </w:pPr>
            <w:r>
              <w:t xml:space="preserve">4 </w:t>
            </w:r>
          </w:p>
        </w:tc>
        <w:tc>
          <w:tcPr>
            <w:tcW w:w="451" w:type="dxa"/>
            <w:tcBorders>
              <w:top w:val="single" w:sz="4" w:space="0" w:color="000000"/>
              <w:left w:val="single" w:sz="4" w:space="0" w:color="000000"/>
              <w:bottom w:val="single" w:sz="4" w:space="0" w:color="000000"/>
              <w:right w:val="single" w:sz="4" w:space="0" w:color="000000"/>
            </w:tcBorders>
          </w:tcPr>
          <w:p w14:paraId="2C202760" w14:textId="77777777" w:rsidR="0045673A" w:rsidRDefault="00E17DF3">
            <w:pPr>
              <w:spacing w:after="0" w:line="259" w:lineRule="auto"/>
              <w:ind w:left="58" w:firstLine="0"/>
              <w:jc w:val="left"/>
            </w:pPr>
            <w:r>
              <w:t xml:space="preserve">5 </w:t>
            </w:r>
          </w:p>
        </w:tc>
        <w:tc>
          <w:tcPr>
            <w:tcW w:w="922" w:type="dxa"/>
            <w:tcBorders>
              <w:top w:val="single" w:sz="4" w:space="0" w:color="000000"/>
              <w:left w:val="single" w:sz="4" w:space="0" w:color="000000"/>
              <w:bottom w:val="single" w:sz="4" w:space="0" w:color="000000"/>
              <w:right w:val="single" w:sz="4" w:space="0" w:color="000000"/>
            </w:tcBorders>
          </w:tcPr>
          <w:p w14:paraId="6893561B" w14:textId="77777777" w:rsidR="0045673A" w:rsidRDefault="00E17DF3">
            <w:pPr>
              <w:spacing w:after="0" w:line="259" w:lineRule="auto"/>
              <w:ind w:left="0" w:firstLine="0"/>
              <w:jc w:val="center"/>
            </w:pPr>
            <w:r>
              <w:t xml:space="preserve">Don’t know </w:t>
            </w:r>
          </w:p>
        </w:tc>
      </w:tr>
      <w:tr w:rsidR="0045673A" w14:paraId="1494B087" w14:textId="77777777">
        <w:trPr>
          <w:trHeight w:val="1354"/>
        </w:trPr>
        <w:tc>
          <w:tcPr>
            <w:tcW w:w="5432" w:type="dxa"/>
            <w:tcBorders>
              <w:top w:val="single" w:sz="4" w:space="0" w:color="000000"/>
              <w:left w:val="single" w:sz="4" w:space="0" w:color="000000"/>
              <w:bottom w:val="single" w:sz="4" w:space="0" w:color="000000"/>
              <w:right w:val="single" w:sz="4" w:space="0" w:color="000000"/>
            </w:tcBorders>
          </w:tcPr>
          <w:p w14:paraId="7F08E240" w14:textId="77777777" w:rsidR="0045673A" w:rsidRDefault="00E17DF3">
            <w:pPr>
              <w:spacing w:after="0" w:line="259" w:lineRule="auto"/>
              <w:ind w:left="0" w:right="58" w:firstLine="0"/>
            </w:pPr>
            <w:r>
              <w:t xml:space="preserve">The introduction of product categories should be accompanied by specific rules on how market participants must label and communicate on their products </w:t>
            </w:r>
          </w:p>
        </w:tc>
        <w:tc>
          <w:tcPr>
            <w:tcW w:w="451" w:type="dxa"/>
            <w:tcBorders>
              <w:top w:val="single" w:sz="4" w:space="0" w:color="000000"/>
              <w:left w:val="single" w:sz="4" w:space="0" w:color="000000"/>
              <w:bottom w:val="single" w:sz="4" w:space="0" w:color="000000"/>
              <w:right w:val="single" w:sz="4" w:space="0" w:color="000000"/>
            </w:tcBorders>
          </w:tcPr>
          <w:p w14:paraId="12DC9AAD" w14:textId="77777777" w:rsidR="0045673A" w:rsidRDefault="00E17DF3">
            <w:pPr>
              <w:spacing w:after="0" w:line="259" w:lineRule="auto"/>
              <w:ind w:left="7"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426A834" w14:textId="2E99847D" w:rsidR="0045673A" w:rsidRDefault="00E17DF3">
            <w:pPr>
              <w:spacing w:after="0" w:line="259" w:lineRule="auto"/>
              <w:ind w:left="2"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4A0FA610" w14:textId="4CF08184" w:rsidR="0045673A" w:rsidRDefault="00E17DF3">
            <w:pPr>
              <w:spacing w:after="0" w:line="259" w:lineRule="auto"/>
              <w:ind w:left="3"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55627F1D" w14:textId="035EFDFE" w:rsidR="0045673A" w:rsidRDefault="0045673A">
            <w:pPr>
              <w:spacing w:after="0" w:line="259" w:lineRule="auto"/>
              <w:ind w:left="2" w:firstLine="0"/>
              <w:jc w:val="center"/>
            </w:pPr>
          </w:p>
        </w:tc>
        <w:tc>
          <w:tcPr>
            <w:tcW w:w="451" w:type="dxa"/>
            <w:tcBorders>
              <w:top w:val="single" w:sz="4" w:space="0" w:color="000000"/>
              <w:left w:val="single" w:sz="4" w:space="0" w:color="000000"/>
              <w:bottom w:val="single" w:sz="4" w:space="0" w:color="000000"/>
              <w:right w:val="single" w:sz="4" w:space="0" w:color="000000"/>
            </w:tcBorders>
          </w:tcPr>
          <w:p w14:paraId="3EB36A6E" w14:textId="6E42AC99" w:rsidR="0045673A" w:rsidRDefault="0020599B">
            <w:pPr>
              <w:spacing w:after="0" w:line="259" w:lineRule="auto"/>
              <w:ind w:left="2" w:firstLine="0"/>
              <w:jc w:val="center"/>
            </w:pPr>
            <w:r>
              <w:t>X</w:t>
            </w:r>
            <w:r w:rsidR="00E17DF3">
              <w:t xml:space="preserve"> </w:t>
            </w:r>
          </w:p>
        </w:tc>
        <w:tc>
          <w:tcPr>
            <w:tcW w:w="922" w:type="dxa"/>
            <w:tcBorders>
              <w:top w:val="single" w:sz="4" w:space="0" w:color="000000"/>
              <w:left w:val="single" w:sz="4" w:space="0" w:color="000000"/>
              <w:bottom w:val="single" w:sz="4" w:space="0" w:color="000000"/>
              <w:right w:val="single" w:sz="4" w:space="0" w:color="000000"/>
            </w:tcBorders>
          </w:tcPr>
          <w:p w14:paraId="0406D136" w14:textId="77777777" w:rsidR="0045673A" w:rsidRDefault="00E17DF3">
            <w:pPr>
              <w:spacing w:after="0" w:line="259" w:lineRule="auto"/>
              <w:ind w:left="2" w:firstLine="0"/>
              <w:jc w:val="center"/>
            </w:pPr>
            <w:r>
              <w:t xml:space="preserve"> </w:t>
            </w:r>
          </w:p>
        </w:tc>
      </w:tr>
      <w:tr w:rsidR="0045673A" w14:paraId="1B772C3C" w14:textId="77777777">
        <w:trPr>
          <w:trHeight w:val="1354"/>
        </w:trPr>
        <w:tc>
          <w:tcPr>
            <w:tcW w:w="5432" w:type="dxa"/>
            <w:tcBorders>
              <w:top w:val="single" w:sz="4" w:space="0" w:color="000000"/>
              <w:left w:val="single" w:sz="4" w:space="0" w:color="000000"/>
              <w:bottom w:val="single" w:sz="4" w:space="0" w:color="000000"/>
              <w:right w:val="single" w:sz="4" w:space="0" w:color="000000"/>
            </w:tcBorders>
          </w:tcPr>
          <w:p w14:paraId="2744EF74" w14:textId="77777777" w:rsidR="0045673A" w:rsidRDefault="00E17DF3">
            <w:pPr>
              <w:spacing w:after="0" w:line="259" w:lineRule="auto"/>
              <w:ind w:left="0" w:right="58" w:firstLine="0"/>
            </w:pPr>
            <w:r>
              <w:t xml:space="preserve">The use of terms such as ‘sustainable’, ‘ESG’, ‘SDG’, ‘green’, ‘responsible’, ‘net zero’ should be prohibited for products that do not fall under at least one of the product categories defined above, as appropriate. </w:t>
            </w:r>
          </w:p>
        </w:tc>
        <w:tc>
          <w:tcPr>
            <w:tcW w:w="451" w:type="dxa"/>
            <w:tcBorders>
              <w:top w:val="single" w:sz="4" w:space="0" w:color="000000"/>
              <w:left w:val="single" w:sz="4" w:space="0" w:color="000000"/>
              <w:bottom w:val="single" w:sz="4" w:space="0" w:color="000000"/>
              <w:right w:val="single" w:sz="4" w:space="0" w:color="000000"/>
            </w:tcBorders>
          </w:tcPr>
          <w:p w14:paraId="1AA308C3" w14:textId="77777777" w:rsidR="0045673A" w:rsidRDefault="00E17DF3">
            <w:pPr>
              <w:spacing w:after="0" w:line="259" w:lineRule="auto"/>
              <w:ind w:left="7"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7B93EF96" w14:textId="19E312DC" w:rsidR="0045673A" w:rsidRDefault="00E17DF3">
            <w:pPr>
              <w:spacing w:after="0" w:line="259" w:lineRule="auto"/>
              <w:ind w:left="2" w:firstLine="0"/>
              <w:jc w:val="center"/>
            </w:pPr>
            <w:r>
              <w:t xml:space="preserve"> </w:t>
            </w:r>
          </w:p>
        </w:tc>
        <w:tc>
          <w:tcPr>
            <w:tcW w:w="452" w:type="dxa"/>
            <w:tcBorders>
              <w:top w:val="single" w:sz="4" w:space="0" w:color="000000"/>
              <w:left w:val="single" w:sz="4" w:space="0" w:color="000000"/>
              <w:bottom w:val="single" w:sz="4" w:space="0" w:color="000000"/>
              <w:right w:val="single" w:sz="4" w:space="0" w:color="000000"/>
            </w:tcBorders>
          </w:tcPr>
          <w:p w14:paraId="755B4A05" w14:textId="7C4E7416" w:rsidR="0045673A" w:rsidRDefault="00E96690">
            <w:pPr>
              <w:spacing w:after="0" w:line="259" w:lineRule="auto"/>
              <w:ind w:left="3" w:firstLine="0"/>
              <w:jc w:val="center"/>
            </w:pPr>
            <w:r>
              <w:t>X</w:t>
            </w:r>
          </w:p>
        </w:tc>
        <w:tc>
          <w:tcPr>
            <w:tcW w:w="451" w:type="dxa"/>
            <w:tcBorders>
              <w:top w:val="single" w:sz="4" w:space="0" w:color="000000"/>
              <w:left w:val="single" w:sz="4" w:space="0" w:color="000000"/>
              <w:bottom w:val="single" w:sz="4" w:space="0" w:color="000000"/>
              <w:right w:val="single" w:sz="4" w:space="0" w:color="000000"/>
            </w:tcBorders>
          </w:tcPr>
          <w:p w14:paraId="4A339DD3" w14:textId="77777777" w:rsidR="0045673A" w:rsidRDefault="00E17DF3">
            <w:pPr>
              <w:spacing w:after="0" w:line="259" w:lineRule="auto"/>
              <w:ind w:left="2"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14:paraId="393A72CE" w14:textId="77777777" w:rsidR="0045673A" w:rsidRDefault="00E17DF3">
            <w:pPr>
              <w:spacing w:after="0" w:line="259" w:lineRule="auto"/>
              <w:ind w:left="2"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tcPr>
          <w:p w14:paraId="125329CC" w14:textId="77777777" w:rsidR="0045673A" w:rsidRDefault="00E17DF3">
            <w:pPr>
              <w:spacing w:after="0" w:line="259" w:lineRule="auto"/>
              <w:ind w:left="2" w:firstLine="0"/>
              <w:jc w:val="center"/>
            </w:pPr>
            <w:r>
              <w:t xml:space="preserve"> </w:t>
            </w:r>
          </w:p>
        </w:tc>
      </w:tr>
      <w:tr w:rsidR="0045673A" w14:paraId="500CDC50" w14:textId="77777777">
        <w:trPr>
          <w:trHeight w:val="1078"/>
        </w:trPr>
        <w:tc>
          <w:tcPr>
            <w:tcW w:w="5432" w:type="dxa"/>
            <w:tcBorders>
              <w:top w:val="single" w:sz="4" w:space="0" w:color="000000"/>
              <w:left w:val="single" w:sz="4" w:space="0" w:color="000000"/>
              <w:bottom w:val="single" w:sz="4" w:space="0" w:color="000000"/>
              <w:right w:val="single" w:sz="4" w:space="0" w:color="000000"/>
            </w:tcBorders>
          </w:tcPr>
          <w:p w14:paraId="45E8CB52" w14:textId="77777777" w:rsidR="0045673A" w:rsidRDefault="00E17DF3">
            <w:pPr>
              <w:spacing w:after="0" w:line="259" w:lineRule="auto"/>
              <w:ind w:left="0" w:right="61" w:firstLine="0"/>
            </w:pPr>
            <w:r>
              <w:t>Certain terms should be linked to a specific product category and should be reserved for the respective category.</w:t>
            </w:r>
            <w:r>
              <w:rPr>
                <w:rFonts w:ascii="Calibri" w:eastAsia="Calibri" w:hAnsi="Calibri" w:cs="Calibri"/>
              </w:rP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ECCD43F" w14:textId="37573207" w:rsidR="0045673A" w:rsidRDefault="00E17DF3">
            <w:pPr>
              <w:spacing w:after="0" w:line="259" w:lineRule="auto"/>
              <w:ind w:left="1" w:firstLine="0"/>
              <w:jc w:val="center"/>
            </w:pPr>
            <w:r>
              <w:rPr>
                <w:rFonts w:ascii="Calibri" w:eastAsia="Calibri" w:hAnsi="Calibri" w:cs="Calibri"/>
              </w:rP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2F724FD" w14:textId="77777777" w:rsidR="0045673A" w:rsidRDefault="00E17DF3">
            <w:pPr>
              <w:spacing w:after="0" w:line="259" w:lineRule="auto"/>
              <w:ind w:left="0" w:right="4" w:firstLine="0"/>
              <w:jc w:val="center"/>
            </w:pPr>
            <w:r>
              <w:rPr>
                <w:rFonts w:ascii="Calibri" w:eastAsia="Calibri" w:hAnsi="Calibri" w:cs="Calibri"/>
              </w:rPr>
              <w:t xml:space="preserve"> </w:t>
            </w:r>
          </w:p>
        </w:tc>
        <w:tc>
          <w:tcPr>
            <w:tcW w:w="452" w:type="dxa"/>
            <w:tcBorders>
              <w:top w:val="single" w:sz="4" w:space="0" w:color="000000"/>
              <w:left w:val="single" w:sz="4" w:space="0" w:color="000000"/>
              <w:bottom w:val="single" w:sz="4" w:space="0" w:color="000000"/>
              <w:right w:val="single" w:sz="4" w:space="0" w:color="000000"/>
            </w:tcBorders>
          </w:tcPr>
          <w:p w14:paraId="3E52EF47" w14:textId="68C85E22" w:rsidR="0045673A" w:rsidRDefault="00E96690">
            <w:pPr>
              <w:spacing w:after="0" w:line="259" w:lineRule="auto"/>
              <w:ind w:left="0" w:right="3" w:firstLine="0"/>
              <w:jc w:val="center"/>
            </w:pPr>
            <w:r>
              <w:t>X</w:t>
            </w:r>
            <w:r w:rsidR="00E17DF3">
              <w:rPr>
                <w:rFonts w:ascii="Calibri" w:eastAsia="Calibri" w:hAnsi="Calibri" w:cs="Calibri"/>
              </w:rPr>
              <w:t xml:space="preserve"> </w:t>
            </w:r>
          </w:p>
        </w:tc>
        <w:tc>
          <w:tcPr>
            <w:tcW w:w="451" w:type="dxa"/>
            <w:tcBorders>
              <w:top w:val="single" w:sz="4" w:space="0" w:color="000000"/>
              <w:left w:val="single" w:sz="4" w:space="0" w:color="000000"/>
              <w:bottom w:val="single" w:sz="4" w:space="0" w:color="000000"/>
              <w:right w:val="single" w:sz="4" w:space="0" w:color="000000"/>
            </w:tcBorders>
          </w:tcPr>
          <w:p w14:paraId="0EB249D1" w14:textId="77777777" w:rsidR="0045673A" w:rsidRDefault="00E17DF3">
            <w:pPr>
              <w:spacing w:after="0" w:line="259" w:lineRule="auto"/>
              <w:ind w:left="0" w:right="4" w:firstLine="0"/>
              <w:jc w:val="center"/>
            </w:pPr>
            <w:r>
              <w:rPr>
                <w:rFonts w:ascii="Calibri" w:eastAsia="Calibri" w:hAnsi="Calibri" w:cs="Calibri"/>
              </w:rPr>
              <w:t xml:space="preserve"> </w:t>
            </w:r>
          </w:p>
        </w:tc>
        <w:tc>
          <w:tcPr>
            <w:tcW w:w="451" w:type="dxa"/>
            <w:tcBorders>
              <w:top w:val="single" w:sz="4" w:space="0" w:color="000000"/>
              <w:left w:val="single" w:sz="4" w:space="0" w:color="000000"/>
              <w:bottom w:val="single" w:sz="4" w:space="0" w:color="000000"/>
              <w:right w:val="single" w:sz="4" w:space="0" w:color="000000"/>
            </w:tcBorders>
          </w:tcPr>
          <w:p w14:paraId="68C6944A" w14:textId="77777777" w:rsidR="0045673A" w:rsidRDefault="00E17DF3">
            <w:pPr>
              <w:spacing w:after="0" w:line="259" w:lineRule="auto"/>
              <w:ind w:left="0" w:right="4" w:firstLine="0"/>
              <w:jc w:val="center"/>
            </w:pPr>
            <w:r>
              <w:rPr>
                <w:rFonts w:ascii="Calibri" w:eastAsia="Calibri" w:hAnsi="Calibri" w:cs="Calibri"/>
              </w:rPr>
              <w:t xml:space="preserve"> </w:t>
            </w:r>
          </w:p>
        </w:tc>
        <w:tc>
          <w:tcPr>
            <w:tcW w:w="922" w:type="dxa"/>
            <w:tcBorders>
              <w:top w:val="single" w:sz="4" w:space="0" w:color="000000"/>
              <w:left w:val="single" w:sz="4" w:space="0" w:color="000000"/>
              <w:bottom w:val="single" w:sz="4" w:space="0" w:color="000000"/>
              <w:right w:val="single" w:sz="4" w:space="0" w:color="000000"/>
            </w:tcBorders>
          </w:tcPr>
          <w:p w14:paraId="2533D205" w14:textId="77777777" w:rsidR="0045673A" w:rsidRDefault="00E17DF3">
            <w:pPr>
              <w:spacing w:after="0" w:line="259" w:lineRule="auto"/>
              <w:ind w:left="0" w:right="4" w:firstLine="0"/>
              <w:jc w:val="center"/>
            </w:pPr>
            <w:r>
              <w:rPr>
                <w:rFonts w:ascii="Calibri" w:eastAsia="Calibri" w:hAnsi="Calibri" w:cs="Calibri"/>
              </w:rPr>
              <w:t xml:space="preserve"> </w:t>
            </w:r>
          </w:p>
        </w:tc>
      </w:tr>
    </w:tbl>
    <w:p w14:paraId="186CC261"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1F69CA7F" w14:textId="77777777" w:rsidR="0045673A" w:rsidRDefault="00E17DF3">
      <w:pPr>
        <w:ind w:right="643"/>
      </w:pPr>
      <w:r>
        <w:rPr>
          <w:b/>
          <w:u w:val="single" w:color="000000"/>
        </w:rPr>
        <w:t>Question 4.4.3</w:t>
      </w:r>
      <w:r>
        <w:rPr>
          <w:u w:val="single" w:color="000000"/>
        </w:rPr>
        <w:t>:</w:t>
      </w:r>
      <w:r>
        <w:t xml:space="preserve"> Would naming and marketing communication rules be sufficient to avoid misleading communications from products that do not fall under a product sustainability category? </w:t>
      </w:r>
    </w:p>
    <w:tbl>
      <w:tblPr>
        <w:tblW w:w="8829" w:type="dxa"/>
        <w:tblCellMar>
          <w:top w:w="17" w:type="dxa"/>
          <w:left w:w="115" w:type="dxa"/>
          <w:right w:w="115" w:type="dxa"/>
        </w:tblCellMar>
        <w:tblLook w:val="04A0" w:firstRow="1" w:lastRow="0" w:firstColumn="1" w:lastColumn="0" w:noHBand="0" w:noVBand="1"/>
      </w:tblPr>
      <w:tblGrid>
        <w:gridCol w:w="1229"/>
        <w:gridCol w:w="1215"/>
        <w:gridCol w:w="1212"/>
        <w:gridCol w:w="1212"/>
        <w:gridCol w:w="1135"/>
        <w:gridCol w:w="2826"/>
      </w:tblGrid>
      <w:tr w:rsidR="0045673A" w14:paraId="1FAEB6DC" w14:textId="77777777">
        <w:trPr>
          <w:trHeight w:val="530"/>
        </w:trPr>
        <w:tc>
          <w:tcPr>
            <w:tcW w:w="1229" w:type="dxa"/>
            <w:tcBorders>
              <w:top w:val="single" w:sz="6" w:space="0" w:color="000000"/>
              <w:left w:val="single" w:sz="6" w:space="0" w:color="000000"/>
              <w:bottom w:val="single" w:sz="6" w:space="0" w:color="000000"/>
              <w:right w:val="single" w:sz="6" w:space="0" w:color="000000"/>
            </w:tcBorders>
          </w:tcPr>
          <w:p w14:paraId="388A3A03" w14:textId="77777777" w:rsidR="0045673A" w:rsidRDefault="00E17DF3">
            <w:pPr>
              <w:spacing w:after="0" w:line="259" w:lineRule="auto"/>
              <w:ind w:left="0" w:firstLine="0"/>
              <w:jc w:val="center"/>
            </w:pPr>
            <w:r>
              <w:t xml:space="preserve">1 </w:t>
            </w:r>
          </w:p>
        </w:tc>
        <w:tc>
          <w:tcPr>
            <w:tcW w:w="1215" w:type="dxa"/>
            <w:tcBorders>
              <w:top w:val="single" w:sz="6" w:space="0" w:color="000000"/>
              <w:left w:val="single" w:sz="6" w:space="0" w:color="000000"/>
              <w:bottom w:val="single" w:sz="6" w:space="0" w:color="000000"/>
              <w:right w:val="single" w:sz="6" w:space="0" w:color="000000"/>
            </w:tcBorders>
          </w:tcPr>
          <w:p w14:paraId="29E050B2" w14:textId="77777777" w:rsidR="0045673A" w:rsidRDefault="00E17DF3">
            <w:pPr>
              <w:spacing w:after="0" w:line="259" w:lineRule="auto"/>
              <w:ind w:left="0" w:right="1" w:firstLine="0"/>
              <w:jc w:val="center"/>
            </w:pPr>
            <w:r>
              <w:t xml:space="preserve">2 </w:t>
            </w:r>
          </w:p>
        </w:tc>
        <w:tc>
          <w:tcPr>
            <w:tcW w:w="1212" w:type="dxa"/>
            <w:tcBorders>
              <w:top w:val="single" w:sz="6" w:space="0" w:color="000000"/>
              <w:left w:val="single" w:sz="6" w:space="0" w:color="000000"/>
              <w:bottom w:val="single" w:sz="6" w:space="0" w:color="000000"/>
              <w:right w:val="single" w:sz="6" w:space="0" w:color="000000"/>
            </w:tcBorders>
          </w:tcPr>
          <w:p w14:paraId="1D847AB5" w14:textId="77777777" w:rsidR="0045673A" w:rsidRDefault="00E17DF3">
            <w:pPr>
              <w:spacing w:after="0" w:line="259" w:lineRule="auto"/>
              <w:ind w:left="2" w:firstLine="0"/>
              <w:jc w:val="center"/>
            </w:pPr>
            <w:r>
              <w:t xml:space="preserve">3 </w:t>
            </w:r>
          </w:p>
        </w:tc>
        <w:tc>
          <w:tcPr>
            <w:tcW w:w="1212" w:type="dxa"/>
            <w:tcBorders>
              <w:top w:val="single" w:sz="6" w:space="0" w:color="000000"/>
              <w:left w:val="single" w:sz="6" w:space="0" w:color="000000"/>
              <w:bottom w:val="single" w:sz="6" w:space="0" w:color="000000"/>
              <w:right w:val="single" w:sz="6" w:space="0" w:color="000000"/>
            </w:tcBorders>
          </w:tcPr>
          <w:p w14:paraId="7E643483" w14:textId="77777777" w:rsidR="0045673A" w:rsidRDefault="00E17DF3">
            <w:pPr>
              <w:spacing w:after="0" w:line="259" w:lineRule="auto"/>
              <w:ind w:left="3" w:firstLine="0"/>
              <w:jc w:val="center"/>
            </w:pPr>
            <w:r>
              <w:t xml:space="preserve">4 </w:t>
            </w:r>
          </w:p>
        </w:tc>
        <w:tc>
          <w:tcPr>
            <w:tcW w:w="1135" w:type="dxa"/>
            <w:tcBorders>
              <w:top w:val="single" w:sz="6" w:space="0" w:color="000000"/>
              <w:left w:val="single" w:sz="6" w:space="0" w:color="000000"/>
              <w:bottom w:val="single" w:sz="6" w:space="0" w:color="000000"/>
              <w:right w:val="single" w:sz="6" w:space="0" w:color="000000"/>
            </w:tcBorders>
          </w:tcPr>
          <w:p w14:paraId="653F7FB9" w14:textId="77777777" w:rsidR="0045673A" w:rsidRDefault="00E17DF3">
            <w:pPr>
              <w:spacing w:after="0" w:line="259" w:lineRule="auto"/>
              <w:ind w:left="2" w:firstLine="0"/>
              <w:jc w:val="center"/>
            </w:pPr>
            <w:r>
              <w:t xml:space="preserve">5 </w:t>
            </w:r>
          </w:p>
        </w:tc>
        <w:tc>
          <w:tcPr>
            <w:tcW w:w="2826" w:type="dxa"/>
            <w:tcBorders>
              <w:top w:val="single" w:sz="6" w:space="0" w:color="000000"/>
              <w:left w:val="single" w:sz="6" w:space="0" w:color="000000"/>
              <w:bottom w:val="single" w:sz="6" w:space="0" w:color="000000"/>
              <w:right w:val="single" w:sz="6" w:space="0" w:color="000000"/>
            </w:tcBorders>
          </w:tcPr>
          <w:p w14:paraId="5013B90B" w14:textId="77777777" w:rsidR="0045673A" w:rsidRDefault="00E17DF3">
            <w:pPr>
              <w:spacing w:after="0" w:line="259" w:lineRule="auto"/>
              <w:ind w:left="0" w:right="2" w:firstLine="0"/>
              <w:jc w:val="center"/>
            </w:pPr>
            <w:r>
              <w:t xml:space="preserve">Don’t know </w:t>
            </w:r>
          </w:p>
        </w:tc>
      </w:tr>
      <w:tr w:rsidR="0045673A" w14:paraId="7C069A15" w14:textId="77777777">
        <w:trPr>
          <w:trHeight w:val="530"/>
        </w:trPr>
        <w:tc>
          <w:tcPr>
            <w:tcW w:w="1229" w:type="dxa"/>
            <w:tcBorders>
              <w:top w:val="single" w:sz="6" w:space="0" w:color="000000"/>
              <w:left w:val="single" w:sz="6" w:space="0" w:color="000000"/>
              <w:bottom w:val="single" w:sz="6" w:space="0" w:color="000000"/>
              <w:right w:val="single" w:sz="6" w:space="0" w:color="000000"/>
            </w:tcBorders>
          </w:tcPr>
          <w:p w14:paraId="0CA9E3ED" w14:textId="77777777" w:rsidR="0045673A" w:rsidRDefault="00E17DF3">
            <w:pPr>
              <w:spacing w:after="0" w:line="259" w:lineRule="auto"/>
              <w:ind w:left="60" w:firstLine="0"/>
              <w:jc w:val="center"/>
            </w:pPr>
            <w:r>
              <w:t xml:space="preserve"> </w:t>
            </w:r>
          </w:p>
        </w:tc>
        <w:tc>
          <w:tcPr>
            <w:tcW w:w="1215" w:type="dxa"/>
            <w:tcBorders>
              <w:top w:val="single" w:sz="6" w:space="0" w:color="000000"/>
              <w:left w:val="single" w:sz="6" w:space="0" w:color="000000"/>
              <w:bottom w:val="single" w:sz="6" w:space="0" w:color="000000"/>
              <w:right w:val="single" w:sz="6" w:space="0" w:color="000000"/>
            </w:tcBorders>
          </w:tcPr>
          <w:p w14:paraId="6C99B1F1" w14:textId="77777777" w:rsidR="0045673A" w:rsidRDefault="00E17DF3">
            <w:pPr>
              <w:spacing w:after="0" w:line="259" w:lineRule="auto"/>
              <w:ind w:left="61" w:firstLine="0"/>
              <w:jc w:val="center"/>
            </w:pPr>
            <w:r>
              <w:t xml:space="preserve"> </w:t>
            </w:r>
          </w:p>
        </w:tc>
        <w:tc>
          <w:tcPr>
            <w:tcW w:w="1212" w:type="dxa"/>
            <w:tcBorders>
              <w:top w:val="single" w:sz="6" w:space="0" w:color="000000"/>
              <w:left w:val="single" w:sz="6" w:space="0" w:color="000000"/>
              <w:bottom w:val="single" w:sz="6" w:space="0" w:color="000000"/>
              <w:right w:val="single" w:sz="6" w:space="0" w:color="000000"/>
            </w:tcBorders>
          </w:tcPr>
          <w:p w14:paraId="5F4C6941" w14:textId="75139E38" w:rsidR="0045673A" w:rsidRDefault="00E96690">
            <w:pPr>
              <w:spacing w:after="0" w:line="259" w:lineRule="auto"/>
              <w:ind w:left="62" w:firstLine="0"/>
              <w:jc w:val="center"/>
            </w:pPr>
            <w:r>
              <w:t>X</w:t>
            </w:r>
            <w:r w:rsidR="00E17DF3">
              <w:t xml:space="preserve"> </w:t>
            </w:r>
          </w:p>
        </w:tc>
        <w:tc>
          <w:tcPr>
            <w:tcW w:w="1212" w:type="dxa"/>
            <w:tcBorders>
              <w:top w:val="single" w:sz="6" w:space="0" w:color="000000"/>
              <w:left w:val="single" w:sz="6" w:space="0" w:color="000000"/>
              <w:bottom w:val="single" w:sz="6" w:space="0" w:color="000000"/>
              <w:right w:val="single" w:sz="6" w:space="0" w:color="000000"/>
            </w:tcBorders>
          </w:tcPr>
          <w:p w14:paraId="116EC273" w14:textId="69D03F27" w:rsidR="0045673A" w:rsidRDefault="00E17DF3">
            <w:pPr>
              <w:spacing w:after="0" w:line="259" w:lineRule="auto"/>
              <w:ind w:left="63"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tcPr>
          <w:p w14:paraId="61267577" w14:textId="77777777" w:rsidR="0045673A" w:rsidRDefault="00E17DF3">
            <w:pPr>
              <w:spacing w:after="0" w:line="259" w:lineRule="auto"/>
              <w:ind w:left="62" w:firstLine="0"/>
              <w:jc w:val="center"/>
            </w:pPr>
            <w:r>
              <w:t xml:space="preserve"> </w:t>
            </w:r>
          </w:p>
        </w:tc>
        <w:tc>
          <w:tcPr>
            <w:tcW w:w="2826" w:type="dxa"/>
            <w:tcBorders>
              <w:top w:val="single" w:sz="6" w:space="0" w:color="000000"/>
              <w:left w:val="single" w:sz="6" w:space="0" w:color="000000"/>
              <w:bottom w:val="single" w:sz="6" w:space="0" w:color="000000"/>
              <w:right w:val="single" w:sz="6" w:space="0" w:color="000000"/>
            </w:tcBorders>
          </w:tcPr>
          <w:p w14:paraId="1B753F35" w14:textId="77777777" w:rsidR="0045673A" w:rsidRDefault="00E17DF3">
            <w:pPr>
              <w:spacing w:after="0" w:line="259" w:lineRule="auto"/>
              <w:ind w:left="63" w:firstLine="0"/>
              <w:jc w:val="center"/>
            </w:pPr>
            <w:r>
              <w:t xml:space="preserve"> </w:t>
            </w:r>
          </w:p>
        </w:tc>
      </w:tr>
    </w:tbl>
    <w:p w14:paraId="245222EC" w14:textId="77777777" w:rsidR="0045673A" w:rsidRDefault="00E17DF3">
      <w:pPr>
        <w:spacing w:after="245" w:line="268" w:lineRule="auto"/>
        <w:ind w:left="-5" w:right="365"/>
        <w:jc w:val="left"/>
      </w:pPr>
      <w:r>
        <w:rPr>
          <w:i/>
          <w:sz w:val="20"/>
        </w:rPr>
        <w:t xml:space="preserve">(1= totally disagree, 2= mostly disagree, 3= partially disagree and partially agree, 4= mostly agree, 5= totally agree) </w:t>
      </w:r>
    </w:p>
    <w:p w14:paraId="7E1284FB" w14:textId="77777777" w:rsidR="0045673A" w:rsidRDefault="00E17DF3">
      <w:pPr>
        <w:ind w:right="643"/>
      </w:pPr>
      <w:r w:rsidRPr="007E62B7">
        <w:t>Please explain your replies to questions 4.4.1, 4.4.2 and 4.4.3:</w:t>
      </w:r>
      <w:r>
        <w:t xml:space="preserve"> </w:t>
      </w:r>
    </w:p>
    <w:tbl>
      <w:tblPr>
        <w:tblW w:w="8836" w:type="dxa"/>
        <w:tblInd w:w="-26" w:type="dxa"/>
        <w:tblCellMar>
          <w:top w:w="19" w:type="dxa"/>
          <w:right w:w="115" w:type="dxa"/>
        </w:tblCellMar>
        <w:tblLook w:val="04A0" w:firstRow="1" w:lastRow="0" w:firstColumn="1" w:lastColumn="0" w:noHBand="0" w:noVBand="1"/>
      </w:tblPr>
      <w:tblGrid>
        <w:gridCol w:w="8836"/>
      </w:tblGrid>
      <w:tr w:rsidR="00C364A0" w14:paraId="2559E2D0" w14:textId="77777777">
        <w:trPr>
          <w:trHeight w:val="538"/>
        </w:trPr>
        <w:tc>
          <w:tcPr>
            <w:tcW w:w="8836" w:type="dxa"/>
            <w:tcBorders>
              <w:top w:val="single" w:sz="8" w:space="0" w:color="000000"/>
              <w:left w:val="single" w:sz="8" w:space="0" w:color="000000"/>
              <w:bottom w:val="single" w:sz="8" w:space="0" w:color="000000"/>
              <w:right w:val="single" w:sz="4" w:space="0" w:color="000000"/>
            </w:tcBorders>
          </w:tcPr>
          <w:p w14:paraId="24C959E6" w14:textId="77777777" w:rsidR="000535EE" w:rsidRDefault="000535EE">
            <w:pPr>
              <w:spacing w:after="0" w:line="259" w:lineRule="auto"/>
              <w:ind w:left="0" w:firstLine="0"/>
              <w:jc w:val="left"/>
              <w:rPr>
                <w:sz w:val="20"/>
                <w:szCs w:val="20"/>
              </w:rPr>
            </w:pPr>
          </w:p>
          <w:p w14:paraId="2841B0A9" w14:textId="21E33733" w:rsidR="00231A34" w:rsidRPr="009E5497" w:rsidRDefault="00231A34">
            <w:pPr>
              <w:spacing w:after="0" w:line="259" w:lineRule="auto"/>
              <w:ind w:left="0" w:firstLine="0"/>
              <w:jc w:val="left"/>
              <w:rPr>
                <w:sz w:val="20"/>
                <w:szCs w:val="20"/>
              </w:rPr>
            </w:pPr>
            <w:r w:rsidRPr="009E5497">
              <w:rPr>
                <w:sz w:val="20"/>
                <w:szCs w:val="20"/>
              </w:rPr>
              <w:t xml:space="preserve">The SFDR should include requirements around the transparency and accuracy of marketing materials and communications relating to the sustainability product categories under the revised framework. </w:t>
            </w:r>
          </w:p>
          <w:p w14:paraId="08CA0AA7" w14:textId="77777777" w:rsidR="00231A34" w:rsidRPr="009E5497" w:rsidRDefault="00231A34">
            <w:pPr>
              <w:spacing w:after="0" w:line="259" w:lineRule="auto"/>
              <w:ind w:left="0" w:firstLine="0"/>
              <w:jc w:val="left"/>
              <w:rPr>
                <w:sz w:val="20"/>
                <w:szCs w:val="20"/>
              </w:rPr>
            </w:pPr>
          </w:p>
          <w:p w14:paraId="0435BE6C" w14:textId="05843457" w:rsidR="00BB6D1C" w:rsidRPr="009E5497" w:rsidRDefault="00423F07">
            <w:pPr>
              <w:spacing w:after="0" w:line="259" w:lineRule="auto"/>
              <w:ind w:left="0" w:firstLine="0"/>
              <w:jc w:val="left"/>
              <w:rPr>
                <w:sz w:val="20"/>
                <w:szCs w:val="20"/>
              </w:rPr>
            </w:pPr>
            <w:r w:rsidRPr="009E5497">
              <w:rPr>
                <w:sz w:val="20"/>
                <w:szCs w:val="20"/>
              </w:rPr>
              <w:t>Those funds that do not qualify for any of the product categories should be prevented from making overt</w:t>
            </w:r>
            <w:r w:rsidR="001C6008" w:rsidRPr="009E5497">
              <w:rPr>
                <w:sz w:val="20"/>
                <w:szCs w:val="20"/>
              </w:rPr>
              <w:t xml:space="preserve"> and exaggerated</w:t>
            </w:r>
            <w:r w:rsidRPr="009E5497">
              <w:rPr>
                <w:sz w:val="20"/>
                <w:szCs w:val="20"/>
              </w:rPr>
              <w:t xml:space="preserve"> sustainability claims in their marketing material</w:t>
            </w:r>
            <w:r w:rsidR="00121BCE" w:rsidRPr="009E5497">
              <w:rPr>
                <w:sz w:val="20"/>
                <w:szCs w:val="20"/>
              </w:rPr>
              <w:t>s</w:t>
            </w:r>
            <w:r w:rsidR="00CD4352" w:rsidRPr="009E5497">
              <w:rPr>
                <w:sz w:val="20"/>
                <w:szCs w:val="20"/>
              </w:rPr>
              <w:t xml:space="preserve"> </w:t>
            </w:r>
            <w:r w:rsidR="001C6008" w:rsidRPr="009E5497">
              <w:rPr>
                <w:sz w:val="20"/>
                <w:szCs w:val="20"/>
              </w:rPr>
              <w:t xml:space="preserve">and in particular in fund naming, and the use of certain terms should be restricted for fund names. In regards to the marketing, </w:t>
            </w:r>
            <w:r w:rsidR="00541160" w:rsidRPr="009E5497">
              <w:rPr>
                <w:sz w:val="20"/>
                <w:szCs w:val="20"/>
              </w:rPr>
              <w:t>national competent authorities we expect may have more latitude in determining these rules</w:t>
            </w:r>
            <w:r w:rsidR="00CD4352" w:rsidRPr="009E5497">
              <w:rPr>
                <w:sz w:val="20"/>
                <w:szCs w:val="20"/>
              </w:rPr>
              <w:t xml:space="preserve"> and the EU could consider developing guidance to promote consistency in the marketing rules across Member States. </w:t>
            </w:r>
          </w:p>
          <w:p w14:paraId="157D7525" w14:textId="77777777" w:rsidR="00CD4352" w:rsidRPr="009E5497" w:rsidRDefault="00CD4352">
            <w:pPr>
              <w:spacing w:after="0" w:line="259" w:lineRule="auto"/>
              <w:ind w:left="0" w:firstLine="0"/>
              <w:jc w:val="left"/>
              <w:rPr>
                <w:sz w:val="20"/>
                <w:szCs w:val="20"/>
              </w:rPr>
            </w:pPr>
          </w:p>
          <w:p w14:paraId="27849BCE" w14:textId="3F84677F" w:rsidR="002B0712" w:rsidRDefault="00CD4352" w:rsidP="00CD4352">
            <w:pPr>
              <w:spacing w:after="0" w:line="259" w:lineRule="auto"/>
              <w:ind w:left="0" w:firstLine="0"/>
              <w:jc w:val="left"/>
            </w:pPr>
            <w:r w:rsidRPr="009E5497">
              <w:rPr>
                <w:sz w:val="20"/>
                <w:szCs w:val="20"/>
              </w:rPr>
              <w:t>Finally, the Commission, ESMA and other authorities should be joined up as much as possible in determining the fund naming and marketing rules, and the FCA’s combined approach considering disclosures, fund labels, naming and marketing, should be</w:t>
            </w:r>
            <w:r w:rsidR="003715FC">
              <w:rPr>
                <w:sz w:val="20"/>
                <w:szCs w:val="20"/>
              </w:rPr>
              <w:t xml:space="preserve"> </w:t>
            </w:r>
            <w:r w:rsidRPr="009E5497">
              <w:rPr>
                <w:sz w:val="20"/>
                <w:szCs w:val="20"/>
              </w:rPr>
              <w:t>drawn on.</w:t>
            </w:r>
            <w:r>
              <w:t xml:space="preserve"> </w:t>
            </w:r>
          </w:p>
        </w:tc>
      </w:tr>
    </w:tbl>
    <w:p w14:paraId="045F0927" w14:textId="77777777" w:rsidR="0045673A" w:rsidRDefault="00E17DF3">
      <w:pPr>
        <w:spacing w:after="0" w:line="259" w:lineRule="auto"/>
        <w:ind w:left="0" w:firstLine="0"/>
        <w:jc w:val="left"/>
      </w:pPr>
      <w:r>
        <w:t xml:space="preserve"> </w:t>
      </w:r>
    </w:p>
    <w:sectPr w:rsidR="0045673A">
      <w:headerReference w:type="even" r:id="rId92"/>
      <w:headerReference w:type="default" r:id="rId93"/>
      <w:footerReference w:type="even" r:id="rId94"/>
      <w:footerReference w:type="default" r:id="rId95"/>
      <w:headerReference w:type="first" r:id="rId96"/>
      <w:footerReference w:type="first" r:id="rId97"/>
      <w:pgSz w:w="11906" w:h="16838"/>
      <w:pgMar w:top="1193" w:right="1050" w:bottom="1074" w:left="158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C9477" w14:textId="77777777" w:rsidR="00BE6D2A" w:rsidRDefault="00BE6D2A">
      <w:pPr>
        <w:spacing w:after="0" w:line="240" w:lineRule="auto"/>
      </w:pPr>
      <w:r>
        <w:separator/>
      </w:r>
    </w:p>
  </w:endnote>
  <w:endnote w:type="continuationSeparator" w:id="0">
    <w:p w14:paraId="7B496638" w14:textId="77777777" w:rsidR="00BE6D2A" w:rsidRDefault="00BE6D2A">
      <w:pPr>
        <w:spacing w:after="0" w:line="240" w:lineRule="auto"/>
      </w:pPr>
      <w:r>
        <w:continuationSeparator/>
      </w:r>
    </w:p>
  </w:endnote>
  <w:endnote w:type="continuationNotice" w:id="1">
    <w:p w14:paraId="37352505" w14:textId="77777777" w:rsidR="00BE6D2A" w:rsidRDefault="00BE6D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 Pro">
    <w:altName w:val="Calibri"/>
    <w:charset w:val="00"/>
    <w:family w:val="auto"/>
    <w:pitch w:val="variable"/>
    <w:sig w:usb0="A00002F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Whitney Light">
    <w:altName w:val="Calibri"/>
    <w:charset w:val="00"/>
    <w:family w:val="modern"/>
    <w:pitch w:val="variable"/>
    <w:sig w:usb0="800000AF" w:usb1="50002048" w:usb2="00000000" w:usb3="00000000" w:csb0="0000011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773D2" w14:textId="77777777" w:rsidR="0045673A" w:rsidRDefault="00E17DF3">
    <w:pPr>
      <w:spacing w:after="0" w:line="259" w:lineRule="auto"/>
      <w:ind w:left="0" w:right="620" w:firstLine="0"/>
      <w:jc w:val="center"/>
    </w:pP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eastAsia="Arial" w:hAnsi="Arial" w:cs="Arial"/>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3A2DC" w14:textId="77777777" w:rsidR="0045673A" w:rsidRDefault="00E17DF3">
    <w:pPr>
      <w:spacing w:after="0" w:line="259" w:lineRule="auto"/>
      <w:ind w:left="0" w:right="620" w:firstLine="0"/>
      <w:jc w:val="center"/>
    </w:pP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eastAsia="Arial" w:hAnsi="Arial" w:cs="Arial"/>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3D598" w14:textId="77777777" w:rsidR="0045673A" w:rsidRDefault="0045673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242A7" w14:textId="77777777" w:rsidR="00BE6D2A" w:rsidRDefault="00BE6D2A">
      <w:pPr>
        <w:spacing w:after="0" w:line="259" w:lineRule="auto"/>
        <w:ind w:left="0" w:firstLine="0"/>
        <w:jc w:val="left"/>
      </w:pPr>
      <w:r>
        <w:separator/>
      </w:r>
    </w:p>
  </w:footnote>
  <w:footnote w:type="continuationSeparator" w:id="0">
    <w:p w14:paraId="462480F8" w14:textId="77777777" w:rsidR="00BE6D2A" w:rsidRDefault="00BE6D2A">
      <w:pPr>
        <w:spacing w:after="0" w:line="259" w:lineRule="auto"/>
        <w:ind w:left="0" w:firstLine="0"/>
        <w:jc w:val="left"/>
      </w:pPr>
      <w:r>
        <w:continuationSeparator/>
      </w:r>
    </w:p>
  </w:footnote>
  <w:footnote w:type="continuationNotice" w:id="1">
    <w:p w14:paraId="6C470CE4" w14:textId="77777777" w:rsidR="00BE6D2A" w:rsidRDefault="00BE6D2A">
      <w:pPr>
        <w:spacing w:after="0" w:line="240" w:lineRule="auto"/>
      </w:pPr>
    </w:p>
  </w:footnote>
  <w:footnote w:id="2">
    <w:p w14:paraId="2EEA04C3" w14:textId="77777777" w:rsidR="00753082" w:rsidRPr="006B796E" w:rsidRDefault="00753082" w:rsidP="00753082">
      <w:pPr>
        <w:pStyle w:val="FootnoteText"/>
        <w:rPr>
          <w:rFonts w:ascii="Whitney Light" w:hAnsi="Whitney Light"/>
          <w:sz w:val="12"/>
          <w:szCs w:val="12"/>
        </w:rPr>
      </w:pPr>
      <w:r w:rsidRPr="006B796E">
        <w:rPr>
          <w:rStyle w:val="FootnoteReference"/>
          <w:rFonts w:ascii="Whitney Light" w:hAnsi="Whitney Light"/>
          <w:sz w:val="12"/>
          <w:szCs w:val="12"/>
        </w:rPr>
        <w:footnoteRef/>
      </w:r>
      <w:r w:rsidRPr="006B796E">
        <w:rPr>
          <w:rFonts w:ascii="Whitney Light" w:hAnsi="Whitney Light"/>
          <w:sz w:val="12"/>
          <w:szCs w:val="12"/>
        </w:rPr>
        <w:t xml:space="preserve">For more information, please visit </w:t>
      </w:r>
      <w:hyperlink r:id="rId1" w:history="1">
        <w:r w:rsidRPr="006B796E">
          <w:rPr>
            <w:rStyle w:val="Hyperlink"/>
            <w:rFonts w:ascii="Whitney Light" w:hAnsi="Whitney Light"/>
            <w:sz w:val="12"/>
            <w:szCs w:val="12"/>
          </w:rPr>
          <w:t>www.uksif.org</w:t>
        </w:r>
      </w:hyperlink>
      <w:r w:rsidRPr="006B796E">
        <w:rPr>
          <w:rFonts w:ascii="Whitney Light" w:hAnsi="Whitney Light"/>
          <w:sz w:val="12"/>
          <w:szCs w:val="12"/>
        </w:rPr>
        <w:t>.</w:t>
      </w:r>
    </w:p>
  </w:footnote>
  <w:footnote w:id="3">
    <w:p w14:paraId="2E53F86F" w14:textId="4FDB8DAC" w:rsidR="00717AF5" w:rsidRPr="00717AF5" w:rsidRDefault="00717AF5" w:rsidP="00717AF5">
      <w:pPr>
        <w:pStyle w:val="FootnoteText"/>
        <w:rPr>
          <w:rFonts w:ascii="Whitney Light" w:hAnsi="Whitney Light"/>
          <w:sz w:val="12"/>
          <w:szCs w:val="12"/>
        </w:rPr>
      </w:pPr>
      <w:r w:rsidRPr="00717AF5">
        <w:rPr>
          <w:rStyle w:val="FootnoteReference"/>
          <w:rFonts w:ascii="Whitney Light" w:hAnsi="Whitney Light"/>
          <w:sz w:val="12"/>
          <w:szCs w:val="12"/>
        </w:rPr>
        <w:footnoteRef/>
      </w:r>
      <w:r w:rsidRPr="00717AF5">
        <w:rPr>
          <w:rFonts w:ascii="Whitney Light" w:hAnsi="Whitney Light"/>
          <w:sz w:val="12"/>
          <w:szCs w:val="12"/>
        </w:rPr>
        <w:t xml:space="preserve">FCA </w:t>
      </w:r>
      <w:hyperlink r:id="rId2" w:history="1">
        <w:r w:rsidRPr="00717AF5">
          <w:rPr>
            <w:rStyle w:val="Hyperlink"/>
            <w:rFonts w:ascii="Whitney Light" w:hAnsi="Whitney Light"/>
            <w:sz w:val="12"/>
            <w:szCs w:val="12"/>
          </w:rPr>
          <w:t>PS23/16</w:t>
        </w:r>
      </w:hyperlink>
      <w:r w:rsidRPr="00717AF5">
        <w:rPr>
          <w:rFonts w:ascii="Whitney Light" w:hAnsi="Whitney Light"/>
          <w:sz w:val="12"/>
          <w:szCs w:val="12"/>
        </w:rPr>
        <w:t>, Sustainability Disclosure Requirements (SDR) and investment labels, November 2023.</w:t>
      </w:r>
    </w:p>
  </w:footnote>
  <w:footnote w:id="4">
    <w:p w14:paraId="62C56ACE" w14:textId="77777777" w:rsidR="00753082" w:rsidRPr="006B796E" w:rsidRDefault="00753082" w:rsidP="00753082">
      <w:pPr>
        <w:pStyle w:val="FootnoteText"/>
        <w:rPr>
          <w:rFonts w:ascii="Whitney Light" w:hAnsi="Whitney Light"/>
          <w:sz w:val="12"/>
          <w:szCs w:val="12"/>
        </w:rPr>
      </w:pPr>
      <w:r w:rsidRPr="006B796E">
        <w:rPr>
          <w:rStyle w:val="FootnoteReference"/>
          <w:rFonts w:ascii="Whitney Light" w:hAnsi="Whitney Light"/>
          <w:sz w:val="12"/>
          <w:szCs w:val="12"/>
        </w:rPr>
        <w:footnoteRef/>
      </w:r>
      <w:r w:rsidRPr="006B796E">
        <w:rPr>
          <w:rFonts w:ascii="Whitney Light" w:hAnsi="Whitney Light"/>
          <w:sz w:val="12"/>
          <w:szCs w:val="12"/>
        </w:rPr>
        <w:t xml:space="preserve">UKSIF’s response is informed by our membership, though this does not necessarily reflect the views and perspectives of our entire membership, either individually or collectively.  </w:t>
      </w:r>
    </w:p>
  </w:footnote>
  <w:footnote w:id="5">
    <w:p w14:paraId="4A9F42FE" w14:textId="77777777" w:rsidR="00753082" w:rsidRPr="00FF5F63" w:rsidRDefault="00753082" w:rsidP="00753082">
      <w:pPr>
        <w:pStyle w:val="FootnoteText"/>
        <w:rPr>
          <w:rFonts w:ascii="Whitney Light" w:hAnsi="Whitney Light"/>
          <w:sz w:val="12"/>
          <w:szCs w:val="12"/>
        </w:rPr>
      </w:pPr>
      <w:r w:rsidRPr="00FF5F63">
        <w:rPr>
          <w:rStyle w:val="FootnoteReference"/>
          <w:rFonts w:ascii="Whitney Light" w:hAnsi="Whitney Light"/>
          <w:sz w:val="12"/>
          <w:szCs w:val="12"/>
        </w:rPr>
        <w:footnoteRef/>
      </w:r>
      <w:r w:rsidRPr="00FF5F63">
        <w:rPr>
          <w:rFonts w:ascii="Whitney Light" w:hAnsi="Whitney Light"/>
          <w:sz w:val="12"/>
          <w:szCs w:val="12"/>
        </w:rPr>
        <w:t>In our response, we note that more specific criteria is necessary to underpin Article 2 (17) definition of ‘sustainable investment’ and ‘Do No Significant Harm’ (DNSH).</w:t>
      </w:r>
    </w:p>
  </w:footnote>
  <w:footnote w:id="6">
    <w:p w14:paraId="34FDF0A2" w14:textId="5F15C6C9" w:rsidR="00FD2125" w:rsidRPr="00121DE5" w:rsidRDefault="006442B0" w:rsidP="00861045">
      <w:pPr>
        <w:pStyle w:val="FootnoteText"/>
        <w:rPr>
          <w:rFonts w:ascii="Whitney Light" w:hAnsi="Whitney Light"/>
          <w:sz w:val="12"/>
          <w:szCs w:val="12"/>
        </w:rPr>
      </w:pPr>
      <w:r w:rsidRPr="00121DE5">
        <w:rPr>
          <w:rStyle w:val="FootnoteReference"/>
          <w:rFonts w:ascii="Whitney Light" w:hAnsi="Whitney Light"/>
          <w:sz w:val="12"/>
          <w:szCs w:val="12"/>
        </w:rPr>
        <w:footnoteRef/>
      </w:r>
      <w:r w:rsidRPr="00121DE5">
        <w:rPr>
          <w:rFonts w:ascii="Whitney Light" w:hAnsi="Whitney Light"/>
          <w:sz w:val="12"/>
          <w:szCs w:val="12"/>
        </w:rPr>
        <w:t xml:space="preserve">In regards to consumer testing, </w:t>
      </w:r>
      <w:r w:rsidR="00FD2125" w:rsidRPr="00121DE5">
        <w:rPr>
          <w:rFonts w:ascii="Whitney Light" w:hAnsi="Whitney Light"/>
          <w:sz w:val="12"/>
          <w:szCs w:val="12"/>
        </w:rPr>
        <w:t xml:space="preserve">the FCA engaged in testing of the SDR measures with over 15,000 individuals, while </w:t>
      </w:r>
      <w:r w:rsidR="00861045" w:rsidRPr="00121DE5">
        <w:rPr>
          <w:rFonts w:ascii="Whitney Light" w:hAnsi="Whitney Light"/>
          <w:sz w:val="12"/>
          <w:szCs w:val="12"/>
        </w:rPr>
        <w:t xml:space="preserve">drawing on existing surveys, such as its </w:t>
      </w:r>
      <w:r w:rsidR="00FF183B" w:rsidRPr="00121DE5">
        <w:rPr>
          <w:rFonts w:ascii="Whitney Light" w:hAnsi="Whitney Light"/>
          <w:sz w:val="12"/>
          <w:szCs w:val="12"/>
        </w:rPr>
        <w:t>‘</w:t>
      </w:r>
      <w:r w:rsidR="00861045" w:rsidRPr="00121DE5">
        <w:rPr>
          <w:rFonts w:ascii="Whitney Light" w:hAnsi="Whitney Light"/>
          <w:sz w:val="12"/>
          <w:szCs w:val="12"/>
        </w:rPr>
        <w:t>Financial Lives</w:t>
      </w:r>
      <w:r w:rsidR="00FF183B" w:rsidRPr="00121DE5">
        <w:rPr>
          <w:rFonts w:ascii="Whitney Light" w:hAnsi="Whitney Light"/>
          <w:sz w:val="12"/>
          <w:szCs w:val="12"/>
        </w:rPr>
        <w:t>’</w:t>
      </w:r>
      <w:r w:rsidR="00065BD5" w:rsidRPr="00121DE5">
        <w:rPr>
          <w:rFonts w:ascii="Whitney Light" w:hAnsi="Whitney Light"/>
          <w:sz w:val="12"/>
          <w:szCs w:val="12"/>
        </w:rPr>
        <w:t xml:space="preserve"> </w:t>
      </w:r>
      <w:r w:rsidR="00FF183B" w:rsidRPr="00121DE5">
        <w:rPr>
          <w:rFonts w:ascii="Whitney Light" w:hAnsi="Whitney Light"/>
          <w:sz w:val="12"/>
          <w:szCs w:val="12"/>
        </w:rPr>
        <w:t xml:space="preserve">survey which </w:t>
      </w:r>
      <w:r w:rsidR="00065BD5" w:rsidRPr="00121DE5">
        <w:rPr>
          <w:rFonts w:ascii="Whitney Light" w:hAnsi="Whitney Light"/>
          <w:sz w:val="12"/>
          <w:szCs w:val="12"/>
        </w:rPr>
        <w:t>takes place approximately every 2 years</w:t>
      </w:r>
      <w:r w:rsidR="00FF183B" w:rsidRPr="00121DE5">
        <w:rPr>
          <w:rFonts w:ascii="Whitney Light" w:hAnsi="Whitney Light"/>
          <w:sz w:val="12"/>
          <w:szCs w:val="12"/>
        </w:rPr>
        <w:t xml:space="preserve">. </w:t>
      </w:r>
      <w:r w:rsidR="009F2F55" w:rsidRPr="00121DE5">
        <w:rPr>
          <w:rFonts w:ascii="Whitney Light" w:hAnsi="Whitney Light"/>
          <w:sz w:val="12"/>
          <w:szCs w:val="12"/>
        </w:rPr>
        <w:t xml:space="preserve">The latest ‘Financial Lives’ </w:t>
      </w:r>
      <w:r w:rsidR="00FF183B" w:rsidRPr="00121DE5">
        <w:rPr>
          <w:rFonts w:ascii="Whitney Light" w:hAnsi="Whitney Light"/>
          <w:sz w:val="12"/>
          <w:szCs w:val="12"/>
        </w:rPr>
        <w:t xml:space="preserve">survey indicated that </w:t>
      </w:r>
      <w:r w:rsidR="00861045" w:rsidRPr="00121DE5">
        <w:rPr>
          <w:rFonts w:ascii="Whitney Light" w:hAnsi="Whitney Light"/>
          <w:sz w:val="12"/>
          <w:szCs w:val="12"/>
        </w:rPr>
        <w:t>81% of adults surveyed would like the way their money is invested</w:t>
      </w:r>
      <w:r w:rsidR="00FF183B" w:rsidRPr="00121DE5">
        <w:rPr>
          <w:rFonts w:ascii="Whitney Light" w:hAnsi="Whitney Light"/>
          <w:sz w:val="12"/>
          <w:szCs w:val="12"/>
        </w:rPr>
        <w:t xml:space="preserve"> </w:t>
      </w:r>
      <w:r w:rsidR="00861045" w:rsidRPr="00121DE5">
        <w:rPr>
          <w:rFonts w:ascii="Whitney Light" w:hAnsi="Whitney Light"/>
          <w:sz w:val="12"/>
          <w:szCs w:val="12"/>
        </w:rPr>
        <w:t>to do some good as well as provide a financial return.</w:t>
      </w:r>
    </w:p>
    <w:p w14:paraId="2692D830" w14:textId="3F97C37C" w:rsidR="006442B0" w:rsidRDefault="006442B0" w:rsidP="00FD2125">
      <w:pPr>
        <w:pStyle w:val="FootnoteText"/>
      </w:pPr>
    </w:p>
  </w:footnote>
  <w:footnote w:id="7">
    <w:p w14:paraId="25E88CBA" w14:textId="77777777" w:rsidR="0045673A" w:rsidRDefault="00E17DF3">
      <w:pPr>
        <w:pStyle w:val="footnotedescription"/>
        <w:jc w:val="left"/>
      </w:pPr>
      <w:r>
        <w:rPr>
          <w:rStyle w:val="footnotemark"/>
        </w:rPr>
        <w:footnoteRef/>
      </w:r>
      <w:r>
        <w:t xml:space="preserve"> </w:t>
      </w:r>
      <w:hyperlink r:id="rId3">
        <w:r>
          <w:rPr>
            <w:color w:val="0000FF"/>
            <w:u w:val="single" w:color="0000FF"/>
          </w:rPr>
          <w:t>Commission Delegated Regulation (EU) 2022/1288 of 6 April 2022</w:t>
        </w:r>
      </w:hyperlink>
      <w:hyperlink r:id="rId4">
        <w:r>
          <w:t xml:space="preserve"> </w:t>
        </w:r>
      </w:hyperlink>
    </w:p>
  </w:footnote>
  <w:footnote w:id="8">
    <w:p w14:paraId="656B77A0" w14:textId="77777777" w:rsidR="0045673A" w:rsidRDefault="00E17DF3">
      <w:pPr>
        <w:pStyle w:val="footnotedescription"/>
        <w:spacing w:after="199" w:line="262" w:lineRule="auto"/>
        <w:ind w:right="652"/>
      </w:pPr>
      <w:r>
        <w:rPr>
          <w:rStyle w:val="footnotemark"/>
        </w:rPr>
        <w:footnoteRef/>
      </w:r>
      <w:r>
        <w:t xml:space="preserve"> Transparency requirements relate to </w:t>
      </w:r>
      <w:r>
        <w:rPr>
          <w:rFonts w:ascii="Calibri" w:eastAsia="Calibri" w:hAnsi="Calibri" w:cs="Calibri"/>
        </w:rPr>
        <w:t>the sustainability risks that can affect the value of investments (SFDR) or companies (CSRD) (‘outside-in’ effect) and the adverse impacts that such investments or companies have on the environment and society (‘inside-out’).</w:t>
      </w:r>
      <w:r>
        <w:t xml:space="preserve">  </w:t>
      </w:r>
    </w:p>
  </w:footnote>
  <w:footnote w:id="9">
    <w:p w14:paraId="66D91239" w14:textId="77777777" w:rsidR="0045673A" w:rsidRDefault="00E17DF3">
      <w:pPr>
        <w:pStyle w:val="footnotedescription"/>
        <w:spacing w:line="245" w:lineRule="auto"/>
        <w:ind w:right="648"/>
      </w:pPr>
      <w:r>
        <w:rPr>
          <w:rStyle w:val="footnotemark"/>
        </w:rPr>
        <w:footnoteRef/>
      </w:r>
      <w:r>
        <w:t xml:space="preserve"> Credit institutions and insurance undertakings with unlimited liability are also in scope subject to the same size criteria. Non-EU undertakings listed on the EU regulated markets and non-EU undertakings with a net turnover above EUR 150 million that carry out business in the EU will also have to publish certain sustainability-related information through their EU subsidiaries that are subject to CSRD (or - in the absence of such EU subsidiaries – through their EU branches with net turnover above EUR 40 million).  </w:t>
      </w:r>
    </w:p>
  </w:footnote>
  <w:footnote w:id="10">
    <w:p w14:paraId="309CF5D1" w14:textId="77777777" w:rsidR="0045673A" w:rsidRDefault="00E17DF3">
      <w:pPr>
        <w:pStyle w:val="footnotedescription"/>
        <w:jc w:val="left"/>
      </w:pPr>
      <w:r>
        <w:rPr>
          <w:rStyle w:val="footnotemark"/>
        </w:rPr>
        <w:footnoteRef/>
      </w:r>
      <w:r>
        <w:t xml:space="preserve"> Provided positive scrutiny of co-legislators of the </w:t>
      </w:r>
      <w:hyperlink r:id="rId5">
        <w:r>
          <w:rPr>
            <w:color w:val="0000FF"/>
            <w:u w:val="single" w:color="0000FF"/>
          </w:rPr>
          <w:t>ESRS delegated act</w:t>
        </w:r>
      </w:hyperlink>
      <w:hyperlink r:id="rId6">
        <w:r>
          <w:t>.</w:t>
        </w:r>
      </w:hyperlink>
      <w:r>
        <w:t xml:space="preserve"> </w:t>
      </w:r>
    </w:p>
  </w:footnote>
  <w:footnote w:id="11">
    <w:p w14:paraId="108F15FD" w14:textId="77777777" w:rsidR="0045673A" w:rsidRDefault="00E17DF3">
      <w:pPr>
        <w:pStyle w:val="footnotedescription"/>
        <w:jc w:val="left"/>
      </w:pPr>
      <w:r>
        <w:rPr>
          <w:rStyle w:val="footnotemark"/>
        </w:rPr>
        <w:footnoteRef/>
      </w:r>
      <w:r>
        <w:t xml:space="preserve"> </w:t>
      </w:r>
      <w:hyperlink r:id="rId7">
        <w:r>
          <w:rPr>
            <w:color w:val="0000FF"/>
            <w:u w:val="single" w:color="0000FF"/>
          </w:rPr>
          <w:t>https://finance.ec.europa.eu/publications/retail</w:t>
        </w:r>
      </w:hyperlink>
      <w:hyperlink r:id="rId8">
        <w:r>
          <w:rPr>
            <w:color w:val="0000FF"/>
            <w:u w:val="single" w:color="0000FF"/>
          </w:rPr>
          <w:t>-</w:t>
        </w:r>
      </w:hyperlink>
      <w:hyperlink r:id="rId9">
        <w:r>
          <w:rPr>
            <w:color w:val="0000FF"/>
            <w:u w:val="single" w:color="0000FF"/>
          </w:rPr>
          <w:t>investment</w:t>
        </w:r>
      </w:hyperlink>
      <w:hyperlink r:id="rId10">
        <w:r>
          <w:rPr>
            <w:color w:val="0000FF"/>
            <w:u w:val="single" w:color="0000FF"/>
          </w:rPr>
          <w:t>-</w:t>
        </w:r>
      </w:hyperlink>
      <w:hyperlink r:id="rId11">
        <w:r>
          <w:rPr>
            <w:color w:val="0000FF"/>
            <w:u w:val="single" w:color="0000FF"/>
          </w:rPr>
          <w:t>strategy_en</w:t>
        </w:r>
      </w:hyperlink>
      <w:hyperlink r:id="rId12">
        <w:r>
          <w:t xml:space="preserve"> </w:t>
        </w:r>
      </w:hyperlink>
    </w:p>
  </w:footnote>
  <w:footnote w:id="12">
    <w:p w14:paraId="5C4B5430" w14:textId="757DCF7C" w:rsidR="0045673A" w:rsidRDefault="00E17DF3">
      <w:pPr>
        <w:pStyle w:val="footnotedescription"/>
        <w:spacing w:line="245" w:lineRule="auto"/>
        <w:ind w:left="358" w:hanging="358"/>
      </w:pPr>
      <w:r>
        <w:rPr>
          <w:rStyle w:val="footnotemark"/>
        </w:rPr>
        <w:footnoteRef/>
      </w:r>
      <w:r>
        <w:t xml:space="preserve"> </w:t>
      </w:r>
      <w:hyperlink r:id="rId13">
        <w:r>
          <w:rPr>
            <w:color w:val="0000FF"/>
            <w:u w:val="single" w:color="0000FF"/>
          </w:rPr>
          <w:t>https://www.esma.europa.eu/press</w:t>
        </w:r>
      </w:hyperlink>
      <w:hyperlink r:id="rId14">
        <w:r>
          <w:rPr>
            <w:color w:val="0000FF"/>
            <w:u w:val="single" w:color="0000FF"/>
          </w:rPr>
          <w:t>-</w:t>
        </w:r>
      </w:hyperlink>
      <w:hyperlink r:id="rId15">
        <w:r>
          <w:rPr>
            <w:color w:val="0000FF"/>
            <w:u w:val="single" w:color="0000FF"/>
          </w:rPr>
          <w:t>news/consultations/joint</w:t>
        </w:r>
      </w:hyperlink>
      <w:hyperlink r:id="rId16">
        <w:r>
          <w:rPr>
            <w:color w:val="0000FF"/>
            <w:u w:val="single" w:color="0000FF"/>
          </w:rPr>
          <w:t>-</w:t>
        </w:r>
      </w:hyperlink>
      <w:hyperlink r:id="rId17">
        <w:r>
          <w:rPr>
            <w:color w:val="0000FF"/>
            <w:u w:val="single" w:color="0000FF"/>
          </w:rPr>
          <w:t>consultation</w:t>
        </w:r>
      </w:hyperlink>
      <w:hyperlink r:id="rId18">
        <w:r>
          <w:rPr>
            <w:color w:val="0000FF"/>
            <w:u w:val="single" w:color="0000FF"/>
          </w:rPr>
          <w:t>-</w:t>
        </w:r>
      </w:hyperlink>
      <w:hyperlink r:id="rId19">
        <w:r>
          <w:rPr>
            <w:color w:val="0000FF"/>
            <w:u w:val="single" w:color="0000FF"/>
          </w:rPr>
          <w:t>review</w:t>
        </w:r>
      </w:hyperlink>
      <w:hyperlink r:id="rId20">
        <w:r>
          <w:rPr>
            <w:color w:val="0000FF"/>
            <w:u w:val="single" w:color="0000FF"/>
          </w:rPr>
          <w:t>-</w:t>
        </w:r>
      </w:hyperlink>
      <w:hyperlink r:id="rId21">
        <w:r>
          <w:rPr>
            <w:color w:val="0000FF"/>
            <w:u w:val="single" w:color="0000FF"/>
          </w:rPr>
          <w:t>sfdr</w:t>
        </w:r>
      </w:hyperlink>
      <w:hyperlink r:id="rId22">
        <w:r>
          <w:rPr>
            <w:color w:val="0000FF"/>
            <w:u w:val="single" w:color="0000FF"/>
          </w:rPr>
          <w:t>-</w:t>
        </w:r>
      </w:hyperlink>
      <w:hyperlink r:id="rId23">
        <w:r>
          <w:rPr>
            <w:color w:val="0000FF"/>
            <w:u w:val="single" w:color="0000FF"/>
          </w:rPr>
          <w:t>delegated</w:t>
        </w:r>
      </w:hyperlink>
      <w:hyperlink r:id="rId24">
        <w:r>
          <w:rPr>
            <w:rStyle w:val="Hyperlink"/>
          </w:rPr>
          <w:t>https://www.esma.europa.eu/press-news/consultations/joint-consultation-review-sfdr-delegated-regulation</w:t>
        </w:r>
      </w:hyperlink>
      <w:hyperlink r:id="rId25">
        <w:r>
          <w:rPr>
            <w:color w:val="0000FF"/>
            <w:u w:val="single" w:color="0000FF"/>
          </w:rPr>
          <w:t>regulation</w:t>
        </w:r>
      </w:hyperlink>
      <w:hyperlink r:id="rId26">
        <w:r>
          <w:t xml:space="preserve"> </w:t>
        </w:r>
      </w:hyperlink>
      <w:r>
        <w:t xml:space="preserve">– placeholder see what in right hyperlink in September when we launch OPC. </w:t>
      </w:r>
    </w:p>
  </w:footnote>
  <w:footnote w:id="13">
    <w:p w14:paraId="50E9A801" w14:textId="77777777" w:rsidR="0045673A" w:rsidRDefault="00E17DF3">
      <w:pPr>
        <w:pStyle w:val="footnotedescription"/>
        <w:spacing w:line="255" w:lineRule="auto"/>
        <w:ind w:left="358" w:hanging="358"/>
      </w:pPr>
      <w:r>
        <w:rPr>
          <w:rStyle w:val="footnotemark"/>
        </w:rPr>
        <w:footnoteRef/>
      </w:r>
      <w:r>
        <w:t xml:space="preserve"> See question 3 of section V of the </w:t>
      </w:r>
      <w:hyperlink r:id="rId27">
        <w:r>
          <w:rPr>
            <w:color w:val="0000FF"/>
            <w:u w:val="single" w:color="0000FF"/>
          </w:rPr>
          <w:t>consolidated questions and answers (Q&amp;A) on the SFDR and its</w:t>
        </w:r>
      </w:hyperlink>
      <w:hyperlink r:id="rId28">
        <w:r>
          <w:rPr>
            <w:color w:val="0000FF"/>
          </w:rPr>
          <w:t xml:space="preserve"> </w:t>
        </w:r>
      </w:hyperlink>
      <w:hyperlink r:id="rId29">
        <w:r>
          <w:rPr>
            <w:color w:val="0000FF"/>
            <w:u w:val="single" w:color="0000FF"/>
          </w:rPr>
          <w:t>Delegated Regulation published on the ESAs websites</w:t>
        </w:r>
      </w:hyperlink>
      <w:hyperlink r:id="rId30">
        <w:r>
          <w:t>.</w:t>
        </w:r>
      </w:hyperlink>
      <w:r>
        <w:t xml:space="preserve"> </w:t>
      </w:r>
    </w:p>
  </w:footnote>
  <w:footnote w:id="14">
    <w:p w14:paraId="2EDEFDCA" w14:textId="77777777" w:rsidR="0045673A" w:rsidRDefault="00E17DF3">
      <w:pPr>
        <w:pStyle w:val="footnotedescription"/>
        <w:spacing w:line="245" w:lineRule="auto"/>
        <w:ind w:left="358" w:right="652" w:hanging="358"/>
      </w:pPr>
      <w:r>
        <w:rPr>
          <w:rStyle w:val="footnotemark"/>
        </w:rPr>
        <w:footnoteRef/>
      </w:r>
      <w:r>
        <w:t xml:space="preserve"> These questions are intended to complement Question 42 in the ESAs’ </w:t>
      </w:r>
      <w:hyperlink r:id="rId31">
        <w:r>
          <w:rPr>
            <w:color w:val="0000FF"/>
            <w:u w:val="single" w:color="0000FF"/>
          </w:rPr>
          <w:t>joint consultation paper on the</w:t>
        </w:r>
      </w:hyperlink>
      <w:hyperlink r:id="rId32">
        <w:r>
          <w:rPr>
            <w:color w:val="0000FF"/>
          </w:rPr>
          <w:t xml:space="preserve"> </w:t>
        </w:r>
      </w:hyperlink>
      <w:hyperlink r:id="rId33">
        <w:r>
          <w:rPr>
            <w:color w:val="0000FF"/>
            <w:u w:val="single" w:color="0000FF"/>
          </w:rPr>
          <w:t>review of the SFDR Delegated Regulation (JC 2023 09)</w:t>
        </w:r>
      </w:hyperlink>
      <w:hyperlink r:id="rId34">
        <w:r>
          <w:t xml:space="preserve"> </w:t>
        </w:r>
      </w:hyperlink>
      <w:r>
        <w:t xml:space="preserve">which asks for criteria for machine readability of the SFDR Delegated Regulation disclosures. </w:t>
      </w:r>
    </w:p>
  </w:footnote>
  <w:footnote w:id="15">
    <w:p w14:paraId="3BBAF68A" w14:textId="77777777" w:rsidR="0045673A" w:rsidRDefault="00E17DF3">
      <w:pPr>
        <w:pStyle w:val="footnotedescription"/>
        <w:jc w:val="left"/>
      </w:pPr>
      <w:r>
        <w:rPr>
          <w:rStyle w:val="footnotemark"/>
        </w:rPr>
        <w:footnoteRef/>
      </w:r>
      <w:r>
        <w:t xml:space="preserve"> In line with the transition to a climate neutral and sustainable economy.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77054" w14:textId="5F3C4E9F" w:rsidR="00360AE0" w:rsidRDefault="00360A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52EC" w14:textId="27A11510" w:rsidR="00360AE0" w:rsidRDefault="00360A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3DD66" w14:textId="2F0B4AAB" w:rsidR="0080318A" w:rsidRDefault="0080318A">
    <w:pPr>
      <w:pStyle w:val="Header"/>
    </w:pPr>
    <w:r>
      <w:rPr>
        <w:noProof/>
        <w:color w:val="2B579A"/>
        <w:shd w:val="clear" w:color="auto" w:fill="E6E6E6"/>
      </w:rPr>
      <w:drawing>
        <wp:anchor distT="0" distB="0" distL="114300" distR="114300" simplePos="0" relativeHeight="251658240" behindDoc="1" locked="0" layoutInCell="1" allowOverlap="1" wp14:anchorId="31B1C1FF" wp14:editId="4A821381">
          <wp:simplePos x="0" y="0"/>
          <wp:positionH relativeFrom="margin">
            <wp:posOffset>5027295</wp:posOffset>
          </wp:positionH>
          <wp:positionV relativeFrom="paragraph">
            <wp:posOffset>-274320</wp:posOffset>
          </wp:positionV>
          <wp:extent cx="1051560" cy="556260"/>
          <wp:effectExtent l="0" t="0" r="0" b="0"/>
          <wp:wrapTight wrapText="bothSides">
            <wp:wrapPolygon edited="0">
              <wp:start x="0" y="0"/>
              <wp:lineTo x="0" y="20712"/>
              <wp:lineTo x="21130" y="20712"/>
              <wp:lineTo x="21130" y="0"/>
              <wp:lineTo x="0" y="0"/>
            </wp:wrapPolygon>
          </wp:wrapTight>
          <wp:docPr id="1" name="Picture 1" descr="cid:image001.jpg@01D80792.CBD60490"/>
          <wp:cNvGraphicFramePr/>
          <a:graphic xmlns:a="http://schemas.openxmlformats.org/drawingml/2006/main">
            <a:graphicData uri="http://schemas.openxmlformats.org/drawingml/2006/picture">
              <pic:pic xmlns:pic="http://schemas.openxmlformats.org/drawingml/2006/picture">
                <pic:nvPicPr>
                  <pic:cNvPr id="1" name="Picture 5" descr="cid:image001.jpg@01D80792.CBD6049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51560" cy="5562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0230"/>
    <w:multiLevelType w:val="hybridMultilevel"/>
    <w:tmpl w:val="30324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C0BAD"/>
    <w:multiLevelType w:val="hybridMultilevel"/>
    <w:tmpl w:val="3FC861D4"/>
    <w:lvl w:ilvl="0" w:tplc="564E8AAC">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83A007A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16B68FE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6B40E93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515241C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DC1EF48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6B8C326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30FCBEE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7A325A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2" w15:restartNumberingAfterBreak="0">
    <w:nsid w:val="136405E6"/>
    <w:multiLevelType w:val="hybridMultilevel"/>
    <w:tmpl w:val="04E62FC8"/>
    <w:lvl w:ilvl="0" w:tplc="8B7C788A">
      <w:start w:val="1"/>
      <w:numFmt w:val="decimal"/>
      <w:lvlText w:val="%1."/>
      <w:lvlJc w:val="left"/>
      <w:pPr>
        <w:ind w:left="1065"/>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E13657E6">
      <w:start w:val="1"/>
      <w:numFmt w:val="lowerLetter"/>
      <w:lvlText w:val="%2"/>
      <w:lvlJc w:val="left"/>
      <w:pPr>
        <w:ind w:left="144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9FE46A54">
      <w:start w:val="1"/>
      <w:numFmt w:val="lowerRoman"/>
      <w:lvlText w:val="%3"/>
      <w:lvlJc w:val="left"/>
      <w:pPr>
        <w:ind w:left="216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A05A1C16">
      <w:start w:val="1"/>
      <w:numFmt w:val="decimal"/>
      <w:lvlText w:val="%4"/>
      <w:lvlJc w:val="left"/>
      <w:pPr>
        <w:ind w:left="288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EF62287A">
      <w:start w:val="1"/>
      <w:numFmt w:val="lowerLetter"/>
      <w:lvlText w:val="%5"/>
      <w:lvlJc w:val="left"/>
      <w:pPr>
        <w:ind w:left="360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4FBA0414">
      <w:start w:val="1"/>
      <w:numFmt w:val="lowerRoman"/>
      <w:lvlText w:val="%6"/>
      <w:lvlJc w:val="left"/>
      <w:pPr>
        <w:ind w:left="432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E3DAA176">
      <w:start w:val="1"/>
      <w:numFmt w:val="decimal"/>
      <w:lvlText w:val="%7"/>
      <w:lvlJc w:val="left"/>
      <w:pPr>
        <w:ind w:left="504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CE982E7A">
      <w:start w:val="1"/>
      <w:numFmt w:val="lowerLetter"/>
      <w:lvlText w:val="%8"/>
      <w:lvlJc w:val="left"/>
      <w:pPr>
        <w:ind w:left="576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7394968C">
      <w:start w:val="1"/>
      <w:numFmt w:val="lowerRoman"/>
      <w:lvlText w:val="%9"/>
      <w:lvlJc w:val="left"/>
      <w:pPr>
        <w:ind w:left="648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67776F5"/>
    <w:multiLevelType w:val="hybridMultilevel"/>
    <w:tmpl w:val="E7903C0E"/>
    <w:lvl w:ilvl="0" w:tplc="6A02678A">
      <w:start w:val="3"/>
      <w:numFmt w:val="decimal"/>
      <w:lvlText w:val="%1."/>
      <w:lvlJc w:val="left"/>
      <w:pPr>
        <w:ind w:left="4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B62E4C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95E525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FA6656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DAAF0F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F7AAE6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DC63C8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B3484C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6AE99C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B922C6"/>
    <w:multiLevelType w:val="hybridMultilevel"/>
    <w:tmpl w:val="C81A0DCA"/>
    <w:lvl w:ilvl="0" w:tplc="BCFCB24E">
      <w:start w:val="1"/>
      <w:numFmt w:val="lowerLetter"/>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5" w15:restartNumberingAfterBreak="0">
    <w:nsid w:val="224A2285"/>
    <w:multiLevelType w:val="hybridMultilevel"/>
    <w:tmpl w:val="F3BC3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353186"/>
    <w:multiLevelType w:val="hybridMultilevel"/>
    <w:tmpl w:val="18DC0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7563B1"/>
    <w:multiLevelType w:val="hybridMultilevel"/>
    <w:tmpl w:val="8E028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CC6EA5"/>
    <w:multiLevelType w:val="hybridMultilevel"/>
    <w:tmpl w:val="136EE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9A446E"/>
    <w:multiLevelType w:val="hybridMultilevel"/>
    <w:tmpl w:val="C8667F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240387"/>
    <w:multiLevelType w:val="hybridMultilevel"/>
    <w:tmpl w:val="085E422A"/>
    <w:lvl w:ilvl="0" w:tplc="D6C27498">
      <w:start w:val="4"/>
      <w:numFmt w:val="decimal"/>
      <w:lvlText w:val="%1."/>
      <w:lvlJc w:val="left"/>
      <w:pPr>
        <w:ind w:left="4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87605C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8F2A97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554C76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CDC6BD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2E0862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ED4A77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88ECEA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9F85E2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AE51E23"/>
    <w:multiLevelType w:val="hybridMultilevel"/>
    <w:tmpl w:val="D548B7F6"/>
    <w:lvl w:ilvl="0" w:tplc="E5C0873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701DD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44A2AE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C26AC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1249AD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B666B5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168EDE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FA9FE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154D1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1BE59AF"/>
    <w:multiLevelType w:val="hybridMultilevel"/>
    <w:tmpl w:val="A0DCC0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54286860">
    <w:abstractNumId w:val="2"/>
  </w:num>
  <w:num w:numId="2" w16cid:durableId="996881656">
    <w:abstractNumId w:val="1"/>
  </w:num>
  <w:num w:numId="3" w16cid:durableId="725181107">
    <w:abstractNumId w:val="11"/>
  </w:num>
  <w:num w:numId="4" w16cid:durableId="1507983495">
    <w:abstractNumId w:val="3"/>
  </w:num>
  <w:num w:numId="5" w16cid:durableId="1052580345">
    <w:abstractNumId w:val="10"/>
  </w:num>
  <w:num w:numId="6" w16cid:durableId="183787798">
    <w:abstractNumId w:val="4"/>
  </w:num>
  <w:num w:numId="7" w16cid:durableId="155463944">
    <w:abstractNumId w:val="9"/>
  </w:num>
  <w:num w:numId="8" w16cid:durableId="1888184103">
    <w:abstractNumId w:val="0"/>
  </w:num>
  <w:num w:numId="9" w16cid:durableId="859247043">
    <w:abstractNumId w:val="5"/>
  </w:num>
  <w:num w:numId="10" w16cid:durableId="513344802">
    <w:abstractNumId w:val="6"/>
  </w:num>
  <w:num w:numId="11" w16cid:durableId="1013191074">
    <w:abstractNumId w:val="8"/>
  </w:num>
  <w:num w:numId="12" w16cid:durableId="995229946">
    <w:abstractNumId w:val="7"/>
  </w:num>
  <w:num w:numId="13" w16cid:durableId="4725217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73A"/>
    <w:rsid w:val="00000417"/>
    <w:rsid w:val="00000B44"/>
    <w:rsid w:val="0000388C"/>
    <w:rsid w:val="00003B4F"/>
    <w:rsid w:val="00003E9E"/>
    <w:rsid w:val="00004A80"/>
    <w:rsid w:val="000069A2"/>
    <w:rsid w:val="00006FBA"/>
    <w:rsid w:val="00007871"/>
    <w:rsid w:val="00010390"/>
    <w:rsid w:val="00010590"/>
    <w:rsid w:val="00010E11"/>
    <w:rsid w:val="000116AE"/>
    <w:rsid w:val="00013531"/>
    <w:rsid w:val="00013E8F"/>
    <w:rsid w:val="000148EC"/>
    <w:rsid w:val="000157A7"/>
    <w:rsid w:val="00015A9F"/>
    <w:rsid w:val="00016085"/>
    <w:rsid w:val="000162EB"/>
    <w:rsid w:val="000201A6"/>
    <w:rsid w:val="0002166E"/>
    <w:rsid w:val="000217A5"/>
    <w:rsid w:val="00022C07"/>
    <w:rsid w:val="000235B9"/>
    <w:rsid w:val="00025153"/>
    <w:rsid w:val="0002586E"/>
    <w:rsid w:val="00025C65"/>
    <w:rsid w:val="000305AE"/>
    <w:rsid w:val="00030A67"/>
    <w:rsid w:val="000312F9"/>
    <w:rsid w:val="000315FA"/>
    <w:rsid w:val="00032257"/>
    <w:rsid w:val="00041ABE"/>
    <w:rsid w:val="00042B76"/>
    <w:rsid w:val="00043947"/>
    <w:rsid w:val="00044EF3"/>
    <w:rsid w:val="00047955"/>
    <w:rsid w:val="00047E01"/>
    <w:rsid w:val="000511DE"/>
    <w:rsid w:val="00053116"/>
    <w:rsid w:val="000535EE"/>
    <w:rsid w:val="00053B00"/>
    <w:rsid w:val="00053FE6"/>
    <w:rsid w:val="000551A2"/>
    <w:rsid w:val="00056A3A"/>
    <w:rsid w:val="000571C7"/>
    <w:rsid w:val="00060041"/>
    <w:rsid w:val="0006113E"/>
    <w:rsid w:val="00064B49"/>
    <w:rsid w:val="000652BA"/>
    <w:rsid w:val="00065BD5"/>
    <w:rsid w:val="00067620"/>
    <w:rsid w:val="0007095D"/>
    <w:rsid w:val="00070FBA"/>
    <w:rsid w:val="00071464"/>
    <w:rsid w:val="0007197C"/>
    <w:rsid w:val="000728EE"/>
    <w:rsid w:val="00072C31"/>
    <w:rsid w:val="00072F56"/>
    <w:rsid w:val="00080831"/>
    <w:rsid w:val="00081137"/>
    <w:rsid w:val="0008139E"/>
    <w:rsid w:val="00081C39"/>
    <w:rsid w:val="00081EC1"/>
    <w:rsid w:val="000824AA"/>
    <w:rsid w:val="00082D9B"/>
    <w:rsid w:val="00082E84"/>
    <w:rsid w:val="000848E6"/>
    <w:rsid w:val="000852F3"/>
    <w:rsid w:val="0008554C"/>
    <w:rsid w:val="000879CC"/>
    <w:rsid w:val="000906D6"/>
    <w:rsid w:val="00095003"/>
    <w:rsid w:val="000A2046"/>
    <w:rsid w:val="000A324B"/>
    <w:rsid w:val="000A38BE"/>
    <w:rsid w:val="000A5E26"/>
    <w:rsid w:val="000A7BB6"/>
    <w:rsid w:val="000B12F2"/>
    <w:rsid w:val="000B2344"/>
    <w:rsid w:val="000B2F3B"/>
    <w:rsid w:val="000B4ED8"/>
    <w:rsid w:val="000B6F2B"/>
    <w:rsid w:val="000B7A4A"/>
    <w:rsid w:val="000C062E"/>
    <w:rsid w:val="000C2D2B"/>
    <w:rsid w:val="000C2F99"/>
    <w:rsid w:val="000C5FD0"/>
    <w:rsid w:val="000C7667"/>
    <w:rsid w:val="000C7DCC"/>
    <w:rsid w:val="000C7F97"/>
    <w:rsid w:val="000D11D2"/>
    <w:rsid w:val="000D2029"/>
    <w:rsid w:val="000D486D"/>
    <w:rsid w:val="000D6C25"/>
    <w:rsid w:val="000D72BA"/>
    <w:rsid w:val="000E03DF"/>
    <w:rsid w:val="000E2317"/>
    <w:rsid w:val="000E2830"/>
    <w:rsid w:val="000E33EF"/>
    <w:rsid w:val="000E4802"/>
    <w:rsid w:val="000E5DC9"/>
    <w:rsid w:val="000E602C"/>
    <w:rsid w:val="000E643A"/>
    <w:rsid w:val="000E7D67"/>
    <w:rsid w:val="000F0541"/>
    <w:rsid w:val="000F076A"/>
    <w:rsid w:val="000F1BA6"/>
    <w:rsid w:val="000F2764"/>
    <w:rsid w:val="000F3AFE"/>
    <w:rsid w:val="000F6CBF"/>
    <w:rsid w:val="000F7F32"/>
    <w:rsid w:val="0010028A"/>
    <w:rsid w:val="00101287"/>
    <w:rsid w:val="001014CB"/>
    <w:rsid w:val="00103092"/>
    <w:rsid w:val="001045DD"/>
    <w:rsid w:val="00105CBD"/>
    <w:rsid w:val="00106A92"/>
    <w:rsid w:val="00107806"/>
    <w:rsid w:val="00107906"/>
    <w:rsid w:val="00110E04"/>
    <w:rsid w:val="001111E7"/>
    <w:rsid w:val="001128D6"/>
    <w:rsid w:val="0011505D"/>
    <w:rsid w:val="00115F77"/>
    <w:rsid w:val="00116C92"/>
    <w:rsid w:val="00121BCE"/>
    <w:rsid w:val="00121DE5"/>
    <w:rsid w:val="001233D1"/>
    <w:rsid w:val="001236BB"/>
    <w:rsid w:val="00124281"/>
    <w:rsid w:val="00126F7A"/>
    <w:rsid w:val="00130E02"/>
    <w:rsid w:val="00131686"/>
    <w:rsid w:val="00131B46"/>
    <w:rsid w:val="00131C48"/>
    <w:rsid w:val="00131D1F"/>
    <w:rsid w:val="00131DC2"/>
    <w:rsid w:val="00132104"/>
    <w:rsid w:val="001329B5"/>
    <w:rsid w:val="0013300D"/>
    <w:rsid w:val="0013411B"/>
    <w:rsid w:val="00135441"/>
    <w:rsid w:val="001366B2"/>
    <w:rsid w:val="00136A2F"/>
    <w:rsid w:val="00141153"/>
    <w:rsid w:val="00142F00"/>
    <w:rsid w:val="001439C2"/>
    <w:rsid w:val="00143DC8"/>
    <w:rsid w:val="001448BB"/>
    <w:rsid w:val="001454D4"/>
    <w:rsid w:val="00145AF5"/>
    <w:rsid w:val="00145F6C"/>
    <w:rsid w:val="00147A27"/>
    <w:rsid w:val="00147BD1"/>
    <w:rsid w:val="00147EE6"/>
    <w:rsid w:val="00150B3B"/>
    <w:rsid w:val="0015220B"/>
    <w:rsid w:val="00153989"/>
    <w:rsid w:val="0015442C"/>
    <w:rsid w:val="00157BAB"/>
    <w:rsid w:val="00157D48"/>
    <w:rsid w:val="00157FC3"/>
    <w:rsid w:val="00162A0A"/>
    <w:rsid w:val="0016552D"/>
    <w:rsid w:val="001671EC"/>
    <w:rsid w:val="00167BD0"/>
    <w:rsid w:val="001709D3"/>
    <w:rsid w:val="00172ABE"/>
    <w:rsid w:val="00172C4D"/>
    <w:rsid w:val="00174911"/>
    <w:rsid w:val="00175115"/>
    <w:rsid w:val="0018268C"/>
    <w:rsid w:val="00182BC3"/>
    <w:rsid w:val="00184505"/>
    <w:rsid w:val="0018653A"/>
    <w:rsid w:val="00187B98"/>
    <w:rsid w:val="00187C1E"/>
    <w:rsid w:val="00190BF6"/>
    <w:rsid w:val="00190D06"/>
    <w:rsid w:val="00191185"/>
    <w:rsid w:val="00191D5B"/>
    <w:rsid w:val="0019248D"/>
    <w:rsid w:val="00193178"/>
    <w:rsid w:val="00193CA2"/>
    <w:rsid w:val="00194A38"/>
    <w:rsid w:val="0019716A"/>
    <w:rsid w:val="001A12ED"/>
    <w:rsid w:val="001A178D"/>
    <w:rsid w:val="001A307C"/>
    <w:rsid w:val="001A688A"/>
    <w:rsid w:val="001A788A"/>
    <w:rsid w:val="001B10BD"/>
    <w:rsid w:val="001B180F"/>
    <w:rsid w:val="001B5E2F"/>
    <w:rsid w:val="001C00CA"/>
    <w:rsid w:val="001C06D1"/>
    <w:rsid w:val="001C0B8D"/>
    <w:rsid w:val="001C1B80"/>
    <w:rsid w:val="001C2FC0"/>
    <w:rsid w:val="001C4590"/>
    <w:rsid w:val="001C5662"/>
    <w:rsid w:val="001C6008"/>
    <w:rsid w:val="001C6F49"/>
    <w:rsid w:val="001D0369"/>
    <w:rsid w:val="001D06FD"/>
    <w:rsid w:val="001D07AC"/>
    <w:rsid w:val="001D0DAB"/>
    <w:rsid w:val="001D1D14"/>
    <w:rsid w:val="001D43E7"/>
    <w:rsid w:val="001D470F"/>
    <w:rsid w:val="001D4C0C"/>
    <w:rsid w:val="001D610E"/>
    <w:rsid w:val="001D7395"/>
    <w:rsid w:val="001D7A7B"/>
    <w:rsid w:val="001E0DA6"/>
    <w:rsid w:val="001E1598"/>
    <w:rsid w:val="001E21C2"/>
    <w:rsid w:val="001E236A"/>
    <w:rsid w:val="001E317C"/>
    <w:rsid w:val="001E3D6C"/>
    <w:rsid w:val="001E58E9"/>
    <w:rsid w:val="001E5B2E"/>
    <w:rsid w:val="001E6EC6"/>
    <w:rsid w:val="001F1078"/>
    <w:rsid w:val="001F1079"/>
    <w:rsid w:val="001F1255"/>
    <w:rsid w:val="001F14BF"/>
    <w:rsid w:val="001F3031"/>
    <w:rsid w:val="001F366C"/>
    <w:rsid w:val="001F4403"/>
    <w:rsid w:val="001F7BFA"/>
    <w:rsid w:val="00202F2A"/>
    <w:rsid w:val="0020305B"/>
    <w:rsid w:val="00204C5E"/>
    <w:rsid w:val="00205738"/>
    <w:rsid w:val="002057A1"/>
    <w:rsid w:val="0020599B"/>
    <w:rsid w:val="00206199"/>
    <w:rsid w:val="00206CAB"/>
    <w:rsid w:val="002079BB"/>
    <w:rsid w:val="00212792"/>
    <w:rsid w:val="0021541D"/>
    <w:rsid w:val="00215A35"/>
    <w:rsid w:val="0021620A"/>
    <w:rsid w:val="00216CC7"/>
    <w:rsid w:val="00220369"/>
    <w:rsid w:val="0022453F"/>
    <w:rsid w:val="002245CF"/>
    <w:rsid w:val="00225D50"/>
    <w:rsid w:val="0022637E"/>
    <w:rsid w:val="00227134"/>
    <w:rsid w:val="002279A9"/>
    <w:rsid w:val="002315FB"/>
    <w:rsid w:val="00231A34"/>
    <w:rsid w:val="00233209"/>
    <w:rsid w:val="002335F7"/>
    <w:rsid w:val="002346E1"/>
    <w:rsid w:val="00234E7F"/>
    <w:rsid w:val="0023641F"/>
    <w:rsid w:val="002367DC"/>
    <w:rsid w:val="002407C3"/>
    <w:rsid w:val="0024113D"/>
    <w:rsid w:val="0024211D"/>
    <w:rsid w:val="0024238D"/>
    <w:rsid w:val="00243B1D"/>
    <w:rsid w:val="00243CB7"/>
    <w:rsid w:val="00243FEC"/>
    <w:rsid w:val="00245D3E"/>
    <w:rsid w:val="002464C5"/>
    <w:rsid w:val="00252537"/>
    <w:rsid w:val="00252D9E"/>
    <w:rsid w:val="00253143"/>
    <w:rsid w:val="00254084"/>
    <w:rsid w:val="00255A8E"/>
    <w:rsid w:val="002564CA"/>
    <w:rsid w:val="002603C4"/>
    <w:rsid w:val="00261087"/>
    <w:rsid w:val="00261550"/>
    <w:rsid w:val="002623B6"/>
    <w:rsid w:val="0026281F"/>
    <w:rsid w:val="0026402D"/>
    <w:rsid w:val="002641F4"/>
    <w:rsid w:val="00266E93"/>
    <w:rsid w:val="002700BD"/>
    <w:rsid w:val="0027134D"/>
    <w:rsid w:val="002714D2"/>
    <w:rsid w:val="00271D4C"/>
    <w:rsid w:val="0027205D"/>
    <w:rsid w:val="00273090"/>
    <w:rsid w:val="00274B87"/>
    <w:rsid w:val="002763B6"/>
    <w:rsid w:val="002764F0"/>
    <w:rsid w:val="00277DD2"/>
    <w:rsid w:val="00277F0C"/>
    <w:rsid w:val="00277F14"/>
    <w:rsid w:val="00280CF2"/>
    <w:rsid w:val="0028262A"/>
    <w:rsid w:val="00282B3F"/>
    <w:rsid w:val="00286B12"/>
    <w:rsid w:val="0028755D"/>
    <w:rsid w:val="0029049D"/>
    <w:rsid w:val="0029094C"/>
    <w:rsid w:val="002911E1"/>
    <w:rsid w:val="00291A36"/>
    <w:rsid w:val="00294F2C"/>
    <w:rsid w:val="00295A3F"/>
    <w:rsid w:val="0029755F"/>
    <w:rsid w:val="002A00A0"/>
    <w:rsid w:val="002A0573"/>
    <w:rsid w:val="002A1A01"/>
    <w:rsid w:val="002A5991"/>
    <w:rsid w:val="002B0712"/>
    <w:rsid w:val="002B192E"/>
    <w:rsid w:val="002B1B64"/>
    <w:rsid w:val="002B1DB0"/>
    <w:rsid w:val="002B2A78"/>
    <w:rsid w:val="002B3AEF"/>
    <w:rsid w:val="002B4490"/>
    <w:rsid w:val="002B4572"/>
    <w:rsid w:val="002B4BAE"/>
    <w:rsid w:val="002B5613"/>
    <w:rsid w:val="002B626C"/>
    <w:rsid w:val="002B6FEC"/>
    <w:rsid w:val="002B7745"/>
    <w:rsid w:val="002C07B1"/>
    <w:rsid w:val="002C24D2"/>
    <w:rsid w:val="002C29E2"/>
    <w:rsid w:val="002C3700"/>
    <w:rsid w:val="002C49E0"/>
    <w:rsid w:val="002D34F0"/>
    <w:rsid w:val="002D46B0"/>
    <w:rsid w:val="002D494C"/>
    <w:rsid w:val="002D4BB0"/>
    <w:rsid w:val="002D4F5B"/>
    <w:rsid w:val="002E0F26"/>
    <w:rsid w:val="002E2B5C"/>
    <w:rsid w:val="002E4817"/>
    <w:rsid w:val="002E6BD4"/>
    <w:rsid w:val="002E7F21"/>
    <w:rsid w:val="002F2DFF"/>
    <w:rsid w:val="002F4FEE"/>
    <w:rsid w:val="002F5AD1"/>
    <w:rsid w:val="002F5CE8"/>
    <w:rsid w:val="002F5F30"/>
    <w:rsid w:val="002F6984"/>
    <w:rsid w:val="002F6DC5"/>
    <w:rsid w:val="002F6F81"/>
    <w:rsid w:val="003003A0"/>
    <w:rsid w:val="00301A56"/>
    <w:rsid w:val="00305692"/>
    <w:rsid w:val="00305D65"/>
    <w:rsid w:val="00306720"/>
    <w:rsid w:val="003123E4"/>
    <w:rsid w:val="003134D7"/>
    <w:rsid w:val="00314533"/>
    <w:rsid w:val="00314EC1"/>
    <w:rsid w:val="00315D13"/>
    <w:rsid w:val="00316BF6"/>
    <w:rsid w:val="003177CE"/>
    <w:rsid w:val="00320078"/>
    <w:rsid w:val="003217FB"/>
    <w:rsid w:val="00321DA4"/>
    <w:rsid w:val="00323DF8"/>
    <w:rsid w:val="0032498E"/>
    <w:rsid w:val="00327067"/>
    <w:rsid w:val="00327D2F"/>
    <w:rsid w:val="00330310"/>
    <w:rsid w:val="003310E4"/>
    <w:rsid w:val="0033137C"/>
    <w:rsid w:val="003313E9"/>
    <w:rsid w:val="00331782"/>
    <w:rsid w:val="00331A12"/>
    <w:rsid w:val="00331A27"/>
    <w:rsid w:val="003327B8"/>
    <w:rsid w:val="00332841"/>
    <w:rsid w:val="00333182"/>
    <w:rsid w:val="003341E3"/>
    <w:rsid w:val="00334A4F"/>
    <w:rsid w:val="0033624F"/>
    <w:rsid w:val="00336F26"/>
    <w:rsid w:val="00337125"/>
    <w:rsid w:val="003408FE"/>
    <w:rsid w:val="00340FC2"/>
    <w:rsid w:val="00343671"/>
    <w:rsid w:val="003445E7"/>
    <w:rsid w:val="00344848"/>
    <w:rsid w:val="003500D8"/>
    <w:rsid w:val="0035239E"/>
    <w:rsid w:val="00352D36"/>
    <w:rsid w:val="003547EE"/>
    <w:rsid w:val="0035612A"/>
    <w:rsid w:val="0035663C"/>
    <w:rsid w:val="00356F79"/>
    <w:rsid w:val="00357742"/>
    <w:rsid w:val="00360AE0"/>
    <w:rsid w:val="00361913"/>
    <w:rsid w:val="0036286A"/>
    <w:rsid w:val="00364CCF"/>
    <w:rsid w:val="00366064"/>
    <w:rsid w:val="00367B9A"/>
    <w:rsid w:val="0037032C"/>
    <w:rsid w:val="003715FC"/>
    <w:rsid w:val="0037181F"/>
    <w:rsid w:val="003718A8"/>
    <w:rsid w:val="0037253D"/>
    <w:rsid w:val="00372660"/>
    <w:rsid w:val="00373D25"/>
    <w:rsid w:val="00373EA9"/>
    <w:rsid w:val="00376451"/>
    <w:rsid w:val="00376A56"/>
    <w:rsid w:val="00377B17"/>
    <w:rsid w:val="00377D20"/>
    <w:rsid w:val="00380B2C"/>
    <w:rsid w:val="00382F26"/>
    <w:rsid w:val="00383276"/>
    <w:rsid w:val="00383AAC"/>
    <w:rsid w:val="00384344"/>
    <w:rsid w:val="00387E5F"/>
    <w:rsid w:val="0039031E"/>
    <w:rsid w:val="003906E7"/>
    <w:rsid w:val="00392601"/>
    <w:rsid w:val="003926EA"/>
    <w:rsid w:val="00396911"/>
    <w:rsid w:val="00396ACF"/>
    <w:rsid w:val="003A06A9"/>
    <w:rsid w:val="003A0980"/>
    <w:rsid w:val="003A15AA"/>
    <w:rsid w:val="003A18B5"/>
    <w:rsid w:val="003A545B"/>
    <w:rsid w:val="003A5DC1"/>
    <w:rsid w:val="003B3F58"/>
    <w:rsid w:val="003B4136"/>
    <w:rsid w:val="003B5378"/>
    <w:rsid w:val="003C3018"/>
    <w:rsid w:val="003C45C7"/>
    <w:rsid w:val="003C4B95"/>
    <w:rsid w:val="003C53EC"/>
    <w:rsid w:val="003C70B3"/>
    <w:rsid w:val="003D1329"/>
    <w:rsid w:val="003D193F"/>
    <w:rsid w:val="003D1C54"/>
    <w:rsid w:val="003D47A2"/>
    <w:rsid w:val="003D4911"/>
    <w:rsid w:val="003D7B07"/>
    <w:rsid w:val="003E1C3A"/>
    <w:rsid w:val="003E1D76"/>
    <w:rsid w:val="003E321C"/>
    <w:rsid w:val="003E3944"/>
    <w:rsid w:val="003E4FF0"/>
    <w:rsid w:val="003E5327"/>
    <w:rsid w:val="003E6F45"/>
    <w:rsid w:val="003E752E"/>
    <w:rsid w:val="003F050C"/>
    <w:rsid w:val="003F12FC"/>
    <w:rsid w:val="003F184D"/>
    <w:rsid w:val="003F58C9"/>
    <w:rsid w:val="003F77FA"/>
    <w:rsid w:val="003F7D91"/>
    <w:rsid w:val="004017E7"/>
    <w:rsid w:val="00404698"/>
    <w:rsid w:val="00404A5B"/>
    <w:rsid w:val="0040580D"/>
    <w:rsid w:val="0040590A"/>
    <w:rsid w:val="00405A3C"/>
    <w:rsid w:val="00406457"/>
    <w:rsid w:val="004103FB"/>
    <w:rsid w:val="00411663"/>
    <w:rsid w:val="00412FD6"/>
    <w:rsid w:val="004152AE"/>
    <w:rsid w:val="004152D1"/>
    <w:rsid w:val="0041628F"/>
    <w:rsid w:val="00417834"/>
    <w:rsid w:val="0042011D"/>
    <w:rsid w:val="00423F07"/>
    <w:rsid w:val="00424B1E"/>
    <w:rsid w:val="00426B36"/>
    <w:rsid w:val="00426DBB"/>
    <w:rsid w:val="004306D9"/>
    <w:rsid w:val="004308E4"/>
    <w:rsid w:val="00432B23"/>
    <w:rsid w:val="004352B0"/>
    <w:rsid w:val="004355B8"/>
    <w:rsid w:val="0043765D"/>
    <w:rsid w:val="004377B4"/>
    <w:rsid w:val="004417EE"/>
    <w:rsid w:val="00441F71"/>
    <w:rsid w:val="004455FB"/>
    <w:rsid w:val="00446EC6"/>
    <w:rsid w:val="00451723"/>
    <w:rsid w:val="0045359C"/>
    <w:rsid w:val="0045393E"/>
    <w:rsid w:val="00453B6F"/>
    <w:rsid w:val="00453E31"/>
    <w:rsid w:val="004543DB"/>
    <w:rsid w:val="00454676"/>
    <w:rsid w:val="00455C9C"/>
    <w:rsid w:val="004564C1"/>
    <w:rsid w:val="0045673A"/>
    <w:rsid w:val="00456BA2"/>
    <w:rsid w:val="004615EF"/>
    <w:rsid w:val="00461E19"/>
    <w:rsid w:val="00463BF6"/>
    <w:rsid w:val="004647B1"/>
    <w:rsid w:val="00465E9F"/>
    <w:rsid w:val="0046615F"/>
    <w:rsid w:val="00466FB5"/>
    <w:rsid w:val="00471C16"/>
    <w:rsid w:val="004736A6"/>
    <w:rsid w:val="00473C84"/>
    <w:rsid w:val="00474A8C"/>
    <w:rsid w:val="004751F2"/>
    <w:rsid w:val="00475ADE"/>
    <w:rsid w:val="00481B1B"/>
    <w:rsid w:val="0048670F"/>
    <w:rsid w:val="00490A0F"/>
    <w:rsid w:val="00490C9A"/>
    <w:rsid w:val="004911EA"/>
    <w:rsid w:val="00491600"/>
    <w:rsid w:val="00492288"/>
    <w:rsid w:val="00493246"/>
    <w:rsid w:val="00493CE0"/>
    <w:rsid w:val="00497782"/>
    <w:rsid w:val="004A013D"/>
    <w:rsid w:val="004A29ED"/>
    <w:rsid w:val="004A6438"/>
    <w:rsid w:val="004B0512"/>
    <w:rsid w:val="004B0AB0"/>
    <w:rsid w:val="004B1FAA"/>
    <w:rsid w:val="004B27F7"/>
    <w:rsid w:val="004B2947"/>
    <w:rsid w:val="004B3FE7"/>
    <w:rsid w:val="004B51FA"/>
    <w:rsid w:val="004B5226"/>
    <w:rsid w:val="004C100C"/>
    <w:rsid w:val="004C3190"/>
    <w:rsid w:val="004C4231"/>
    <w:rsid w:val="004C4BC4"/>
    <w:rsid w:val="004C68B0"/>
    <w:rsid w:val="004D034A"/>
    <w:rsid w:val="004D2AAD"/>
    <w:rsid w:val="004D38B0"/>
    <w:rsid w:val="004D438B"/>
    <w:rsid w:val="004D72EE"/>
    <w:rsid w:val="004D7BB8"/>
    <w:rsid w:val="004E0ACE"/>
    <w:rsid w:val="004E0AF2"/>
    <w:rsid w:val="004E1D88"/>
    <w:rsid w:val="004E3F27"/>
    <w:rsid w:val="004E3F35"/>
    <w:rsid w:val="004E51DC"/>
    <w:rsid w:val="004E675C"/>
    <w:rsid w:val="004E6FCE"/>
    <w:rsid w:val="004F04AB"/>
    <w:rsid w:val="004F0C70"/>
    <w:rsid w:val="004F1264"/>
    <w:rsid w:val="004F7D21"/>
    <w:rsid w:val="00501EC8"/>
    <w:rsid w:val="00502A1B"/>
    <w:rsid w:val="005049B6"/>
    <w:rsid w:val="00506F34"/>
    <w:rsid w:val="00506F5F"/>
    <w:rsid w:val="0051367F"/>
    <w:rsid w:val="00513D01"/>
    <w:rsid w:val="00517058"/>
    <w:rsid w:val="00520419"/>
    <w:rsid w:val="0052238D"/>
    <w:rsid w:val="0052323B"/>
    <w:rsid w:val="00525A2C"/>
    <w:rsid w:val="0052704B"/>
    <w:rsid w:val="00530F9C"/>
    <w:rsid w:val="005316DA"/>
    <w:rsid w:val="00531797"/>
    <w:rsid w:val="00532D02"/>
    <w:rsid w:val="00533E8E"/>
    <w:rsid w:val="0053427E"/>
    <w:rsid w:val="00535661"/>
    <w:rsid w:val="005372E6"/>
    <w:rsid w:val="00541160"/>
    <w:rsid w:val="00541321"/>
    <w:rsid w:val="00541F93"/>
    <w:rsid w:val="0054542A"/>
    <w:rsid w:val="00546317"/>
    <w:rsid w:val="00546E81"/>
    <w:rsid w:val="005473A5"/>
    <w:rsid w:val="00550E06"/>
    <w:rsid w:val="005516AE"/>
    <w:rsid w:val="0055290A"/>
    <w:rsid w:val="00553872"/>
    <w:rsid w:val="00555F40"/>
    <w:rsid w:val="00560F19"/>
    <w:rsid w:val="00562B31"/>
    <w:rsid w:val="00562C1E"/>
    <w:rsid w:val="00564112"/>
    <w:rsid w:val="005648AB"/>
    <w:rsid w:val="00570E14"/>
    <w:rsid w:val="00571F24"/>
    <w:rsid w:val="00572DFD"/>
    <w:rsid w:val="00574DFE"/>
    <w:rsid w:val="00580556"/>
    <w:rsid w:val="005810D8"/>
    <w:rsid w:val="00584222"/>
    <w:rsid w:val="00586B06"/>
    <w:rsid w:val="0058763B"/>
    <w:rsid w:val="00590702"/>
    <w:rsid w:val="0059338A"/>
    <w:rsid w:val="005935F3"/>
    <w:rsid w:val="005937B5"/>
    <w:rsid w:val="005952BF"/>
    <w:rsid w:val="0059704D"/>
    <w:rsid w:val="005A1DBC"/>
    <w:rsid w:val="005A1F5A"/>
    <w:rsid w:val="005A251A"/>
    <w:rsid w:val="005A6596"/>
    <w:rsid w:val="005A6BEA"/>
    <w:rsid w:val="005B037E"/>
    <w:rsid w:val="005B2DAF"/>
    <w:rsid w:val="005B3BD6"/>
    <w:rsid w:val="005B4275"/>
    <w:rsid w:val="005B51F3"/>
    <w:rsid w:val="005C1DB1"/>
    <w:rsid w:val="005C2114"/>
    <w:rsid w:val="005C617D"/>
    <w:rsid w:val="005C74CB"/>
    <w:rsid w:val="005D088F"/>
    <w:rsid w:val="005D13F4"/>
    <w:rsid w:val="005D2B76"/>
    <w:rsid w:val="005D2BA5"/>
    <w:rsid w:val="005D3FB4"/>
    <w:rsid w:val="005D4D78"/>
    <w:rsid w:val="005D6D59"/>
    <w:rsid w:val="005E1B1E"/>
    <w:rsid w:val="005E2C67"/>
    <w:rsid w:val="005E34EA"/>
    <w:rsid w:val="005E4108"/>
    <w:rsid w:val="005E4C6D"/>
    <w:rsid w:val="005E5217"/>
    <w:rsid w:val="005E5C10"/>
    <w:rsid w:val="005E5F48"/>
    <w:rsid w:val="005E7530"/>
    <w:rsid w:val="005F0D38"/>
    <w:rsid w:val="005F27B3"/>
    <w:rsid w:val="005F27CA"/>
    <w:rsid w:val="005F2E0B"/>
    <w:rsid w:val="005F6693"/>
    <w:rsid w:val="005F686D"/>
    <w:rsid w:val="005F7192"/>
    <w:rsid w:val="00600F1C"/>
    <w:rsid w:val="006017F6"/>
    <w:rsid w:val="0060501B"/>
    <w:rsid w:val="00611318"/>
    <w:rsid w:val="00611767"/>
    <w:rsid w:val="006148A8"/>
    <w:rsid w:val="00614964"/>
    <w:rsid w:val="006150EF"/>
    <w:rsid w:val="00615944"/>
    <w:rsid w:val="00615AEC"/>
    <w:rsid w:val="00617E52"/>
    <w:rsid w:val="006204DE"/>
    <w:rsid w:val="0062387D"/>
    <w:rsid w:val="00631389"/>
    <w:rsid w:val="006316AD"/>
    <w:rsid w:val="006317C5"/>
    <w:rsid w:val="00632F71"/>
    <w:rsid w:val="0063444A"/>
    <w:rsid w:val="0063488C"/>
    <w:rsid w:val="00636652"/>
    <w:rsid w:val="006372E1"/>
    <w:rsid w:val="0063754E"/>
    <w:rsid w:val="006406E7"/>
    <w:rsid w:val="006414C7"/>
    <w:rsid w:val="00643D43"/>
    <w:rsid w:val="006442B0"/>
    <w:rsid w:val="00646BA6"/>
    <w:rsid w:val="00647719"/>
    <w:rsid w:val="00647DE0"/>
    <w:rsid w:val="00647FA0"/>
    <w:rsid w:val="006508E4"/>
    <w:rsid w:val="006512FD"/>
    <w:rsid w:val="00651C95"/>
    <w:rsid w:val="00652E55"/>
    <w:rsid w:val="006552B0"/>
    <w:rsid w:val="00656229"/>
    <w:rsid w:val="00657D11"/>
    <w:rsid w:val="00657D2C"/>
    <w:rsid w:val="0066450C"/>
    <w:rsid w:val="00670EA0"/>
    <w:rsid w:val="00671C7C"/>
    <w:rsid w:val="00671CEF"/>
    <w:rsid w:val="00672724"/>
    <w:rsid w:val="00673189"/>
    <w:rsid w:val="00674DE2"/>
    <w:rsid w:val="0067562F"/>
    <w:rsid w:val="00676592"/>
    <w:rsid w:val="00676F2E"/>
    <w:rsid w:val="00680D77"/>
    <w:rsid w:val="00681A4B"/>
    <w:rsid w:val="00682FA9"/>
    <w:rsid w:val="00683D34"/>
    <w:rsid w:val="00683DB1"/>
    <w:rsid w:val="00683F68"/>
    <w:rsid w:val="00684035"/>
    <w:rsid w:val="006841A6"/>
    <w:rsid w:val="00684CA2"/>
    <w:rsid w:val="006852C1"/>
    <w:rsid w:val="00690509"/>
    <w:rsid w:val="00690E93"/>
    <w:rsid w:val="0069175A"/>
    <w:rsid w:val="00692204"/>
    <w:rsid w:val="006930BD"/>
    <w:rsid w:val="00694724"/>
    <w:rsid w:val="0069528D"/>
    <w:rsid w:val="00696261"/>
    <w:rsid w:val="0069648B"/>
    <w:rsid w:val="00696C27"/>
    <w:rsid w:val="006976B1"/>
    <w:rsid w:val="00697708"/>
    <w:rsid w:val="00697B3C"/>
    <w:rsid w:val="00697BED"/>
    <w:rsid w:val="00697DA5"/>
    <w:rsid w:val="00697FF2"/>
    <w:rsid w:val="006A280A"/>
    <w:rsid w:val="006A3878"/>
    <w:rsid w:val="006A3D7A"/>
    <w:rsid w:val="006A4A92"/>
    <w:rsid w:val="006A4F70"/>
    <w:rsid w:val="006A7808"/>
    <w:rsid w:val="006A7CE2"/>
    <w:rsid w:val="006B019E"/>
    <w:rsid w:val="006B2BFC"/>
    <w:rsid w:val="006B46D2"/>
    <w:rsid w:val="006B7884"/>
    <w:rsid w:val="006B7891"/>
    <w:rsid w:val="006C1B85"/>
    <w:rsid w:val="006C2235"/>
    <w:rsid w:val="006C2C8E"/>
    <w:rsid w:val="006C4373"/>
    <w:rsid w:val="006C4CD0"/>
    <w:rsid w:val="006C5367"/>
    <w:rsid w:val="006C65D9"/>
    <w:rsid w:val="006C7C3A"/>
    <w:rsid w:val="006C7E77"/>
    <w:rsid w:val="006D1619"/>
    <w:rsid w:val="006D31B2"/>
    <w:rsid w:val="006D3AFD"/>
    <w:rsid w:val="006D73EB"/>
    <w:rsid w:val="006E1411"/>
    <w:rsid w:val="006E165D"/>
    <w:rsid w:val="006E1F25"/>
    <w:rsid w:val="006E47F5"/>
    <w:rsid w:val="006E6859"/>
    <w:rsid w:val="006F1D1B"/>
    <w:rsid w:val="006F3B7E"/>
    <w:rsid w:val="006F3DA8"/>
    <w:rsid w:val="006F64CA"/>
    <w:rsid w:val="00700340"/>
    <w:rsid w:val="00700CBB"/>
    <w:rsid w:val="00700D0C"/>
    <w:rsid w:val="00700E06"/>
    <w:rsid w:val="007019C4"/>
    <w:rsid w:val="00701E1A"/>
    <w:rsid w:val="007038DB"/>
    <w:rsid w:val="00704B26"/>
    <w:rsid w:val="007063E7"/>
    <w:rsid w:val="0070641E"/>
    <w:rsid w:val="00706F6D"/>
    <w:rsid w:val="00707B29"/>
    <w:rsid w:val="007109B8"/>
    <w:rsid w:val="00710E7F"/>
    <w:rsid w:val="007113A6"/>
    <w:rsid w:val="00713F26"/>
    <w:rsid w:val="0071541A"/>
    <w:rsid w:val="00716327"/>
    <w:rsid w:val="0071686C"/>
    <w:rsid w:val="00717AF5"/>
    <w:rsid w:val="00720D55"/>
    <w:rsid w:val="00722059"/>
    <w:rsid w:val="00724157"/>
    <w:rsid w:val="00726DE8"/>
    <w:rsid w:val="00727AF2"/>
    <w:rsid w:val="00730010"/>
    <w:rsid w:val="00731378"/>
    <w:rsid w:val="007327BF"/>
    <w:rsid w:val="00733974"/>
    <w:rsid w:val="00733E53"/>
    <w:rsid w:val="007358C1"/>
    <w:rsid w:val="0073594F"/>
    <w:rsid w:val="00736031"/>
    <w:rsid w:val="0073635B"/>
    <w:rsid w:val="00737156"/>
    <w:rsid w:val="00740EA3"/>
    <w:rsid w:val="00742123"/>
    <w:rsid w:val="00743110"/>
    <w:rsid w:val="0074542F"/>
    <w:rsid w:val="00750492"/>
    <w:rsid w:val="00751B10"/>
    <w:rsid w:val="00752243"/>
    <w:rsid w:val="00753082"/>
    <w:rsid w:val="00755CF1"/>
    <w:rsid w:val="007575AF"/>
    <w:rsid w:val="0076023D"/>
    <w:rsid w:val="00761967"/>
    <w:rsid w:val="00761C90"/>
    <w:rsid w:val="007620C0"/>
    <w:rsid w:val="00762BEC"/>
    <w:rsid w:val="007634E7"/>
    <w:rsid w:val="00764E08"/>
    <w:rsid w:val="007678C7"/>
    <w:rsid w:val="00767EC0"/>
    <w:rsid w:val="00770130"/>
    <w:rsid w:val="00770B83"/>
    <w:rsid w:val="00772565"/>
    <w:rsid w:val="00775BF8"/>
    <w:rsid w:val="007765FB"/>
    <w:rsid w:val="007815D1"/>
    <w:rsid w:val="00781B2D"/>
    <w:rsid w:val="00781CF9"/>
    <w:rsid w:val="00783094"/>
    <w:rsid w:val="00785948"/>
    <w:rsid w:val="00787793"/>
    <w:rsid w:val="00787CE4"/>
    <w:rsid w:val="0079062C"/>
    <w:rsid w:val="00790F7E"/>
    <w:rsid w:val="00791612"/>
    <w:rsid w:val="007932C4"/>
    <w:rsid w:val="0079346B"/>
    <w:rsid w:val="007953F9"/>
    <w:rsid w:val="00795DFA"/>
    <w:rsid w:val="00796671"/>
    <w:rsid w:val="00797493"/>
    <w:rsid w:val="00797519"/>
    <w:rsid w:val="007A16E5"/>
    <w:rsid w:val="007A2D82"/>
    <w:rsid w:val="007A6F56"/>
    <w:rsid w:val="007A7B02"/>
    <w:rsid w:val="007A7F1A"/>
    <w:rsid w:val="007B007A"/>
    <w:rsid w:val="007B00AF"/>
    <w:rsid w:val="007B1346"/>
    <w:rsid w:val="007B67C3"/>
    <w:rsid w:val="007B762C"/>
    <w:rsid w:val="007C08C4"/>
    <w:rsid w:val="007C0A56"/>
    <w:rsid w:val="007C31AD"/>
    <w:rsid w:val="007C6DCB"/>
    <w:rsid w:val="007D0AC2"/>
    <w:rsid w:val="007D2298"/>
    <w:rsid w:val="007D4533"/>
    <w:rsid w:val="007D4E37"/>
    <w:rsid w:val="007D730E"/>
    <w:rsid w:val="007D7BC2"/>
    <w:rsid w:val="007D7EE7"/>
    <w:rsid w:val="007E1F89"/>
    <w:rsid w:val="007E2136"/>
    <w:rsid w:val="007E41FC"/>
    <w:rsid w:val="007E62B7"/>
    <w:rsid w:val="007E6AB1"/>
    <w:rsid w:val="007E7910"/>
    <w:rsid w:val="007F0054"/>
    <w:rsid w:val="007F09F6"/>
    <w:rsid w:val="007F10AB"/>
    <w:rsid w:val="007F1E19"/>
    <w:rsid w:val="007F27C6"/>
    <w:rsid w:val="007F33DB"/>
    <w:rsid w:val="007F3CA9"/>
    <w:rsid w:val="007F478A"/>
    <w:rsid w:val="00800959"/>
    <w:rsid w:val="008010AF"/>
    <w:rsid w:val="00801CEE"/>
    <w:rsid w:val="0080318A"/>
    <w:rsid w:val="0080358A"/>
    <w:rsid w:val="00805C55"/>
    <w:rsid w:val="0081024E"/>
    <w:rsid w:val="00810865"/>
    <w:rsid w:val="008122A0"/>
    <w:rsid w:val="00813001"/>
    <w:rsid w:val="0081448F"/>
    <w:rsid w:val="008148BF"/>
    <w:rsid w:val="00814B37"/>
    <w:rsid w:val="0081527E"/>
    <w:rsid w:val="00815302"/>
    <w:rsid w:val="00820509"/>
    <w:rsid w:val="00822B81"/>
    <w:rsid w:val="00822E42"/>
    <w:rsid w:val="0082359A"/>
    <w:rsid w:val="00830CEF"/>
    <w:rsid w:val="00831FA9"/>
    <w:rsid w:val="008321CD"/>
    <w:rsid w:val="00833F64"/>
    <w:rsid w:val="008344AA"/>
    <w:rsid w:val="00834D44"/>
    <w:rsid w:val="00837B77"/>
    <w:rsid w:val="00837E5D"/>
    <w:rsid w:val="00841EB8"/>
    <w:rsid w:val="0084244C"/>
    <w:rsid w:val="00842730"/>
    <w:rsid w:val="00843C2E"/>
    <w:rsid w:val="00843CF0"/>
    <w:rsid w:val="00847CCF"/>
    <w:rsid w:val="00850CBC"/>
    <w:rsid w:val="00851A94"/>
    <w:rsid w:val="00852251"/>
    <w:rsid w:val="0085226B"/>
    <w:rsid w:val="00852A83"/>
    <w:rsid w:val="00852B28"/>
    <w:rsid w:val="0085473E"/>
    <w:rsid w:val="0085559B"/>
    <w:rsid w:val="008567FB"/>
    <w:rsid w:val="00857921"/>
    <w:rsid w:val="0086033C"/>
    <w:rsid w:val="00860949"/>
    <w:rsid w:val="00860BCD"/>
    <w:rsid w:val="00861045"/>
    <w:rsid w:val="00861F47"/>
    <w:rsid w:val="00862D05"/>
    <w:rsid w:val="008639AD"/>
    <w:rsid w:val="00864192"/>
    <w:rsid w:val="00864382"/>
    <w:rsid w:val="00864400"/>
    <w:rsid w:val="008649A1"/>
    <w:rsid w:val="00864B94"/>
    <w:rsid w:val="00864CE2"/>
    <w:rsid w:val="00866FB7"/>
    <w:rsid w:val="0086707C"/>
    <w:rsid w:val="008670B3"/>
    <w:rsid w:val="0087088E"/>
    <w:rsid w:val="00873EE4"/>
    <w:rsid w:val="008753FB"/>
    <w:rsid w:val="00875D2A"/>
    <w:rsid w:val="00882960"/>
    <w:rsid w:val="0088328F"/>
    <w:rsid w:val="008841FC"/>
    <w:rsid w:val="0088443F"/>
    <w:rsid w:val="00884927"/>
    <w:rsid w:val="00885C1F"/>
    <w:rsid w:val="00890C5C"/>
    <w:rsid w:val="00891001"/>
    <w:rsid w:val="00891863"/>
    <w:rsid w:val="00891BA6"/>
    <w:rsid w:val="00891BED"/>
    <w:rsid w:val="0089289A"/>
    <w:rsid w:val="00895489"/>
    <w:rsid w:val="00895D68"/>
    <w:rsid w:val="008969E3"/>
    <w:rsid w:val="0089776D"/>
    <w:rsid w:val="00897C8C"/>
    <w:rsid w:val="008A0A4F"/>
    <w:rsid w:val="008A1585"/>
    <w:rsid w:val="008A3249"/>
    <w:rsid w:val="008A49BD"/>
    <w:rsid w:val="008A4C18"/>
    <w:rsid w:val="008A4D13"/>
    <w:rsid w:val="008A5381"/>
    <w:rsid w:val="008A76C8"/>
    <w:rsid w:val="008B0040"/>
    <w:rsid w:val="008B0CD0"/>
    <w:rsid w:val="008B2946"/>
    <w:rsid w:val="008B3486"/>
    <w:rsid w:val="008B3DDC"/>
    <w:rsid w:val="008B6864"/>
    <w:rsid w:val="008C034B"/>
    <w:rsid w:val="008C0C10"/>
    <w:rsid w:val="008C10A1"/>
    <w:rsid w:val="008C1B28"/>
    <w:rsid w:val="008C1CBA"/>
    <w:rsid w:val="008C1DE4"/>
    <w:rsid w:val="008C257F"/>
    <w:rsid w:val="008C3532"/>
    <w:rsid w:val="008C408C"/>
    <w:rsid w:val="008D14CB"/>
    <w:rsid w:val="008D1D80"/>
    <w:rsid w:val="008D24F0"/>
    <w:rsid w:val="008D2C63"/>
    <w:rsid w:val="008D3E0C"/>
    <w:rsid w:val="008D56BE"/>
    <w:rsid w:val="008D6246"/>
    <w:rsid w:val="008E0975"/>
    <w:rsid w:val="008E1785"/>
    <w:rsid w:val="008E398E"/>
    <w:rsid w:val="008E4198"/>
    <w:rsid w:val="008E4810"/>
    <w:rsid w:val="008E4B49"/>
    <w:rsid w:val="008E4CE2"/>
    <w:rsid w:val="008E5285"/>
    <w:rsid w:val="008E58B3"/>
    <w:rsid w:val="008F36CC"/>
    <w:rsid w:val="008F401A"/>
    <w:rsid w:val="008F48F3"/>
    <w:rsid w:val="008F4B94"/>
    <w:rsid w:val="008F5231"/>
    <w:rsid w:val="008F5ADB"/>
    <w:rsid w:val="008F5C3C"/>
    <w:rsid w:val="008F7E6F"/>
    <w:rsid w:val="00900801"/>
    <w:rsid w:val="00900920"/>
    <w:rsid w:val="00900FD5"/>
    <w:rsid w:val="00901246"/>
    <w:rsid w:val="00903AB8"/>
    <w:rsid w:val="00904982"/>
    <w:rsid w:val="00904E24"/>
    <w:rsid w:val="00907E1F"/>
    <w:rsid w:val="00912BBD"/>
    <w:rsid w:val="00912D5D"/>
    <w:rsid w:val="00913C78"/>
    <w:rsid w:val="009145BC"/>
    <w:rsid w:val="009153AF"/>
    <w:rsid w:val="00915561"/>
    <w:rsid w:val="00915FC3"/>
    <w:rsid w:val="009161D8"/>
    <w:rsid w:val="00916628"/>
    <w:rsid w:val="009172BC"/>
    <w:rsid w:val="00923CBC"/>
    <w:rsid w:val="0092492A"/>
    <w:rsid w:val="00930556"/>
    <w:rsid w:val="00932C78"/>
    <w:rsid w:val="00932FC0"/>
    <w:rsid w:val="009336BA"/>
    <w:rsid w:val="00933C3B"/>
    <w:rsid w:val="00941529"/>
    <w:rsid w:val="0094233C"/>
    <w:rsid w:val="00943282"/>
    <w:rsid w:val="009452EB"/>
    <w:rsid w:val="00945440"/>
    <w:rsid w:val="009456C7"/>
    <w:rsid w:val="00947462"/>
    <w:rsid w:val="009505E8"/>
    <w:rsid w:val="00951B76"/>
    <w:rsid w:val="00952AC9"/>
    <w:rsid w:val="00953A9C"/>
    <w:rsid w:val="00957C07"/>
    <w:rsid w:val="00957DFD"/>
    <w:rsid w:val="00961317"/>
    <w:rsid w:val="009622A9"/>
    <w:rsid w:val="00962C81"/>
    <w:rsid w:val="00962E69"/>
    <w:rsid w:val="009633F1"/>
    <w:rsid w:val="009653DE"/>
    <w:rsid w:val="009660E5"/>
    <w:rsid w:val="00971F20"/>
    <w:rsid w:val="00972151"/>
    <w:rsid w:val="0097251E"/>
    <w:rsid w:val="009745E1"/>
    <w:rsid w:val="00975742"/>
    <w:rsid w:val="00975914"/>
    <w:rsid w:val="0097621E"/>
    <w:rsid w:val="00976BF9"/>
    <w:rsid w:val="00977A35"/>
    <w:rsid w:val="00980B7B"/>
    <w:rsid w:val="00982666"/>
    <w:rsid w:val="00982EA1"/>
    <w:rsid w:val="00983F73"/>
    <w:rsid w:val="00985418"/>
    <w:rsid w:val="00990181"/>
    <w:rsid w:val="0099090E"/>
    <w:rsid w:val="009922DD"/>
    <w:rsid w:val="00993202"/>
    <w:rsid w:val="00993CA2"/>
    <w:rsid w:val="00994402"/>
    <w:rsid w:val="00994AD2"/>
    <w:rsid w:val="009954A9"/>
    <w:rsid w:val="00997DE8"/>
    <w:rsid w:val="009A05CB"/>
    <w:rsid w:val="009A07D5"/>
    <w:rsid w:val="009A0ED3"/>
    <w:rsid w:val="009A2EC8"/>
    <w:rsid w:val="009A35F5"/>
    <w:rsid w:val="009B20EA"/>
    <w:rsid w:val="009B4395"/>
    <w:rsid w:val="009B4AF8"/>
    <w:rsid w:val="009B53EA"/>
    <w:rsid w:val="009B7BCD"/>
    <w:rsid w:val="009C0A26"/>
    <w:rsid w:val="009C278E"/>
    <w:rsid w:val="009C35EA"/>
    <w:rsid w:val="009C639F"/>
    <w:rsid w:val="009D007A"/>
    <w:rsid w:val="009D4513"/>
    <w:rsid w:val="009E05B8"/>
    <w:rsid w:val="009E1668"/>
    <w:rsid w:val="009E22D3"/>
    <w:rsid w:val="009E3FC2"/>
    <w:rsid w:val="009E41B5"/>
    <w:rsid w:val="009E4484"/>
    <w:rsid w:val="009E5497"/>
    <w:rsid w:val="009E6155"/>
    <w:rsid w:val="009F0E32"/>
    <w:rsid w:val="009F122A"/>
    <w:rsid w:val="009F1F06"/>
    <w:rsid w:val="009F23C4"/>
    <w:rsid w:val="009F2F55"/>
    <w:rsid w:val="009F3932"/>
    <w:rsid w:val="009F64FD"/>
    <w:rsid w:val="009F71BD"/>
    <w:rsid w:val="009F749F"/>
    <w:rsid w:val="009F7C6E"/>
    <w:rsid w:val="009F7D54"/>
    <w:rsid w:val="00A019F5"/>
    <w:rsid w:val="00A02BE7"/>
    <w:rsid w:val="00A02CBE"/>
    <w:rsid w:val="00A05203"/>
    <w:rsid w:val="00A07E50"/>
    <w:rsid w:val="00A1006E"/>
    <w:rsid w:val="00A104B9"/>
    <w:rsid w:val="00A10771"/>
    <w:rsid w:val="00A11753"/>
    <w:rsid w:val="00A122F6"/>
    <w:rsid w:val="00A12C17"/>
    <w:rsid w:val="00A12C54"/>
    <w:rsid w:val="00A13715"/>
    <w:rsid w:val="00A15B6B"/>
    <w:rsid w:val="00A15E5C"/>
    <w:rsid w:val="00A17C95"/>
    <w:rsid w:val="00A21467"/>
    <w:rsid w:val="00A2333D"/>
    <w:rsid w:val="00A23373"/>
    <w:rsid w:val="00A25E79"/>
    <w:rsid w:val="00A26B4E"/>
    <w:rsid w:val="00A26D8E"/>
    <w:rsid w:val="00A2776E"/>
    <w:rsid w:val="00A3196E"/>
    <w:rsid w:val="00A32C71"/>
    <w:rsid w:val="00A3319F"/>
    <w:rsid w:val="00A359BC"/>
    <w:rsid w:val="00A36544"/>
    <w:rsid w:val="00A37C7A"/>
    <w:rsid w:val="00A42552"/>
    <w:rsid w:val="00A42D3F"/>
    <w:rsid w:val="00A43164"/>
    <w:rsid w:val="00A47FBF"/>
    <w:rsid w:val="00A503C6"/>
    <w:rsid w:val="00A510E3"/>
    <w:rsid w:val="00A51CA5"/>
    <w:rsid w:val="00A53355"/>
    <w:rsid w:val="00A53634"/>
    <w:rsid w:val="00A53D5D"/>
    <w:rsid w:val="00A55CF9"/>
    <w:rsid w:val="00A55D2E"/>
    <w:rsid w:val="00A576BF"/>
    <w:rsid w:val="00A57AD0"/>
    <w:rsid w:val="00A57D60"/>
    <w:rsid w:val="00A60249"/>
    <w:rsid w:val="00A604AB"/>
    <w:rsid w:val="00A620ED"/>
    <w:rsid w:val="00A630FF"/>
    <w:rsid w:val="00A64E64"/>
    <w:rsid w:val="00A66314"/>
    <w:rsid w:val="00A66CF9"/>
    <w:rsid w:val="00A671E1"/>
    <w:rsid w:val="00A707A7"/>
    <w:rsid w:val="00A71559"/>
    <w:rsid w:val="00A71E96"/>
    <w:rsid w:val="00A725FB"/>
    <w:rsid w:val="00A73F3F"/>
    <w:rsid w:val="00A74ACD"/>
    <w:rsid w:val="00A74DFF"/>
    <w:rsid w:val="00A76CBE"/>
    <w:rsid w:val="00A7751F"/>
    <w:rsid w:val="00A777B5"/>
    <w:rsid w:val="00A80474"/>
    <w:rsid w:val="00A80E9B"/>
    <w:rsid w:val="00A856AA"/>
    <w:rsid w:val="00A85B8E"/>
    <w:rsid w:val="00A87BB1"/>
    <w:rsid w:val="00A90E2B"/>
    <w:rsid w:val="00A92219"/>
    <w:rsid w:val="00A93510"/>
    <w:rsid w:val="00A93ABE"/>
    <w:rsid w:val="00A94863"/>
    <w:rsid w:val="00A94D9E"/>
    <w:rsid w:val="00A96CFA"/>
    <w:rsid w:val="00A970F4"/>
    <w:rsid w:val="00AC27B4"/>
    <w:rsid w:val="00AC4FAA"/>
    <w:rsid w:val="00AC549C"/>
    <w:rsid w:val="00AC628F"/>
    <w:rsid w:val="00AC671F"/>
    <w:rsid w:val="00AC7F83"/>
    <w:rsid w:val="00AD08FE"/>
    <w:rsid w:val="00AD25D4"/>
    <w:rsid w:val="00AD28E3"/>
    <w:rsid w:val="00AD6E45"/>
    <w:rsid w:val="00AD76D2"/>
    <w:rsid w:val="00AD7B6B"/>
    <w:rsid w:val="00AE1EED"/>
    <w:rsid w:val="00AE219D"/>
    <w:rsid w:val="00AE2727"/>
    <w:rsid w:val="00AE278E"/>
    <w:rsid w:val="00AE66B9"/>
    <w:rsid w:val="00AE6980"/>
    <w:rsid w:val="00AE7278"/>
    <w:rsid w:val="00AF5955"/>
    <w:rsid w:val="00AF6500"/>
    <w:rsid w:val="00AF6976"/>
    <w:rsid w:val="00AF6B81"/>
    <w:rsid w:val="00AF6BB7"/>
    <w:rsid w:val="00AF6CF1"/>
    <w:rsid w:val="00B003AA"/>
    <w:rsid w:val="00B00BBB"/>
    <w:rsid w:val="00B01AAF"/>
    <w:rsid w:val="00B025C4"/>
    <w:rsid w:val="00B05276"/>
    <w:rsid w:val="00B05A72"/>
    <w:rsid w:val="00B0705E"/>
    <w:rsid w:val="00B07340"/>
    <w:rsid w:val="00B07644"/>
    <w:rsid w:val="00B1002B"/>
    <w:rsid w:val="00B1240C"/>
    <w:rsid w:val="00B12BF3"/>
    <w:rsid w:val="00B1317D"/>
    <w:rsid w:val="00B13BED"/>
    <w:rsid w:val="00B14DC0"/>
    <w:rsid w:val="00B16706"/>
    <w:rsid w:val="00B1715C"/>
    <w:rsid w:val="00B21E51"/>
    <w:rsid w:val="00B23C3C"/>
    <w:rsid w:val="00B23D0F"/>
    <w:rsid w:val="00B23F75"/>
    <w:rsid w:val="00B24538"/>
    <w:rsid w:val="00B24F3B"/>
    <w:rsid w:val="00B25E6C"/>
    <w:rsid w:val="00B26287"/>
    <w:rsid w:val="00B26C70"/>
    <w:rsid w:val="00B27BB1"/>
    <w:rsid w:val="00B27D81"/>
    <w:rsid w:val="00B27EC5"/>
    <w:rsid w:val="00B30787"/>
    <w:rsid w:val="00B31D33"/>
    <w:rsid w:val="00B33509"/>
    <w:rsid w:val="00B33B38"/>
    <w:rsid w:val="00B33D12"/>
    <w:rsid w:val="00B36919"/>
    <w:rsid w:val="00B3705D"/>
    <w:rsid w:val="00B37150"/>
    <w:rsid w:val="00B37D82"/>
    <w:rsid w:val="00B40218"/>
    <w:rsid w:val="00B40B2D"/>
    <w:rsid w:val="00B41414"/>
    <w:rsid w:val="00B424E7"/>
    <w:rsid w:val="00B43B9A"/>
    <w:rsid w:val="00B455D5"/>
    <w:rsid w:val="00B4656A"/>
    <w:rsid w:val="00B545FC"/>
    <w:rsid w:val="00B54E14"/>
    <w:rsid w:val="00B5576E"/>
    <w:rsid w:val="00B56276"/>
    <w:rsid w:val="00B6209C"/>
    <w:rsid w:val="00B621CE"/>
    <w:rsid w:val="00B62EA3"/>
    <w:rsid w:val="00B63592"/>
    <w:rsid w:val="00B63EC3"/>
    <w:rsid w:val="00B644F7"/>
    <w:rsid w:val="00B71926"/>
    <w:rsid w:val="00B7485E"/>
    <w:rsid w:val="00B80FB1"/>
    <w:rsid w:val="00B838BD"/>
    <w:rsid w:val="00B876C5"/>
    <w:rsid w:val="00B94485"/>
    <w:rsid w:val="00B976DC"/>
    <w:rsid w:val="00B977C6"/>
    <w:rsid w:val="00BA2D38"/>
    <w:rsid w:val="00BA37CC"/>
    <w:rsid w:val="00BA39BF"/>
    <w:rsid w:val="00BA4281"/>
    <w:rsid w:val="00BA447E"/>
    <w:rsid w:val="00BA57CE"/>
    <w:rsid w:val="00BA64CC"/>
    <w:rsid w:val="00BA6676"/>
    <w:rsid w:val="00BA7529"/>
    <w:rsid w:val="00BB0C14"/>
    <w:rsid w:val="00BB3FD2"/>
    <w:rsid w:val="00BB56D1"/>
    <w:rsid w:val="00BB5F53"/>
    <w:rsid w:val="00BB6D1C"/>
    <w:rsid w:val="00BB7D9B"/>
    <w:rsid w:val="00BB7DE5"/>
    <w:rsid w:val="00BC1105"/>
    <w:rsid w:val="00BC2DEC"/>
    <w:rsid w:val="00BC4736"/>
    <w:rsid w:val="00BC743A"/>
    <w:rsid w:val="00BD046A"/>
    <w:rsid w:val="00BD187D"/>
    <w:rsid w:val="00BD2ADF"/>
    <w:rsid w:val="00BD51CA"/>
    <w:rsid w:val="00BD5BE9"/>
    <w:rsid w:val="00BD5C62"/>
    <w:rsid w:val="00BD61F2"/>
    <w:rsid w:val="00BE04F0"/>
    <w:rsid w:val="00BE1D22"/>
    <w:rsid w:val="00BE1D8B"/>
    <w:rsid w:val="00BE3AD0"/>
    <w:rsid w:val="00BE4D3D"/>
    <w:rsid w:val="00BE5C40"/>
    <w:rsid w:val="00BE6D2A"/>
    <w:rsid w:val="00BE7187"/>
    <w:rsid w:val="00BF057E"/>
    <w:rsid w:val="00BF549C"/>
    <w:rsid w:val="00C00734"/>
    <w:rsid w:val="00C00B2C"/>
    <w:rsid w:val="00C01B7C"/>
    <w:rsid w:val="00C022DC"/>
    <w:rsid w:val="00C03CFE"/>
    <w:rsid w:val="00C043CD"/>
    <w:rsid w:val="00C04709"/>
    <w:rsid w:val="00C04DA1"/>
    <w:rsid w:val="00C0666A"/>
    <w:rsid w:val="00C06AF5"/>
    <w:rsid w:val="00C0712B"/>
    <w:rsid w:val="00C11C42"/>
    <w:rsid w:val="00C1459A"/>
    <w:rsid w:val="00C16A75"/>
    <w:rsid w:val="00C17EB5"/>
    <w:rsid w:val="00C227F0"/>
    <w:rsid w:val="00C25ADB"/>
    <w:rsid w:val="00C260E4"/>
    <w:rsid w:val="00C27D15"/>
    <w:rsid w:val="00C30363"/>
    <w:rsid w:val="00C308F5"/>
    <w:rsid w:val="00C30E92"/>
    <w:rsid w:val="00C32CC4"/>
    <w:rsid w:val="00C32F3E"/>
    <w:rsid w:val="00C357DC"/>
    <w:rsid w:val="00C35BC6"/>
    <w:rsid w:val="00C36427"/>
    <w:rsid w:val="00C364A0"/>
    <w:rsid w:val="00C37DBA"/>
    <w:rsid w:val="00C40816"/>
    <w:rsid w:val="00C40FD6"/>
    <w:rsid w:val="00C41F02"/>
    <w:rsid w:val="00C422DB"/>
    <w:rsid w:val="00C4538A"/>
    <w:rsid w:val="00C46570"/>
    <w:rsid w:val="00C515DD"/>
    <w:rsid w:val="00C52351"/>
    <w:rsid w:val="00C532C0"/>
    <w:rsid w:val="00C5424E"/>
    <w:rsid w:val="00C56460"/>
    <w:rsid w:val="00C56562"/>
    <w:rsid w:val="00C57A06"/>
    <w:rsid w:val="00C628AA"/>
    <w:rsid w:val="00C64FB8"/>
    <w:rsid w:val="00C65B9B"/>
    <w:rsid w:val="00C708B7"/>
    <w:rsid w:val="00C711CF"/>
    <w:rsid w:val="00C72E32"/>
    <w:rsid w:val="00C732EF"/>
    <w:rsid w:val="00C73471"/>
    <w:rsid w:val="00C735E6"/>
    <w:rsid w:val="00C742D0"/>
    <w:rsid w:val="00C74876"/>
    <w:rsid w:val="00C74A35"/>
    <w:rsid w:val="00C757D0"/>
    <w:rsid w:val="00C77026"/>
    <w:rsid w:val="00C80A52"/>
    <w:rsid w:val="00C8117B"/>
    <w:rsid w:val="00C81B6B"/>
    <w:rsid w:val="00C83359"/>
    <w:rsid w:val="00C83C33"/>
    <w:rsid w:val="00C872C9"/>
    <w:rsid w:val="00C90C4A"/>
    <w:rsid w:val="00C90CE6"/>
    <w:rsid w:val="00C9123A"/>
    <w:rsid w:val="00C9171F"/>
    <w:rsid w:val="00C919DF"/>
    <w:rsid w:val="00C91B7C"/>
    <w:rsid w:val="00C9773C"/>
    <w:rsid w:val="00C97764"/>
    <w:rsid w:val="00CA1B26"/>
    <w:rsid w:val="00CA3FC4"/>
    <w:rsid w:val="00CA545A"/>
    <w:rsid w:val="00CA6C03"/>
    <w:rsid w:val="00CB04CD"/>
    <w:rsid w:val="00CB0CBF"/>
    <w:rsid w:val="00CB25E8"/>
    <w:rsid w:val="00CB29F0"/>
    <w:rsid w:val="00CC1F5F"/>
    <w:rsid w:val="00CC4097"/>
    <w:rsid w:val="00CC470C"/>
    <w:rsid w:val="00CC4FCC"/>
    <w:rsid w:val="00CC5F49"/>
    <w:rsid w:val="00CC7299"/>
    <w:rsid w:val="00CD0C28"/>
    <w:rsid w:val="00CD3DB4"/>
    <w:rsid w:val="00CD3E34"/>
    <w:rsid w:val="00CD4352"/>
    <w:rsid w:val="00CD567F"/>
    <w:rsid w:val="00CD67A6"/>
    <w:rsid w:val="00CE2450"/>
    <w:rsid w:val="00CE2C59"/>
    <w:rsid w:val="00CE36C5"/>
    <w:rsid w:val="00CE44C0"/>
    <w:rsid w:val="00CE457B"/>
    <w:rsid w:val="00CE4EE3"/>
    <w:rsid w:val="00CE6788"/>
    <w:rsid w:val="00CE7D15"/>
    <w:rsid w:val="00CE7EF0"/>
    <w:rsid w:val="00CF1687"/>
    <w:rsid w:val="00CF1FC5"/>
    <w:rsid w:val="00CF209C"/>
    <w:rsid w:val="00CF5006"/>
    <w:rsid w:val="00CF6380"/>
    <w:rsid w:val="00D01DE7"/>
    <w:rsid w:val="00D02D0B"/>
    <w:rsid w:val="00D03057"/>
    <w:rsid w:val="00D03DFD"/>
    <w:rsid w:val="00D04253"/>
    <w:rsid w:val="00D042F7"/>
    <w:rsid w:val="00D058E8"/>
    <w:rsid w:val="00D05AF5"/>
    <w:rsid w:val="00D06BB7"/>
    <w:rsid w:val="00D07D49"/>
    <w:rsid w:val="00D152FE"/>
    <w:rsid w:val="00D15733"/>
    <w:rsid w:val="00D17614"/>
    <w:rsid w:val="00D179B7"/>
    <w:rsid w:val="00D20B42"/>
    <w:rsid w:val="00D22884"/>
    <w:rsid w:val="00D238AE"/>
    <w:rsid w:val="00D23B62"/>
    <w:rsid w:val="00D25E34"/>
    <w:rsid w:val="00D2686E"/>
    <w:rsid w:val="00D27032"/>
    <w:rsid w:val="00D302E0"/>
    <w:rsid w:val="00D3056D"/>
    <w:rsid w:val="00D30840"/>
    <w:rsid w:val="00D3222E"/>
    <w:rsid w:val="00D3326A"/>
    <w:rsid w:val="00D333C8"/>
    <w:rsid w:val="00D35256"/>
    <w:rsid w:val="00D35499"/>
    <w:rsid w:val="00D36100"/>
    <w:rsid w:val="00D4175B"/>
    <w:rsid w:val="00D42092"/>
    <w:rsid w:val="00D420C9"/>
    <w:rsid w:val="00D42308"/>
    <w:rsid w:val="00D42A27"/>
    <w:rsid w:val="00D439D6"/>
    <w:rsid w:val="00D45612"/>
    <w:rsid w:val="00D45DAC"/>
    <w:rsid w:val="00D46B39"/>
    <w:rsid w:val="00D475C7"/>
    <w:rsid w:val="00D51F69"/>
    <w:rsid w:val="00D53954"/>
    <w:rsid w:val="00D57206"/>
    <w:rsid w:val="00D63A1A"/>
    <w:rsid w:val="00D6454B"/>
    <w:rsid w:val="00D65A15"/>
    <w:rsid w:val="00D668AF"/>
    <w:rsid w:val="00D7005C"/>
    <w:rsid w:val="00D71560"/>
    <w:rsid w:val="00D71688"/>
    <w:rsid w:val="00D72381"/>
    <w:rsid w:val="00D7306A"/>
    <w:rsid w:val="00D73DE9"/>
    <w:rsid w:val="00D743CB"/>
    <w:rsid w:val="00D74493"/>
    <w:rsid w:val="00D76CD0"/>
    <w:rsid w:val="00D76EE6"/>
    <w:rsid w:val="00D77758"/>
    <w:rsid w:val="00D80504"/>
    <w:rsid w:val="00D82D18"/>
    <w:rsid w:val="00D82D34"/>
    <w:rsid w:val="00D82DF5"/>
    <w:rsid w:val="00D83E03"/>
    <w:rsid w:val="00D84930"/>
    <w:rsid w:val="00D90921"/>
    <w:rsid w:val="00D939B9"/>
    <w:rsid w:val="00D97B02"/>
    <w:rsid w:val="00DA01AF"/>
    <w:rsid w:val="00DA0F57"/>
    <w:rsid w:val="00DA44D5"/>
    <w:rsid w:val="00DA45FA"/>
    <w:rsid w:val="00DA7FD7"/>
    <w:rsid w:val="00DB3BFD"/>
    <w:rsid w:val="00DB53CB"/>
    <w:rsid w:val="00DB5DA3"/>
    <w:rsid w:val="00DB6773"/>
    <w:rsid w:val="00DB69E4"/>
    <w:rsid w:val="00DB6B43"/>
    <w:rsid w:val="00DB76CA"/>
    <w:rsid w:val="00DB7D3F"/>
    <w:rsid w:val="00DC008E"/>
    <w:rsid w:val="00DC08A2"/>
    <w:rsid w:val="00DC18DB"/>
    <w:rsid w:val="00DC232A"/>
    <w:rsid w:val="00DC555B"/>
    <w:rsid w:val="00DC58C9"/>
    <w:rsid w:val="00DC59FF"/>
    <w:rsid w:val="00DC6042"/>
    <w:rsid w:val="00DC6C76"/>
    <w:rsid w:val="00DD03E4"/>
    <w:rsid w:val="00DD0808"/>
    <w:rsid w:val="00DD0C0F"/>
    <w:rsid w:val="00DD14E2"/>
    <w:rsid w:val="00DD1B4B"/>
    <w:rsid w:val="00DD2DF0"/>
    <w:rsid w:val="00DD3D04"/>
    <w:rsid w:val="00DD406F"/>
    <w:rsid w:val="00DD6287"/>
    <w:rsid w:val="00DD7B7F"/>
    <w:rsid w:val="00DE028B"/>
    <w:rsid w:val="00DE2241"/>
    <w:rsid w:val="00DE3740"/>
    <w:rsid w:val="00DE3DCF"/>
    <w:rsid w:val="00DF0305"/>
    <w:rsid w:val="00DF0473"/>
    <w:rsid w:val="00DF3760"/>
    <w:rsid w:val="00DF4B3A"/>
    <w:rsid w:val="00DF5BD0"/>
    <w:rsid w:val="00DF651E"/>
    <w:rsid w:val="00E01165"/>
    <w:rsid w:val="00E01612"/>
    <w:rsid w:val="00E03450"/>
    <w:rsid w:val="00E04689"/>
    <w:rsid w:val="00E06AF9"/>
    <w:rsid w:val="00E10126"/>
    <w:rsid w:val="00E1054E"/>
    <w:rsid w:val="00E10E76"/>
    <w:rsid w:val="00E11355"/>
    <w:rsid w:val="00E11905"/>
    <w:rsid w:val="00E12A6B"/>
    <w:rsid w:val="00E13DC6"/>
    <w:rsid w:val="00E168D4"/>
    <w:rsid w:val="00E17DF3"/>
    <w:rsid w:val="00E246E9"/>
    <w:rsid w:val="00E24B6D"/>
    <w:rsid w:val="00E24C7B"/>
    <w:rsid w:val="00E25710"/>
    <w:rsid w:val="00E26C4B"/>
    <w:rsid w:val="00E27931"/>
    <w:rsid w:val="00E31117"/>
    <w:rsid w:val="00E31938"/>
    <w:rsid w:val="00E320AA"/>
    <w:rsid w:val="00E333F2"/>
    <w:rsid w:val="00E33AFD"/>
    <w:rsid w:val="00E3491C"/>
    <w:rsid w:val="00E349F4"/>
    <w:rsid w:val="00E35802"/>
    <w:rsid w:val="00E35B16"/>
    <w:rsid w:val="00E40CC4"/>
    <w:rsid w:val="00E41D01"/>
    <w:rsid w:val="00E423AB"/>
    <w:rsid w:val="00E44EDE"/>
    <w:rsid w:val="00E4581D"/>
    <w:rsid w:val="00E46421"/>
    <w:rsid w:val="00E465BA"/>
    <w:rsid w:val="00E47AEC"/>
    <w:rsid w:val="00E51A51"/>
    <w:rsid w:val="00E52B55"/>
    <w:rsid w:val="00E54F94"/>
    <w:rsid w:val="00E55B0C"/>
    <w:rsid w:val="00E60A65"/>
    <w:rsid w:val="00E613F3"/>
    <w:rsid w:val="00E62284"/>
    <w:rsid w:val="00E622B8"/>
    <w:rsid w:val="00E6344C"/>
    <w:rsid w:val="00E639CA"/>
    <w:rsid w:val="00E63ED4"/>
    <w:rsid w:val="00E63F93"/>
    <w:rsid w:val="00E6538D"/>
    <w:rsid w:val="00E71307"/>
    <w:rsid w:val="00E71ACC"/>
    <w:rsid w:val="00E73F95"/>
    <w:rsid w:val="00E744C6"/>
    <w:rsid w:val="00E745B4"/>
    <w:rsid w:val="00E809E7"/>
    <w:rsid w:val="00E81DFB"/>
    <w:rsid w:val="00E82283"/>
    <w:rsid w:val="00E8356B"/>
    <w:rsid w:val="00E83E17"/>
    <w:rsid w:val="00E845DB"/>
    <w:rsid w:val="00E855A6"/>
    <w:rsid w:val="00E86EAB"/>
    <w:rsid w:val="00E90282"/>
    <w:rsid w:val="00E91487"/>
    <w:rsid w:val="00E96690"/>
    <w:rsid w:val="00EA009B"/>
    <w:rsid w:val="00EA07C8"/>
    <w:rsid w:val="00EA1416"/>
    <w:rsid w:val="00EA2F6A"/>
    <w:rsid w:val="00EA732F"/>
    <w:rsid w:val="00EA75C2"/>
    <w:rsid w:val="00EA7D1B"/>
    <w:rsid w:val="00EB1259"/>
    <w:rsid w:val="00EB1B40"/>
    <w:rsid w:val="00EB2B0E"/>
    <w:rsid w:val="00EB4280"/>
    <w:rsid w:val="00EB5538"/>
    <w:rsid w:val="00EB55FA"/>
    <w:rsid w:val="00EB5693"/>
    <w:rsid w:val="00EB5F26"/>
    <w:rsid w:val="00EB664F"/>
    <w:rsid w:val="00EB77C2"/>
    <w:rsid w:val="00EC1C62"/>
    <w:rsid w:val="00EC3FA0"/>
    <w:rsid w:val="00EC43B1"/>
    <w:rsid w:val="00EC4F3F"/>
    <w:rsid w:val="00EC6398"/>
    <w:rsid w:val="00EC6C04"/>
    <w:rsid w:val="00ED1146"/>
    <w:rsid w:val="00ED17FC"/>
    <w:rsid w:val="00ED4B61"/>
    <w:rsid w:val="00ED64B9"/>
    <w:rsid w:val="00ED7B09"/>
    <w:rsid w:val="00EE05D9"/>
    <w:rsid w:val="00EE06FA"/>
    <w:rsid w:val="00EE106B"/>
    <w:rsid w:val="00EE161C"/>
    <w:rsid w:val="00EE1A34"/>
    <w:rsid w:val="00EE4FCF"/>
    <w:rsid w:val="00EE51A2"/>
    <w:rsid w:val="00EE565F"/>
    <w:rsid w:val="00EE6AF6"/>
    <w:rsid w:val="00EE7DA2"/>
    <w:rsid w:val="00EF0751"/>
    <w:rsid w:val="00EF0C0B"/>
    <w:rsid w:val="00EF1903"/>
    <w:rsid w:val="00EF1A10"/>
    <w:rsid w:val="00EF2CC5"/>
    <w:rsid w:val="00EF3F33"/>
    <w:rsid w:val="00EF65AE"/>
    <w:rsid w:val="00F00900"/>
    <w:rsid w:val="00F05E48"/>
    <w:rsid w:val="00F06CF6"/>
    <w:rsid w:val="00F07ABC"/>
    <w:rsid w:val="00F1014E"/>
    <w:rsid w:val="00F104B0"/>
    <w:rsid w:val="00F10551"/>
    <w:rsid w:val="00F10FD0"/>
    <w:rsid w:val="00F12481"/>
    <w:rsid w:val="00F133F0"/>
    <w:rsid w:val="00F13AAF"/>
    <w:rsid w:val="00F14471"/>
    <w:rsid w:val="00F14D2C"/>
    <w:rsid w:val="00F1594B"/>
    <w:rsid w:val="00F16608"/>
    <w:rsid w:val="00F168FF"/>
    <w:rsid w:val="00F17448"/>
    <w:rsid w:val="00F21F89"/>
    <w:rsid w:val="00F2360C"/>
    <w:rsid w:val="00F24134"/>
    <w:rsid w:val="00F24783"/>
    <w:rsid w:val="00F24B6D"/>
    <w:rsid w:val="00F2714B"/>
    <w:rsid w:val="00F3050E"/>
    <w:rsid w:val="00F3577F"/>
    <w:rsid w:val="00F357ED"/>
    <w:rsid w:val="00F35AD0"/>
    <w:rsid w:val="00F37571"/>
    <w:rsid w:val="00F4032C"/>
    <w:rsid w:val="00F40A12"/>
    <w:rsid w:val="00F40D2F"/>
    <w:rsid w:val="00F414D0"/>
    <w:rsid w:val="00F41D94"/>
    <w:rsid w:val="00F42DA9"/>
    <w:rsid w:val="00F43732"/>
    <w:rsid w:val="00F45D2B"/>
    <w:rsid w:val="00F47921"/>
    <w:rsid w:val="00F5005D"/>
    <w:rsid w:val="00F50C42"/>
    <w:rsid w:val="00F53185"/>
    <w:rsid w:val="00F53D82"/>
    <w:rsid w:val="00F54A43"/>
    <w:rsid w:val="00F55C44"/>
    <w:rsid w:val="00F5727B"/>
    <w:rsid w:val="00F6022B"/>
    <w:rsid w:val="00F608D1"/>
    <w:rsid w:val="00F610DF"/>
    <w:rsid w:val="00F61D42"/>
    <w:rsid w:val="00F61E6C"/>
    <w:rsid w:val="00F6285E"/>
    <w:rsid w:val="00F64553"/>
    <w:rsid w:val="00F647D1"/>
    <w:rsid w:val="00F64B5D"/>
    <w:rsid w:val="00F65154"/>
    <w:rsid w:val="00F6618E"/>
    <w:rsid w:val="00F66E2B"/>
    <w:rsid w:val="00F71D49"/>
    <w:rsid w:val="00F74387"/>
    <w:rsid w:val="00F74A8A"/>
    <w:rsid w:val="00F756FB"/>
    <w:rsid w:val="00F81FE6"/>
    <w:rsid w:val="00F838F3"/>
    <w:rsid w:val="00F83AD8"/>
    <w:rsid w:val="00F842A9"/>
    <w:rsid w:val="00F90B31"/>
    <w:rsid w:val="00F91784"/>
    <w:rsid w:val="00F9210F"/>
    <w:rsid w:val="00F93F39"/>
    <w:rsid w:val="00F95782"/>
    <w:rsid w:val="00F9647B"/>
    <w:rsid w:val="00F96CDD"/>
    <w:rsid w:val="00F978F2"/>
    <w:rsid w:val="00FA047F"/>
    <w:rsid w:val="00FA0916"/>
    <w:rsid w:val="00FA1E55"/>
    <w:rsid w:val="00FA298B"/>
    <w:rsid w:val="00FA33F5"/>
    <w:rsid w:val="00FA3628"/>
    <w:rsid w:val="00FA3D29"/>
    <w:rsid w:val="00FA3FF5"/>
    <w:rsid w:val="00FA4334"/>
    <w:rsid w:val="00FA586C"/>
    <w:rsid w:val="00FA61BB"/>
    <w:rsid w:val="00FA6BD0"/>
    <w:rsid w:val="00FA6EA4"/>
    <w:rsid w:val="00FA7D16"/>
    <w:rsid w:val="00FB0597"/>
    <w:rsid w:val="00FB33D6"/>
    <w:rsid w:val="00FB4AE3"/>
    <w:rsid w:val="00FB7A3C"/>
    <w:rsid w:val="00FC0A8D"/>
    <w:rsid w:val="00FC1DB5"/>
    <w:rsid w:val="00FC320E"/>
    <w:rsid w:val="00FC34B8"/>
    <w:rsid w:val="00FC7C4B"/>
    <w:rsid w:val="00FD17DC"/>
    <w:rsid w:val="00FD1F66"/>
    <w:rsid w:val="00FD2125"/>
    <w:rsid w:val="00FD36CC"/>
    <w:rsid w:val="00FD3A45"/>
    <w:rsid w:val="00FD3C79"/>
    <w:rsid w:val="00FD3F21"/>
    <w:rsid w:val="00FD4390"/>
    <w:rsid w:val="00FD47E5"/>
    <w:rsid w:val="00FD5D71"/>
    <w:rsid w:val="00FD6B1D"/>
    <w:rsid w:val="00FD6D05"/>
    <w:rsid w:val="00FD7864"/>
    <w:rsid w:val="00FD7CB5"/>
    <w:rsid w:val="00FE65ED"/>
    <w:rsid w:val="00FF1566"/>
    <w:rsid w:val="00FF183B"/>
    <w:rsid w:val="00FF23E1"/>
    <w:rsid w:val="00FF272C"/>
    <w:rsid w:val="00FF3029"/>
    <w:rsid w:val="00FF64E7"/>
    <w:rsid w:val="00FF6ED8"/>
    <w:rsid w:val="00FF7B03"/>
    <w:rsid w:val="00FF7E90"/>
    <w:rsid w:val="01268FBB"/>
    <w:rsid w:val="022D8E49"/>
    <w:rsid w:val="02E37D8A"/>
    <w:rsid w:val="0335B04F"/>
    <w:rsid w:val="071C80C6"/>
    <w:rsid w:val="07356E24"/>
    <w:rsid w:val="086FE350"/>
    <w:rsid w:val="09C3EA31"/>
    <w:rsid w:val="0AD702BF"/>
    <w:rsid w:val="0F4889AF"/>
    <w:rsid w:val="11A1DBCD"/>
    <w:rsid w:val="12461A8B"/>
    <w:rsid w:val="1269651A"/>
    <w:rsid w:val="143CA107"/>
    <w:rsid w:val="172804F9"/>
    <w:rsid w:val="18042E00"/>
    <w:rsid w:val="18371A5D"/>
    <w:rsid w:val="18A84485"/>
    <w:rsid w:val="192C00BD"/>
    <w:rsid w:val="1A4F92FE"/>
    <w:rsid w:val="1C1111A9"/>
    <w:rsid w:val="1CB08C4F"/>
    <w:rsid w:val="1CC19071"/>
    <w:rsid w:val="1DC54445"/>
    <w:rsid w:val="2098B9A0"/>
    <w:rsid w:val="228436AA"/>
    <w:rsid w:val="22B9B442"/>
    <w:rsid w:val="2353269C"/>
    <w:rsid w:val="243F5E6F"/>
    <w:rsid w:val="25916264"/>
    <w:rsid w:val="28BB0B2C"/>
    <w:rsid w:val="297F3FF8"/>
    <w:rsid w:val="2A2A9789"/>
    <w:rsid w:val="2A7DD068"/>
    <w:rsid w:val="2ACA485D"/>
    <w:rsid w:val="2F99BAFC"/>
    <w:rsid w:val="33DA7763"/>
    <w:rsid w:val="347C03A4"/>
    <w:rsid w:val="379A99E4"/>
    <w:rsid w:val="37CA90A5"/>
    <w:rsid w:val="3E3F457F"/>
    <w:rsid w:val="3F6327B0"/>
    <w:rsid w:val="40079EB1"/>
    <w:rsid w:val="401479BC"/>
    <w:rsid w:val="435072AD"/>
    <w:rsid w:val="437E8E5E"/>
    <w:rsid w:val="44906FD7"/>
    <w:rsid w:val="458E2686"/>
    <w:rsid w:val="45AA584D"/>
    <w:rsid w:val="4624AC5B"/>
    <w:rsid w:val="46750F59"/>
    <w:rsid w:val="46ADC280"/>
    <w:rsid w:val="470132BA"/>
    <w:rsid w:val="48DAE165"/>
    <w:rsid w:val="4B2181BB"/>
    <w:rsid w:val="4C63E2F8"/>
    <w:rsid w:val="4CF5C8F9"/>
    <w:rsid w:val="4D9C7A52"/>
    <w:rsid w:val="4DB69EC4"/>
    <w:rsid w:val="4DC29A5B"/>
    <w:rsid w:val="4E8EFF5E"/>
    <w:rsid w:val="4E9CCD38"/>
    <w:rsid w:val="4EB0D0EB"/>
    <w:rsid w:val="4F911F60"/>
    <w:rsid w:val="51C8CE8B"/>
    <w:rsid w:val="54B6F27A"/>
    <w:rsid w:val="58A7D1C5"/>
    <w:rsid w:val="5A6C4A78"/>
    <w:rsid w:val="5CC60A97"/>
    <w:rsid w:val="5E710CAF"/>
    <w:rsid w:val="5F6FEC89"/>
    <w:rsid w:val="612E992E"/>
    <w:rsid w:val="64EAD82F"/>
    <w:rsid w:val="66122146"/>
    <w:rsid w:val="6752547D"/>
    <w:rsid w:val="6832F3DF"/>
    <w:rsid w:val="6AED0FB5"/>
    <w:rsid w:val="6CADBE3C"/>
    <w:rsid w:val="6E7945DB"/>
    <w:rsid w:val="7087519C"/>
    <w:rsid w:val="72B8D08B"/>
    <w:rsid w:val="74269111"/>
    <w:rsid w:val="7522C37B"/>
    <w:rsid w:val="7645A6B6"/>
    <w:rsid w:val="767164BE"/>
    <w:rsid w:val="767BF10F"/>
    <w:rsid w:val="76A59F2F"/>
    <w:rsid w:val="792AD2E1"/>
    <w:rsid w:val="79E6A75C"/>
    <w:rsid w:val="79E7F9C4"/>
    <w:rsid w:val="7CDF400A"/>
    <w:rsid w:val="7D95ECA6"/>
    <w:rsid w:val="7D98C5B8"/>
    <w:rsid w:val="7FDBA2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E1FCDD"/>
  <w15:docId w15:val="{7E8E9EF7-56DB-4EF3-B800-6A85F5F1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46"/>
      <w:outlineLvl w:val="0"/>
    </w:pPr>
    <w:rPr>
      <w:rFonts w:ascii="Times New Roman" w:eastAsia="Times New Roman" w:hAnsi="Times New Roman" w:cs="Times New Roman"/>
      <w:b/>
      <w:color w:val="000000"/>
      <w:sz w:val="26"/>
    </w:rPr>
  </w:style>
  <w:style w:type="paragraph" w:styleId="Heading2">
    <w:name w:val="heading 2"/>
    <w:next w:val="Normal"/>
    <w:link w:val="Heading2Char"/>
    <w:uiPriority w:val="9"/>
    <w:unhideWhenUsed/>
    <w:qFormat/>
    <w:pPr>
      <w:keepNext/>
      <w:keepLines/>
      <w:spacing w:after="228" w:line="249" w:lineRule="auto"/>
      <w:ind w:left="1899" w:hanging="10"/>
      <w:jc w:val="both"/>
      <w:outlineLvl w:val="1"/>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6"/>
    </w:rPr>
  </w:style>
  <w:style w:type="paragraph" w:customStyle="1" w:styleId="footnotedescription">
    <w:name w:val="footnote description"/>
    <w:next w:val="Normal"/>
    <w:link w:val="footnotedescriptionChar"/>
    <w:hidden/>
    <w:pPr>
      <w:spacing w:after="0"/>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styleId="CommentReference">
    <w:name w:val="annotation reference"/>
    <w:basedOn w:val="DefaultParagraphFont"/>
    <w:uiPriority w:val="99"/>
    <w:semiHidden/>
    <w:unhideWhenUsed/>
    <w:rsid w:val="007620C0"/>
    <w:rPr>
      <w:sz w:val="16"/>
      <w:szCs w:val="16"/>
    </w:rPr>
  </w:style>
  <w:style w:type="paragraph" w:styleId="CommentText">
    <w:name w:val="annotation text"/>
    <w:basedOn w:val="Normal"/>
    <w:link w:val="CommentTextChar"/>
    <w:uiPriority w:val="99"/>
    <w:unhideWhenUsed/>
    <w:rsid w:val="007620C0"/>
    <w:pPr>
      <w:spacing w:line="240" w:lineRule="auto"/>
    </w:pPr>
    <w:rPr>
      <w:sz w:val="20"/>
      <w:szCs w:val="20"/>
    </w:rPr>
  </w:style>
  <w:style w:type="character" w:customStyle="1" w:styleId="CommentTextChar">
    <w:name w:val="Comment Text Char"/>
    <w:basedOn w:val="DefaultParagraphFont"/>
    <w:link w:val="CommentText"/>
    <w:uiPriority w:val="99"/>
    <w:rsid w:val="007620C0"/>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7620C0"/>
    <w:rPr>
      <w:b/>
      <w:bCs/>
    </w:rPr>
  </w:style>
  <w:style w:type="character" w:customStyle="1" w:styleId="CommentSubjectChar">
    <w:name w:val="Comment Subject Char"/>
    <w:basedOn w:val="CommentTextChar"/>
    <w:link w:val="CommentSubject"/>
    <w:uiPriority w:val="99"/>
    <w:semiHidden/>
    <w:rsid w:val="007620C0"/>
    <w:rPr>
      <w:rFonts w:ascii="Times New Roman" w:eastAsia="Times New Roman" w:hAnsi="Times New Roman" w:cs="Times New Roman"/>
      <w:b/>
      <w:bCs/>
      <w:color w:val="000000"/>
      <w:sz w:val="20"/>
      <w:szCs w:val="20"/>
    </w:rPr>
  </w:style>
  <w:style w:type="paragraph" w:styleId="ListParagraph">
    <w:name w:val="List Paragraph"/>
    <w:aliases w:val="Numbered Para 1,Dot pt,No Spacing1,List Paragraph Char Char Char,Indicator Text,List Paragraph1,Bullet 1,Bullet Points,MAIN CONTENT,List Paragraph12,F5 List Paragraph,OBC Bullet,List Paragraph11,Colorful List - Accent 11,Normal numbered"/>
    <w:basedOn w:val="Normal"/>
    <w:link w:val="ListParagraphChar"/>
    <w:uiPriority w:val="34"/>
    <w:qFormat/>
    <w:rsid w:val="00AD25D4"/>
    <w:pPr>
      <w:ind w:left="720"/>
      <w:contextualSpacing/>
    </w:pPr>
  </w:style>
  <w:style w:type="paragraph" w:styleId="Revision">
    <w:name w:val="Revision"/>
    <w:hidden/>
    <w:uiPriority w:val="99"/>
    <w:semiHidden/>
    <w:rsid w:val="00C16A75"/>
    <w:pPr>
      <w:spacing w:after="0" w:line="240" w:lineRule="auto"/>
    </w:pPr>
    <w:rPr>
      <w:rFonts w:ascii="Times New Roman" w:eastAsia="Times New Roman" w:hAnsi="Times New Roman" w:cs="Times New Roman"/>
      <w:color w:val="000000"/>
      <w:sz w:val="24"/>
    </w:rPr>
  </w:style>
  <w:style w:type="character" w:customStyle="1" w:styleId="ui-provider">
    <w:name w:val="ui-provider"/>
    <w:basedOn w:val="DefaultParagraphFont"/>
    <w:rsid w:val="006C5367"/>
  </w:style>
  <w:style w:type="paragraph" w:styleId="FootnoteText">
    <w:name w:val="footnote text"/>
    <w:basedOn w:val="Normal"/>
    <w:link w:val="FootnoteTextChar"/>
    <w:uiPriority w:val="99"/>
    <w:unhideWhenUsed/>
    <w:rsid w:val="00961317"/>
    <w:pPr>
      <w:spacing w:after="0" w:line="240" w:lineRule="auto"/>
      <w:ind w:left="0" w:firstLine="0"/>
      <w:jc w:val="left"/>
    </w:pPr>
    <w:rPr>
      <w:rFonts w:ascii="Calibri" w:eastAsiaTheme="minorHAnsi" w:hAnsi="Calibri" w:cs="Tahoma"/>
      <w:color w:val="auto"/>
      <w:w w:val="110"/>
      <w:kern w:val="20"/>
      <w:sz w:val="20"/>
      <w:szCs w:val="20"/>
      <w:lang w:eastAsia="en-US"/>
    </w:rPr>
  </w:style>
  <w:style w:type="character" w:customStyle="1" w:styleId="FootnoteTextChar">
    <w:name w:val="Footnote Text Char"/>
    <w:basedOn w:val="DefaultParagraphFont"/>
    <w:link w:val="FootnoteText"/>
    <w:uiPriority w:val="99"/>
    <w:rsid w:val="00961317"/>
    <w:rPr>
      <w:rFonts w:ascii="Calibri" w:eastAsiaTheme="minorHAnsi" w:hAnsi="Calibri" w:cs="Tahoma"/>
      <w:w w:val="110"/>
      <w:kern w:val="20"/>
      <w:sz w:val="20"/>
      <w:szCs w:val="20"/>
      <w:lang w:eastAsia="en-US"/>
    </w:rPr>
  </w:style>
  <w:style w:type="character" w:styleId="FootnoteReference">
    <w:name w:val="footnote reference"/>
    <w:basedOn w:val="DefaultParagraphFont"/>
    <w:uiPriority w:val="99"/>
    <w:semiHidden/>
    <w:unhideWhenUsed/>
    <w:rsid w:val="00961317"/>
    <w:rPr>
      <w:vertAlign w:val="superscript"/>
    </w:rPr>
  </w:style>
  <w:style w:type="paragraph" w:styleId="Header">
    <w:name w:val="header"/>
    <w:basedOn w:val="Normal"/>
    <w:link w:val="HeaderChar"/>
    <w:uiPriority w:val="99"/>
    <w:unhideWhenUsed/>
    <w:rsid w:val="008031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18A"/>
    <w:rPr>
      <w:rFonts w:ascii="Times New Roman" w:eastAsia="Times New Roman" w:hAnsi="Times New Roman" w:cs="Times New Roman"/>
      <w:color w:val="000000"/>
      <w:sz w:val="24"/>
    </w:rPr>
  </w:style>
  <w:style w:type="character" w:styleId="Hyperlink">
    <w:name w:val="Hyperlink"/>
    <w:basedOn w:val="DefaultParagraphFont"/>
    <w:uiPriority w:val="99"/>
    <w:unhideWhenUsed/>
    <w:rsid w:val="00972151"/>
    <w:rPr>
      <w:color w:val="0563C1" w:themeColor="hyperlink"/>
      <w:u w:val="single"/>
    </w:rPr>
  </w:style>
  <w:style w:type="character" w:styleId="UnresolvedMention">
    <w:name w:val="Unresolved Mention"/>
    <w:basedOn w:val="DefaultParagraphFont"/>
    <w:uiPriority w:val="99"/>
    <w:semiHidden/>
    <w:unhideWhenUsed/>
    <w:rsid w:val="00972151"/>
    <w:rPr>
      <w:color w:val="605E5C"/>
      <w:shd w:val="clear" w:color="auto" w:fill="E1DFDD"/>
    </w:rPr>
  </w:style>
  <w:style w:type="paragraph" w:customStyle="1" w:styleId="Normal1">
    <w:name w:val="Normal1"/>
    <w:basedOn w:val="Normal"/>
    <w:qFormat/>
    <w:rsid w:val="005A1F5A"/>
    <w:pPr>
      <w:spacing w:after="0" w:line="240" w:lineRule="auto"/>
      <w:ind w:left="0" w:firstLine="0"/>
      <w:jc w:val="left"/>
    </w:pPr>
    <w:rPr>
      <w:rFonts w:ascii="Calibri" w:eastAsiaTheme="minorHAnsi" w:hAnsi="Calibri" w:cs="Calibri"/>
      <w:color w:val="auto"/>
      <w:w w:val="110"/>
      <w:kern w:val="20"/>
      <w:sz w:val="22"/>
      <w:szCs w:val="20"/>
      <w:lang w:eastAsia="en-US"/>
    </w:rPr>
  </w:style>
  <w:style w:type="paragraph" w:customStyle="1" w:styleId="Default">
    <w:name w:val="Default"/>
    <w:rsid w:val="002B626C"/>
    <w:pPr>
      <w:autoSpaceDE w:val="0"/>
      <w:autoSpaceDN w:val="0"/>
      <w:adjustRightInd w:val="0"/>
      <w:spacing w:after="0" w:line="240" w:lineRule="auto"/>
    </w:pPr>
    <w:rPr>
      <w:rFonts w:ascii="Meta Pro" w:hAnsi="Meta Pro" w:cs="Meta Pro"/>
      <w:color w:val="000000"/>
      <w:sz w:val="24"/>
      <w:szCs w:val="24"/>
    </w:rPr>
  </w:style>
  <w:style w:type="character" w:customStyle="1" w:styleId="ListParagraphChar">
    <w:name w:val="List Paragraph Char"/>
    <w:aliases w:val="Numbered Para 1 Char,Dot pt Char,No Spacing1 Char,List Paragraph Char Char Char Char,Indicator Text Char,List Paragraph1 Char,Bullet 1 Char,Bullet Points Char,MAIN CONTENT Char,List Paragraph12 Char,F5 List Paragraph Char"/>
    <w:basedOn w:val="DefaultParagraphFont"/>
    <w:link w:val="ListParagraph"/>
    <w:uiPriority w:val="34"/>
    <w:locked/>
    <w:rsid w:val="00700E06"/>
    <w:rPr>
      <w:rFonts w:ascii="Times New Roman" w:eastAsia="Times New Roman" w:hAnsi="Times New Roman" w:cs="Times New Roman"/>
      <w:color w:val="000000"/>
      <w:sz w:val="24"/>
    </w:rPr>
  </w:style>
  <w:style w:type="paragraph" w:customStyle="1" w:styleId="pf0">
    <w:name w:val="pf0"/>
    <w:basedOn w:val="Normal"/>
    <w:rsid w:val="00BA4281"/>
    <w:pPr>
      <w:spacing w:before="100" w:beforeAutospacing="1" w:after="100" w:afterAutospacing="1" w:line="240" w:lineRule="auto"/>
      <w:ind w:left="0" w:firstLine="0"/>
      <w:jc w:val="left"/>
    </w:pPr>
    <w:rPr>
      <w:color w:val="auto"/>
      <w:szCs w:val="24"/>
    </w:rPr>
  </w:style>
  <w:style w:type="character" w:customStyle="1" w:styleId="cf01">
    <w:name w:val="cf01"/>
    <w:basedOn w:val="DefaultParagraphFont"/>
    <w:rsid w:val="00BA4281"/>
    <w:rPr>
      <w:rFonts w:ascii="Segoe UI" w:hAnsi="Segoe UI" w:cs="Segoe UI" w:hint="default"/>
      <w:sz w:val="18"/>
      <w:szCs w:val="18"/>
    </w:rPr>
  </w:style>
  <w:style w:type="paragraph" w:styleId="BodyText">
    <w:name w:val="Body Text"/>
    <w:basedOn w:val="Normal"/>
    <w:link w:val="BodyTextChar"/>
    <w:uiPriority w:val="1"/>
    <w:semiHidden/>
    <w:unhideWhenUsed/>
    <w:qFormat/>
    <w:rsid w:val="00F3577F"/>
    <w:pPr>
      <w:widowControl w:val="0"/>
      <w:autoSpaceDE w:val="0"/>
      <w:autoSpaceDN w:val="0"/>
      <w:spacing w:after="0" w:line="240" w:lineRule="auto"/>
      <w:ind w:left="0" w:firstLine="0"/>
      <w:jc w:val="left"/>
    </w:pPr>
    <w:rPr>
      <w:rFonts w:ascii="Arial" w:eastAsia="Arial" w:hAnsi="Arial" w:cs="Arial"/>
      <w:color w:val="auto"/>
      <w:sz w:val="19"/>
      <w:szCs w:val="19"/>
      <w:lang w:val="en-US" w:eastAsia="en-US"/>
    </w:rPr>
  </w:style>
  <w:style w:type="character" w:customStyle="1" w:styleId="BodyTextChar">
    <w:name w:val="Body Text Char"/>
    <w:basedOn w:val="DefaultParagraphFont"/>
    <w:link w:val="BodyText"/>
    <w:uiPriority w:val="1"/>
    <w:semiHidden/>
    <w:rsid w:val="00F3577F"/>
    <w:rPr>
      <w:rFonts w:ascii="Arial" w:eastAsia="Arial" w:hAnsi="Arial" w:cs="Arial"/>
      <w:sz w:val="19"/>
      <w:szCs w:val="19"/>
      <w:lang w:val="en-US" w:eastAsia="en-US"/>
    </w:rPr>
  </w:style>
  <w:style w:type="paragraph" w:styleId="Footer">
    <w:name w:val="footer"/>
    <w:basedOn w:val="Normal"/>
    <w:link w:val="FooterChar"/>
    <w:uiPriority w:val="99"/>
    <w:semiHidden/>
    <w:unhideWhenUsed/>
    <w:rsid w:val="003134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D64B9"/>
    <w:rPr>
      <w:rFonts w:ascii="Times New Roman" w:eastAsia="Times New Roman" w:hAnsi="Times New Roman" w:cs="Times New Roman"/>
      <w:color w:val="000000"/>
      <w:sz w:val="24"/>
    </w:rPr>
  </w:style>
  <w:style w:type="table" w:customStyle="1" w:styleId="TableGrid1">
    <w:name w:val="Table Grid1"/>
    <w:rsid w:val="00ED64B9"/>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39"/>
    <w:rsid w:val="00ED64B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5411">
      <w:bodyDiv w:val="1"/>
      <w:marLeft w:val="0"/>
      <w:marRight w:val="0"/>
      <w:marTop w:val="0"/>
      <w:marBottom w:val="0"/>
      <w:divBdr>
        <w:top w:val="none" w:sz="0" w:space="0" w:color="auto"/>
        <w:left w:val="none" w:sz="0" w:space="0" w:color="auto"/>
        <w:bottom w:val="none" w:sz="0" w:space="0" w:color="auto"/>
        <w:right w:val="none" w:sz="0" w:space="0" w:color="auto"/>
      </w:divBdr>
    </w:div>
    <w:div w:id="252974861">
      <w:bodyDiv w:val="1"/>
      <w:marLeft w:val="0"/>
      <w:marRight w:val="0"/>
      <w:marTop w:val="0"/>
      <w:marBottom w:val="0"/>
      <w:divBdr>
        <w:top w:val="none" w:sz="0" w:space="0" w:color="auto"/>
        <w:left w:val="none" w:sz="0" w:space="0" w:color="auto"/>
        <w:bottom w:val="none" w:sz="0" w:space="0" w:color="auto"/>
        <w:right w:val="none" w:sz="0" w:space="0" w:color="auto"/>
      </w:divBdr>
    </w:div>
    <w:div w:id="335034790">
      <w:bodyDiv w:val="1"/>
      <w:marLeft w:val="0"/>
      <w:marRight w:val="0"/>
      <w:marTop w:val="0"/>
      <w:marBottom w:val="0"/>
      <w:divBdr>
        <w:top w:val="none" w:sz="0" w:space="0" w:color="auto"/>
        <w:left w:val="none" w:sz="0" w:space="0" w:color="auto"/>
        <w:bottom w:val="none" w:sz="0" w:space="0" w:color="auto"/>
        <w:right w:val="none" w:sz="0" w:space="0" w:color="auto"/>
      </w:divBdr>
    </w:div>
    <w:div w:id="959458429">
      <w:bodyDiv w:val="1"/>
      <w:marLeft w:val="0"/>
      <w:marRight w:val="0"/>
      <w:marTop w:val="0"/>
      <w:marBottom w:val="0"/>
      <w:divBdr>
        <w:top w:val="none" w:sz="0" w:space="0" w:color="auto"/>
        <w:left w:val="none" w:sz="0" w:space="0" w:color="auto"/>
        <w:bottom w:val="none" w:sz="0" w:space="0" w:color="auto"/>
        <w:right w:val="none" w:sz="0" w:space="0" w:color="auto"/>
      </w:divBdr>
    </w:div>
    <w:div w:id="1453942018">
      <w:bodyDiv w:val="1"/>
      <w:marLeft w:val="0"/>
      <w:marRight w:val="0"/>
      <w:marTop w:val="0"/>
      <w:marBottom w:val="0"/>
      <w:divBdr>
        <w:top w:val="none" w:sz="0" w:space="0" w:color="auto"/>
        <w:left w:val="none" w:sz="0" w:space="0" w:color="auto"/>
        <w:bottom w:val="none" w:sz="0" w:space="0" w:color="auto"/>
        <w:right w:val="none" w:sz="0" w:space="0" w:color="auto"/>
      </w:divBdr>
    </w:div>
    <w:div w:id="1930194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finance.ec.europa.eu/regulation-and-supervision/consultations/finance-2023-sfdr-implementation_en" TargetMode="External"/><Relationship Id="rId21" Type="http://schemas.openxmlformats.org/officeDocument/2006/relationships/hyperlink" Target="https://finance.ec.europa.eu/regulation-and-supervision/consultations/finance-2023-sfdr-implementation_en" TargetMode="External"/><Relationship Id="rId42" Type="http://schemas.openxmlformats.org/officeDocument/2006/relationships/hyperlink" Target="https://finance.ec.europa.eu/regulation-and-supervision/consultations/finance-2023-sfdr-implementation_en" TargetMode="External"/><Relationship Id="rId47" Type="http://schemas.openxmlformats.org/officeDocument/2006/relationships/hyperlink" Target="https://eur-lex.europa.eu/legal-content/EN/TXT/?uri=CELEX:02022R1288-20230220" TargetMode="External"/><Relationship Id="rId63" Type="http://schemas.openxmlformats.org/officeDocument/2006/relationships/hyperlink" Target="https://eur-lex.europa.eu/legal-content/EN/TXT/?uri=CELEX:32014L0065" TargetMode="External"/><Relationship Id="rId68" Type="http://schemas.openxmlformats.org/officeDocument/2006/relationships/hyperlink" Target="https://eur-lex.europa.eu/legal-content/EN/TXT/?uri=CELEX:32014R1286" TargetMode="External"/><Relationship Id="rId84" Type="http://schemas.openxmlformats.org/officeDocument/2006/relationships/hyperlink" Target="https://eur-lex.europa.eu/legal-content/EN/TXT/?uri=CELEX:02022R1288-20230220" TargetMode="External"/><Relationship Id="rId89" Type="http://schemas.openxmlformats.org/officeDocument/2006/relationships/hyperlink" Target="https://www.esma.europa.eu/joint-committee/joint-qas" TargetMode="External"/><Relationship Id="rId16" Type="http://schemas.openxmlformats.org/officeDocument/2006/relationships/hyperlink" Target="https://ec.europa.eu/info/business-economy-euro_en" TargetMode="External"/><Relationship Id="rId11" Type="http://schemas.openxmlformats.org/officeDocument/2006/relationships/image" Target="media/image1.emf"/><Relationship Id="rId32" Type="http://schemas.openxmlformats.org/officeDocument/2006/relationships/hyperlink" Target="https://finance.ec.europa.eu/regulation-and-supervision/consultations/finance-2023-sfdr-implementation_en" TargetMode="External"/><Relationship Id="rId37" Type="http://schemas.openxmlformats.org/officeDocument/2006/relationships/hyperlink" Target="https://finance.ec.europa.eu/regulation-and-supervision/consultations/finance-2023-sfdr-implementation_en" TargetMode="External"/><Relationship Id="rId53" Type="http://schemas.openxmlformats.org/officeDocument/2006/relationships/hyperlink" Target="https://eur-lex.europa.eu/legal-content/EN/TXT/?uri=CELEX:32022L2464" TargetMode="External"/><Relationship Id="rId58" Type="http://schemas.openxmlformats.org/officeDocument/2006/relationships/hyperlink" Target="https://eur-lex.europa.eu/legal-content/EN/TXT/?uri=CELEX:32022L2464" TargetMode="External"/><Relationship Id="rId74" Type="http://schemas.openxmlformats.org/officeDocument/2006/relationships/hyperlink" Target="https://www.esma.europa.eu/joint-committee/joint-qas" TargetMode="External"/><Relationship Id="rId79" Type="http://schemas.openxmlformats.org/officeDocument/2006/relationships/hyperlink" Target="https://finance.ec.europa.eu/publications/retail-investment-strategy_en" TargetMode="External"/><Relationship Id="rId5" Type="http://schemas.openxmlformats.org/officeDocument/2006/relationships/numbering" Target="numbering.xml"/><Relationship Id="rId90" Type="http://schemas.openxmlformats.org/officeDocument/2006/relationships/hyperlink" Target="https://finance.ec.europa.eu/capital-markets-union-and-financial-markets/capital-markets-union_en" TargetMode="External"/><Relationship Id="rId95" Type="http://schemas.openxmlformats.org/officeDocument/2006/relationships/footer" Target="footer2.xml"/><Relationship Id="rId22" Type="http://schemas.openxmlformats.org/officeDocument/2006/relationships/hyperlink" Target="https://finance.ec.europa.eu/regulation-and-supervision/consultations/finance-2023-sfdr-implementation_en" TargetMode="External"/><Relationship Id="rId27" Type="http://schemas.openxmlformats.org/officeDocument/2006/relationships/hyperlink" Target="https://finance.ec.europa.eu/regulation-and-supervision/consultations/finance-2023-sfdr-implementation_en" TargetMode="External"/><Relationship Id="rId43" Type="http://schemas.openxmlformats.org/officeDocument/2006/relationships/hyperlink" Target="https://eur-lex.europa.eu/legal-content/EN/TXT/?uri=CELEX:32019R2088" TargetMode="External"/><Relationship Id="rId48" Type="http://schemas.openxmlformats.org/officeDocument/2006/relationships/hyperlink" Target="https://eur-lex.europa.eu/legal-content/EN/TXT/?uri=CELEX:32022L2464" TargetMode="External"/><Relationship Id="rId64" Type="http://schemas.openxmlformats.org/officeDocument/2006/relationships/hyperlink" Target="https://eur-lex.europa.eu/legal-content/EN/TXT/?uri=CELEX:32016L0097" TargetMode="External"/><Relationship Id="rId69" Type="http://schemas.openxmlformats.org/officeDocument/2006/relationships/hyperlink" Target="https://eur-lex.europa.eu/legal-content/EN/TXT/?uri=CELEX:32014R1286" TargetMode="External"/><Relationship Id="rId80" Type="http://schemas.openxmlformats.org/officeDocument/2006/relationships/hyperlink" Target="https://www.esma.europa.eu/press-news/consultations/joint-consultation-review-sfdr-delegated-regulation" TargetMode="External"/><Relationship Id="rId85" Type="http://schemas.openxmlformats.org/officeDocument/2006/relationships/hyperlink" Target="https://www.esma.europa.eu/joint-committee/joint-qas" TargetMode="External"/><Relationship Id="rId3" Type="http://schemas.openxmlformats.org/officeDocument/2006/relationships/customXml" Target="../customXml/item3.xml"/><Relationship Id="rId12" Type="http://schemas.openxmlformats.org/officeDocument/2006/relationships/image" Target="media/image2.jpg"/><Relationship Id="rId17" Type="http://schemas.openxmlformats.org/officeDocument/2006/relationships/hyperlink" Target="https://ec.europa.eu/info/business-economy-euro_en" TargetMode="External"/><Relationship Id="rId25" Type="http://schemas.openxmlformats.org/officeDocument/2006/relationships/hyperlink" Target="https://finance.ec.europa.eu/regulation-and-supervision/consultations/finance-2023-sfdr-implementation_en" TargetMode="External"/><Relationship Id="rId33" Type="http://schemas.openxmlformats.org/officeDocument/2006/relationships/hyperlink" Target="https://finance.ec.europa.eu/regulation-and-supervision/consultations/finance-2023-sfdr-implementation_en" TargetMode="External"/><Relationship Id="rId38" Type="http://schemas.openxmlformats.org/officeDocument/2006/relationships/hyperlink" Target="https://finance.ec.europa.eu/regulation-and-supervision/consultations/finance-2023-sfdr-implementation_en" TargetMode="External"/><Relationship Id="rId46" Type="http://schemas.openxmlformats.org/officeDocument/2006/relationships/hyperlink" Target="https://eur-lex.europa.eu/legal-content/EN/TXT/?uri=CELEX:52018PC0354" TargetMode="External"/><Relationship Id="rId59" Type="http://schemas.openxmlformats.org/officeDocument/2006/relationships/hyperlink" Target="https://eur-lex.europa.eu/legal-content/EN/TXT/?uri=CELEX:32022L2464" TargetMode="External"/><Relationship Id="rId67" Type="http://schemas.openxmlformats.org/officeDocument/2006/relationships/hyperlink" Target="https://eur-lex.europa.eu/legal-content/EN/TXT/?uri=CELEX:32016L0097" TargetMode="External"/><Relationship Id="rId20" Type="http://schemas.openxmlformats.org/officeDocument/2006/relationships/hyperlink" Target="https://finance.ec.europa.eu/regulation-and-supervision/consultations/finance-2023-sfdr-implementation_en" TargetMode="External"/><Relationship Id="rId41" Type="http://schemas.openxmlformats.org/officeDocument/2006/relationships/hyperlink" Target="https://finance.ec.europa.eu/regulation-and-supervision/consultations/finance-2023-sfdr-implementation_en" TargetMode="External"/><Relationship Id="rId54" Type="http://schemas.openxmlformats.org/officeDocument/2006/relationships/hyperlink" Target="https://eur-lex.europa.eu/legal-content/EN/TXT/?uri=CELEX:32020R0852" TargetMode="External"/><Relationship Id="rId62" Type="http://schemas.openxmlformats.org/officeDocument/2006/relationships/hyperlink" Target="https://eur-lex.europa.eu/legal-content/EN/TXT/?uri=CELEX:32014L0065" TargetMode="External"/><Relationship Id="rId70" Type="http://schemas.openxmlformats.org/officeDocument/2006/relationships/hyperlink" Target="https://eur-lex.europa.eu/legal-content/EN/TXT/?uri=CELEX:52023XC0616(01)" TargetMode="External"/><Relationship Id="rId75" Type="http://schemas.openxmlformats.org/officeDocument/2006/relationships/hyperlink" Target="https://www.esma.europa.eu/joint-committee/joint-qas" TargetMode="External"/><Relationship Id="rId83" Type="http://schemas.openxmlformats.org/officeDocument/2006/relationships/hyperlink" Target="https://eur-lex.europa.eu/legal-content/EN/TXT/?uri=CELEX:02022R1288-20230220" TargetMode="External"/><Relationship Id="rId88" Type="http://schemas.openxmlformats.org/officeDocument/2006/relationships/hyperlink" Target="https://www.esma.europa.eu/joint-committee/joint-qas" TargetMode="External"/><Relationship Id="rId91" Type="http://schemas.openxmlformats.org/officeDocument/2006/relationships/hyperlink" Target="https://finance.ec.europa.eu/capital-markets-union-and-financial-markets/capital-markets-union_en" TargetMode="External"/><Relationship Id="rId9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c.europa.eu/info/business-economy-euro_en" TargetMode="External"/><Relationship Id="rId23" Type="http://schemas.openxmlformats.org/officeDocument/2006/relationships/hyperlink" Target="https://finance.ec.europa.eu/regulation-and-supervision/consultations/finance-2023-sfdr-implementation_en" TargetMode="External"/><Relationship Id="rId28" Type="http://schemas.openxmlformats.org/officeDocument/2006/relationships/hyperlink" Target="https://finance.ec.europa.eu/regulation-and-supervision/consultations/finance-2023-sfdr-implementation_en" TargetMode="External"/><Relationship Id="rId36" Type="http://schemas.openxmlformats.org/officeDocument/2006/relationships/hyperlink" Target="https://finance.ec.europa.eu/regulation-and-supervision/consultations/finance-2023-sfdr-implementation_en" TargetMode="External"/><Relationship Id="rId49" Type="http://schemas.openxmlformats.org/officeDocument/2006/relationships/hyperlink" Target="https://eur-lex.europa.eu/legal-content/EN/TXT/?uri=CELEX:32022L2464" TargetMode="External"/><Relationship Id="rId57" Type="http://schemas.openxmlformats.org/officeDocument/2006/relationships/hyperlink" Target="https://eur-lex.europa.eu/legal-content/EN/TXT/?uri=CELEX:32016R1011" TargetMode="External"/><Relationship Id="rId10" Type="http://schemas.openxmlformats.org/officeDocument/2006/relationships/endnotes" Target="endnotes.xml"/><Relationship Id="rId31" Type="http://schemas.openxmlformats.org/officeDocument/2006/relationships/hyperlink" Target="https://finance.ec.europa.eu/regulation-and-supervision/consultations/finance-2023-sfdr-implementation_en" TargetMode="External"/><Relationship Id="rId44" Type="http://schemas.openxmlformats.org/officeDocument/2006/relationships/hyperlink" Target="https://eur-lex.europa.eu/legal-content/EN/TXT/?uri=CELEX:32019R2088" TargetMode="External"/><Relationship Id="rId52" Type="http://schemas.openxmlformats.org/officeDocument/2006/relationships/hyperlink" Target="https://eur-lex.europa.eu/legal-content/EN/TXT/?uri=CELEX:32022L2464" TargetMode="External"/><Relationship Id="rId60" Type="http://schemas.openxmlformats.org/officeDocument/2006/relationships/hyperlink" Target="https://eur-lex.europa.eu/legal-content/EN/TXT/?uri=CELEX:32014L0065" TargetMode="External"/><Relationship Id="rId65" Type="http://schemas.openxmlformats.org/officeDocument/2006/relationships/hyperlink" Target="https://eur-lex.europa.eu/legal-content/EN/TXT/?uri=CELEX:32016L0097" TargetMode="External"/><Relationship Id="rId73" Type="http://schemas.openxmlformats.org/officeDocument/2006/relationships/hyperlink" Target="https://www.esma.europa.eu/joint-committee/joint-qas" TargetMode="External"/><Relationship Id="rId78" Type="http://schemas.openxmlformats.org/officeDocument/2006/relationships/hyperlink" Target="https://eur-lex.europa.eu/legal-content/EN/TXT/?uri=CELEX:02022R1288-20230220" TargetMode="External"/><Relationship Id="rId81" Type="http://schemas.openxmlformats.org/officeDocument/2006/relationships/hyperlink" Target="https://www.esma.europa.eu/press-news/consultations/joint-consultation-review-sfdr-delegated-regulation" TargetMode="External"/><Relationship Id="rId86" Type="http://schemas.openxmlformats.org/officeDocument/2006/relationships/hyperlink" Target="https://www.esma.europa.eu/joint-committee/joint-qas" TargetMode="External"/><Relationship Id="rId94" Type="http://schemas.openxmlformats.org/officeDocument/2006/relationships/footer" Target="footer1.xml"/><Relationship Id="rId9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ec.europa.eu/info/business-economy-euro_en" TargetMode="External"/><Relationship Id="rId18" Type="http://schemas.openxmlformats.org/officeDocument/2006/relationships/hyperlink" Target="https://ec.europa.eu/info/business-economy-euro_en" TargetMode="External"/><Relationship Id="rId39" Type="http://schemas.openxmlformats.org/officeDocument/2006/relationships/hyperlink" Target="https://finance.ec.europa.eu/regulation-and-supervision/consultations/finance-2023-sfdr-implementation_en" TargetMode="External"/><Relationship Id="rId34" Type="http://schemas.openxmlformats.org/officeDocument/2006/relationships/hyperlink" Target="https://finance.ec.europa.eu/regulation-and-supervision/consultations/finance-2023-sfdr-implementation_en" TargetMode="External"/><Relationship Id="rId50" Type="http://schemas.openxmlformats.org/officeDocument/2006/relationships/hyperlink" Target="https://eur-lex.europa.eu/legal-content/EN/TXT/?uri=CELEX:32022L2464" TargetMode="External"/><Relationship Id="rId55" Type="http://schemas.openxmlformats.org/officeDocument/2006/relationships/hyperlink" Target="https://eur-lex.europa.eu/legal-content/EN/TXT/?uri=CELEX:32020R0852" TargetMode="External"/><Relationship Id="rId76" Type="http://schemas.openxmlformats.org/officeDocument/2006/relationships/hyperlink" Target="https://finance.ec.europa.eu/capital-markets-union-and-financial-markets/company-reporting-and-auditing/company-reporting/corporate-sustainability-reporting_en" TargetMode="External"/><Relationship Id="rId97" Type="http://schemas.openxmlformats.org/officeDocument/2006/relationships/footer" Target="footer3.xml"/><Relationship Id="rId7" Type="http://schemas.openxmlformats.org/officeDocument/2006/relationships/settings" Target="settings.xml"/><Relationship Id="rId71" Type="http://schemas.openxmlformats.org/officeDocument/2006/relationships/hyperlink" Target="https://eur-lex.europa.eu/legal-content/EN/TXT/?uri=CELEX:52023XC0616(01)" TargetMode="External"/><Relationship Id="rId92" Type="http://schemas.openxmlformats.org/officeDocument/2006/relationships/header" Target="header1.xml"/><Relationship Id="rId2" Type="http://schemas.openxmlformats.org/officeDocument/2006/relationships/customXml" Target="../customXml/item2.xml"/><Relationship Id="rId29" Type="http://schemas.openxmlformats.org/officeDocument/2006/relationships/hyperlink" Target="https://finance.ec.europa.eu/regulation-and-supervision/consultations/finance-2023-sfdr-implementation_en" TargetMode="External"/><Relationship Id="rId24" Type="http://schemas.openxmlformats.org/officeDocument/2006/relationships/hyperlink" Target="https://finance.ec.europa.eu/regulation-and-supervision/consultations/finance-2023-sfdr-implementation_en" TargetMode="External"/><Relationship Id="rId40" Type="http://schemas.openxmlformats.org/officeDocument/2006/relationships/hyperlink" Target="https://finance.ec.europa.eu/regulation-and-supervision/consultations/finance-2023-sfdr-implementation_en" TargetMode="External"/><Relationship Id="rId45" Type="http://schemas.openxmlformats.org/officeDocument/2006/relationships/hyperlink" Target="https://eur-lex.europa.eu/legal-content/EN/TXT/?uri=CELEX:52018PC0354" TargetMode="External"/><Relationship Id="rId66" Type="http://schemas.openxmlformats.org/officeDocument/2006/relationships/hyperlink" Target="https://eur-lex.europa.eu/legal-content/EN/TXT/?uri=CELEX:32016L0097" TargetMode="External"/><Relationship Id="rId87" Type="http://schemas.openxmlformats.org/officeDocument/2006/relationships/hyperlink" Target="https://www.esma.europa.eu/joint-committee/joint-qas" TargetMode="External"/><Relationship Id="rId61" Type="http://schemas.openxmlformats.org/officeDocument/2006/relationships/hyperlink" Target="https://eur-lex.europa.eu/legal-content/EN/TXT/?uri=CELEX:32014L0065" TargetMode="External"/><Relationship Id="rId82" Type="http://schemas.openxmlformats.org/officeDocument/2006/relationships/hyperlink" Target="https://www.esma.europa.eu/press-news/consultations/joint-consultation-review-sfdr-delegated-regulation" TargetMode="External"/><Relationship Id="rId19" Type="http://schemas.openxmlformats.org/officeDocument/2006/relationships/hyperlink" Target="https://finance.ec.europa.eu/regulation-and-supervision/consultations/finance-2023-sfdr-implementation_en" TargetMode="External"/><Relationship Id="rId14" Type="http://schemas.openxmlformats.org/officeDocument/2006/relationships/hyperlink" Target="https://ec.europa.eu/info/business-economy-euro_en" TargetMode="External"/><Relationship Id="rId30" Type="http://schemas.openxmlformats.org/officeDocument/2006/relationships/hyperlink" Target="https://finance.ec.europa.eu/regulation-and-supervision/consultations/finance-2023-sfdr-implementation_en" TargetMode="External"/><Relationship Id="rId35" Type="http://schemas.openxmlformats.org/officeDocument/2006/relationships/hyperlink" Target="https://finance.ec.europa.eu/regulation-and-supervision/consultations/finance-2023-sfdr-implementation_en" TargetMode="External"/><Relationship Id="rId56" Type="http://schemas.openxmlformats.org/officeDocument/2006/relationships/hyperlink" Target="https://eur-lex.europa.eu/legal-content/EN/TXT/?uri=CELEX:32016R1011" TargetMode="External"/><Relationship Id="rId77" Type="http://schemas.openxmlformats.org/officeDocument/2006/relationships/hyperlink" Target="https://eur-lex.europa.eu/legal-content/EN/TXT/?uri=CELEX:02022R1288-20230220" TargetMode="External"/><Relationship Id="rId8" Type="http://schemas.openxmlformats.org/officeDocument/2006/relationships/webSettings" Target="webSettings.xml"/><Relationship Id="rId51" Type="http://schemas.openxmlformats.org/officeDocument/2006/relationships/hyperlink" Target="https://eur-lex.europa.eu/legal-content/EN/TXT/?uri=CELEX:32022L2464" TargetMode="External"/><Relationship Id="rId72" Type="http://schemas.openxmlformats.org/officeDocument/2006/relationships/hyperlink" Target="https://www.esma.europa.eu/joint-committee/joint-qas" TargetMode="External"/><Relationship Id="rId93" Type="http://schemas.openxmlformats.org/officeDocument/2006/relationships/header" Target="header2.xml"/><Relationship Id="rId98"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www.esma.europa.eu/press-news/consultations/joint-consultation-review-sfdr-delegated-regulation" TargetMode="External"/><Relationship Id="rId18" Type="http://schemas.openxmlformats.org/officeDocument/2006/relationships/hyperlink" Target="https://www.esma.europa.eu/press-news/consultations/joint-consultation-review-sfdr-delegated-regulation" TargetMode="External"/><Relationship Id="rId26" Type="http://schemas.openxmlformats.org/officeDocument/2006/relationships/hyperlink" Target="https://www.esma.europa.eu/press-news/consultations/joint-consultation-review-sfdr-delegated-regulation" TargetMode="External"/><Relationship Id="rId3" Type="http://schemas.openxmlformats.org/officeDocument/2006/relationships/hyperlink" Target="https://eur-lex.europa.eu/legal-content/EN/TXT/?uri=CELEX:02022R1288-20230220" TargetMode="External"/><Relationship Id="rId21" Type="http://schemas.openxmlformats.org/officeDocument/2006/relationships/hyperlink" Target="https://www.esma.europa.eu/press-news/consultations/joint-consultation-review-sfdr-delegated-regulation" TargetMode="External"/><Relationship Id="rId34" Type="http://schemas.openxmlformats.org/officeDocument/2006/relationships/hyperlink" Target="https://www.esma.europa.eu/press-news/consultations/joint-consultation-review-sfdr-delegated-regulation" TargetMode="External"/><Relationship Id="rId7" Type="http://schemas.openxmlformats.org/officeDocument/2006/relationships/hyperlink" Target="https://finance.ec.europa.eu/publications/retail-investment-strategy_en" TargetMode="External"/><Relationship Id="rId12" Type="http://schemas.openxmlformats.org/officeDocument/2006/relationships/hyperlink" Target="https://finance.ec.europa.eu/publications/retail-investment-strategy_en" TargetMode="External"/><Relationship Id="rId17" Type="http://schemas.openxmlformats.org/officeDocument/2006/relationships/hyperlink" Target="https://www.esma.europa.eu/press-news/consultations/joint-consultation-review-sfdr-delegated-regulation" TargetMode="External"/><Relationship Id="rId25" Type="http://schemas.openxmlformats.org/officeDocument/2006/relationships/hyperlink" Target="https://www.esma.europa.eu/press-news/consultations/joint-consultation-review-sfdr-delegated-regulation" TargetMode="External"/><Relationship Id="rId33" Type="http://schemas.openxmlformats.org/officeDocument/2006/relationships/hyperlink" Target="https://www.esma.europa.eu/press-news/consultations/joint-consultation-review-sfdr-delegated-regulation" TargetMode="External"/><Relationship Id="rId2" Type="http://schemas.openxmlformats.org/officeDocument/2006/relationships/hyperlink" Target="https://www.fca.org.uk/publication/policy/ps23-16.pdf" TargetMode="External"/><Relationship Id="rId16" Type="http://schemas.openxmlformats.org/officeDocument/2006/relationships/hyperlink" Target="https://www.esma.europa.eu/press-news/consultations/joint-consultation-review-sfdr-delegated-regulation" TargetMode="External"/><Relationship Id="rId20" Type="http://schemas.openxmlformats.org/officeDocument/2006/relationships/hyperlink" Target="https://www.esma.europa.eu/press-news/consultations/joint-consultation-review-sfdr-delegated-regulation" TargetMode="External"/><Relationship Id="rId29" Type="http://schemas.openxmlformats.org/officeDocument/2006/relationships/hyperlink" Target="https://www.esma.europa.eu/joint-committee/joint-qas" TargetMode="External"/><Relationship Id="rId1" Type="http://schemas.openxmlformats.org/officeDocument/2006/relationships/hyperlink" Target="http://www.uksif.org" TargetMode="External"/><Relationship Id="rId6" Type="http://schemas.openxmlformats.org/officeDocument/2006/relationships/hyperlink" Target="https://finance.ec.europa.eu/regulation-and-supervision/financial-services-legislation/implementing-and-delegated-acts/corporate-sustainability-reporting-directive_en" TargetMode="External"/><Relationship Id="rId11" Type="http://schemas.openxmlformats.org/officeDocument/2006/relationships/hyperlink" Target="https://finance.ec.europa.eu/publications/retail-investment-strategy_en" TargetMode="External"/><Relationship Id="rId24" Type="http://schemas.openxmlformats.org/officeDocument/2006/relationships/hyperlink" Target="https://www.esma.europa.eu/press-news/consultations/joint-consultation-review-sfdr-delegated-regulation" TargetMode="External"/><Relationship Id="rId32" Type="http://schemas.openxmlformats.org/officeDocument/2006/relationships/hyperlink" Target="https://www.esma.europa.eu/press-news/consultations/joint-consultation-review-sfdr-delegated-regulation" TargetMode="External"/><Relationship Id="rId5" Type="http://schemas.openxmlformats.org/officeDocument/2006/relationships/hyperlink" Target="https://finance.ec.europa.eu/regulation-and-supervision/financial-services-legislation/implementing-and-delegated-acts/corporate-sustainability-reporting-directive_en" TargetMode="External"/><Relationship Id="rId15" Type="http://schemas.openxmlformats.org/officeDocument/2006/relationships/hyperlink" Target="https://www.esma.europa.eu/press-news/consultations/joint-consultation-review-sfdr-delegated-regulation" TargetMode="External"/><Relationship Id="rId23" Type="http://schemas.openxmlformats.org/officeDocument/2006/relationships/hyperlink" Target="https://www.esma.europa.eu/press-news/consultations/joint-consultation-review-sfdr-delegated-regulation" TargetMode="External"/><Relationship Id="rId28" Type="http://schemas.openxmlformats.org/officeDocument/2006/relationships/hyperlink" Target="https://www.esma.europa.eu/joint-committee/joint-qas" TargetMode="External"/><Relationship Id="rId10" Type="http://schemas.openxmlformats.org/officeDocument/2006/relationships/hyperlink" Target="https://finance.ec.europa.eu/publications/retail-investment-strategy_en" TargetMode="External"/><Relationship Id="rId19" Type="http://schemas.openxmlformats.org/officeDocument/2006/relationships/hyperlink" Target="https://www.esma.europa.eu/press-news/consultations/joint-consultation-review-sfdr-delegated-regulation" TargetMode="External"/><Relationship Id="rId31" Type="http://schemas.openxmlformats.org/officeDocument/2006/relationships/hyperlink" Target="https://www.esma.europa.eu/press-news/consultations/joint-consultation-review-sfdr-delegated-regulation" TargetMode="External"/><Relationship Id="rId4" Type="http://schemas.openxmlformats.org/officeDocument/2006/relationships/hyperlink" Target="https://eur-lex.europa.eu/legal-content/EN/TXT/?uri=CELEX:02022R1288-20230220" TargetMode="External"/><Relationship Id="rId9" Type="http://schemas.openxmlformats.org/officeDocument/2006/relationships/hyperlink" Target="https://finance.ec.europa.eu/publications/retail-investment-strategy_en" TargetMode="External"/><Relationship Id="rId14" Type="http://schemas.openxmlformats.org/officeDocument/2006/relationships/hyperlink" Target="https://www.esma.europa.eu/press-news/consultations/joint-consultation-review-sfdr-delegated-regulation" TargetMode="External"/><Relationship Id="rId22" Type="http://schemas.openxmlformats.org/officeDocument/2006/relationships/hyperlink" Target="https://www.esma.europa.eu/press-news/consultations/joint-consultation-review-sfdr-delegated-regulation" TargetMode="External"/><Relationship Id="rId27" Type="http://schemas.openxmlformats.org/officeDocument/2006/relationships/hyperlink" Target="https://www.esma.europa.eu/joint-committee/joint-qas" TargetMode="External"/><Relationship Id="rId30" Type="http://schemas.openxmlformats.org/officeDocument/2006/relationships/hyperlink" Target="https://www.esma.europa.eu/joint-committee/joint-qas" TargetMode="External"/><Relationship Id="rId8" Type="http://schemas.openxmlformats.org/officeDocument/2006/relationships/hyperlink" Target="https://finance.ec.europa.eu/publications/retail-investment-strategy_e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9634385-be88-41b1-b187-0d2a78605063">
      <Terms xmlns="http://schemas.microsoft.com/office/infopath/2007/PartnerControls"/>
    </lcf76f155ced4ddcb4097134ff3c332f>
    <TaxCatchAll xmlns="07c64189-39be-4fac-be85-411985ca9e64" xsi:nil="true"/>
    <SharedWithUsers xmlns="07c64189-39be-4fac-be85-411985ca9e64">
      <UserInfo>
        <DisplayName>Oscar Warwick Thompson</DisplayName>
        <AccountId>16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9003106B2AFB64683FE537FE2AB03F9" ma:contentTypeVersion="14" ma:contentTypeDescription="Create a new document." ma:contentTypeScope="" ma:versionID="5839411f028f20d65af4b52974a0956a">
  <xsd:schema xmlns:xsd="http://www.w3.org/2001/XMLSchema" xmlns:xs="http://www.w3.org/2001/XMLSchema" xmlns:p="http://schemas.microsoft.com/office/2006/metadata/properties" xmlns:ns2="a9634385-be88-41b1-b187-0d2a78605063" xmlns:ns3="07c64189-39be-4fac-be85-411985ca9e64" targetNamespace="http://schemas.microsoft.com/office/2006/metadata/properties" ma:root="true" ma:fieldsID="5127ed227fa30b52b49b67eb19d1d3c6" ns2:_="" ns3:_="">
    <xsd:import namespace="a9634385-be88-41b1-b187-0d2a78605063"/>
    <xsd:import namespace="07c64189-39be-4fac-be85-411985ca9e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634385-be88-41b1-b187-0d2a786050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0291e90-06cc-460f-8c07-456d4ad240f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64189-39be-4fac-be85-411985ca9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c8b0c1e-1325-4ef3-8a10-e1b3b09fbbd9}" ma:internalName="TaxCatchAll" ma:showField="CatchAllData" ma:web="07c64189-39be-4fac-be85-411985ca9e6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1CFCBD-B393-4D0D-B51C-6E8C8769FDD8}">
  <ds:schemaRef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07c64189-39be-4fac-be85-411985ca9e64"/>
    <ds:schemaRef ds:uri="a9634385-be88-41b1-b187-0d2a78605063"/>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416C7F78-BED6-4FF5-9996-923AF83665EB}">
  <ds:schemaRefs>
    <ds:schemaRef ds:uri="http://schemas.microsoft.com/sharepoint/v3/contenttype/forms"/>
  </ds:schemaRefs>
</ds:datastoreItem>
</file>

<file path=customXml/itemProps3.xml><?xml version="1.0" encoding="utf-8"?>
<ds:datastoreItem xmlns:ds="http://schemas.openxmlformats.org/officeDocument/2006/customXml" ds:itemID="{309CAEC8-D5FF-4261-B122-575DF4DF842E}">
  <ds:schemaRefs>
    <ds:schemaRef ds:uri="http://schemas.openxmlformats.org/officeDocument/2006/bibliography"/>
  </ds:schemaRefs>
</ds:datastoreItem>
</file>

<file path=customXml/itemProps4.xml><?xml version="1.0" encoding="utf-8"?>
<ds:datastoreItem xmlns:ds="http://schemas.openxmlformats.org/officeDocument/2006/customXml" ds:itemID="{DDEEA533-6E25-4020-9E99-920E83F4C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634385-be88-41b1-b187-0d2a78605063"/>
    <ds:schemaRef ds:uri="07c64189-39be-4fac-be85-411985ca9e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55</Pages>
  <Words>19858</Words>
  <Characters>113196</Characters>
  <Application>Microsoft Office Word</Application>
  <DocSecurity>0</DocSecurity>
  <Lines>943</Lines>
  <Paragraphs>265</Paragraphs>
  <ScaleCrop>false</ScaleCrop>
  <Company>Insight Investment</Company>
  <LinksUpToDate>false</LinksUpToDate>
  <CharactersWithSpaces>132789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Targeted consultation on the implementation of the Sustainable Finance Disclosures Regulation (SFDR)</dc:title>
  <dc:subject>Consultation document - Targeted consultation on the implementation of the Sustainable Finance Disclosures Regulation (SFDR)</dc:subject>
  <dc:creator>European Commission</dc:creator>
  <cp:keywords/>
  <cp:lastModifiedBy>Oscar Warwick Thompson</cp:lastModifiedBy>
  <cp:revision>63</cp:revision>
  <dcterms:created xsi:type="dcterms:W3CDTF">2023-12-14T16:45:00Z</dcterms:created>
  <dcterms:modified xsi:type="dcterms:W3CDTF">2023-12-15T15:35:00Z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0x010100E9003106B2AFB64683FE537FE2AB03F9</vt:lpwstr>
  </property>
  <property fmtid="{D5CDD505-2E9C-101B-9397-08002B2CF9AE}" pid="3" name="MediaServiceImageTags">
    <vt:lpwstr/>
  </property>
</Properties>
</file>