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A40DF" w14:textId="1D50F1FD" w:rsidR="004410C9" w:rsidRPr="002859FF" w:rsidRDefault="002859FF" w:rsidP="00CC2CCD">
      <w:pPr>
        <w:pStyle w:val="MainHeading"/>
        <w:rPr>
          <w:rFonts w:ascii="Bw Gradual" w:hAnsi="Bw Gradual"/>
          <w:sz w:val="44"/>
          <w:szCs w:val="44"/>
          <w:lang w:val="en-US"/>
        </w:rPr>
      </w:pPr>
      <w:r>
        <w:rPr>
          <w:rFonts w:ascii="Bw Gradual" w:hAnsi="Bw Gradual"/>
          <w:sz w:val="44"/>
          <w:szCs w:val="44"/>
          <w:lang w:val="en-US"/>
        </w:rPr>
        <w:t>Final</w:t>
      </w:r>
      <w:r w:rsidR="00066031" w:rsidRPr="002859FF">
        <w:rPr>
          <w:rFonts w:ascii="Bw Gradual" w:hAnsi="Bw Gradual"/>
          <w:sz w:val="44"/>
          <w:szCs w:val="44"/>
          <w:lang w:val="en-US"/>
        </w:rPr>
        <w:t xml:space="preserve"> r</w:t>
      </w:r>
      <w:r w:rsidR="4905BC8A" w:rsidRPr="002859FF">
        <w:rPr>
          <w:rFonts w:ascii="Bw Gradual" w:hAnsi="Bw Gradual"/>
          <w:sz w:val="44"/>
          <w:szCs w:val="44"/>
          <w:lang w:val="en-US"/>
        </w:rPr>
        <w:t xml:space="preserve">esponse to </w:t>
      </w:r>
      <w:r w:rsidR="005332C6" w:rsidRPr="002859FF">
        <w:rPr>
          <w:rFonts w:ascii="Bw Gradual" w:hAnsi="Bw Gradual"/>
          <w:sz w:val="44"/>
          <w:szCs w:val="44"/>
          <w:lang w:val="en-US"/>
        </w:rPr>
        <w:t>European Commission's consultation on SFDR implementation</w:t>
      </w:r>
      <w:r w:rsidR="00F77BF6">
        <w:rPr>
          <w:rFonts w:ascii="Bw Gradual" w:hAnsi="Bw Gradual"/>
          <w:sz w:val="44"/>
          <w:szCs w:val="44"/>
          <w:lang w:val="en-US"/>
        </w:rPr>
        <w:t>: Executive Summary</w:t>
      </w:r>
    </w:p>
    <w:p w14:paraId="40979997" w14:textId="1A641AC3" w:rsidR="00713173" w:rsidRPr="00CC2CCD" w:rsidRDefault="00713173" w:rsidP="00CC2CCD">
      <w:pPr>
        <w:pStyle w:val="Heading1"/>
        <w:rPr>
          <w:color w:val="auto"/>
          <w:lang w:val="en-US"/>
        </w:rPr>
      </w:pPr>
      <w:r w:rsidRPr="00CC2CCD">
        <w:rPr>
          <w:color w:val="auto"/>
          <w:lang w:val="en-US"/>
        </w:rPr>
        <w:t>Executive Summary</w:t>
      </w:r>
    </w:p>
    <w:p w14:paraId="5416A3A8" w14:textId="5DD42E15" w:rsidR="008F7C6F" w:rsidRDefault="00FC3EBE" w:rsidP="008F7C6F">
      <w:pPr>
        <w:rPr>
          <w:color w:val="002060"/>
        </w:rPr>
      </w:pPr>
      <w:r>
        <w:rPr>
          <w:color w:val="002060"/>
          <w:lang w:val="en-US"/>
        </w:rPr>
        <w:t>The Institutional Investors Group on Climate Change (</w:t>
      </w:r>
      <w:r w:rsidR="008F7C6F" w:rsidRPr="008F7C6F">
        <w:rPr>
          <w:color w:val="002060"/>
          <w:lang w:val="en-US"/>
        </w:rPr>
        <w:t>IIGCC</w:t>
      </w:r>
      <w:r>
        <w:rPr>
          <w:color w:val="002060"/>
          <w:lang w:val="en-US"/>
        </w:rPr>
        <w:t>)</w:t>
      </w:r>
      <w:r w:rsidR="00684514">
        <w:rPr>
          <w:color w:val="002060"/>
          <w:lang w:val="en-US"/>
        </w:rPr>
        <w:t xml:space="preserve"> welcomes the opportuni</w:t>
      </w:r>
      <w:r w:rsidR="001F4F95">
        <w:rPr>
          <w:color w:val="002060"/>
          <w:lang w:val="en-US"/>
        </w:rPr>
        <w:t xml:space="preserve">ty to respond to the Commission’s </w:t>
      </w:r>
      <w:r w:rsidR="00B47C40">
        <w:rPr>
          <w:color w:val="002060"/>
          <w:lang w:val="en-US"/>
        </w:rPr>
        <w:t>targeted consultation on the implementation of the Sustainable Finance Disclosure Regulation (SFDR). IIGCC</w:t>
      </w:r>
      <w:r>
        <w:rPr>
          <w:color w:val="002060"/>
          <w:lang w:val="en-US"/>
        </w:rPr>
        <w:t xml:space="preserve"> is the leading European-focused investor membership organisation </w:t>
      </w:r>
      <w:r w:rsidR="000955EB">
        <w:rPr>
          <w:color w:val="002060"/>
          <w:lang w:val="en-US"/>
        </w:rPr>
        <w:t xml:space="preserve">for collaboration on climate change. IIGCC has over 400 members across 27 countries (including a substantial EU-based membership), representing more </w:t>
      </w:r>
      <w:r w:rsidR="00E95765">
        <w:rPr>
          <w:color w:val="002060"/>
          <w:lang w:val="en-US"/>
        </w:rPr>
        <w:t xml:space="preserve">than </w:t>
      </w:r>
      <w:r w:rsidR="00E95765" w:rsidRPr="00E95765">
        <w:rPr>
          <w:color w:val="002060"/>
        </w:rPr>
        <w:t>€65 trillion in asset</w:t>
      </w:r>
      <w:r w:rsidR="00E95765">
        <w:rPr>
          <w:color w:val="002060"/>
        </w:rPr>
        <w:t>s. We primarily represent institutional investors – mostly asset managers and pension funds – and our response to the consultation is framed with these stakeholders in mind.</w:t>
      </w:r>
      <w:r w:rsidR="00117B1F">
        <w:rPr>
          <w:color w:val="002060"/>
        </w:rPr>
        <w:t xml:space="preserve"> We are not responding to the consultation as a direct financial market participant, and our responses on specific sustainability-related components of the consultation focus primarily on climate and wider environmental factors. </w:t>
      </w:r>
    </w:p>
    <w:p w14:paraId="4005C724" w14:textId="5AD9078C" w:rsidR="00287D2B" w:rsidRDefault="00A74520" w:rsidP="002A1F56">
      <w:pPr>
        <w:rPr>
          <w:color w:val="002060"/>
        </w:rPr>
      </w:pPr>
      <w:r>
        <w:rPr>
          <w:color w:val="002060"/>
        </w:rPr>
        <w:t>IIGCC welcomes the overarching aims and intent of the SFDR. The regime is a fundamental component of the EU’s sustainable finance architecture</w:t>
      </w:r>
      <w:r w:rsidR="002A1F56">
        <w:rPr>
          <w:color w:val="002060"/>
        </w:rPr>
        <w:t>, and a key tool for increasing transparency</w:t>
      </w:r>
      <w:r w:rsidR="00C833B1">
        <w:rPr>
          <w:color w:val="002060"/>
        </w:rPr>
        <w:t xml:space="preserve"> over sustainability-related risks and opportunities, tackling greenwashing, and ultimately reorienting capital in line with the transition to net zero.</w:t>
      </w:r>
      <w:r w:rsidR="00B95F86">
        <w:rPr>
          <w:color w:val="002060"/>
        </w:rPr>
        <w:t xml:space="preserve"> However, investors have faced a number o</w:t>
      </w:r>
      <w:r w:rsidR="00BF4260">
        <w:rPr>
          <w:color w:val="002060"/>
        </w:rPr>
        <w:t xml:space="preserve">f challenges and barriers in relation to their implementation of the SFDR, and we welcome this wide-ranging review that we hope will help to improve the functioning and clarity of the framework. </w:t>
      </w:r>
      <w:r w:rsidR="00E44959">
        <w:rPr>
          <w:color w:val="002060"/>
        </w:rPr>
        <w:t>In particular, we urge the Commission to consider and account for the following positions and recommendations:</w:t>
      </w:r>
    </w:p>
    <w:p w14:paraId="462D08A9" w14:textId="0C34E99B" w:rsidR="00E44959" w:rsidRDefault="00F436BC" w:rsidP="002A1F56">
      <w:pPr>
        <w:rPr>
          <w:b/>
          <w:bCs/>
          <w:color w:val="002060"/>
        </w:rPr>
      </w:pPr>
      <w:r>
        <w:rPr>
          <w:b/>
          <w:bCs/>
          <w:color w:val="002060"/>
        </w:rPr>
        <w:t>Clarifying the definition of ‘</w:t>
      </w:r>
      <w:r w:rsidR="00780BEA">
        <w:rPr>
          <w:b/>
          <w:bCs/>
          <w:color w:val="002060"/>
        </w:rPr>
        <w:t>sustainable</w:t>
      </w:r>
      <w:r>
        <w:rPr>
          <w:b/>
          <w:bCs/>
          <w:color w:val="002060"/>
        </w:rPr>
        <w:t xml:space="preserve"> investments’ under SFDR and adequately accounting for investment in transitioning assets</w:t>
      </w:r>
    </w:p>
    <w:p w14:paraId="6EEE523C" w14:textId="5408561A" w:rsidR="003A42A0" w:rsidRDefault="0091613E" w:rsidP="002A1F56">
      <w:pPr>
        <w:rPr>
          <w:color w:val="002060"/>
        </w:rPr>
      </w:pPr>
      <w:r>
        <w:rPr>
          <w:color w:val="002060"/>
        </w:rPr>
        <w:t xml:space="preserve">As the Commission has noted, the EU will require around </w:t>
      </w:r>
      <w:r w:rsidRPr="0091613E">
        <w:rPr>
          <w:color w:val="002060"/>
        </w:rPr>
        <w:t>EUR 700 billion</w:t>
      </w:r>
      <w:r>
        <w:rPr>
          <w:color w:val="002060"/>
        </w:rPr>
        <w:t xml:space="preserve"> of additi</w:t>
      </w:r>
      <w:r w:rsidR="009458D7">
        <w:rPr>
          <w:color w:val="002060"/>
        </w:rPr>
        <w:t>onal</w:t>
      </w:r>
      <w:r w:rsidRPr="0091613E">
        <w:rPr>
          <w:color w:val="002060"/>
        </w:rPr>
        <w:t xml:space="preserve"> annual</w:t>
      </w:r>
      <w:r w:rsidR="009458D7">
        <w:rPr>
          <w:color w:val="002060"/>
        </w:rPr>
        <w:t xml:space="preserve"> investment</w:t>
      </w:r>
      <w:r w:rsidRPr="0091613E">
        <w:rPr>
          <w:color w:val="002060"/>
        </w:rPr>
        <w:t xml:space="preserve"> to meet the objectives of the Green Deal, REPowerEU and the Net Zero Industry Act, </w:t>
      </w:r>
      <w:r w:rsidR="009458D7">
        <w:rPr>
          <w:color w:val="002060"/>
        </w:rPr>
        <w:t>the majority of which will come from private finance.</w:t>
      </w:r>
      <w:r w:rsidR="00F63754">
        <w:rPr>
          <w:color w:val="002060"/>
        </w:rPr>
        <w:t xml:space="preserve"> </w:t>
      </w:r>
      <w:r w:rsidR="00157C5B">
        <w:rPr>
          <w:color w:val="002060"/>
        </w:rPr>
        <w:t>Reorienting capital</w:t>
      </w:r>
      <w:r w:rsidR="00BF538C">
        <w:rPr>
          <w:color w:val="002060"/>
        </w:rPr>
        <w:t xml:space="preserve"> towards sustainable investment is a key aim</w:t>
      </w:r>
      <w:r w:rsidR="00157C5B">
        <w:rPr>
          <w:color w:val="002060"/>
        </w:rPr>
        <w:t xml:space="preserve"> of the EU’s Sustainable Finance Action Plan, and </w:t>
      </w:r>
      <w:r w:rsidR="008D2F8D">
        <w:rPr>
          <w:color w:val="002060"/>
        </w:rPr>
        <w:t xml:space="preserve">SFDR is one of the main policy tools designed to achieve this aim. However, there remains a lack of clarity as to whether transitioning assets, and transition-focused investment strategies, </w:t>
      </w:r>
      <w:r w:rsidR="00336CED">
        <w:rPr>
          <w:color w:val="002060"/>
        </w:rPr>
        <w:t>can be treated</w:t>
      </w:r>
      <w:r w:rsidR="008D2F8D">
        <w:rPr>
          <w:color w:val="002060"/>
        </w:rPr>
        <w:t xml:space="preserve"> as ‘sustainable’ under SFDR. </w:t>
      </w:r>
      <w:r w:rsidR="00F63754">
        <w:rPr>
          <w:color w:val="002060"/>
        </w:rPr>
        <w:t xml:space="preserve">To facilitate </w:t>
      </w:r>
      <w:r w:rsidR="008D2F8D">
        <w:rPr>
          <w:color w:val="002060"/>
        </w:rPr>
        <w:t xml:space="preserve">a </w:t>
      </w:r>
      <w:r w:rsidR="00F63754">
        <w:rPr>
          <w:color w:val="002060"/>
        </w:rPr>
        <w:t>whole-of-economy transition, it wi</w:t>
      </w:r>
      <w:r w:rsidR="008D2F8D">
        <w:rPr>
          <w:color w:val="002060"/>
        </w:rPr>
        <w:t>ll be essential for the Commission to fully recognise</w:t>
      </w:r>
      <w:r w:rsidR="0013233A">
        <w:rPr>
          <w:color w:val="002060"/>
        </w:rPr>
        <w:t xml:space="preserve"> and embed the concept of </w:t>
      </w:r>
      <w:r w:rsidR="008D2F8D">
        <w:rPr>
          <w:color w:val="002060"/>
        </w:rPr>
        <w:t>transition finance within the framework</w:t>
      </w:r>
      <w:r w:rsidR="0013233A">
        <w:rPr>
          <w:color w:val="002060"/>
        </w:rPr>
        <w:t>.</w:t>
      </w:r>
      <w:r w:rsidR="008D2F8D">
        <w:rPr>
          <w:color w:val="002060"/>
        </w:rPr>
        <w:t xml:space="preserve"> </w:t>
      </w:r>
    </w:p>
    <w:p w14:paraId="0C14EAAC" w14:textId="07CA82FB" w:rsidR="0007591D" w:rsidRPr="0007591D" w:rsidRDefault="0007591D" w:rsidP="0007591D">
      <w:pPr>
        <w:pStyle w:val="NoSpacing"/>
        <w:rPr>
          <w:i/>
          <w:iCs/>
          <w:color w:val="002060"/>
        </w:rPr>
      </w:pPr>
      <w:r w:rsidRPr="0007591D">
        <w:rPr>
          <w:color w:val="002060"/>
        </w:rPr>
        <w:lastRenderedPageBreak/>
        <w:t xml:space="preserve">We acknowledge the Commission’s efforts to clarify this issue through </w:t>
      </w:r>
      <w:hyperlink r:id="rId11" w:history="1">
        <w:r w:rsidRPr="0007591D">
          <w:rPr>
            <w:rStyle w:val="Hyperlink"/>
            <w:color w:val="002060"/>
          </w:rPr>
          <w:t>Q&amp;As</w:t>
        </w:r>
      </w:hyperlink>
      <w:r w:rsidRPr="0007591D">
        <w:rPr>
          <w:rStyle w:val="Hyperlink"/>
          <w:color w:val="002060"/>
        </w:rPr>
        <w:t>,</w:t>
      </w:r>
      <w:r w:rsidRPr="0007591D">
        <w:rPr>
          <w:color w:val="002060"/>
        </w:rPr>
        <w:t xml:space="preserve"> and welcome </w:t>
      </w:r>
      <w:r w:rsidR="001572EA">
        <w:rPr>
          <w:color w:val="002060"/>
        </w:rPr>
        <w:t xml:space="preserve">the </w:t>
      </w:r>
      <w:r w:rsidRPr="0007591D">
        <w:rPr>
          <w:color w:val="002060"/>
        </w:rPr>
        <w:t>recent</w:t>
      </w:r>
      <w:r w:rsidR="001572EA">
        <w:rPr>
          <w:color w:val="002060"/>
        </w:rPr>
        <w:t xml:space="preserve"> publication of n</w:t>
      </w:r>
      <w:r w:rsidRPr="0007591D">
        <w:rPr>
          <w:color w:val="002060"/>
        </w:rPr>
        <w:t xml:space="preserve">on-binding guidance and definitions for transition finance. However, the continued lack of prescription, particularly for investments covered by transition plans, has meant that investors continue to interpret this concept broadly and lack the certainty needed to pursue much-needed transition focused investment strategies with confidence. For example, it could be interpreted that investments with credible, science-based transition plans would not, according to the Commission, ‘be considered as sufficient’ unless they meet Do No Significant Harm (DNSH) test today (rather than in the future). In IIGCC’s view, this could limit the capacity of investors to hold assets that may be carbon-intensive today, but which have the potential to align with net zero over time. It is precisely these types of assets whose transition will deliver the greatest impact on real world emissions reductions, and it is important that SFDR acknowledges that investment in these assets is a credible way of contributing to sustainability objectives and reorienting capital towards the transition. </w:t>
      </w:r>
    </w:p>
    <w:p w14:paraId="542A6434" w14:textId="77777777" w:rsidR="0053682A" w:rsidRDefault="0053682A" w:rsidP="0053682A">
      <w:pPr>
        <w:pStyle w:val="NoSpacing"/>
        <w:rPr>
          <w:color w:val="002060"/>
        </w:rPr>
      </w:pPr>
    </w:p>
    <w:p w14:paraId="197B7117" w14:textId="3805DE35" w:rsidR="0007591D" w:rsidRPr="0007591D" w:rsidRDefault="0007591D" w:rsidP="0053682A">
      <w:pPr>
        <w:pStyle w:val="NoSpacing"/>
        <w:rPr>
          <w:i/>
          <w:iCs/>
          <w:color w:val="002060"/>
        </w:rPr>
      </w:pPr>
      <w:r w:rsidRPr="0007591D">
        <w:rPr>
          <w:color w:val="002060"/>
        </w:rPr>
        <w:t xml:space="preserve">However, we emphasise the need to assess the credibility of transitioning assets against appropriate, robust criteria, otherwise there is a risk that such assets ‘transition’ indefinitely without making any meaningful progress on achieving emissions reductions. Progress against the criteria for transition plan disclosures as set out in the European Sustainability Reporting Standards (ESRS) would be a good example of a credible standard for assessing transition progress, as well as the indicators established under the </w:t>
      </w:r>
      <w:hyperlink r:id="rId12" w:history="1">
        <w:r w:rsidRPr="0007591D">
          <w:rPr>
            <w:rStyle w:val="Hyperlink"/>
            <w:color w:val="002060"/>
          </w:rPr>
          <w:t>Climate Action 100+ Net Zero Company Benchmark</w:t>
        </w:r>
      </w:hyperlink>
      <w:r w:rsidRPr="0007591D">
        <w:rPr>
          <w:color w:val="002060"/>
        </w:rPr>
        <w:t>.</w:t>
      </w:r>
    </w:p>
    <w:p w14:paraId="496973B1" w14:textId="77777777" w:rsidR="00D150CD" w:rsidRDefault="00D150CD" w:rsidP="002A1F56">
      <w:pPr>
        <w:rPr>
          <w:b/>
          <w:bCs/>
          <w:color w:val="002060"/>
        </w:rPr>
      </w:pPr>
    </w:p>
    <w:p w14:paraId="65862B60" w14:textId="3E43C856" w:rsidR="003A42A0" w:rsidRDefault="003A42A0" w:rsidP="002A1F56">
      <w:pPr>
        <w:rPr>
          <w:b/>
          <w:bCs/>
          <w:color w:val="002060"/>
        </w:rPr>
      </w:pPr>
      <w:r>
        <w:rPr>
          <w:b/>
          <w:bCs/>
          <w:color w:val="002060"/>
        </w:rPr>
        <w:t>Clear categories and criteria for products pursuing sustainable objectives or promoting environmental/social characteristics</w:t>
      </w:r>
    </w:p>
    <w:p w14:paraId="3356E336" w14:textId="4050FC4D" w:rsidR="00780BEA" w:rsidRDefault="00805FD4" w:rsidP="002A1F56">
      <w:pPr>
        <w:rPr>
          <w:color w:val="002060"/>
        </w:rPr>
      </w:pPr>
      <w:r>
        <w:rPr>
          <w:color w:val="002060"/>
        </w:rPr>
        <w:t xml:space="preserve">We strongly agree </w:t>
      </w:r>
      <w:r w:rsidR="004424F5">
        <w:rPr>
          <w:color w:val="002060"/>
        </w:rPr>
        <w:t>with proposals to introduce some form of product categorie</w:t>
      </w:r>
      <w:r w:rsidR="00795BFE">
        <w:rPr>
          <w:color w:val="002060"/>
        </w:rPr>
        <w:t>s and cr</w:t>
      </w:r>
      <w:r w:rsidR="004424F5">
        <w:rPr>
          <w:color w:val="002060"/>
        </w:rPr>
        <w:t>iteria for assessing the sustainability performance of assets</w:t>
      </w:r>
      <w:r w:rsidR="00D946FD">
        <w:rPr>
          <w:color w:val="002060"/>
        </w:rPr>
        <w:t xml:space="preserve"> under SFDR. This would enhance the credibility of funds pursuing sustainable investment objectives or promoting sustainability characteristics. It would also help to address ongoing issues in the market wherein SFDR is bei</w:t>
      </w:r>
      <w:r w:rsidR="00D708AB">
        <w:rPr>
          <w:color w:val="002060"/>
        </w:rPr>
        <w:t>ng used as a de facto labelling regime, despite being designed as a disclosure regime with limited</w:t>
      </w:r>
      <w:r w:rsidR="00141FF2">
        <w:rPr>
          <w:color w:val="002060"/>
        </w:rPr>
        <w:t xml:space="preserve"> prescriptive requirements.</w:t>
      </w:r>
    </w:p>
    <w:p w14:paraId="222C0FAE" w14:textId="77777777" w:rsidR="00E02DB3" w:rsidRDefault="002B0339" w:rsidP="002A1F56">
      <w:pPr>
        <w:rPr>
          <w:color w:val="002060"/>
        </w:rPr>
      </w:pPr>
      <w:r>
        <w:rPr>
          <w:color w:val="002060"/>
        </w:rPr>
        <w:t xml:space="preserve">It should be noted that investors and wider financial market participants have spent considerable time and effort, at cost, to implement SFDR and a complete overhaul of the framework may therefore be suboptimal. </w:t>
      </w:r>
      <w:r w:rsidR="001810FF">
        <w:rPr>
          <w:color w:val="002060"/>
        </w:rPr>
        <w:t>W</w:t>
      </w:r>
      <w:r w:rsidR="00FF1968">
        <w:rPr>
          <w:color w:val="002060"/>
        </w:rPr>
        <w:t>ith regards to the options presented by the Commission</w:t>
      </w:r>
      <w:r w:rsidR="00E409FC">
        <w:rPr>
          <w:color w:val="002060"/>
        </w:rPr>
        <w:t xml:space="preserve">, our preference </w:t>
      </w:r>
      <w:r w:rsidR="00D532ED">
        <w:rPr>
          <w:color w:val="002060"/>
        </w:rPr>
        <w:t xml:space="preserve">would be for a ‘hybrid’ approach that builds on existing concepts and requirements where possible while recognising </w:t>
      </w:r>
      <w:r w:rsidR="005935A5">
        <w:rPr>
          <w:color w:val="002060"/>
        </w:rPr>
        <w:t>the need for clear, transparent and credible product categories, underpinned by robust criteria</w:t>
      </w:r>
      <w:r w:rsidR="001810FF">
        <w:rPr>
          <w:color w:val="002060"/>
        </w:rPr>
        <w:t xml:space="preserve">. Of the categories proposed by the Commission, we are supportive </w:t>
      </w:r>
      <w:r w:rsidR="00F64800">
        <w:rPr>
          <w:color w:val="002060"/>
        </w:rPr>
        <w:t>of categories A, B and D</w:t>
      </w:r>
      <w:r w:rsidR="00EB2A94">
        <w:rPr>
          <w:color w:val="002060"/>
        </w:rPr>
        <w:t xml:space="preserve">, However, we have reservations about the credibility of category C, noting that while exclusions may form </w:t>
      </w:r>
      <w:r w:rsidR="00EB2A94" w:rsidRPr="009D0E83">
        <w:rPr>
          <w:i/>
          <w:iCs/>
          <w:color w:val="002060"/>
        </w:rPr>
        <w:t>part</w:t>
      </w:r>
      <w:r w:rsidR="00EB2A94">
        <w:rPr>
          <w:color w:val="002060"/>
        </w:rPr>
        <w:t xml:space="preserve"> of a sustainable investment strategy, in and of themselves they </w:t>
      </w:r>
      <w:r w:rsidR="009D0E83">
        <w:rPr>
          <w:color w:val="002060"/>
        </w:rPr>
        <w:t>should not qualify as the basis for such a strategy.</w:t>
      </w:r>
    </w:p>
    <w:p w14:paraId="69EB53EE" w14:textId="77777777" w:rsidR="00B15184" w:rsidRDefault="00186BEB" w:rsidP="002A1F56">
      <w:pPr>
        <w:rPr>
          <w:color w:val="002060"/>
        </w:rPr>
      </w:pPr>
      <w:r>
        <w:rPr>
          <w:color w:val="002060"/>
        </w:rPr>
        <w:lastRenderedPageBreak/>
        <w:t>We strongly encourage the Commission to introduce a ‘mixed’ or ‘blended’ category that combines elements of</w:t>
      </w:r>
      <w:r w:rsidR="004057B5">
        <w:rPr>
          <w:color w:val="002060"/>
        </w:rPr>
        <w:t xml:space="preserve"> one or more of the proposed product categories (e.g. investment in assets meeting a credible standard of sustainability </w:t>
      </w:r>
      <w:r w:rsidR="004057B5">
        <w:rPr>
          <w:i/>
          <w:iCs/>
          <w:color w:val="002060"/>
        </w:rPr>
        <w:t xml:space="preserve">and </w:t>
      </w:r>
      <w:r w:rsidR="004057B5">
        <w:rPr>
          <w:color w:val="002060"/>
        </w:rPr>
        <w:t>investment in assets that have the potential to improve their sustainability performance over time).</w:t>
      </w:r>
    </w:p>
    <w:p w14:paraId="60CBBFAE" w14:textId="7BB8A357" w:rsidR="00141FF2" w:rsidRDefault="00B15184" w:rsidP="002A1F56">
      <w:pPr>
        <w:rPr>
          <w:color w:val="002060"/>
        </w:rPr>
      </w:pPr>
      <w:r>
        <w:rPr>
          <w:color w:val="002060"/>
        </w:rPr>
        <w:t xml:space="preserve">Lastly, we agree that </w:t>
      </w:r>
      <w:r w:rsidR="007D615C">
        <w:rPr>
          <w:color w:val="002060"/>
        </w:rPr>
        <w:t>a baseline</w:t>
      </w:r>
      <w:r>
        <w:rPr>
          <w:color w:val="002060"/>
        </w:rPr>
        <w:t xml:space="preserve"> level of sustainability disclosure for all financial products, irrespective of their sustainability claims, would be helpful for increasing transparency</w:t>
      </w:r>
      <w:r w:rsidR="007D615C">
        <w:rPr>
          <w:color w:val="002060"/>
        </w:rPr>
        <w:t>. It may also help to address concerns</w:t>
      </w:r>
      <w:r w:rsidR="00007AD4">
        <w:rPr>
          <w:color w:val="002060"/>
        </w:rPr>
        <w:t xml:space="preserve"> that FMPs pursuing sustainable investments ar</w:t>
      </w:r>
      <w:r w:rsidR="00DE3CA6">
        <w:rPr>
          <w:color w:val="002060"/>
        </w:rPr>
        <w:t>e</w:t>
      </w:r>
      <w:r w:rsidR="00007AD4">
        <w:rPr>
          <w:color w:val="002060"/>
        </w:rPr>
        <w:t xml:space="preserve"> left at a competitive and cost disadvantage</w:t>
      </w:r>
      <w:r w:rsidR="00DE3CA6">
        <w:rPr>
          <w:color w:val="002060"/>
        </w:rPr>
        <w:t xml:space="preserve"> through the additional disclosures they are required to make compared to FMPs who do not pursue sustainable investments</w:t>
      </w:r>
      <w:r w:rsidR="00007AD4">
        <w:rPr>
          <w:color w:val="002060"/>
        </w:rPr>
        <w:t>. Th</w:t>
      </w:r>
      <w:r w:rsidR="00DE3CA6">
        <w:rPr>
          <w:color w:val="002060"/>
        </w:rPr>
        <w:t>ese</w:t>
      </w:r>
      <w:r w:rsidR="00007AD4">
        <w:rPr>
          <w:color w:val="002060"/>
        </w:rPr>
        <w:t xml:space="preserve"> baseline disclosure could include the integration of sustainability risks into the investment process and a</w:t>
      </w:r>
      <w:r w:rsidR="00E02F39">
        <w:rPr>
          <w:color w:val="002060"/>
        </w:rPr>
        <w:t xml:space="preserve"> limited number of principal adverse impact indicators (e.g. total GHG emissions).</w:t>
      </w:r>
    </w:p>
    <w:p w14:paraId="792C8531" w14:textId="1523E0BF" w:rsidR="00780BEA" w:rsidRDefault="00780BEA" w:rsidP="002A1F56">
      <w:pPr>
        <w:rPr>
          <w:b/>
          <w:bCs/>
          <w:color w:val="002060"/>
        </w:rPr>
      </w:pPr>
      <w:r>
        <w:rPr>
          <w:b/>
          <w:bCs/>
          <w:color w:val="002060"/>
        </w:rPr>
        <w:t>Addressing usability and implementation challenges</w:t>
      </w:r>
      <w:r w:rsidR="00B66CD6">
        <w:rPr>
          <w:b/>
          <w:bCs/>
          <w:color w:val="002060"/>
        </w:rPr>
        <w:t xml:space="preserve"> with the existing framework</w:t>
      </w:r>
    </w:p>
    <w:p w14:paraId="654E7AA7" w14:textId="0BDBC5F1" w:rsidR="00780BEA" w:rsidRDefault="00EC221A" w:rsidP="002A1F56">
      <w:pPr>
        <w:rPr>
          <w:color w:val="002060"/>
        </w:rPr>
      </w:pPr>
      <w:r>
        <w:rPr>
          <w:color w:val="002060"/>
        </w:rPr>
        <w:t xml:space="preserve">FMPs have undertaken extensive work to implement SFDR since it entered into force in March 2021. </w:t>
      </w:r>
      <w:r w:rsidR="00A9016C">
        <w:rPr>
          <w:color w:val="002060"/>
        </w:rPr>
        <w:t>However, a lack of clarity over key definition and concepts, a</w:t>
      </w:r>
      <w:r w:rsidR="00025B38">
        <w:rPr>
          <w:color w:val="002060"/>
        </w:rPr>
        <w:t>nd</w:t>
      </w:r>
      <w:r w:rsidR="00A9016C">
        <w:rPr>
          <w:color w:val="002060"/>
        </w:rPr>
        <w:t xml:space="preserve"> sequencing challenges that have reduced the availability and quality of relevant data, have </w:t>
      </w:r>
      <w:r w:rsidR="00EF6DCC">
        <w:rPr>
          <w:color w:val="002060"/>
        </w:rPr>
        <w:t xml:space="preserve">led to divergent </w:t>
      </w:r>
      <w:r w:rsidR="00796464">
        <w:rPr>
          <w:color w:val="002060"/>
        </w:rPr>
        <w:t xml:space="preserve">interpretations of the requirements and </w:t>
      </w:r>
      <w:r w:rsidR="00EF6DCC">
        <w:rPr>
          <w:color w:val="002060"/>
        </w:rPr>
        <w:t xml:space="preserve">increased </w:t>
      </w:r>
      <w:r w:rsidR="00796464">
        <w:rPr>
          <w:color w:val="002060"/>
        </w:rPr>
        <w:t xml:space="preserve">the </w:t>
      </w:r>
      <w:r w:rsidR="00EF6DCC">
        <w:rPr>
          <w:color w:val="002060"/>
        </w:rPr>
        <w:t>cost and complexity</w:t>
      </w:r>
      <w:r w:rsidR="00796464">
        <w:rPr>
          <w:color w:val="002060"/>
        </w:rPr>
        <w:t xml:space="preserve"> of implementation</w:t>
      </w:r>
      <w:r w:rsidR="00EF6DCC">
        <w:rPr>
          <w:color w:val="002060"/>
        </w:rPr>
        <w:t xml:space="preserve">. </w:t>
      </w:r>
      <w:r w:rsidR="00F261BF">
        <w:rPr>
          <w:color w:val="002060"/>
        </w:rPr>
        <w:t xml:space="preserve">This consultation provides an opportunity to provide greater certainty and clarity over underpinning concepts, </w:t>
      </w:r>
      <w:r w:rsidR="00B33F71">
        <w:rPr>
          <w:color w:val="002060"/>
        </w:rPr>
        <w:t>assess the relevance of certain disclosures (e.g. entity-level reporting on principal adverse impacts) and promote coherency between SF</w:t>
      </w:r>
      <w:r w:rsidR="00780BEA" w:rsidRPr="00BD727F">
        <w:rPr>
          <w:color w:val="002060"/>
        </w:rPr>
        <w:t xml:space="preserve">DR </w:t>
      </w:r>
      <w:r w:rsidR="00276484">
        <w:rPr>
          <w:color w:val="002060"/>
        </w:rPr>
        <w:t>and</w:t>
      </w:r>
      <w:r w:rsidR="00780BEA" w:rsidRPr="00BD727F">
        <w:rPr>
          <w:color w:val="002060"/>
        </w:rPr>
        <w:t xml:space="preserve"> the wider regulatory framework for sustainable finance</w:t>
      </w:r>
      <w:r w:rsidR="00276484">
        <w:rPr>
          <w:color w:val="002060"/>
        </w:rPr>
        <w:t>.</w:t>
      </w:r>
    </w:p>
    <w:p w14:paraId="205EDA30" w14:textId="35EE600E" w:rsidR="00780BEA" w:rsidRPr="003B2510" w:rsidRDefault="00780BEA" w:rsidP="002A1F56">
      <w:pPr>
        <w:rPr>
          <w:b/>
          <w:bCs/>
          <w:color w:val="002060"/>
        </w:rPr>
      </w:pPr>
      <w:r>
        <w:rPr>
          <w:b/>
          <w:bCs/>
          <w:color w:val="002060"/>
        </w:rPr>
        <w:t>Promoting interoperability with wider disclosure regimes</w:t>
      </w:r>
    </w:p>
    <w:p w14:paraId="14B57E58" w14:textId="5D933637" w:rsidR="002A1F56" w:rsidRPr="003B2510" w:rsidRDefault="003B2510" w:rsidP="00CC2CCD">
      <w:pPr>
        <w:pStyle w:val="NoSpacing"/>
        <w:rPr>
          <w:color w:val="002060"/>
        </w:rPr>
      </w:pPr>
      <w:r w:rsidRPr="003B2510">
        <w:rPr>
          <w:color w:val="002060"/>
        </w:rPr>
        <w:t xml:space="preserve">Interoperability </w:t>
      </w:r>
      <w:r w:rsidR="003E12E3">
        <w:rPr>
          <w:color w:val="002060"/>
        </w:rPr>
        <w:t xml:space="preserve">and compatibility </w:t>
      </w:r>
      <w:r w:rsidRPr="003B2510">
        <w:rPr>
          <w:color w:val="002060"/>
        </w:rPr>
        <w:t>between SFDR and wider sustainability disclosure regimes is essential for investors with global horizons who seek to allocate capital on a cross-border basis.</w:t>
      </w:r>
      <w:r w:rsidR="00570C19">
        <w:rPr>
          <w:color w:val="002060"/>
        </w:rPr>
        <w:t xml:space="preserve"> </w:t>
      </w:r>
      <w:r w:rsidR="00BA5133">
        <w:rPr>
          <w:color w:val="002060"/>
        </w:rPr>
        <w:t xml:space="preserve">It is imperative that policymakers </w:t>
      </w:r>
      <w:r w:rsidR="00570C19">
        <w:rPr>
          <w:color w:val="002060"/>
        </w:rPr>
        <w:t xml:space="preserve">mitigate </w:t>
      </w:r>
      <w:r w:rsidR="00BA5133">
        <w:rPr>
          <w:color w:val="002060"/>
        </w:rPr>
        <w:t xml:space="preserve">the risk of </w:t>
      </w:r>
      <w:r w:rsidR="00570C19">
        <w:rPr>
          <w:color w:val="002060"/>
        </w:rPr>
        <w:t xml:space="preserve">fragmentation and reduce reporting burdens for FMPs, </w:t>
      </w:r>
      <w:r w:rsidR="005A345B">
        <w:rPr>
          <w:color w:val="002060"/>
        </w:rPr>
        <w:t>a</w:t>
      </w:r>
      <w:r w:rsidR="006A175E">
        <w:rPr>
          <w:color w:val="002060"/>
        </w:rPr>
        <w:t>nd enable FMPs</w:t>
      </w:r>
      <w:r w:rsidR="005A345B">
        <w:rPr>
          <w:color w:val="002060"/>
        </w:rPr>
        <w:t xml:space="preserve"> to </w:t>
      </w:r>
      <w:r w:rsidR="00E15DB2">
        <w:rPr>
          <w:color w:val="002060"/>
        </w:rPr>
        <w:t xml:space="preserve">assess the </w:t>
      </w:r>
      <w:r w:rsidR="005A345B">
        <w:rPr>
          <w:color w:val="002060"/>
        </w:rPr>
        <w:t xml:space="preserve">sustainability credentials of investees on a like-for-like basis. In particular, we encourage the Commission to take stock of the </w:t>
      </w:r>
      <w:r w:rsidR="004473B2">
        <w:rPr>
          <w:color w:val="002060"/>
        </w:rPr>
        <w:t>FCA’s</w:t>
      </w:r>
      <w:r w:rsidR="005A345B">
        <w:rPr>
          <w:color w:val="002060"/>
        </w:rPr>
        <w:t xml:space="preserve"> </w:t>
      </w:r>
      <w:r w:rsidR="004473B2">
        <w:rPr>
          <w:color w:val="002060"/>
        </w:rPr>
        <w:t>proposals for</w:t>
      </w:r>
      <w:r w:rsidR="00844435">
        <w:rPr>
          <w:color w:val="002060"/>
        </w:rPr>
        <w:t xml:space="preserve"> Sustainability Disclosure Requirements and invest</w:t>
      </w:r>
      <w:r w:rsidR="004473B2">
        <w:rPr>
          <w:color w:val="002060"/>
        </w:rPr>
        <w:t>ment</w:t>
      </w:r>
      <w:r w:rsidR="00844435">
        <w:rPr>
          <w:color w:val="002060"/>
        </w:rPr>
        <w:t xml:space="preserve"> labels, </w:t>
      </w:r>
      <w:r w:rsidR="004473B2">
        <w:rPr>
          <w:color w:val="002060"/>
        </w:rPr>
        <w:t xml:space="preserve">and encourage ongoing engagement with counterparts in other jurisdictions to </w:t>
      </w:r>
      <w:r w:rsidR="003E12E3">
        <w:rPr>
          <w:color w:val="002060"/>
        </w:rPr>
        <w:t>support alignment</w:t>
      </w:r>
      <w:r w:rsidR="004473B2">
        <w:rPr>
          <w:color w:val="002060"/>
        </w:rPr>
        <w:t xml:space="preserve">. </w:t>
      </w:r>
    </w:p>
    <w:p w14:paraId="0DE2AA68" w14:textId="77777777" w:rsidR="002A1F56" w:rsidRPr="00CC2CCD" w:rsidRDefault="002A1F56" w:rsidP="00CC2CCD">
      <w:pPr>
        <w:pStyle w:val="NoSpacing"/>
        <w:rPr>
          <w:color w:val="auto"/>
          <w:u w:val="single"/>
        </w:rPr>
      </w:pPr>
    </w:p>
    <w:sectPr w:rsidR="002A1F56" w:rsidRPr="00CC2CCD" w:rsidSect="004410C9">
      <w:headerReference w:type="default" r:id="rId13"/>
      <w:footerReference w:type="default" r:id="rId14"/>
      <w:headerReference w:type="first" r:id="rId15"/>
      <w:footerReference w:type="first" r:id="rId16"/>
      <w:pgSz w:w="11900" w:h="16840"/>
      <w:pgMar w:top="2268" w:right="720" w:bottom="1871" w:left="720"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3C196" w14:textId="77777777" w:rsidR="009E6EE2" w:rsidRDefault="009E6EE2" w:rsidP="003F27CF">
      <w:r>
        <w:separator/>
      </w:r>
    </w:p>
  </w:endnote>
  <w:endnote w:type="continuationSeparator" w:id="0">
    <w:p w14:paraId="50700429" w14:textId="77777777" w:rsidR="009E6EE2" w:rsidRDefault="009E6EE2" w:rsidP="003F27CF">
      <w:r>
        <w:continuationSeparator/>
      </w:r>
    </w:p>
  </w:endnote>
  <w:endnote w:type="continuationNotice" w:id="1">
    <w:p w14:paraId="180C7A98" w14:textId="77777777" w:rsidR="009E6EE2" w:rsidRDefault="009E6E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oppins">
    <w:altName w:val="Cambria"/>
    <w:charset w:val="00"/>
    <w:family w:val="auto"/>
    <w:pitch w:val="variable"/>
    <w:sig w:usb0="00008007" w:usb1="00000000" w:usb2="00000000" w:usb3="00000000" w:csb0="00000093" w:csb1="00000000"/>
  </w:font>
  <w:font w:name="Minion Pro">
    <w:panose1 w:val="00000000000000000000"/>
    <w:charset w:val="00"/>
    <w:family w:val="roman"/>
    <w:notTrueType/>
    <w:pitch w:val="variable"/>
    <w:sig w:usb0="60000287" w:usb1="00000001" w:usb2="00000000" w:usb3="00000000" w:csb0="0000019F" w:csb1="00000000"/>
  </w:font>
  <w:font w:name="Bw Gradual DEMO">
    <w:altName w:val="Calibri"/>
    <w:panose1 w:val="00000000000000000000"/>
    <w:charset w:val="4D"/>
    <w:family w:val="auto"/>
    <w:notTrueType/>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Bw Gradual">
    <w:altName w:val="Calibri"/>
    <w:panose1 w:val="00000000000000000000"/>
    <w:charset w:val="00"/>
    <w:family w:val="modern"/>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5709522"/>
      <w:docPartObj>
        <w:docPartGallery w:val="Page Numbers (Bottom of Page)"/>
        <w:docPartUnique/>
      </w:docPartObj>
    </w:sdtPr>
    <w:sdtEndPr>
      <w:rPr>
        <w:noProof/>
      </w:rPr>
    </w:sdtEndPr>
    <w:sdtContent>
      <w:p w14:paraId="366EADB8" w14:textId="6AAFC170" w:rsidR="000759C0" w:rsidRDefault="000759C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E1DEA75" w14:textId="77777777" w:rsidR="000F6255" w:rsidRDefault="000F62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CFEBA" w14:textId="0026B924" w:rsidR="005E5A20" w:rsidRPr="00531DE9" w:rsidRDefault="00A27486" w:rsidP="00531DE9">
    <w:pPr>
      <w:pStyle w:val="Footer"/>
    </w:pPr>
    <w:r>
      <w:rPr>
        <w:noProof/>
        <w:color w:val="2B579A"/>
        <w:shd w:val="clear" w:color="auto" w:fill="E6E6E6"/>
      </w:rPr>
      <mc:AlternateContent>
        <mc:Choice Requires="wps">
          <w:drawing>
            <wp:anchor distT="0" distB="0" distL="114300" distR="114300" simplePos="0" relativeHeight="251657216" behindDoc="1" locked="0" layoutInCell="1" allowOverlap="1" wp14:anchorId="4A5BD3D6" wp14:editId="5625BC4D">
              <wp:simplePos x="0" y="0"/>
              <wp:positionH relativeFrom="column">
                <wp:posOffset>-461645</wp:posOffset>
              </wp:positionH>
              <wp:positionV relativeFrom="paragraph">
                <wp:posOffset>17780</wp:posOffset>
              </wp:positionV>
              <wp:extent cx="7560000" cy="1188000"/>
              <wp:effectExtent l="0" t="0" r="3175" b="0"/>
              <wp:wrapNone/>
              <wp:docPr id="4" name="Rectangle 4"/>
              <wp:cNvGraphicFramePr/>
              <a:graphic xmlns:a="http://schemas.openxmlformats.org/drawingml/2006/main">
                <a:graphicData uri="http://schemas.microsoft.com/office/word/2010/wordprocessingShape">
                  <wps:wsp>
                    <wps:cNvSpPr/>
                    <wps:spPr>
                      <a:xfrm>
                        <a:off x="0" y="0"/>
                        <a:ext cx="7560000" cy="1188000"/>
                      </a:xfrm>
                      <a:prstGeom prst="rect">
                        <a:avLst/>
                      </a:prstGeom>
                      <a:solidFill>
                        <a:srgbClr val="EBE8E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0733C2" id="Rectangle 4" o:spid="_x0000_s1026" style="position:absolute;margin-left:-36.35pt;margin-top:1.4pt;width:595.3pt;height:93.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FXuewIAAGAFAAAOAAAAZHJzL2Uyb0RvYy54bWysVEtv2zAMvg/YfxB0Xx0HfaRBnSLrYxhQ&#10;tEHboWdFlmIDsqhRSpzs14+SHadrix2G+SCTIvnxIZIXl9vGsI1CX4MteH404kxZCWVtVwX/8Xz7&#10;ZcKZD8KWwoBVBd8pzy9nnz9dtG6qxlCBKRUyArF+2rqCVyG4aZZ5WalG+CNwypJQAzYiEIurrETR&#10;EnpjsvFodJq1gKVDkMp7ur3uhHyW8LVWMjxo7VVgpuAUW0gnpnMZz2x2IaYrFK6qZR+G+IcoGlFb&#10;cjpAXYsg2Brrd1BNLRE86HAkoclA61qqlANlk4/eZPNUCadSLlQc74Yy+f8HK+83T26BVIbW+akn&#10;Mmax1djEP8XHtqlYu6FYahuYpMuzk9MRfZxJkuX5ZBIZwskO5g59+KagYZEoONJrpCKJzZ0Pnepe&#10;JXrzYOrytjYmMbhaXhlkG0Evd/P1ZnJz3qP/oWZsVLYQzTrEeJMdkklU2BkV9Yx9VJrVJYU/TpGk&#10;PlODHyGlsiHvRJUoVef+JCXawQ8WKdMEGJE1+R+we4DYw++xO5heP5qq1KaD8ehvgXXGg0XyDDYM&#10;xk1tAT8CMJRV77nT3xepK02s0hLK3QIZQjck3snbmt7tTviwEEhTQW9Nkx4e6NAG2oJDT3FWAf76&#10;6D7qU7OSlLOWpqzg/udaoOLMfLfUxuf58XEcy8Qcn5yNicHXkuVriV03V0DtkNNOcTKRUT+YPakR&#10;mhdaCPPolUTCSvJdcBlwz1yFbvpppUg1nyc1GkUnwp19cjKCx6rGvnzevgh0ffMG6vt72E+kmL7p&#10;4U43WlqYrwPoOjX4oa59vWmMU+P0Kyfuidd80josxtlvAAAA//8DAFBLAwQUAAYACAAAACEATU7Z&#10;3d8AAAAKAQAADwAAAGRycy9kb3ducmV2LnhtbEyPwU7DMBBE70j8g7VI3FrHkSBNiFMhBIITUgsH&#10;jm68jQOxHcVOavh6tie47WhGs2/qbbIDW3AKvXcSxDoDhq71unedhPe3p9UGWIjKaTV4hxK+McC2&#10;ubyoVaX9ye1w2ceOUYkLlZJgYhwrzkNr0Kqw9iM68o5+siqSnDquJ3WicjvwPMtuuVW9ow9Gjfhg&#10;sP3az1ZCEou54RN/no9694OPnx9JvL5IeX2V7u+ARUzxLwxnfEKHhpgOfnY6sEHCqsgLikrIacHZ&#10;F6IogR3o2pQl8Kbm/yc0vwAAAP//AwBQSwECLQAUAAYACAAAACEAtoM4kv4AAADhAQAAEwAAAAAA&#10;AAAAAAAAAAAAAAAAW0NvbnRlbnRfVHlwZXNdLnhtbFBLAQItABQABgAIAAAAIQA4/SH/1gAAAJQB&#10;AAALAAAAAAAAAAAAAAAAAC8BAABfcmVscy8ucmVsc1BLAQItABQABgAIAAAAIQDB6FXuewIAAGAF&#10;AAAOAAAAAAAAAAAAAAAAAC4CAABkcnMvZTJvRG9jLnhtbFBLAQItABQABgAIAAAAIQBNTtnd3wAA&#10;AAoBAAAPAAAAAAAAAAAAAAAAANUEAABkcnMvZG93bnJldi54bWxQSwUGAAAAAAQABADzAAAA4QUA&#10;AAAA&#10;" fillcolor="#ebe8e9" stroked="f" strokeweight="1pt"/>
          </w:pict>
        </mc:Fallback>
      </mc:AlternateContent>
    </w:r>
    <w:r w:rsidR="005147A6">
      <w:rPr>
        <w:rStyle w:val="ui-provider"/>
      </w:rPr>
      <w:t>Disclaimer: All written materials, communications, surveys and initiatives undertaken by IIGCC are designed solely to support investors in understanding risks and opportunities associated with climate change and take action to address them. Our work is conducted in accordance with all relevant laws, including data protection, competition laws and acting in concert rules. In responding to this consultation document, IIGCC Members are reminded of their duties to act with regard to applicable law, for example, in relation to competition law or rules on inside information. Information should not be disclosed to the extent it is (1) not publicly available; or (2) where the information to be disclosed is not publicly available, it is not commercially or competitively sensitive, to be determined by each disclosing Member.  IIGCC’s materials and services to members do not include financial, legal or investment advice.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972B0" w14:textId="77777777" w:rsidR="009E6EE2" w:rsidRDefault="009E6EE2" w:rsidP="003F27CF">
      <w:r>
        <w:separator/>
      </w:r>
    </w:p>
  </w:footnote>
  <w:footnote w:type="continuationSeparator" w:id="0">
    <w:p w14:paraId="0104E745" w14:textId="77777777" w:rsidR="009E6EE2" w:rsidRDefault="009E6EE2" w:rsidP="003F27CF">
      <w:r>
        <w:continuationSeparator/>
      </w:r>
    </w:p>
  </w:footnote>
  <w:footnote w:type="continuationNotice" w:id="1">
    <w:p w14:paraId="247D0EDC" w14:textId="77777777" w:rsidR="009E6EE2" w:rsidRDefault="009E6EE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6AFBA" w14:textId="239CB178" w:rsidR="004410C9" w:rsidRDefault="004410C9">
    <w:pPr>
      <w:pStyle w:val="Header"/>
    </w:pPr>
    <w:r>
      <w:rPr>
        <w:noProof/>
        <w:color w:val="2B579A"/>
        <w:shd w:val="clear" w:color="auto" w:fill="E6E6E6"/>
      </w:rPr>
      <w:drawing>
        <wp:anchor distT="0" distB="0" distL="114300" distR="114300" simplePos="0" relativeHeight="251658240" behindDoc="1" locked="0" layoutInCell="1" allowOverlap="1" wp14:anchorId="7810085F" wp14:editId="7EC0B3CB">
          <wp:simplePos x="0" y="0"/>
          <wp:positionH relativeFrom="page">
            <wp:posOffset>0</wp:posOffset>
          </wp:positionH>
          <wp:positionV relativeFrom="page">
            <wp:posOffset>0</wp:posOffset>
          </wp:positionV>
          <wp:extent cx="7560000" cy="1173352"/>
          <wp:effectExtent l="0" t="0" r="0" b="0"/>
          <wp:wrapNone/>
          <wp:docPr id="220152767" name="Picture 220152767"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152767" name="Picture 2" descr="A picture containing shap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60000" cy="1173352"/>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DA6AA" w14:textId="34A84E39" w:rsidR="005E5A20" w:rsidRPr="00531DE9" w:rsidRDefault="005E5A20" w:rsidP="00E16C2E">
    <w:pPr>
      <w:pStyle w:val="Header"/>
    </w:pPr>
    <w:r>
      <w:rPr>
        <w:noProof/>
        <w:color w:val="2B579A"/>
        <w:shd w:val="clear" w:color="auto" w:fill="E6E6E6"/>
      </w:rPr>
      <w:drawing>
        <wp:anchor distT="0" distB="0" distL="114300" distR="114300" simplePos="0" relativeHeight="251656192" behindDoc="1" locked="0" layoutInCell="1" allowOverlap="1" wp14:anchorId="332F80EE" wp14:editId="09ED42D7">
          <wp:simplePos x="0" y="0"/>
          <wp:positionH relativeFrom="page">
            <wp:posOffset>7257</wp:posOffset>
          </wp:positionH>
          <wp:positionV relativeFrom="page">
            <wp:posOffset>0</wp:posOffset>
          </wp:positionV>
          <wp:extent cx="7543799" cy="2260600"/>
          <wp:effectExtent l="0" t="0" r="635" b="0"/>
          <wp:wrapNone/>
          <wp:docPr id="1458841169" name="Picture 1458841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841169" name="Picture 1458841169"/>
                  <pic:cNvPicPr/>
                </pic:nvPicPr>
                <pic:blipFill>
                  <a:blip r:embed="rId1">
                    <a:extLst>
                      <a:ext uri="{28A0092B-C50C-407E-A947-70E740481C1C}">
                        <a14:useLocalDpi xmlns:a14="http://schemas.microsoft.com/office/drawing/2010/main" val="0"/>
                      </a:ext>
                    </a:extLst>
                  </a:blip>
                  <a:stretch>
                    <a:fillRect/>
                  </a:stretch>
                </pic:blipFill>
                <pic:spPr>
                  <a:xfrm>
                    <a:off x="0" y="0"/>
                    <a:ext cx="7543799" cy="2260600"/>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9734B"/>
    <w:multiLevelType w:val="hybridMultilevel"/>
    <w:tmpl w:val="CCAC9132"/>
    <w:lvl w:ilvl="0" w:tplc="08090001">
      <w:start w:val="1"/>
      <w:numFmt w:val="bullet"/>
      <w:lvlText w:val=""/>
      <w:lvlJc w:val="left"/>
      <w:pPr>
        <w:ind w:left="947" w:hanging="360"/>
      </w:pPr>
      <w:rPr>
        <w:rFonts w:ascii="Symbol" w:hAnsi="Symbol" w:hint="default"/>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 w15:restartNumberingAfterBreak="0">
    <w:nsid w:val="0CD74940"/>
    <w:multiLevelType w:val="hybridMultilevel"/>
    <w:tmpl w:val="178819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95025E"/>
    <w:multiLevelType w:val="hybridMultilevel"/>
    <w:tmpl w:val="1B946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D16381"/>
    <w:multiLevelType w:val="hybridMultilevel"/>
    <w:tmpl w:val="27C03AB0"/>
    <w:lvl w:ilvl="0" w:tplc="08090001">
      <w:start w:val="1"/>
      <w:numFmt w:val="bullet"/>
      <w:lvlText w:val=""/>
      <w:lvlJc w:val="left"/>
      <w:pPr>
        <w:ind w:left="947" w:hanging="360"/>
      </w:pPr>
      <w:rPr>
        <w:rFonts w:ascii="Symbol" w:hAnsi="Symbol" w:hint="default"/>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4" w15:restartNumberingAfterBreak="0">
    <w:nsid w:val="15FC1C20"/>
    <w:multiLevelType w:val="hybridMultilevel"/>
    <w:tmpl w:val="6CA2E4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69037DF"/>
    <w:multiLevelType w:val="hybridMultilevel"/>
    <w:tmpl w:val="5BC04A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8C60DA2"/>
    <w:multiLevelType w:val="multilevel"/>
    <w:tmpl w:val="3AE4A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4B3037"/>
    <w:multiLevelType w:val="multilevel"/>
    <w:tmpl w:val="3AE4A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7A11FC"/>
    <w:multiLevelType w:val="hybridMultilevel"/>
    <w:tmpl w:val="42982C1A"/>
    <w:lvl w:ilvl="0" w:tplc="08090001">
      <w:start w:val="1"/>
      <w:numFmt w:val="bullet"/>
      <w:lvlText w:val=""/>
      <w:lvlJc w:val="left"/>
      <w:pPr>
        <w:ind w:left="947" w:hanging="360"/>
      </w:pPr>
      <w:rPr>
        <w:rFonts w:ascii="Symbol" w:hAnsi="Symbol" w:hint="default"/>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0C551E5"/>
    <w:multiLevelType w:val="hybridMultilevel"/>
    <w:tmpl w:val="0FC68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3792398"/>
    <w:multiLevelType w:val="hybridMultilevel"/>
    <w:tmpl w:val="D8141E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3B215A7"/>
    <w:multiLevelType w:val="hybridMultilevel"/>
    <w:tmpl w:val="C3FA03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45F055E"/>
    <w:multiLevelType w:val="multilevel"/>
    <w:tmpl w:val="3AE4A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5E1E9B"/>
    <w:multiLevelType w:val="hybridMultilevel"/>
    <w:tmpl w:val="BC1021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42C42D6"/>
    <w:multiLevelType w:val="hybridMultilevel"/>
    <w:tmpl w:val="793692F4"/>
    <w:lvl w:ilvl="0" w:tplc="08090001">
      <w:start w:val="1"/>
      <w:numFmt w:val="bullet"/>
      <w:lvlText w:val=""/>
      <w:lvlJc w:val="left"/>
      <w:pPr>
        <w:ind w:left="947" w:hanging="360"/>
      </w:pPr>
      <w:rPr>
        <w:rFonts w:ascii="Symbol" w:hAnsi="Symbol" w:hint="default"/>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5" w15:restartNumberingAfterBreak="0">
    <w:nsid w:val="36593042"/>
    <w:multiLevelType w:val="hybridMultilevel"/>
    <w:tmpl w:val="75ACD8EA"/>
    <w:lvl w:ilvl="0" w:tplc="08090001">
      <w:start w:val="1"/>
      <w:numFmt w:val="bullet"/>
      <w:lvlText w:val=""/>
      <w:lvlJc w:val="left"/>
      <w:pPr>
        <w:ind w:left="947" w:hanging="360"/>
      </w:pPr>
      <w:rPr>
        <w:rFonts w:ascii="Symbol" w:hAnsi="Symbol" w:hint="default"/>
      </w:rPr>
    </w:lvl>
    <w:lvl w:ilvl="1" w:tplc="08090003">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6" w15:restartNumberingAfterBreak="0">
    <w:nsid w:val="3D620C20"/>
    <w:multiLevelType w:val="hybridMultilevel"/>
    <w:tmpl w:val="D8888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06B7B70"/>
    <w:multiLevelType w:val="hybridMultilevel"/>
    <w:tmpl w:val="DC60DB6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29E7608"/>
    <w:multiLevelType w:val="hybridMultilevel"/>
    <w:tmpl w:val="797632C2"/>
    <w:lvl w:ilvl="0" w:tplc="89E6AE38">
      <w:start w:val="1"/>
      <w:numFmt w:val="bullet"/>
      <w:pStyle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4F93C2D"/>
    <w:multiLevelType w:val="hybridMultilevel"/>
    <w:tmpl w:val="ADCCDF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64D375F"/>
    <w:multiLevelType w:val="hybridMultilevel"/>
    <w:tmpl w:val="DFBCE494"/>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1" w15:restartNumberingAfterBreak="0">
    <w:nsid w:val="47BF3BFE"/>
    <w:multiLevelType w:val="hybridMultilevel"/>
    <w:tmpl w:val="8834C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FC623A2"/>
    <w:multiLevelType w:val="hybridMultilevel"/>
    <w:tmpl w:val="75885F90"/>
    <w:lvl w:ilvl="0" w:tplc="08090001">
      <w:start w:val="1"/>
      <w:numFmt w:val="bullet"/>
      <w:lvlText w:val=""/>
      <w:lvlJc w:val="left"/>
      <w:pPr>
        <w:ind w:left="947" w:hanging="360"/>
      </w:pPr>
      <w:rPr>
        <w:rFonts w:ascii="Symbol" w:hAnsi="Symbol" w:hint="default"/>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23" w15:restartNumberingAfterBreak="0">
    <w:nsid w:val="515A23A2"/>
    <w:multiLevelType w:val="hybridMultilevel"/>
    <w:tmpl w:val="7FC8B4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26A6DE0"/>
    <w:multiLevelType w:val="hybridMultilevel"/>
    <w:tmpl w:val="166A41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5310057"/>
    <w:multiLevelType w:val="hybridMultilevel"/>
    <w:tmpl w:val="5C386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544F88"/>
    <w:multiLevelType w:val="hybridMultilevel"/>
    <w:tmpl w:val="B5B46232"/>
    <w:lvl w:ilvl="0" w:tplc="08090001">
      <w:start w:val="1"/>
      <w:numFmt w:val="bullet"/>
      <w:lvlText w:val=""/>
      <w:lvlJc w:val="left"/>
      <w:pPr>
        <w:ind w:left="947" w:hanging="360"/>
      </w:pPr>
      <w:rPr>
        <w:rFonts w:ascii="Symbol" w:hAnsi="Symbol" w:hint="default"/>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27" w15:restartNumberingAfterBreak="0">
    <w:nsid w:val="6574651A"/>
    <w:multiLevelType w:val="hybridMultilevel"/>
    <w:tmpl w:val="EC3449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6BC6080"/>
    <w:multiLevelType w:val="multilevel"/>
    <w:tmpl w:val="3AE4A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BCE5AC0"/>
    <w:multiLevelType w:val="hybridMultilevel"/>
    <w:tmpl w:val="8864C56E"/>
    <w:lvl w:ilvl="0" w:tplc="08090001">
      <w:start w:val="1"/>
      <w:numFmt w:val="bullet"/>
      <w:lvlText w:val=""/>
      <w:lvlJc w:val="left"/>
      <w:pPr>
        <w:ind w:left="947" w:hanging="360"/>
      </w:pPr>
      <w:rPr>
        <w:rFonts w:ascii="Symbol" w:hAnsi="Symbol" w:hint="default"/>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num w:numId="1" w16cid:durableId="1077170002">
    <w:abstractNumId w:val="18"/>
  </w:num>
  <w:num w:numId="2" w16cid:durableId="1618566951">
    <w:abstractNumId w:val="5"/>
  </w:num>
  <w:num w:numId="3" w16cid:durableId="140468225">
    <w:abstractNumId w:val="13"/>
  </w:num>
  <w:num w:numId="4" w16cid:durableId="1613518380">
    <w:abstractNumId w:val="1"/>
  </w:num>
  <w:num w:numId="5" w16cid:durableId="1355961128">
    <w:abstractNumId w:val="26"/>
  </w:num>
  <w:num w:numId="6" w16cid:durableId="1662733487">
    <w:abstractNumId w:val="2"/>
  </w:num>
  <w:num w:numId="7" w16cid:durableId="1542284417">
    <w:abstractNumId w:val="12"/>
  </w:num>
  <w:num w:numId="8" w16cid:durableId="749696182">
    <w:abstractNumId w:val="19"/>
  </w:num>
  <w:num w:numId="9" w16cid:durableId="2040928698">
    <w:abstractNumId w:val="9"/>
  </w:num>
  <w:num w:numId="10" w16cid:durableId="1590649807">
    <w:abstractNumId w:val="15"/>
  </w:num>
  <w:num w:numId="11" w16cid:durableId="1771395355">
    <w:abstractNumId w:val="14"/>
  </w:num>
  <w:num w:numId="12" w16cid:durableId="1901474694">
    <w:abstractNumId w:val="22"/>
  </w:num>
  <w:num w:numId="13" w16cid:durableId="1565486111">
    <w:abstractNumId w:val="8"/>
  </w:num>
  <w:num w:numId="14" w16cid:durableId="274407012">
    <w:abstractNumId w:val="3"/>
  </w:num>
  <w:num w:numId="15" w16cid:durableId="468279102">
    <w:abstractNumId w:val="6"/>
  </w:num>
  <w:num w:numId="16" w16cid:durableId="1812138981">
    <w:abstractNumId w:val="28"/>
  </w:num>
  <w:num w:numId="17" w16cid:durableId="464003207">
    <w:abstractNumId w:val="7"/>
  </w:num>
  <w:num w:numId="18" w16cid:durableId="930700746">
    <w:abstractNumId w:val="21"/>
  </w:num>
  <w:num w:numId="19" w16cid:durableId="1257443266">
    <w:abstractNumId w:val="16"/>
  </w:num>
  <w:num w:numId="20" w16cid:durableId="143550800">
    <w:abstractNumId w:val="27"/>
  </w:num>
  <w:num w:numId="21" w16cid:durableId="689261184">
    <w:abstractNumId w:val="23"/>
  </w:num>
  <w:num w:numId="22" w16cid:durableId="1662927983">
    <w:abstractNumId w:val="10"/>
  </w:num>
  <w:num w:numId="23" w16cid:durableId="624770446">
    <w:abstractNumId w:val="17"/>
  </w:num>
  <w:num w:numId="24" w16cid:durableId="324170753">
    <w:abstractNumId w:val="4"/>
  </w:num>
  <w:num w:numId="25" w16cid:durableId="1458570339">
    <w:abstractNumId w:val="29"/>
  </w:num>
  <w:num w:numId="26" w16cid:durableId="591972">
    <w:abstractNumId w:val="0"/>
  </w:num>
  <w:num w:numId="27" w16cid:durableId="418135816">
    <w:abstractNumId w:val="20"/>
  </w:num>
  <w:num w:numId="28" w16cid:durableId="1514219650">
    <w:abstractNumId w:val="25"/>
  </w:num>
  <w:num w:numId="29" w16cid:durableId="1317303497">
    <w:abstractNumId w:val="11"/>
  </w:num>
  <w:num w:numId="30" w16cid:durableId="301930899">
    <w:abstractNumId w:val="2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efaultTableStyle w:val="TableGrid"/>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7CF"/>
    <w:rsid w:val="00000587"/>
    <w:rsid w:val="00000629"/>
    <w:rsid w:val="00000A34"/>
    <w:rsid w:val="00000CCA"/>
    <w:rsid w:val="00000EEE"/>
    <w:rsid w:val="000015F0"/>
    <w:rsid w:val="00002E80"/>
    <w:rsid w:val="00004B69"/>
    <w:rsid w:val="00005009"/>
    <w:rsid w:val="00005268"/>
    <w:rsid w:val="00005E3D"/>
    <w:rsid w:val="00007325"/>
    <w:rsid w:val="0000749B"/>
    <w:rsid w:val="00007AD4"/>
    <w:rsid w:val="00010BB1"/>
    <w:rsid w:val="00012F5F"/>
    <w:rsid w:val="0001358E"/>
    <w:rsid w:val="000138D7"/>
    <w:rsid w:val="0001792D"/>
    <w:rsid w:val="00021893"/>
    <w:rsid w:val="00021BB5"/>
    <w:rsid w:val="00022AAB"/>
    <w:rsid w:val="00022ED5"/>
    <w:rsid w:val="00024FF9"/>
    <w:rsid w:val="0002599C"/>
    <w:rsid w:val="00025ADE"/>
    <w:rsid w:val="00025B38"/>
    <w:rsid w:val="0002622D"/>
    <w:rsid w:val="000269BE"/>
    <w:rsid w:val="00026D1C"/>
    <w:rsid w:val="000306EC"/>
    <w:rsid w:val="0003093F"/>
    <w:rsid w:val="0003178E"/>
    <w:rsid w:val="00031BB3"/>
    <w:rsid w:val="000321C8"/>
    <w:rsid w:val="000326D0"/>
    <w:rsid w:val="00035053"/>
    <w:rsid w:val="00036D81"/>
    <w:rsid w:val="00041332"/>
    <w:rsid w:val="0004214D"/>
    <w:rsid w:val="00042B4F"/>
    <w:rsid w:val="00042DF9"/>
    <w:rsid w:val="000434F7"/>
    <w:rsid w:val="00044816"/>
    <w:rsid w:val="000472B9"/>
    <w:rsid w:val="00050258"/>
    <w:rsid w:val="000515F2"/>
    <w:rsid w:val="00051D16"/>
    <w:rsid w:val="00052C65"/>
    <w:rsid w:val="0005353B"/>
    <w:rsid w:val="000536A0"/>
    <w:rsid w:val="00053BE0"/>
    <w:rsid w:val="00053FE4"/>
    <w:rsid w:val="00054740"/>
    <w:rsid w:val="00055C42"/>
    <w:rsid w:val="0005640F"/>
    <w:rsid w:val="00057B33"/>
    <w:rsid w:val="000611BB"/>
    <w:rsid w:val="000611DB"/>
    <w:rsid w:val="000614A8"/>
    <w:rsid w:val="000622F4"/>
    <w:rsid w:val="0006336E"/>
    <w:rsid w:val="00066031"/>
    <w:rsid w:val="00066078"/>
    <w:rsid w:val="00067490"/>
    <w:rsid w:val="00070929"/>
    <w:rsid w:val="00071810"/>
    <w:rsid w:val="00071A65"/>
    <w:rsid w:val="00072C03"/>
    <w:rsid w:val="00073D00"/>
    <w:rsid w:val="00074558"/>
    <w:rsid w:val="000748F0"/>
    <w:rsid w:val="00074C15"/>
    <w:rsid w:val="0007591D"/>
    <w:rsid w:val="000759C0"/>
    <w:rsid w:val="000761B2"/>
    <w:rsid w:val="00076356"/>
    <w:rsid w:val="00077089"/>
    <w:rsid w:val="000771F9"/>
    <w:rsid w:val="0008102F"/>
    <w:rsid w:val="0008118D"/>
    <w:rsid w:val="00082210"/>
    <w:rsid w:val="000866B8"/>
    <w:rsid w:val="00086830"/>
    <w:rsid w:val="00086F7B"/>
    <w:rsid w:val="00091A3A"/>
    <w:rsid w:val="00091D4C"/>
    <w:rsid w:val="00091EF1"/>
    <w:rsid w:val="00092285"/>
    <w:rsid w:val="00092406"/>
    <w:rsid w:val="000926AE"/>
    <w:rsid w:val="00093A45"/>
    <w:rsid w:val="00094032"/>
    <w:rsid w:val="00094A39"/>
    <w:rsid w:val="00095099"/>
    <w:rsid w:val="000950D7"/>
    <w:rsid w:val="000955D8"/>
    <w:rsid w:val="000955EB"/>
    <w:rsid w:val="0009693C"/>
    <w:rsid w:val="00096E4F"/>
    <w:rsid w:val="00097109"/>
    <w:rsid w:val="00097B3B"/>
    <w:rsid w:val="000A0DB6"/>
    <w:rsid w:val="000A0E3E"/>
    <w:rsid w:val="000A3A40"/>
    <w:rsid w:val="000A3BA9"/>
    <w:rsid w:val="000A4514"/>
    <w:rsid w:val="000A7656"/>
    <w:rsid w:val="000B3520"/>
    <w:rsid w:val="000B411D"/>
    <w:rsid w:val="000B4370"/>
    <w:rsid w:val="000B69CB"/>
    <w:rsid w:val="000B7D94"/>
    <w:rsid w:val="000C0A74"/>
    <w:rsid w:val="000C0BD2"/>
    <w:rsid w:val="000C0CB1"/>
    <w:rsid w:val="000C0EF2"/>
    <w:rsid w:val="000C10E3"/>
    <w:rsid w:val="000C1A80"/>
    <w:rsid w:val="000C1E6C"/>
    <w:rsid w:val="000C4BDC"/>
    <w:rsid w:val="000C5650"/>
    <w:rsid w:val="000C6118"/>
    <w:rsid w:val="000C718E"/>
    <w:rsid w:val="000C7C19"/>
    <w:rsid w:val="000D03A8"/>
    <w:rsid w:val="000D12B3"/>
    <w:rsid w:val="000D2515"/>
    <w:rsid w:val="000D3179"/>
    <w:rsid w:val="000D319D"/>
    <w:rsid w:val="000D4F2E"/>
    <w:rsid w:val="000D5BDD"/>
    <w:rsid w:val="000E0401"/>
    <w:rsid w:val="000E0B19"/>
    <w:rsid w:val="000E0CB3"/>
    <w:rsid w:val="000E0E2A"/>
    <w:rsid w:val="000E1F3E"/>
    <w:rsid w:val="000E2A93"/>
    <w:rsid w:val="000E4636"/>
    <w:rsid w:val="000E4B3F"/>
    <w:rsid w:val="000E5B08"/>
    <w:rsid w:val="000E6A9A"/>
    <w:rsid w:val="000F07B7"/>
    <w:rsid w:val="000F1291"/>
    <w:rsid w:val="000F15B8"/>
    <w:rsid w:val="000F1793"/>
    <w:rsid w:val="000F2189"/>
    <w:rsid w:val="000F3716"/>
    <w:rsid w:val="000F374A"/>
    <w:rsid w:val="000F401E"/>
    <w:rsid w:val="000F6255"/>
    <w:rsid w:val="000F7463"/>
    <w:rsid w:val="000F7825"/>
    <w:rsid w:val="00100270"/>
    <w:rsid w:val="00100B1C"/>
    <w:rsid w:val="001037DE"/>
    <w:rsid w:val="00106C25"/>
    <w:rsid w:val="0010750D"/>
    <w:rsid w:val="00107DBF"/>
    <w:rsid w:val="00110182"/>
    <w:rsid w:val="00110296"/>
    <w:rsid w:val="00110D05"/>
    <w:rsid w:val="00111CD7"/>
    <w:rsid w:val="00111E77"/>
    <w:rsid w:val="00112157"/>
    <w:rsid w:val="00112A2B"/>
    <w:rsid w:val="00112A72"/>
    <w:rsid w:val="00114EB1"/>
    <w:rsid w:val="00117257"/>
    <w:rsid w:val="001176B7"/>
    <w:rsid w:val="0011770C"/>
    <w:rsid w:val="00117B1F"/>
    <w:rsid w:val="0012114B"/>
    <w:rsid w:val="00121E87"/>
    <w:rsid w:val="001254A5"/>
    <w:rsid w:val="00125A6A"/>
    <w:rsid w:val="001269D4"/>
    <w:rsid w:val="00126CD3"/>
    <w:rsid w:val="00126EC3"/>
    <w:rsid w:val="00130525"/>
    <w:rsid w:val="00130AD9"/>
    <w:rsid w:val="00131EE7"/>
    <w:rsid w:val="0013233A"/>
    <w:rsid w:val="0013288F"/>
    <w:rsid w:val="00132CCE"/>
    <w:rsid w:val="00133D9D"/>
    <w:rsid w:val="0013481C"/>
    <w:rsid w:val="0013534C"/>
    <w:rsid w:val="0013621F"/>
    <w:rsid w:val="00136EA5"/>
    <w:rsid w:val="00136F86"/>
    <w:rsid w:val="00137920"/>
    <w:rsid w:val="001408E7"/>
    <w:rsid w:val="00141FF2"/>
    <w:rsid w:val="00142FA5"/>
    <w:rsid w:val="00143101"/>
    <w:rsid w:val="00143291"/>
    <w:rsid w:val="0014452E"/>
    <w:rsid w:val="001448A6"/>
    <w:rsid w:val="001458E9"/>
    <w:rsid w:val="001467C7"/>
    <w:rsid w:val="00146A55"/>
    <w:rsid w:val="00146CF6"/>
    <w:rsid w:val="001477C1"/>
    <w:rsid w:val="00147AB6"/>
    <w:rsid w:val="00150C2D"/>
    <w:rsid w:val="00151411"/>
    <w:rsid w:val="00153600"/>
    <w:rsid w:val="00153E3E"/>
    <w:rsid w:val="001540B2"/>
    <w:rsid w:val="0015442A"/>
    <w:rsid w:val="0015470B"/>
    <w:rsid w:val="001550CB"/>
    <w:rsid w:val="0015545D"/>
    <w:rsid w:val="00156797"/>
    <w:rsid w:val="00156C4F"/>
    <w:rsid w:val="001572EA"/>
    <w:rsid w:val="001576EA"/>
    <w:rsid w:val="00157C5B"/>
    <w:rsid w:val="00157F49"/>
    <w:rsid w:val="00161DA8"/>
    <w:rsid w:val="00161F7C"/>
    <w:rsid w:val="00163855"/>
    <w:rsid w:val="00164F0C"/>
    <w:rsid w:val="001661F7"/>
    <w:rsid w:val="00171D6A"/>
    <w:rsid w:val="00172928"/>
    <w:rsid w:val="00172EA9"/>
    <w:rsid w:val="00174DEE"/>
    <w:rsid w:val="001775AE"/>
    <w:rsid w:val="001800C9"/>
    <w:rsid w:val="00180855"/>
    <w:rsid w:val="00180C42"/>
    <w:rsid w:val="001810FF"/>
    <w:rsid w:val="00183EB5"/>
    <w:rsid w:val="00184DA8"/>
    <w:rsid w:val="00186030"/>
    <w:rsid w:val="001865CD"/>
    <w:rsid w:val="00186BEB"/>
    <w:rsid w:val="00186D0B"/>
    <w:rsid w:val="00187628"/>
    <w:rsid w:val="0018773C"/>
    <w:rsid w:val="001903B0"/>
    <w:rsid w:val="001923F0"/>
    <w:rsid w:val="00194139"/>
    <w:rsid w:val="00194BB6"/>
    <w:rsid w:val="001973DA"/>
    <w:rsid w:val="0019770D"/>
    <w:rsid w:val="001A02CF"/>
    <w:rsid w:val="001A08AB"/>
    <w:rsid w:val="001A0AB5"/>
    <w:rsid w:val="001A17B1"/>
    <w:rsid w:val="001A342B"/>
    <w:rsid w:val="001A44B9"/>
    <w:rsid w:val="001A44E9"/>
    <w:rsid w:val="001A5529"/>
    <w:rsid w:val="001A5947"/>
    <w:rsid w:val="001A5A42"/>
    <w:rsid w:val="001A6836"/>
    <w:rsid w:val="001A72C2"/>
    <w:rsid w:val="001B0505"/>
    <w:rsid w:val="001B248D"/>
    <w:rsid w:val="001B371E"/>
    <w:rsid w:val="001B3D9E"/>
    <w:rsid w:val="001B567A"/>
    <w:rsid w:val="001B5A9B"/>
    <w:rsid w:val="001B6581"/>
    <w:rsid w:val="001C0097"/>
    <w:rsid w:val="001C1683"/>
    <w:rsid w:val="001C2392"/>
    <w:rsid w:val="001C2397"/>
    <w:rsid w:val="001C33AF"/>
    <w:rsid w:val="001C35AC"/>
    <w:rsid w:val="001C3940"/>
    <w:rsid w:val="001C43D4"/>
    <w:rsid w:val="001C4616"/>
    <w:rsid w:val="001C592B"/>
    <w:rsid w:val="001C64A8"/>
    <w:rsid w:val="001C6719"/>
    <w:rsid w:val="001C7092"/>
    <w:rsid w:val="001C760E"/>
    <w:rsid w:val="001D1109"/>
    <w:rsid w:val="001D1166"/>
    <w:rsid w:val="001D1EF0"/>
    <w:rsid w:val="001D1F97"/>
    <w:rsid w:val="001D2521"/>
    <w:rsid w:val="001D3C75"/>
    <w:rsid w:val="001D3F0F"/>
    <w:rsid w:val="001D452A"/>
    <w:rsid w:val="001D5C9A"/>
    <w:rsid w:val="001D642B"/>
    <w:rsid w:val="001D6604"/>
    <w:rsid w:val="001D6959"/>
    <w:rsid w:val="001E07F6"/>
    <w:rsid w:val="001E37B6"/>
    <w:rsid w:val="001E3870"/>
    <w:rsid w:val="001E4F8A"/>
    <w:rsid w:val="001E6AB7"/>
    <w:rsid w:val="001E6B15"/>
    <w:rsid w:val="001F23D1"/>
    <w:rsid w:val="001F3057"/>
    <w:rsid w:val="001F35B2"/>
    <w:rsid w:val="001F3AEB"/>
    <w:rsid w:val="001F4104"/>
    <w:rsid w:val="001F4761"/>
    <w:rsid w:val="001F4F94"/>
    <w:rsid w:val="001F4F95"/>
    <w:rsid w:val="001F5E8F"/>
    <w:rsid w:val="001F7182"/>
    <w:rsid w:val="001F78BC"/>
    <w:rsid w:val="002005E7"/>
    <w:rsid w:val="00202D20"/>
    <w:rsid w:val="00202E2A"/>
    <w:rsid w:val="0020322F"/>
    <w:rsid w:val="002059D2"/>
    <w:rsid w:val="00205DD0"/>
    <w:rsid w:val="00206097"/>
    <w:rsid w:val="00207A3D"/>
    <w:rsid w:val="00207B5A"/>
    <w:rsid w:val="00207EC8"/>
    <w:rsid w:val="002108DC"/>
    <w:rsid w:val="00212280"/>
    <w:rsid w:val="0021268D"/>
    <w:rsid w:val="00213B91"/>
    <w:rsid w:val="00213F6A"/>
    <w:rsid w:val="00215BBB"/>
    <w:rsid w:val="00215C9B"/>
    <w:rsid w:val="00215FF8"/>
    <w:rsid w:val="00216568"/>
    <w:rsid w:val="00220E3C"/>
    <w:rsid w:val="00220FDF"/>
    <w:rsid w:val="0022428C"/>
    <w:rsid w:val="00224314"/>
    <w:rsid w:val="00224567"/>
    <w:rsid w:val="002249E3"/>
    <w:rsid w:val="00224A38"/>
    <w:rsid w:val="0022515B"/>
    <w:rsid w:val="0022603A"/>
    <w:rsid w:val="00226E4E"/>
    <w:rsid w:val="002271BE"/>
    <w:rsid w:val="00227355"/>
    <w:rsid w:val="00227D79"/>
    <w:rsid w:val="00230F91"/>
    <w:rsid w:val="00232009"/>
    <w:rsid w:val="00233125"/>
    <w:rsid w:val="00233BC4"/>
    <w:rsid w:val="002341C1"/>
    <w:rsid w:val="002342DF"/>
    <w:rsid w:val="0023556D"/>
    <w:rsid w:val="00237432"/>
    <w:rsid w:val="00240002"/>
    <w:rsid w:val="0024075E"/>
    <w:rsid w:val="002408A8"/>
    <w:rsid w:val="00240966"/>
    <w:rsid w:val="00240F69"/>
    <w:rsid w:val="002416FC"/>
    <w:rsid w:val="002427CA"/>
    <w:rsid w:val="00242E6C"/>
    <w:rsid w:val="0024343B"/>
    <w:rsid w:val="00245B44"/>
    <w:rsid w:val="00245B47"/>
    <w:rsid w:val="002465AC"/>
    <w:rsid w:val="002467BE"/>
    <w:rsid w:val="00246AAD"/>
    <w:rsid w:val="00250CF4"/>
    <w:rsid w:val="00250FB2"/>
    <w:rsid w:val="00251EAC"/>
    <w:rsid w:val="002520F7"/>
    <w:rsid w:val="002525EE"/>
    <w:rsid w:val="002526C1"/>
    <w:rsid w:val="002534B4"/>
    <w:rsid w:val="002534E4"/>
    <w:rsid w:val="0025550F"/>
    <w:rsid w:val="002557F3"/>
    <w:rsid w:val="002574DD"/>
    <w:rsid w:val="0025765A"/>
    <w:rsid w:val="0026001D"/>
    <w:rsid w:val="00261A37"/>
    <w:rsid w:val="00261FB5"/>
    <w:rsid w:val="00262187"/>
    <w:rsid w:val="00262553"/>
    <w:rsid w:val="002640C6"/>
    <w:rsid w:val="002640E6"/>
    <w:rsid w:val="00266C9F"/>
    <w:rsid w:val="00270D99"/>
    <w:rsid w:val="00271478"/>
    <w:rsid w:val="00271A25"/>
    <w:rsid w:val="00271B0C"/>
    <w:rsid w:val="00272CA5"/>
    <w:rsid w:val="00273A65"/>
    <w:rsid w:val="002741AF"/>
    <w:rsid w:val="00274925"/>
    <w:rsid w:val="00276484"/>
    <w:rsid w:val="00276936"/>
    <w:rsid w:val="00277F21"/>
    <w:rsid w:val="0028063A"/>
    <w:rsid w:val="00281D25"/>
    <w:rsid w:val="00281D71"/>
    <w:rsid w:val="00281DDB"/>
    <w:rsid w:val="002849F4"/>
    <w:rsid w:val="002859FF"/>
    <w:rsid w:val="00285CC6"/>
    <w:rsid w:val="00287D2B"/>
    <w:rsid w:val="00290610"/>
    <w:rsid w:val="0029092C"/>
    <w:rsid w:val="00291D0B"/>
    <w:rsid w:val="002930B7"/>
    <w:rsid w:val="00293B0E"/>
    <w:rsid w:val="00293E28"/>
    <w:rsid w:val="002952E4"/>
    <w:rsid w:val="00295B6B"/>
    <w:rsid w:val="0029639C"/>
    <w:rsid w:val="002963A8"/>
    <w:rsid w:val="00297D58"/>
    <w:rsid w:val="002A047F"/>
    <w:rsid w:val="002A0651"/>
    <w:rsid w:val="002A08CE"/>
    <w:rsid w:val="002A1F56"/>
    <w:rsid w:val="002A3859"/>
    <w:rsid w:val="002A3899"/>
    <w:rsid w:val="002A488D"/>
    <w:rsid w:val="002A4FC8"/>
    <w:rsid w:val="002A59CF"/>
    <w:rsid w:val="002A5F23"/>
    <w:rsid w:val="002A6996"/>
    <w:rsid w:val="002A6C71"/>
    <w:rsid w:val="002A7A50"/>
    <w:rsid w:val="002A7BB0"/>
    <w:rsid w:val="002A7EAF"/>
    <w:rsid w:val="002B0339"/>
    <w:rsid w:val="002B08E2"/>
    <w:rsid w:val="002B0D65"/>
    <w:rsid w:val="002B0EAC"/>
    <w:rsid w:val="002B1667"/>
    <w:rsid w:val="002B212B"/>
    <w:rsid w:val="002B2FD4"/>
    <w:rsid w:val="002B3FBD"/>
    <w:rsid w:val="002B4A63"/>
    <w:rsid w:val="002B7404"/>
    <w:rsid w:val="002B7C35"/>
    <w:rsid w:val="002C00D2"/>
    <w:rsid w:val="002C1159"/>
    <w:rsid w:val="002C1198"/>
    <w:rsid w:val="002C21B7"/>
    <w:rsid w:val="002C2FEA"/>
    <w:rsid w:val="002C35F9"/>
    <w:rsid w:val="002C3757"/>
    <w:rsid w:val="002C3FBE"/>
    <w:rsid w:val="002C4C13"/>
    <w:rsid w:val="002C5138"/>
    <w:rsid w:val="002C70FB"/>
    <w:rsid w:val="002D0E97"/>
    <w:rsid w:val="002D12E4"/>
    <w:rsid w:val="002D1B5D"/>
    <w:rsid w:val="002D3C53"/>
    <w:rsid w:val="002D4447"/>
    <w:rsid w:val="002D4EA7"/>
    <w:rsid w:val="002D5955"/>
    <w:rsid w:val="002D5C11"/>
    <w:rsid w:val="002D605C"/>
    <w:rsid w:val="002D77A0"/>
    <w:rsid w:val="002E058E"/>
    <w:rsid w:val="002E0A62"/>
    <w:rsid w:val="002E17D8"/>
    <w:rsid w:val="002E24B2"/>
    <w:rsid w:val="002E372B"/>
    <w:rsid w:val="002E438B"/>
    <w:rsid w:val="002E47F3"/>
    <w:rsid w:val="002E4820"/>
    <w:rsid w:val="002E51E3"/>
    <w:rsid w:val="002E566B"/>
    <w:rsid w:val="002E58E7"/>
    <w:rsid w:val="002E6836"/>
    <w:rsid w:val="002E7C75"/>
    <w:rsid w:val="002F2A39"/>
    <w:rsid w:val="002F2AFD"/>
    <w:rsid w:val="002F44EF"/>
    <w:rsid w:val="002F4882"/>
    <w:rsid w:val="002F608B"/>
    <w:rsid w:val="002F6816"/>
    <w:rsid w:val="002F6855"/>
    <w:rsid w:val="002F6ED3"/>
    <w:rsid w:val="002F74E5"/>
    <w:rsid w:val="00300000"/>
    <w:rsid w:val="003004C7"/>
    <w:rsid w:val="00301B33"/>
    <w:rsid w:val="00303798"/>
    <w:rsid w:val="0030455E"/>
    <w:rsid w:val="00304BEB"/>
    <w:rsid w:val="00305645"/>
    <w:rsid w:val="0030650F"/>
    <w:rsid w:val="00307172"/>
    <w:rsid w:val="003077D7"/>
    <w:rsid w:val="003101C5"/>
    <w:rsid w:val="00310AEB"/>
    <w:rsid w:val="00310B84"/>
    <w:rsid w:val="00312570"/>
    <w:rsid w:val="003141E7"/>
    <w:rsid w:val="003148EA"/>
    <w:rsid w:val="00314C55"/>
    <w:rsid w:val="003156EC"/>
    <w:rsid w:val="00315A0F"/>
    <w:rsid w:val="00316FC9"/>
    <w:rsid w:val="0032153A"/>
    <w:rsid w:val="00321D3C"/>
    <w:rsid w:val="00322C16"/>
    <w:rsid w:val="003231E4"/>
    <w:rsid w:val="00324F8F"/>
    <w:rsid w:val="003255CD"/>
    <w:rsid w:val="003264CB"/>
    <w:rsid w:val="003270D1"/>
    <w:rsid w:val="0033044A"/>
    <w:rsid w:val="0033082D"/>
    <w:rsid w:val="003312DE"/>
    <w:rsid w:val="00331AA0"/>
    <w:rsid w:val="00332537"/>
    <w:rsid w:val="003333B9"/>
    <w:rsid w:val="003335EF"/>
    <w:rsid w:val="00334D3A"/>
    <w:rsid w:val="003361BA"/>
    <w:rsid w:val="003362A8"/>
    <w:rsid w:val="00336CED"/>
    <w:rsid w:val="0034239C"/>
    <w:rsid w:val="00342657"/>
    <w:rsid w:val="003428BB"/>
    <w:rsid w:val="0034305D"/>
    <w:rsid w:val="00343B1A"/>
    <w:rsid w:val="00343FB5"/>
    <w:rsid w:val="003449DD"/>
    <w:rsid w:val="0034525A"/>
    <w:rsid w:val="00345641"/>
    <w:rsid w:val="00345702"/>
    <w:rsid w:val="00345988"/>
    <w:rsid w:val="003459A8"/>
    <w:rsid w:val="00345CD4"/>
    <w:rsid w:val="00347153"/>
    <w:rsid w:val="00347165"/>
    <w:rsid w:val="00350938"/>
    <w:rsid w:val="0035116A"/>
    <w:rsid w:val="00351961"/>
    <w:rsid w:val="00351A81"/>
    <w:rsid w:val="00351C1A"/>
    <w:rsid w:val="003522EE"/>
    <w:rsid w:val="00353A91"/>
    <w:rsid w:val="00353AC2"/>
    <w:rsid w:val="00353E10"/>
    <w:rsid w:val="003558CC"/>
    <w:rsid w:val="003577F4"/>
    <w:rsid w:val="00360192"/>
    <w:rsid w:val="0036045E"/>
    <w:rsid w:val="003609DC"/>
    <w:rsid w:val="0036116A"/>
    <w:rsid w:val="003611CD"/>
    <w:rsid w:val="00361315"/>
    <w:rsid w:val="003636C6"/>
    <w:rsid w:val="0036396C"/>
    <w:rsid w:val="00363E0C"/>
    <w:rsid w:val="0036418B"/>
    <w:rsid w:val="0036465E"/>
    <w:rsid w:val="00366794"/>
    <w:rsid w:val="003668B8"/>
    <w:rsid w:val="00366AAD"/>
    <w:rsid w:val="00366F13"/>
    <w:rsid w:val="003701AE"/>
    <w:rsid w:val="00370CE9"/>
    <w:rsid w:val="0037118F"/>
    <w:rsid w:val="0037187B"/>
    <w:rsid w:val="00372263"/>
    <w:rsid w:val="00372D3F"/>
    <w:rsid w:val="003730BF"/>
    <w:rsid w:val="00374D38"/>
    <w:rsid w:val="003753D4"/>
    <w:rsid w:val="00375BF1"/>
    <w:rsid w:val="00375E6B"/>
    <w:rsid w:val="00376580"/>
    <w:rsid w:val="00376B26"/>
    <w:rsid w:val="00384074"/>
    <w:rsid w:val="00385825"/>
    <w:rsid w:val="003858D2"/>
    <w:rsid w:val="00386F57"/>
    <w:rsid w:val="00390256"/>
    <w:rsid w:val="003908E4"/>
    <w:rsid w:val="00391206"/>
    <w:rsid w:val="0039221C"/>
    <w:rsid w:val="003924E5"/>
    <w:rsid w:val="00395BA5"/>
    <w:rsid w:val="00396329"/>
    <w:rsid w:val="0039683D"/>
    <w:rsid w:val="00396A99"/>
    <w:rsid w:val="003976A3"/>
    <w:rsid w:val="003A026A"/>
    <w:rsid w:val="003A102B"/>
    <w:rsid w:val="003A1425"/>
    <w:rsid w:val="003A1FF5"/>
    <w:rsid w:val="003A2213"/>
    <w:rsid w:val="003A2250"/>
    <w:rsid w:val="003A22C5"/>
    <w:rsid w:val="003A246A"/>
    <w:rsid w:val="003A2D06"/>
    <w:rsid w:val="003A3E27"/>
    <w:rsid w:val="003A3F2F"/>
    <w:rsid w:val="003A42A0"/>
    <w:rsid w:val="003A5DBE"/>
    <w:rsid w:val="003A6035"/>
    <w:rsid w:val="003A7EE4"/>
    <w:rsid w:val="003B1D23"/>
    <w:rsid w:val="003B2510"/>
    <w:rsid w:val="003B3189"/>
    <w:rsid w:val="003B3DA6"/>
    <w:rsid w:val="003B50CF"/>
    <w:rsid w:val="003C0504"/>
    <w:rsid w:val="003C053C"/>
    <w:rsid w:val="003C058C"/>
    <w:rsid w:val="003C05F7"/>
    <w:rsid w:val="003C0ED9"/>
    <w:rsid w:val="003C1900"/>
    <w:rsid w:val="003C2114"/>
    <w:rsid w:val="003C2366"/>
    <w:rsid w:val="003C33FE"/>
    <w:rsid w:val="003C3E9B"/>
    <w:rsid w:val="003C545C"/>
    <w:rsid w:val="003C5E61"/>
    <w:rsid w:val="003C65CA"/>
    <w:rsid w:val="003D12C8"/>
    <w:rsid w:val="003D1F6C"/>
    <w:rsid w:val="003D2FDE"/>
    <w:rsid w:val="003D3B54"/>
    <w:rsid w:val="003E0A7F"/>
    <w:rsid w:val="003E0CB3"/>
    <w:rsid w:val="003E12E3"/>
    <w:rsid w:val="003E1A54"/>
    <w:rsid w:val="003E21BA"/>
    <w:rsid w:val="003E3960"/>
    <w:rsid w:val="003E3BAF"/>
    <w:rsid w:val="003E4431"/>
    <w:rsid w:val="003E5802"/>
    <w:rsid w:val="003E6770"/>
    <w:rsid w:val="003E6FB7"/>
    <w:rsid w:val="003F10BB"/>
    <w:rsid w:val="003F1414"/>
    <w:rsid w:val="003F16B8"/>
    <w:rsid w:val="003F1EBC"/>
    <w:rsid w:val="003F27CF"/>
    <w:rsid w:val="003F2F2D"/>
    <w:rsid w:val="003F31FA"/>
    <w:rsid w:val="003F46B3"/>
    <w:rsid w:val="003F5AE7"/>
    <w:rsid w:val="003F6A46"/>
    <w:rsid w:val="003F760D"/>
    <w:rsid w:val="003F79AD"/>
    <w:rsid w:val="004016A0"/>
    <w:rsid w:val="004024C5"/>
    <w:rsid w:val="004035D5"/>
    <w:rsid w:val="004049F2"/>
    <w:rsid w:val="004057B5"/>
    <w:rsid w:val="0040683D"/>
    <w:rsid w:val="004073F5"/>
    <w:rsid w:val="00412409"/>
    <w:rsid w:val="00412BFA"/>
    <w:rsid w:val="004136EA"/>
    <w:rsid w:val="00415164"/>
    <w:rsid w:val="004154AC"/>
    <w:rsid w:val="004222A2"/>
    <w:rsid w:val="00422E4A"/>
    <w:rsid w:val="0042312F"/>
    <w:rsid w:val="004248A8"/>
    <w:rsid w:val="00424A5F"/>
    <w:rsid w:val="00425EB2"/>
    <w:rsid w:val="00426060"/>
    <w:rsid w:val="004276FA"/>
    <w:rsid w:val="00427BA6"/>
    <w:rsid w:val="00427EAF"/>
    <w:rsid w:val="00427F31"/>
    <w:rsid w:val="00430AFB"/>
    <w:rsid w:val="00431504"/>
    <w:rsid w:val="00431FD7"/>
    <w:rsid w:val="00436FEE"/>
    <w:rsid w:val="0043706D"/>
    <w:rsid w:val="00441097"/>
    <w:rsid w:val="004410C9"/>
    <w:rsid w:val="00441978"/>
    <w:rsid w:val="00442267"/>
    <w:rsid w:val="004424F5"/>
    <w:rsid w:val="0044303E"/>
    <w:rsid w:val="004435DE"/>
    <w:rsid w:val="00444513"/>
    <w:rsid w:val="004452C4"/>
    <w:rsid w:val="004453D2"/>
    <w:rsid w:val="00445CEA"/>
    <w:rsid w:val="00446606"/>
    <w:rsid w:val="0044680A"/>
    <w:rsid w:val="004473B2"/>
    <w:rsid w:val="004474F2"/>
    <w:rsid w:val="004500B3"/>
    <w:rsid w:val="00451510"/>
    <w:rsid w:val="004518DB"/>
    <w:rsid w:val="004521F1"/>
    <w:rsid w:val="00454730"/>
    <w:rsid w:val="00454D1B"/>
    <w:rsid w:val="004554C7"/>
    <w:rsid w:val="00455A36"/>
    <w:rsid w:val="00457367"/>
    <w:rsid w:val="0046185D"/>
    <w:rsid w:val="00461BCF"/>
    <w:rsid w:val="004637D4"/>
    <w:rsid w:val="00464768"/>
    <w:rsid w:val="00464B90"/>
    <w:rsid w:val="00464DD9"/>
    <w:rsid w:val="004653FC"/>
    <w:rsid w:val="004662A0"/>
    <w:rsid w:val="00467131"/>
    <w:rsid w:val="00467FC0"/>
    <w:rsid w:val="0047019F"/>
    <w:rsid w:val="0047092F"/>
    <w:rsid w:val="0047176F"/>
    <w:rsid w:val="00471BAA"/>
    <w:rsid w:val="00471EDB"/>
    <w:rsid w:val="00472CDD"/>
    <w:rsid w:val="00472FB3"/>
    <w:rsid w:val="00473DEA"/>
    <w:rsid w:val="00474202"/>
    <w:rsid w:val="00474C38"/>
    <w:rsid w:val="00474D3C"/>
    <w:rsid w:val="004757E3"/>
    <w:rsid w:val="00475B96"/>
    <w:rsid w:val="00476281"/>
    <w:rsid w:val="00476AC6"/>
    <w:rsid w:val="00477320"/>
    <w:rsid w:val="00477509"/>
    <w:rsid w:val="0047799D"/>
    <w:rsid w:val="00477A0A"/>
    <w:rsid w:val="004814E7"/>
    <w:rsid w:val="00483B0E"/>
    <w:rsid w:val="0048464F"/>
    <w:rsid w:val="00484B40"/>
    <w:rsid w:val="004864B2"/>
    <w:rsid w:val="00486696"/>
    <w:rsid w:val="0048787B"/>
    <w:rsid w:val="00487A92"/>
    <w:rsid w:val="00490D88"/>
    <w:rsid w:val="00492170"/>
    <w:rsid w:val="004926B7"/>
    <w:rsid w:val="0049428B"/>
    <w:rsid w:val="00494C28"/>
    <w:rsid w:val="00494D5C"/>
    <w:rsid w:val="00494F9D"/>
    <w:rsid w:val="00495472"/>
    <w:rsid w:val="004957EF"/>
    <w:rsid w:val="00495A24"/>
    <w:rsid w:val="00495B87"/>
    <w:rsid w:val="00496B63"/>
    <w:rsid w:val="004A0CED"/>
    <w:rsid w:val="004A1DA3"/>
    <w:rsid w:val="004A39F8"/>
    <w:rsid w:val="004A4170"/>
    <w:rsid w:val="004A53DD"/>
    <w:rsid w:val="004A5661"/>
    <w:rsid w:val="004A56AF"/>
    <w:rsid w:val="004A62F5"/>
    <w:rsid w:val="004A6503"/>
    <w:rsid w:val="004A6963"/>
    <w:rsid w:val="004A79B7"/>
    <w:rsid w:val="004B0E58"/>
    <w:rsid w:val="004B1BD8"/>
    <w:rsid w:val="004B3760"/>
    <w:rsid w:val="004B37EE"/>
    <w:rsid w:val="004B40FF"/>
    <w:rsid w:val="004B4812"/>
    <w:rsid w:val="004B4B33"/>
    <w:rsid w:val="004B53F2"/>
    <w:rsid w:val="004B5A43"/>
    <w:rsid w:val="004B64E5"/>
    <w:rsid w:val="004B6860"/>
    <w:rsid w:val="004B6F66"/>
    <w:rsid w:val="004B6FD7"/>
    <w:rsid w:val="004C1D71"/>
    <w:rsid w:val="004C34AF"/>
    <w:rsid w:val="004C3D7D"/>
    <w:rsid w:val="004C6841"/>
    <w:rsid w:val="004C6874"/>
    <w:rsid w:val="004C6952"/>
    <w:rsid w:val="004C6C28"/>
    <w:rsid w:val="004C6E7A"/>
    <w:rsid w:val="004C7B80"/>
    <w:rsid w:val="004C7DB5"/>
    <w:rsid w:val="004D0254"/>
    <w:rsid w:val="004D0E12"/>
    <w:rsid w:val="004D1BEA"/>
    <w:rsid w:val="004D1D07"/>
    <w:rsid w:val="004D292C"/>
    <w:rsid w:val="004D3A25"/>
    <w:rsid w:val="004D3B97"/>
    <w:rsid w:val="004D4AA4"/>
    <w:rsid w:val="004E0494"/>
    <w:rsid w:val="004E04AB"/>
    <w:rsid w:val="004E04FF"/>
    <w:rsid w:val="004E0A4B"/>
    <w:rsid w:val="004E1AD5"/>
    <w:rsid w:val="004E3A2E"/>
    <w:rsid w:val="004E41B3"/>
    <w:rsid w:val="004E4240"/>
    <w:rsid w:val="004E46E8"/>
    <w:rsid w:val="004E4BE5"/>
    <w:rsid w:val="004E5384"/>
    <w:rsid w:val="004E7BB2"/>
    <w:rsid w:val="004E7E60"/>
    <w:rsid w:val="004F0048"/>
    <w:rsid w:val="004F0B2F"/>
    <w:rsid w:val="004F1734"/>
    <w:rsid w:val="004F22DC"/>
    <w:rsid w:val="004F4402"/>
    <w:rsid w:val="004F4733"/>
    <w:rsid w:val="004F482B"/>
    <w:rsid w:val="004F5285"/>
    <w:rsid w:val="004F6790"/>
    <w:rsid w:val="004F7387"/>
    <w:rsid w:val="004F745C"/>
    <w:rsid w:val="005008BB"/>
    <w:rsid w:val="00500BAC"/>
    <w:rsid w:val="00501139"/>
    <w:rsid w:val="00501C30"/>
    <w:rsid w:val="00503386"/>
    <w:rsid w:val="0050446A"/>
    <w:rsid w:val="0050483E"/>
    <w:rsid w:val="00504874"/>
    <w:rsid w:val="00505D33"/>
    <w:rsid w:val="00506656"/>
    <w:rsid w:val="00506784"/>
    <w:rsid w:val="0050791F"/>
    <w:rsid w:val="00507EDD"/>
    <w:rsid w:val="00510085"/>
    <w:rsid w:val="005105BB"/>
    <w:rsid w:val="00511536"/>
    <w:rsid w:val="005119C9"/>
    <w:rsid w:val="005147A6"/>
    <w:rsid w:val="00515DC0"/>
    <w:rsid w:val="005167F6"/>
    <w:rsid w:val="00517052"/>
    <w:rsid w:val="00520863"/>
    <w:rsid w:val="00521DCC"/>
    <w:rsid w:val="005221FA"/>
    <w:rsid w:val="005224B7"/>
    <w:rsid w:val="00522A2B"/>
    <w:rsid w:val="00531DE9"/>
    <w:rsid w:val="00532220"/>
    <w:rsid w:val="00532E3D"/>
    <w:rsid w:val="005332C6"/>
    <w:rsid w:val="00533420"/>
    <w:rsid w:val="005337DF"/>
    <w:rsid w:val="00534FEE"/>
    <w:rsid w:val="00535E1C"/>
    <w:rsid w:val="0053682A"/>
    <w:rsid w:val="00536A90"/>
    <w:rsid w:val="00536B35"/>
    <w:rsid w:val="00536B43"/>
    <w:rsid w:val="00537438"/>
    <w:rsid w:val="00537F11"/>
    <w:rsid w:val="00537F9A"/>
    <w:rsid w:val="00540283"/>
    <w:rsid w:val="0054040E"/>
    <w:rsid w:val="00541DDA"/>
    <w:rsid w:val="00541ED6"/>
    <w:rsid w:val="005420A7"/>
    <w:rsid w:val="00542602"/>
    <w:rsid w:val="00542DCC"/>
    <w:rsid w:val="00544345"/>
    <w:rsid w:val="00544F60"/>
    <w:rsid w:val="00545671"/>
    <w:rsid w:val="00546B74"/>
    <w:rsid w:val="00547A68"/>
    <w:rsid w:val="00551F45"/>
    <w:rsid w:val="00553D9B"/>
    <w:rsid w:val="00555514"/>
    <w:rsid w:val="0055564F"/>
    <w:rsid w:val="00556952"/>
    <w:rsid w:val="005575F6"/>
    <w:rsid w:val="00563808"/>
    <w:rsid w:val="0056387F"/>
    <w:rsid w:val="00563A97"/>
    <w:rsid w:val="00563B3A"/>
    <w:rsid w:val="00563F47"/>
    <w:rsid w:val="00565E02"/>
    <w:rsid w:val="0056681A"/>
    <w:rsid w:val="00570485"/>
    <w:rsid w:val="005705BC"/>
    <w:rsid w:val="005706F0"/>
    <w:rsid w:val="00570C19"/>
    <w:rsid w:val="00571038"/>
    <w:rsid w:val="0057156C"/>
    <w:rsid w:val="005716CA"/>
    <w:rsid w:val="00571918"/>
    <w:rsid w:val="00572AEC"/>
    <w:rsid w:val="00575637"/>
    <w:rsid w:val="0057598C"/>
    <w:rsid w:val="00576D22"/>
    <w:rsid w:val="00577D4D"/>
    <w:rsid w:val="00577DFF"/>
    <w:rsid w:val="005801F0"/>
    <w:rsid w:val="0058097A"/>
    <w:rsid w:val="00580B99"/>
    <w:rsid w:val="00581B30"/>
    <w:rsid w:val="00581C13"/>
    <w:rsid w:val="00581C1C"/>
    <w:rsid w:val="00582270"/>
    <w:rsid w:val="00583795"/>
    <w:rsid w:val="00583A82"/>
    <w:rsid w:val="0058444F"/>
    <w:rsid w:val="00584524"/>
    <w:rsid w:val="00584F58"/>
    <w:rsid w:val="0058581F"/>
    <w:rsid w:val="0058626A"/>
    <w:rsid w:val="00586853"/>
    <w:rsid w:val="00592244"/>
    <w:rsid w:val="00592F31"/>
    <w:rsid w:val="005935A5"/>
    <w:rsid w:val="00593E73"/>
    <w:rsid w:val="00596BAE"/>
    <w:rsid w:val="005974F7"/>
    <w:rsid w:val="005979A5"/>
    <w:rsid w:val="005A0002"/>
    <w:rsid w:val="005A1A70"/>
    <w:rsid w:val="005A345B"/>
    <w:rsid w:val="005A3BB4"/>
    <w:rsid w:val="005A4040"/>
    <w:rsid w:val="005A45F1"/>
    <w:rsid w:val="005B0BD7"/>
    <w:rsid w:val="005B2C75"/>
    <w:rsid w:val="005B3652"/>
    <w:rsid w:val="005B4314"/>
    <w:rsid w:val="005B4F98"/>
    <w:rsid w:val="005B5824"/>
    <w:rsid w:val="005C0A5E"/>
    <w:rsid w:val="005C13DD"/>
    <w:rsid w:val="005C1C30"/>
    <w:rsid w:val="005C1EE2"/>
    <w:rsid w:val="005C41DD"/>
    <w:rsid w:val="005C4574"/>
    <w:rsid w:val="005C4F2D"/>
    <w:rsid w:val="005C5A7D"/>
    <w:rsid w:val="005C6CCC"/>
    <w:rsid w:val="005C7F0B"/>
    <w:rsid w:val="005D0C6F"/>
    <w:rsid w:val="005D10B4"/>
    <w:rsid w:val="005D1610"/>
    <w:rsid w:val="005D1CC9"/>
    <w:rsid w:val="005D35BD"/>
    <w:rsid w:val="005D377E"/>
    <w:rsid w:val="005D4801"/>
    <w:rsid w:val="005D6B94"/>
    <w:rsid w:val="005D7019"/>
    <w:rsid w:val="005E0916"/>
    <w:rsid w:val="005E2301"/>
    <w:rsid w:val="005E2EA9"/>
    <w:rsid w:val="005E3046"/>
    <w:rsid w:val="005E3BDD"/>
    <w:rsid w:val="005E3E60"/>
    <w:rsid w:val="005E3F39"/>
    <w:rsid w:val="005E46F8"/>
    <w:rsid w:val="005E4A77"/>
    <w:rsid w:val="005E5454"/>
    <w:rsid w:val="005E5A20"/>
    <w:rsid w:val="005E5EE7"/>
    <w:rsid w:val="005E66A3"/>
    <w:rsid w:val="005F03A4"/>
    <w:rsid w:val="005F098E"/>
    <w:rsid w:val="005F36AE"/>
    <w:rsid w:val="005F448D"/>
    <w:rsid w:val="005F44D7"/>
    <w:rsid w:val="005F578D"/>
    <w:rsid w:val="005F66F3"/>
    <w:rsid w:val="006013E6"/>
    <w:rsid w:val="0060164D"/>
    <w:rsid w:val="00601C48"/>
    <w:rsid w:val="00601E5F"/>
    <w:rsid w:val="00601FB8"/>
    <w:rsid w:val="0060397B"/>
    <w:rsid w:val="00603E41"/>
    <w:rsid w:val="00604C6F"/>
    <w:rsid w:val="00605095"/>
    <w:rsid w:val="00607858"/>
    <w:rsid w:val="006078AD"/>
    <w:rsid w:val="006100A5"/>
    <w:rsid w:val="00611FBC"/>
    <w:rsid w:val="006127CC"/>
    <w:rsid w:val="006136F7"/>
    <w:rsid w:val="0061395B"/>
    <w:rsid w:val="00613F36"/>
    <w:rsid w:val="006140CE"/>
    <w:rsid w:val="006141A8"/>
    <w:rsid w:val="006142BD"/>
    <w:rsid w:val="00617EC2"/>
    <w:rsid w:val="0062007F"/>
    <w:rsid w:val="0062119B"/>
    <w:rsid w:val="0062491D"/>
    <w:rsid w:val="00625303"/>
    <w:rsid w:val="00626B18"/>
    <w:rsid w:val="006271B0"/>
    <w:rsid w:val="00627487"/>
    <w:rsid w:val="00627D4A"/>
    <w:rsid w:val="00630887"/>
    <w:rsid w:val="00630C4A"/>
    <w:rsid w:val="00630CC6"/>
    <w:rsid w:val="00631FBC"/>
    <w:rsid w:val="006322FC"/>
    <w:rsid w:val="006336A1"/>
    <w:rsid w:val="00634CB5"/>
    <w:rsid w:val="00637E3C"/>
    <w:rsid w:val="00642B05"/>
    <w:rsid w:val="00643DEF"/>
    <w:rsid w:val="006447CE"/>
    <w:rsid w:val="0064499C"/>
    <w:rsid w:val="0064687F"/>
    <w:rsid w:val="00647DEC"/>
    <w:rsid w:val="00647F08"/>
    <w:rsid w:val="006500BE"/>
    <w:rsid w:val="00650893"/>
    <w:rsid w:val="00651DA5"/>
    <w:rsid w:val="00652065"/>
    <w:rsid w:val="006532DD"/>
    <w:rsid w:val="00655A9A"/>
    <w:rsid w:val="006569C2"/>
    <w:rsid w:val="006579D1"/>
    <w:rsid w:val="00660328"/>
    <w:rsid w:val="0066058D"/>
    <w:rsid w:val="00660EAA"/>
    <w:rsid w:val="0066146D"/>
    <w:rsid w:val="00665508"/>
    <w:rsid w:val="00666C7C"/>
    <w:rsid w:val="00667257"/>
    <w:rsid w:val="0067094D"/>
    <w:rsid w:val="0067196E"/>
    <w:rsid w:val="0067200A"/>
    <w:rsid w:val="00680C09"/>
    <w:rsid w:val="0068114E"/>
    <w:rsid w:val="006820A3"/>
    <w:rsid w:val="006833B3"/>
    <w:rsid w:val="00684332"/>
    <w:rsid w:val="00684514"/>
    <w:rsid w:val="00685D1D"/>
    <w:rsid w:val="00691788"/>
    <w:rsid w:val="006925DA"/>
    <w:rsid w:val="0069290F"/>
    <w:rsid w:val="00693F0C"/>
    <w:rsid w:val="006941C6"/>
    <w:rsid w:val="00694791"/>
    <w:rsid w:val="00696410"/>
    <w:rsid w:val="0069687B"/>
    <w:rsid w:val="0069728B"/>
    <w:rsid w:val="00697A96"/>
    <w:rsid w:val="00697CDE"/>
    <w:rsid w:val="006A019A"/>
    <w:rsid w:val="006A0A9D"/>
    <w:rsid w:val="006A0B0C"/>
    <w:rsid w:val="006A175E"/>
    <w:rsid w:val="006A1B31"/>
    <w:rsid w:val="006A230E"/>
    <w:rsid w:val="006A286A"/>
    <w:rsid w:val="006A295F"/>
    <w:rsid w:val="006A2FF6"/>
    <w:rsid w:val="006A30B2"/>
    <w:rsid w:val="006A4E51"/>
    <w:rsid w:val="006A53F6"/>
    <w:rsid w:val="006A5D16"/>
    <w:rsid w:val="006A695B"/>
    <w:rsid w:val="006A6E5A"/>
    <w:rsid w:val="006A724B"/>
    <w:rsid w:val="006A7B2A"/>
    <w:rsid w:val="006B0BA5"/>
    <w:rsid w:val="006B0ED4"/>
    <w:rsid w:val="006B297F"/>
    <w:rsid w:val="006B29B0"/>
    <w:rsid w:val="006B2B0E"/>
    <w:rsid w:val="006B3144"/>
    <w:rsid w:val="006B5A81"/>
    <w:rsid w:val="006B7214"/>
    <w:rsid w:val="006B72EB"/>
    <w:rsid w:val="006B7498"/>
    <w:rsid w:val="006B7D51"/>
    <w:rsid w:val="006C00E7"/>
    <w:rsid w:val="006C0486"/>
    <w:rsid w:val="006C09E9"/>
    <w:rsid w:val="006C174C"/>
    <w:rsid w:val="006C3D7C"/>
    <w:rsid w:val="006C46FF"/>
    <w:rsid w:val="006C4D94"/>
    <w:rsid w:val="006C52B6"/>
    <w:rsid w:val="006C7901"/>
    <w:rsid w:val="006D078B"/>
    <w:rsid w:val="006D1BF4"/>
    <w:rsid w:val="006D1F64"/>
    <w:rsid w:val="006D34E9"/>
    <w:rsid w:val="006D5429"/>
    <w:rsid w:val="006E0D4E"/>
    <w:rsid w:val="006E2294"/>
    <w:rsid w:val="006E23DE"/>
    <w:rsid w:val="006E263D"/>
    <w:rsid w:val="006E2EF7"/>
    <w:rsid w:val="006E3923"/>
    <w:rsid w:val="006E69BA"/>
    <w:rsid w:val="006E6F68"/>
    <w:rsid w:val="006E7286"/>
    <w:rsid w:val="006F14CF"/>
    <w:rsid w:val="006F3A5F"/>
    <w:rsid w:val="006F495E"/>
    <w:rsid w:val="006F4A17"/>
    <w:rsid w:val="006F55B1"/>
    <w:rsid w:val="006F74DA"/>
    <w:rsid w:val="006F74FE"/>
    <w:rsid w:val="00700FAE"/>
    <w:rsid w:val="007013A1"/>
    <w:rsid w:val="007016F7"/>
    <w:rsid w:val="0070202F"/>
    <w:rsid w:val="00702C15"/>
    <w:rsid w:val="00702ED0"/>
    <w:rsid w:val="00703258"/>
    <w:rsid w:val="00704704"/>
    <w:rsid w:val="00705014"/>
    <w:rsid w:val="00705377"/>
    <w:rsid w:val="007057FB"/>
    <w:rsid w:val="00706675"/>
    <w:rsid w:val="00707018"/>
    <w:rsid w:val="00710367"/>
    <w:rsid w:val="0071040B"/>
    <w:rsid w:val="007105EE"/>
    <w:rsid w:val="00710A47"/>
    <w:rsid w:val="00710FC4"/>
    <w:rsid w:val="0071103F"/>
    <w:rsid w:val="00711749"/>
    <w:rsid w:val="00711A7B"/>
    <w:rsid w:val="00712433"/>
    <w:rsid w:val="00712986"/>
    <w:rsid w:val="007129ED"/>
    <w:rsid w:val="00713173"/>
    <w:rsid w:val="00717B86"/>
    <w:rsid w:val="00717B92"/>
    <w:rsid w:val="00717EF4"/>
    <w:rsid w:val="007200BB"/>
    <w:rsid w:val="007214B3"/>
    <w:rsid w:val="00722C47"/>
    <w:rsid w:val="00724536"/>
    <w:rsid w:val="00725CBD"/>
    <w:rsid w:val="00726229"/>
    <w:rsid w:val="007265C3"/>
    <w:rsid w:val="007314F0"/>
    <w:rsid w:val="00732251"/>
    <w:rsid w:val="00732CAE"/>
    <w:rsid w:val="00733DEF"/>
    <w:rsid w:val="0073407F"/>
    <w:rsid w:val="007340A1"/>
    <w:rsid w:val="0073742F"/>
    <w:rsid w:val="00741D06"/>
    <w:rsid w:val="00742A8B"/>
    <w:rsid w:val="00742F12"/>
    <w:rsid w:val="0074321D"/>
    <w:rsid w:val="00743A0F"/>
    <w:rsid w:val="00743A35"/>
    <w:rsid w:val="00744A42"/>
    <w:rsid w:val="00744E0C"/>
    <w:rsid w:val="00745706"/>
    <w:rsid w:val="00745B70"/>
    <w:rsid w:val="00746147"/>
    <w:rsid w:val="00746C0B"/>
    <w:rsid w:val="00746CDA"/>
    <w:rsid w:val="00746E6C"/>
    <w:rsid w:val="00747A18"/>
    <w:rsid w:val="00747CD1"/>
    <w:rsid w:val="007510B7"/>
    <w:rsid w:val="007528BC"/>
    <w:rsid w:val="00753AEB"/>
    <w:rsid w:val="00753CF0"/>
    <w:rsid w:val="007551B8"/>
    <w:rsid w:val="0075540E"/>
    <w:rsid w:val="00757D09"/>
    <w:rsid w:val="0076073D"/>
    <w:rsid w:val="00761807"/>
    <w:rsid w:val="00761F28"/>
    <w:rsid w:val="00762B81"/>
    <w:rsid w:val="007640DF"/>
    <w:rsid w:val="00764CFF"/>
    <w:rsid w:val="00764EB0"/>
    <w:rsid w:val="00765BA4"/>
    <w:rsid w:val="00766B50"/>
    <w:rsid w:val="0076752C"/>
    <w:rsid w:val="00767896"/>
    <w:rsid w:val="007702B2"/>
    <w:rsid w:val="00770937"/>
    <w:rsid w:val="00775A53"/>
    <w:rsid w:val="0077771D"/>
    <w:rsid w:val="00780744"/>
    <w:rsid w:val="00780BEA"/>
    <w:rsid w:val="00780D8C"/>
    <w:rsid w:val="0078113C"/>
    <w:rsid w:val="0078137C"/>
    <w:rsid w:val="00782DA3"/>
    <w:rsid w:val="00784F22"/>
    <w:rsid w:val="00786BB8"/>
    <w:rsid w:val="00786EB0"/>
    <w:rsid w:val="0078711B"/>
    <w:rsid w:val="00790C33"/>
    <w:rsid w:val="0079199D"/>
    <w:rsid w:val="00791B8E"/>
    <w:rsid w:val="00791F4D"/>
    <w:rsid w:val="00792016"/>
    <w:rsid w:val="00794FCC"/>
    <w:rsid w:val="00795BFE"/>
    <w:rsid w:val="00796464"/>
    <w:rsid w:val="00797D75"/>
    <w:rsid w:val="00797FCC"/>
    <w:rsid w:val="007A0509"/>
    <w:rsid w:val="007A27B8"/>
    <w:rsid w:val="007A2A8E"/>
    <w:rsid w:val="007A2F64"/>
    <w:rsid w:val="007A3783"/>
    <w:rsid w:val="007A5236"/>
    <w:rsid w:val="007A6DA6"/>
    <w:rsid w:val="007B0130"/>
    <w:rsid w:val="007B0771"/>
    <w:rsid w:val="007B756B"/>
    <w:rsid w:val="007B75A4"/>
    <w:rsid w:val="007B7945"/>
    <w:rsid w:val="007C0E60"/>
    <w:rsid w:val="007C44A9"/>
    <w:rsid w:val="007C4FD4"/>
    <w:rsid w:val="007C503E"/>
    <w:rsid w:val="007C5079"/>
    <w:rsid w:val="007C5B77"/>
    <w:rsid w:val="007C66BF"/>
    <w:rsid w:val="007C6C24"/>
    <w:rsid w:val="007D009E"/>
    <w:rsid w:val="007D04F8"/>
    <w:rsid w:val="007D2E15"/>
    <w:rsid w:val="007D2ECF"/>
    <w:rsid w:val="007D33D0"/>
    <w:rsid w:val="007D615C"/>
    <w:rsid w:val="007D6A43"/>
    <w:rsid w:val="007D6CE8"/>
    <w:rsid w:val="007D6FAA"/>
    <w:rsid w:val="007D70F8"/>
    <w:rsid w:val="007D79B6"/>
    <w:rsid w:val="007D7E48"/>
    <w:rsid w:val="007E00D6"/>
    <w:rsid w:val="007E027B"/>
    <w:rsid w:val="007E08E5"/>
    <w:rsid w:val="007E1302"/>
    <w:rsid w:val="007E2C8C"/>
    <w:rsid w:val="007E3296"/>
    <w:rsid w:val="007E5B4E"/>
    <w:rsid w:val="007E622B"/>
    <w:rsid w:val="007E675D"/>
    <w:rsid w:val="007E6A5F"/>
    <w:rsid w:val="007E6D6A"/>
    <w:rsid w:val="007E7713"/>
    <w:rsid w:val="007F0B35"/>
    <w:rsid w:val="007F1281"/>
    <w:rsid w:val="007F213B"/>
    <w:rsid w:val="007F28E4"/>
    <w:rsid w:val="007F3A82"/>
    <w:rsid w:val="007F4D9E"/>
    <w:rsid w:val="007F4DA7"/>
    <w:rsid w:val="007F54BA"/>
    <w:rsid w:val="007F5B77"/>
    <w:rsid w:val="007F6F0F"/>
    <w:rsid w:val="007F7DAD"/>
    <w:rsid w:val="00800C42"/>
    <w:rsid w:val="008013BE"/>
    <w:rsid w:val="008031DD"/>
    <w:rsid w:val="0080383F"/>
    <w:rsid w:val="00804077"/>
    <w:rsid w:val="00804807"/>
    <w:rsid w:val="00805211"/>
    <w:rsid w:val="008053C5"/>
    <w:rsid w:val="00805FD4"/>
    <w:rsid w:val="008064AB"/>
    <w:rsid w:val="00807E1A"/>
    <w:rsid w:val="00811BE9"/>
    <w:rsid w:val="00812202"/>
    <w:rsid w:val="0081221A"/>
    <w:rsid w:val="0081282C"/>
    <w:rsid w:val="00813002"/>
    <w:rsid w:val="008160CC"/>
    <w:rsid w:val="008173B9"/>
    <w:rsid w:val="00818868"/>
    <w:rsid w:val="00820604"/>
    <w:rsid w:val="00820747"/>
    <w:rsid w:val="008217E4"/>
    <w:rsid w:val="00821878"/>
    <w:rsid w:val="00822FB7"/>
    <w:rsid w:val="0082368A"/>
    <w:rsid w:val="00825BDF"/>
    <w:rsid w:val="0082647F"/>
    <w:rsid w:val="00826FF8"/>
    <w:rsid w:val="0082739F"/>
    <w:rsid w:val="008312B5"/>
    <w:rsid w:val="00831397"/>
    <w:rsid w:val="008314DD"/>
    <w:rsid w:val="00832C9D"/>
    <w:rsid w:val="00834A12"/>
    <w:rsid w:val="00834A64"/>
    <w:rsid w:val="00835019"/>
    <w:rsid w:val="00835977"/>
    <w:rsid w:val="00835F2D"/>
    <w:rsid w:val="00837090"/>
    <w:rsid w:val="00837334"/>
    <w:rsid w:val="00840B11"/>
    <w:rsid w:val="00841D2E"/>
    <w:rsid w:val="00841ED7"/>
    <w:rsid w:val="00842DD6"/>
    <w:rsid w:val="008434D0"/>
    <w:rsid w:val="00844435"/>
    <w:rsid w:val="0084488A"/>
    <w:rsid w:val="008459F4"/>
    <w:rsid w:val="00847A59"/>
    <w:rsid w:val="00850BB9"/>
    <w:rsid w:val="00851306"/>
    <w:rsid w:val="00852A4C"/>
    <w:rsid w:val="00852CE7"/>
    <w:rsid w:val="00853E15"/>
    <w:rsid w:val="00853EA1"/>
    <w:rsid w:val="0085443D"/>
    <w:rsid w:val="00855E47"/>
    <w:rsid w:val="00856CBA"/>
    <w:rsid w:val="008577DA"/>
    <w:rsid w:val="00861CEE"/>
    <w:rsid w:val="008627D5"/>
    <w:rsid w:val="00862F90"/>
    <w:rsid w:val="00863596"/>
    <w:rsid w:val="00863E9C"/>
    <w:rsid w:val="00863EEE"/>
    <w:rsid w:val="00864563"/>
    <w:rsid w:val="008654B2"/>
    <w:rsid w:val="0086761E"/>
    <w:rsid w:val="0087023C"/>
    <w:rsid w:val="0087402E"/>
    <w:rsid w:val="00874133"/>
    <w:rsid w:val="00874DFA"/>
    <w:rsid w:val="0087501E"/>
    <w:rsid w:val="008751C3"/>
    <w:rsid w:val="008753DB"/>
    <w:rsid w:val="00875F14"/>
    <w:rsid w:val="00876683"/>
    <w:rsid w:val="008768C6"/>
    <w:rsid w:val="0087765F"/>
    <w:rsid w:val="00880283"/>
    <w:rsid w:val="00880662"/>
    <w:rsid w:val="00880C64"/>
    <w:rsid w:val="00880F93"/>
    <w:rsid w:val="00881893"/>
    <w:rsid w:val="00882CB0"/>
    <w:rsid w:val="008830F7"/>
    <w:rsid w:val="008838D1"/>
    <w:rsid w:val="00883FF6"/>
    <w:rsid w:val="0088473A"/>
    <w:rsid w:val="00884B7C"/>
    <w:rsid w:val="00886AB4"/>
    <w:rsid w:val="00886E5D"/>
    <w:rsid w:val="008872D2"/>
    <w:rsid w:val="00887D65"/>
    <w:rsid w:val="008906BA"/>
    <w:rsid w:val="008911F1"/>
    <w:rsid w:val="0089160D"/>
    <w:rsid w:val="00891795"/>
    <w:rsid w:val="00891CA3"/>
    <w:rsid w:val="008932C4"/>
    <w:rsid w:val="008945A3"/>
    <w:rsid w:val="00894D91"/>
    <w:rsid w:val="0089501B"/>
    <w:rsid w:val="008965FB"/>
    <w:rsid w:val="00896EF0"/>
    <w:rsid w:val="00897A66"/>
    <w:rsid w:val="008A0D92"/>
    <w:rsid w:val="008A1440"/>
    <w:rsid w:val="008A19BA"/>
    <w:rsid w:val="008A39B4"/>
    <w:rsid w:val="008A492F"/>
    <w:rsid w:val="008A49EF"/>
    <w:rsid w:val="008A4B71"/>
    <w:rsid w:val="008A5607"/>
    <w:rsid w:val="008A707B"/>
    <w:rsid w:val="008A7DE6"/>
    <w:rsid w:val="008B0F58"/>
    <w:rsid w:val="008B1DA2"/>
    <w:rsid w:val="008B22AE"/>
    <w:rsid w:val="008B242C"/>
    <w:rsid w:val="008B290C"/>
    <w:rsid w:val="008B4638"/>
    <w:rsid w:val="008C047F"/>
    <w:rsid w:val="008C15B2"/>
    <w:rsid w:val="008C1720"/>
    <w:rsid w:val="008C1E87"/>
    <w:rsid w:val="008C271D"/>
    <w:rsid w:val="008C2990"/>
    <w:rsid w:val="008C2AF8"/>
    <w:rsid w:val="008C538E"/>
    <w:rsid w:val="008C592E"/>
    <w:rsid w:val="008C6B90"/>
    <w:rsid w:val="008C6F4B"/>
    <w:rsid w:val="008C782D"/>
    <w:rsid w:val="008C7D5D"/>
    <w:rsid w:val="008C7DFC"/>
    <w:rsid w:val="008D0DD1"/>
    <w:rsid w:val="008D1265"/>
    <w:rsid w:val="008D142F"/>
    <w:rsid w:val="008D2F8D"/>
    <w:rsid w:val="008D2FBC"/>
    <w:rsid w:val="008D38EF"/>
    <w:rsid w:val="008D3A78"/>
    <w:rsid w:val="008D3E97"/>
    <w:rsid w:val="008D6851"/>
    <w:rsid w:val="008D69F7"/>
    <w:rsid w:val="008E1AF3"/>
    <w:rsid w:val="008E1E54"/>
    <w:rsid w:val="008E2EA2"/>
    <w:rsid w:val="008E2F40"/>
    <w:rsid w:val="008E311D"/>
    <w:rsid w:val="008E41FD"/>
    <w:rsid w:val="008E48F7"/>
    <w:rsid w:val="008E4F1F"/>
    <w:rsid w:val="008E5814"/>
    <w:rsid w:val="008E5BC6"/>
    <w:rsid w:val="008E7132"/>
    <w:rsid w:val="008E7613"/>
    <w:rsid w:val="008E796A"/>
    <w:rsid w:val="008F0FD2"/>
    <w:rsid w:val="008F12C5"/>
    <w:rsid w:val="008F1F9C"/>
    <w:rsid w:val="008F24E4"/>
    <w:rsid w:val="008F3356"/>
    <w:rsid w:val="008F3F45"/>
    <w:rsid w:val="008F6541"/>
    <w:rsid w:val="008F6802"/>
    <w:rsid w:val="008F7B34"/>
    <w:rsid w:val="008F7C6F"/>
    <w:rsid w:val="00900BAF"/>
    <w:rsid w:val="00900E69"/>
    <w:rsid w:val="00900F86"/>
    <w:rsid w:val="00903160"/>
    <w:rsid w:val="00903521"/>
    <w:rsid w:val="009036EB"/>
    <w:rsid w:val="009048DC"/>
    <w:rsid w:val="00906725"/>
    <w:rsid w:val="00906CD8"/>
    <w:rsid w:val="00907560"/>
    <w:rsid w:val="0091077B"/>
    <w:rsid w:val="00910CD3"/>
    <w:rsid w:val="0091417A"/>
    <w:rsid w:val="009144B7"/>
    <w:rsid w:val="009155F3"/>
    <w:rsid w:val="009159A6"/>
    <w:rsid w:val="00915BC3"/>
    <w:rsid w:val="0091613E"/>
    <w:rsid w:val="00916606"/>
    <w:rsid w:val="00916E7C"/>
    <w:rsid w:val="00920F79"/>
    <w:rsid w:val="009219C7"/>
    <w:rsid w:val="00923EB2"/>
    <w:rsid w:val="00924552"/>
    <w:rsid w:val="00924A8C"/>
    <w:rsid w:val="009251CB"/>
    <w:rsid w:val="00926F90"/>
    <w:rsid w:val="009278CC"/>
    <w:rsid w:val="009302F1"/>
    <w:rsid w:val="00930648"/>
    <w:rsid w:val="00931026"/>
    <w:rsid w:val="009320A8"/>
    <w:rsid w:val="00933059"/>
    <w:rsid w:val="00933631"/>
    <w:rsid w:val="009337CB"/>
    <w:rsid w:val="00933E6B"/>
    <w:rsid w:val="009362D4"/>
    <w:rsid w:val="00936527"/>
    <w:rsid w:val="0093668E"/>
    <w:rsid w:val="00936911"/>
    <w:rsid w:val="00937907"/>
    <w:rsid w:val="00940658"/>
    <w:rsid w:val="009416AE"/>
    <w:rsid w:val="00941798"/>
    <w:rsid w:val="0094181E"/>
    <w:rsid w:val="00941F4A"/>
    <w:rsid w:val="00942602"/>
    <w:rsid w:val="00944103"/>
    <w:rsid w:val="009448F2"/>
    <w:rsid w:val="009458D7"/>
    <w:rsid w:val="00945D5B"/>
    <w:rsid w:val="00946243"/>
    <w:rsid w:val="00946E24"/>
    <w:rsid w:val="00946E8B"/>
    <w:rsid w:val="009505EA"/>
    <w:rsid w:val="00950F52"/>
    <w:rsid w:val="00951814"/>
    <w:rsid w:val="00951B0F"/>
    <w:rsid w:val="00952316"/>
    <w:rsid w:val="0095364B"/>
    <w:rsid w:val="00953832"/>
    <w:rsid w:val="0095522B"/>
    <w:rsid w:val="009563EA"/>
    <w:rsid w:val="00956E6A"/>
    <w:rsid w:val="00957231"/>
    <w:rsid w:val="009602D4"/>
    <w:rsid w:val="00960940"/>
    <w:rsid w:val="00961061"/>
    <w:rsid w:val="00963A3A"/>
    <w:rsid w:val="00964678"/>
    <w:rsid w:val="00964ACD"/>
    <w:rsid w:val="00965110"/>
    <w:rsid w:val="00966D4A"/>
    <w:rsid w:val="00967107"/>
    <w:rsid w:val="009675F2"/>
    <w:rsid w:val="00967AAE"/>
    <w:rsid w:val="0097026B"/>
    <w:rsid w:val="00970929"/>
    <w:rsid w:val="009717C5"/>
    <w:rsid w:val="0097247B"/>
    <w:rsid w:val="00973E63"/>
    <w:rsid w:val="00975567"/>
    <w:rsid w:val="009762D7"/>
    <w:rsid w:val="00976C1B"/>
    <w:rsid w:val="009775CE"/>
    <w:rsid w:val="00977DFC"/>
    <w:rsid w:val="009805DE"/>
    <w:rsid w:val="00980904"/>
    <w:rsid w:val="009818F4"/>
    <w:rsid w:val="00982605"/>
    <w:rsid w:val="00982874"/>
    <w:rsid w:val="0098552E"/>
    <w:rsid w:val="00985F85"/>
    <w:rsid w:val="00986986"/>
    <w:rsid w:val="00986BC6"/>
    <w:rsid w:val="00986D24"/>
    <w:rsid w:val="00986EA1"/>
    <w:rsid w:val="00987BA9"/>
    <w:rsid w:val="00990812"/>
    <w:rsid w:val="00991439"/>
    <w:rsid w:val="00991763"/>
    <w:rsid w:val="00992452"/>
    <w:rsid w:val="00992AEA"/>
    <w:rsid w:val="00992D21"/>
    <w:rsid w:val="00992F26"/>
    <w:rsid w:val="009934B1"/>
    <w:rsid w:val="0099399C"/>
    <w:rsid w:val="00993B91"/>
    <w:rsid w:val="00994A3D"/>
    <w:rsid w:val="0099551F"/>
    <w:rsid w:val="00995FE6"/>
    <w:rsid w:val="00996199"/>
    <w:rsid w:val="0099620C"/>
    <w:rsid w:val="009A02F0"/>
    <w:rsid w:val="009A08DD"/>
    <w:rsid w:val="009A18E1"/>
    <w:rsid w:val="009A26EE"/>
    <w:rsid w:val="009A335D"/>
    <w:rsid w:val="009A4769"/>
    <w:rsid w:val="009A4D77"/>
    <w:rsid w:val="009A5017"/>
    <w:rsid w:val="009A5901"/>
    <w:rsid w:val="009A6F50"/>
    <w:rsid w:val="009B00DE"/>
    <w:rsid w:val="009B163E"/>
    <w:rsid w:val="009B1708"/>
    <w:rsid w:val="009B226A"/>
    <w:rsid w:val="009B22AE"/>
    <w:rsid w:val="009B3F5E"/>
    <w:rsid w:val="009B43CD"/>
    <w:rsid w:val="009B44E5"/>
    <w:rsid w:val="009B54E9"/>
    <w:rsid w:val="009B6BC5"/>
    <w:rsid w:val="009B7626"/>
    <w:rsid w:val="009C09E3"/>
    <w:rsid w:val="009C29B4"/>
    <w:rsid w:val="009C3486"/>
    <w:rsid w:val="009D001E"/>
    <w:rsid w:val="009D0375"/>
    <w:rsid w:val="009D09C1"/>
    <w:rsid w:val="009D0BE9"/>
    <w:rsid w:val="009D0E83"/>
    <w:rsid w:val="009D2267"/>
    <w:rsid w:val="009D27A5"/>
    <w:rsid w:val="009D4433"/>
    <w:rsid w:val="009D5247"/>
    <w:rsid w:val="009D634E"/>
    <w:rsid w:val="009D7314"/>
    <w:rsid w:val="009D7E3A"/>
    <w:rsid w:val="009E03AE"/>
    <w:rsid w:val="009E0C52"/>
    <w:rsid w:val="009E1138"/>
    <w:rsid w:val="009E1192"/>
    <w:rsid w:val="009E1CC4"/>
    <w:rsid w:val="009E4319"/>
    <w:rsid w:val="009E4EBE"/>
    <w:rsid w:val="009E512E"/>
    <w:rsid w:val="009E53AF"/>
    <w:rsid w:val="009E6347"/>
    <w:rsid w:val="009E6EE2"/>
    <w:rsid w:val="009E7532"/>
    <w:rsid w:val="009E7915"/>
    <w:rsid w:val="009F0B88"/>
    <w:rsid w:val="009F1167"/>
    <w:rsid w:val="009F2408"/>
    <w:rsid w:val="009F4C62"/>
    <w:rsid w:val="009F500D"/>
    <w:rsid w:val="009F52E3"/>
    <w:rsid w:val="009F5C2F"/>
    <w:rsid w:val="009F60E0"/>
    <w:rsid w:val="009F61F3"/>
    <w:rsid w:val="009F793A"/>
    <w:rsid w:val="00A007EE"/>
    <w:rsid w:val="00A0123A"/>
    <w:rsid w:val="00A012A1"/>
    <w:rsid w:val="00A02D52"/>
    <w:rsid w:val="00A03D03"/>
    <w:rsid w:val="00A043BB"/>
    <w:rsid w:val="00A0441D"/>
    <w:rsid w:val="00A05100"/>
    <w:rsid w:val="00A05720"/>
    <w:rsid w:val="00A0584C"/>
    <w:rsid w:val="00A05CE4"/>
    <w:rsid w:val="00A06022"/>
    <w:rsid w:val="00A06178"/>
    <w:rsid w:val="00A062D2"/>
    <w:rsid w:val="00A06F24"/>
    <w:rsid w:val="00A077A4"/>
    <w:rsid w:val="00A077EB"/>
    <w:rsid w:val="00A1030F"/>
    <w:rsid w:val="00A10730"/>
    <w:rsid w:val="00A1106D"/>
    <w:rsid w:val="00A12D94"/>
    <w:rsid w:val="00A148E1"/>
    <w:rsid w:val="00A15ACD"/>
    <w:rsid w:val="00A15FFF"/>
    <w:rsid w:val="00A17378"/>
    <w:rsid w:val="00A17AF7"/>
    <w:rsid w:val="00A20A0C"/>
    <w:rsid w:val="00A241FA"/>
    <w:rsid w:val="00A254B1"/>
    <w:rsid w:val="00A255ED"/>
    <w:rsid w:val="00A26357"/>
    <w:rsid w:val="00A26F83"/>
    <w:rsid w:val="00A27407"/>
    <w:rsid w:val="00A27486"/>
    <w:rsid w:val="00A30345"/>
    <w:rsid w:val="00A31396"/>
    <w:rsid w:val="00A32DCF"/>
    <w:rsid w:val="00A33522"/>
    <w:rsid w:val="00A33BC6"/>
    <w:rsid w:val="00A343C3"/>
    <w:rsid w:val="00A34FED"/>
    <w:rsid w:val="00A357FF"/>
    <w:rsid w:val="00A35B46"/>
    <w:rsid w:val="00A35EF3"/>
    <w:rsid w:val="00A36D53"/>
    <w:rsid w:val="00A36E4D"/>
    <w:rsid w:val="00A405C4"/>
    <w:rsid w:val="00A43807"/>
    <w:rsid w:val="00A446EC"/>
    <w:rsid w:val="00A45AEA"/>
    <w:rsid w:val="00A4627D"/>
    <w:rsid w:val="00A513F1"/>
    <w:rsid w:val="00A51BC9"/>
    <w:rsid w:val="00A520CB"/>
    <w:rsid w:val="00A5216E"/>
    <w:rsid w:val="00A52180"/>
    <w:rsid w:val="00A53A44"/>
    <w:rsid w:val="00A53EDE"/>
    <w:rsid w:val="00A542A0"/>
    <w:rsid w:val="00A546B7"/>
    <w:rsid w:val="00A54930"/>
    <w:rsid w:val="00A55625"/>
    <w:rsid w:val="00A55BB3"/>
    <w:rsid w:val="00A55E86"/>
    <w:rsid w:val="00A57B8C"/>
    <w:rsid w:val="00A603D8"/>
    <w:rsid w:val="00A60B59"/>
    <w:rsid w:val="00A62095"/>
    <w:rsid w:val="00A6291B"/>
    <w:rsid w:val="00A62E61"/>
    <w:rsid w:val="00A6481F"/>
    <w:rsid w:val="00A6579B"/>
    <w:rsid w:val="00A66731"/>
    <w:rsid w:val="00A66B50"/>
    <w:rsid w:val="00A67F10"/>
    <w:rsid w:val="00A71C55"/>
    <w:rsid w:val="00A72001"/>
    <w:rsid w:val="00A722F4"/>
    <w:rsid w:val="00A722F5"/>
    <w:rsid w:val="00A7248F"/>
    <w:rsid w:val="00A724B2"/>
    <w:rsid w:val="00A74520"/>
    <w:rsid w:val="00A74A0D"/>
    <w:rsid w:val="00A75488"/>
    <w:rsid w:val="00A758AB"/>
    <w:rsid w:val="00A75B2E"/>
    <w:rsid w:val="00A75EEE"/>
    <w:rsid w:val="00A7673C"/>
    <w:rsid w:val="00A76FE5"/>
    <w:rsid w:val="00A80840"/>
    <w:rsid w:val="00A82289"/>
    <w:rsid w:val="00A82368"/>
    <w:rsid w:val="00A827EB"/>
    <w:rsid w:val="00A828D9"/>
    <w:rsid w:val="00A82C66"/>
    <w:rsid w:val="00A82F38"/>
    <w:rsid w:val="00A84D13"/>
    <w:rsid w:val="00A85710"/>
    <w:rsid w:val="00A85C9F"/>
    <w:rsid w:val="00A861C1"/>
    <w:rsid w:val="00A8665E"/>
    <w:rsid w:val="00A879A2"/>
    <w:rsid w:val="00A87F40"/>
    <w:rsid w:val="00A9016C"/>
    <w:rsid w:val="00A90173"/>
    <w:rsid w:val="00A92906"/>
    <w:rsid w:val="00A94B00"/>
    <w:rsid w:val="00A95BFA"/>
    <w:rsid w:val="00A96844"/>
    <w:rsid w:val="00A96E46"/>
    <w:rsid w:val="00A9780B"/>
    <w:rsid w:val="00AA182C"/>
    <w:rsid w:val="00AA19CD"/>
    <w:rsid w:val="00AA1A03"/>
    <w:rsid w:val="00AA27DD"/>
    <w:rsid w:val="00AA584A"/>
    <w:rsid w:val="00AA65E1"/>
    <w:rsid w:val="00AA6CA0"/>
    <w:rsid w:val="00AA7D11"/>
    <w:rsid w:val="00AA7DB1"/>
    <w:rsid w:val="00AB0B4B"/>
    <w:rsid w:val="00AB111C"/>
    <w:rsid w:val="00AB1F3F"/>
    <w:rsid w:val="00AB2852"/>
    <w:rsid w:val="00AB2DB9"/>
    <w:rsid w:val="00AB2EFE"/>
    <w:rsid w:val="00AB36ED"/>
    <w:rsid w:val="00AB51A3"/>
    <w:rsid w:val="00AB64CB"/>
    <w:rsid w:val="00AB7865"/>
    <w:rsid w:val="00AC06CC"/>
    <w:rsid w:val="00AC0A2C"/>
    <w:rsid w:val="00AC0B86"/>
    <w:rsid w:val="00AC12B7"/>
    <w:rsid w:val="00AC162D"/>
    <w:rsid w:val="00AC1CE5"/>
    <w:rsid w:val="00AC209A"/>
    <w:rsid w:val="00AC2196"/>
    <w:rsid w:val="00AC2613"/>
    <w:rsid w:val="00AC2833"/>
    <w:rsid w:val="00AC3074"/>
    <w:rsid w:val="00AC33D0"/>
    <w:rsid w:val="00AC3AF3"/>
    <w:rsid w:val="00AC4595"/>
    <w:rsid w:val="00AC543C"/>
    <w:rsid w:val="00AC56C9"/>
    <w:rsid w:val="00AC5C83"/>
    <w:rsid w:val="00AC5C9F"/>
    <w:rsid w:val="00AC6E77"/>
    <w:rsid w:val="00AD0D28"/>
    <w:rsid w:val="00AD0F2F"/>
    <w:rsid w:val="00AD104F"/>
    <w:rsid w:val="00AD10C3"/>
    <w:rsid w:val="00AD1753"/>
    <w:rsid w:val="00AD1B40"/>
    <w:rsid w:val="00AD24C5"/>
    <w:rsid w:val="00AD2755"/>
    <w:rsid w:val="00AD28BB"/>
    <w:rsid w:val="00AD34E9"/>
    <w:rsid w:val="00AD5EAD"/>
    <w:rsid w:val="00AD5ED6"/>
    <w:rsid w:val="00AD6551"/>
    <w:rsid w:val="00AE0497"/>
    <w:rsid w:val="00AE1126"/>
    <w:rsid w:val="00AE125F"/>
    <w:rsid w:val="00AE2D95"/>
    <w:rsid w:val="00AE370E"/>
    <w:rsid w:val="00AE5099"/>
    <w:rsid w:val="00AE5685"/>
    <w:rsid w:val="00AE6285"/>
    <w:rsid w:val="00AE6B0C"/>
    <w:rsid w:val="00AE7570"/>
    <w:rsid w:val="00AE7D2F"/>
    <w:rsid w:val="00AF11BB"/>
    <w:rsid w:val="00AF35AD"/>
    <w:rsid w:val="00AF4335"/>
    <w:rsid w:val="00AF5EA1"/>
    <w:rsid w:val="00AF7A06"/>
    <w:rsid w:val="00B00B4C"/>
    <w:rsid w:val="00B01087"/>
    <w:rsid w:val="00B01923"/>
    <w:rsid w:val="00B01C96"/>
    <w:rsid w:val="00B02AAD"/>
    <w:rsid w:val="00B045E9"/>
    <w:rsid w:val="00B05240"/>
    <w:rsid w:val="00B06939"/>
    <w:rsid w:val="00B06F02"/>
    <w:rsid w:val="00B07BAD"/>
    <w:rsid w:val="00B07C16"/>
    <w:rsid w:val="00B10029"/>
    <w:rsid w:val="00B1086F"/>
    <w:rsid w:val="00B108A9"/>
    <w:rsid w:val="00B11402"/>
    <w:rsid w:val="00B124F5"/>
    <w:rsid w:val="00B12665"/>
    <w:rsid w:val="00B13DDD"/>
    <w:rsid w:val="00B13EAE"/>
    <w:rsid w:val="00B15184"/>
    <w:rsid w:val="00B15B46"/>
    <w:rsid w:val="00B15C30"/>
    <w:rsid w:val="00B16F87"/>
    <w:rsid w:val="00B17795"/>
    <w:rsid w:val="00B2041C"/>
    <w:rsid w:val="00B209DB"/>
    <w:rsid w:val="00B214D7"/>
    <w:rsid w:val="00B21955"/>
    <w:rsid w:val="00B22D6F"/>
    <w:rsid w:val="00B2369D"/>
    <w:rsid w:val="00B2494A"/>
    <w:rsid w:val="00B24BAD"/>
    <w:rsid w:val="00B3038F"/>
    <w:rsid w:val="00B30FB0"/>
    <w:rsid w:val="00B3187F"/>
    <w:rsid w:val="00B33610"/>
    <w:rsid w:val="00B33BB1"/>
    <w:rsid w:val="00B33F71"/>
    <w:rsid w:val="00B34765"/>
    <w:rsid w:val="00B36160"/>
    <w:rsid w:val="00B40BE4"/>
    <w:rsid w:val="00B42E71"/>
    <w:rsid w:val="00B42F76"/>
    <w:rsid w:val="00B43098"/>
    <w:rsid w:val="00B4320D"/>
    <w:rsid w:val="00B43B35"/>
    <w:rsid w:val="00B46E28"/>
    <w:rsid w:val="00B47047"/>
    <w:rsid w:val="00B47411"/>
    <w:rsid w:val="00B47501"/>
    <w:rsid w:val="00B47C40"/>
    <w:rsid w:val="00B47F48"/>
    <w:rsid w:val="00B50380"/>
    <w:rsid w:val="00B52257"/>
    <w:rsid w:val="00B525CB"/>
    <w:rsid w:val="00B53745"/>
    <w:rsid w:val="00B550C0"/>
    <w:rsid w:val="00B56763"/>
    <w:rsid w:val="00B57216"/>
    <w:rsid w:val="00B5731E"/>
    <w:rsid w:val="00B5740A"/>
    <w:rsid w:val="00B57949"/>
    <w:rsid w:val="00B602AC"/>
    <w:rsid w:val="00B60FA3"/>
    <w:rsid w:val="00B6128C"/>
    <w:rsid w:val="00B63212"/>
    <w:rsid w:val="00B63237"/>
    <w:rsid w:val="00B63734"/>
    <w:rsid w:val="00B63BF6"/>
    <w:rsid w:val="00B644C3"/>
    <w:rsid w:val="00B64B7C"/>
    <w:rsid w:val="00B660B9"/>
    <w:rsid w:val="00B66CD6"/>
    <w:rsid w:val="00B66D2D"/>
    <w:rsid w:val="00B67C16"/>
    <w:rsid w:val="00B67EFC"/>
    <w:rsid w:val="00B700DA"/>
    <w:rsid w:val="00B71859"/>
    <w:rsid w:val="00B721A8"/>
    <w:rsid w:val="00B74941"/>
    <w:rsid w:val="00B74F65"/>
    <w:rsid w:val="00B7621F"/>
    <w:rsid w:val="00B76441"/>
    <w:rsid w:val="00B7691B"/>
    <w:rsid w:val="00B77AB8"/>
    <w:rsid w:val="00B8059F"/>
    <w:rsid w:val="00B81AC0"/>
    <w:rsid w:val="00B81D3C"/>
    <w:rsid w:val="00B81EDC"/>
    <w:rsid w:val="00B83896"/>
    <w:rsid w:val="00B84707"/>
    <w:rsid w:val="00B84DCA"/>
    <w:rsid w:val="00B851B9"/>
    <w:rsid w:val="00B862DA"/>
    <w:rsid w:val="00B90390"/>
    <w:rsid w:val="00B91AF7"/>
    <w:rsid w:val="00B91D68"/>
    <w:rsid w:val="00B92317"/>
    <w:rsid w:val="00B92701"/>
    <w:rsid w:val="00B93AB8"/>
    <w:rsid w:val="00B940A2"/>
    <w:rsid w:val="00B94B75"/>
    <w:rsid w:val="00B952B2"/>
    <w:rsid w:val="00B95F86"/>
    <w:rsid w:val="00BA0012"/>
    <w:rsid w:val="00BA0760"/>
    <w:rsid w:val="00BA0BFC"/>
    <w:rsid w:val="00BA0D04"/>
    <w:rsid w:val="00BA146D"/>
    <w:rsid w:val="00BA1644"/>
    <w:rsid w:val="00BA2071"/>
    <w:rsid w:val="00BA2388"/>
    <w:rsid w:val="00BA2F6B"/>
    <w:rsid w:val="00BA2FA8"/>
    <w:rsid w:val="00BA3F59"/>
    <w:rsid w:val="00BA5133"/>
    <w:rsid w:val="00BA583F"/>
    <w:rsid w:val="00BA65FF"/>
    <w:rsid w:val="00BA7BA0"/>
    <w:rsid w:val="00BB0F7C"/>
    <w:rsid w:val="00BB1C54"/>
    <w:rsid w:val="00BB2377"/>
    <w:rsid w:val="00BB4B6E"/>
    <w:rsid w:val="00BB6C98"/>
    <w:rsid w:val="00BC1F1E"/>
    <w:rsid w:val="00BC34A5"/>
    <w:rsid w:val="00BC4C69"/>
    <w:rsid w:val="00BC507D"/>
    <w:rsid w:val="00BC5540"/>
    <w:rsid w:val="00BC59DD"/>
    <w:rsid w:val="00BC69B3"/>
    <w:rsid w:val="00BD04B6"/>
    <w:rsid w:val="00BD2FF5"/>
    <w:rsid w:val="00BD3271"/>
    <w:rsid w:val="00BD3A0F"/>
    <w:rsid w:val="00BD3D1E"/>
    <w:rsid w:val="00BD3FBB"/>
    <w:rsid w:val="00BD62AE"/>
    <w:rsid w:val="00BD6FA6"/>
    <w:rsid w:val="00BD71E8"/>
    <w:rsid w:val="00BD727F"/>
    <w:rsid w:val="00BD77D9"/>
    <w:rsid w:val="00BD7848"/>
    <w:rsid w:val="00BD7B32"/>
    <w:rsid w:val="00BE1A02"/>
    <w:rsid w:val="00BE380E"/>
    <w:rsid w:val="00BE3989"/>
    <w:rsid w:val="00BE4324"/>
    <w:rsid w:val="00BE6D13"/>
    <w:rsid w:val="00BE718A"/>
    <w:rsid w:val="00BE7A65"/>
    <w:rsid w:val="00BE7B52"/>
    <w:rsid w:val="00BF11CD"/>
    <w:rsid w:val="00BF1EDA"/>
    <w:rsid w:val="00BF22EA"/>
    <w:rsid w:val="00BF2877"/>
    <w:rsid w:val="00BF3157"/>
    <w:rsid w:val="00BF3CB8"/>
    <w:rsid w:val="00BF4260"/>
    <w:rsid w:val="00BF4784"/>
    <w:rsid w:val="00BF4F88"/>
    <w:rsid w:val="00BF538C"/>
    <w:rsid w:val="00BF5F59"/>
    <w:rsid w:val="00BF775D"/>
    <w:rsid w:val="00BF79C0"/>
    <w:rsid w:val="00BF7B3F"/>
    <w:rsid w:val="00C01A31"/>
    <w:rsid w:val="00C01A9C"/>
    <w:rsid w:val="00C01B90"/>
    <w:rsid w:val="00C030E3"/>
    <w:rsid w:val="00C041AA"/>
    <w:rsid w:val="00C0442E"/>
    <w:rsid w:val="00C0468B"/>
    <w:rsid w:val="00C0485E"/>
    <w:rsid w:val="00C05097"/>
    <w:rsid w:val="00C05204"/>
    <w:rsid w:val="00C06C51"/>
    <w:rsid w:val="00C06C90"/>
    <w:rsid w:val="00C1034A"/>
    <w:rsid w:val="00C10422"/>
    <w:rsid w:val="00C11251"/>
    <w:rsid w:val="00C126EA"/>
    <w:rsid w:val="00C13017"/>
    <w:rsid w:val="00C14841"/>
    <w:rsid w:val="00C14848"/>
    <w:rsid w:val="00C158B4"/>
    <w:rsid w:val="00C17CB4"/>
    <w:rsid w:val="00C2073B"/>
    <w:rsid w:val="00C2225C"/>
    <w:rsid w:val="00C2231B"/>
    <w:rsid w:val="00C22CEB"/>
    <w:rsid w:val="00C257DE"/>
    <w:rsid w:val="00C25C34"/>
    <w:rsid w:val="00C27608"/>
    <w:rsid w:val="00C27FFD"/>
    <w:rsid w:val="00C30F2C"/>
    <w:rsid w:val="00C31026"/>
    <w:rsid w:val="00C31459"/>
    <w:rsid w:val="00C31744"/>
    <w:rsid w:val="00C31CC1"/>
    <w:rsid w:val="00C34738"/>
    <w:rsid w:val="00C34B05"/>
    <w:rsid w:val="00C365DC"/>
    <w:rsid w:val="00C367A8"/>
    <w:rsid w:val="00C37A22"/>
    <w:rsid w:val="00C40450"/>
    <w:rsid w:val="00C409A4"/>
    <w:rsid w:val="00C417FE"/>
    <w:rsid w:val="00C4198D"/>
    <w:rsid w:val="00C44445"/>
    <w:rsid w:val="00C44C2C"/>
    <w:rsid w:val="00C44D35"/>
    <w:rsid w:val="00C465F3"/>
    <w:rsid w:val="00C47EB1"/>
    <w:rsid w:val="00C5019E"/>
    <w:rsid w:val="00C5048E"/>
    <w:rsid w:val="00C5111E"/>
    <w:rsid w:val="00C51E07"/>
    <w:rsid w:val="00C5210D"/>
    <w:rsid w:val="00C526EA"/>
    <w:rsid w:val="00C52757"/>
    <w:rsid w:val="00C539A8"/>
    <w:rsid w:val="00C55B0C"/>
    <w:rsid w:val="00C55F0D"/>
    <w:rsid w:val="00C570E5"/>
    <w:rsid w:val="00C60D3D"/>
    <w:rsid w:val="00C61794"/>
    <w:rsid w:val="00C62AEB"/>
    <w:rsid w:val="00C62B02"/>
    <w:rsid w:val="00C62E19"/>
    <w:rsid w:val="00C64831"/>
    <w:rsid w:val="00C658D5"/>
    <w:rsid w:val="00C6591A"/>
    <w:rsid w:val="00C65FC5"/>
    <w:rsid w:val="00C66326"/>
    <w:rsid w:val="00C666A0"/>
    <w:rsid w:val="00C66D6F"/>
    <w:rsid w:val="00C704AE"/>
    <w:rsid w:val="00C716B1"/>
    <w:rsid w:val="00C73AF6"/>
    <w:rsid w:val="00C74314"/>
    <w:rsid w:val="00C74366"/>
    <w:rsid w:val="00C7469D"/>
    <w:rsid w:val="00C75367"/>
    <w:rsid w:val="00C76633"/>
    <w:rsid w:val="00C7695D"/>
    <w:rsid w:val="00C76F31"/>
    <w:rsid w:val="00C773B9"/>
    <w:rsid w:val="00C800F1"/>
    <w:rsid w:val="00C800FE"/>
    <w:rsid w:val="00C80515"/>
    <w:rsid w:val="00C820A7"/>
    <w:rsid w:val="00C820E8"/>
    <w:rsid w:val="00C822E3"/>
    <w:rsid w:val="00C8296A"/>
    <w:rsid w:val="00C831EA"/>
    <w:rsid w:val="00C833B1"/>
    <w:rsid w:val="00C8594D"/>
    <w:rsid w:val="00C85FE2"/>
    <w:rsid w:val="00C87ACF"/>
    <w:rsid w:val="00C92B95"/>
    <w:rsid w:val="00C955F2"/>
    <w:rsid w:val="00C95726"/>
    <w:rsid w:val="00C97465"/>
    <w:rsid w:val="00C97AD6"/>
    <w:rsid w:val="00C97BAC"/>
    <w:rsid w:val="00CA0069"/>
    <w:rsid w:val="00CA136A"/>
    <w:rsid w:val="00CA16FD"/>
    <w:rsid w:val="00CA2864"/>
    <w:rsid w:val="00CA3B85"/>
    <w:rsid w:val="00CA3C24"/>
    <w:rsid w:val="00CA4973"/>
    <w:rsid w:val="00CA59D6"/>
    <w:rsid w:val="00CA5A12"/>
    <w:rsid w:val="00CA6AD6"/>
    <w:rsid w:val="00CA6C85"/>
    <w:rsid w:val="00CA7BFD"/>
    <w:rsid w:val="00CA7DC3"/>
    <w:rsid w:val="00CB0738"/>
    <w:rsid w:val="00CB09E0"/>
    <w:rsid w:val="00CB1CFD"/>
    <w:rsid w:val="00CB612D"/>
    <w:rsid w:val="00CB70C5"/>
    <w:rsid w:val="00CB7C5E"/>
    <w:rsid w:val="00CC00F6"/>
    <w:rsid w:val="00CC0D9A"/>
    <w:rsid w:val="00CC2CCD"/>
    <w:rsid w:val="00CC40F7"/>
    <w:rsid w:val="00CC5D87"/>
    <w:rsid w:val="00CC6C4F"/>
    <w:rsid w:val="00CC7C5B"/>
    <w:rsid w:val="00CD0916"/>
    <w:rsid w:val="00CD27FB"/>
    <w:rsid w:val="00CD2958"/>
    <w:rsid w:val="00CD2E06"/>
    <w:rsid w:val="00CD41AD"/>
    <w:rsid w:val="00CD53C5"/>
    <w:rsid w:val="00CD625C"/>
    <w:rsid w:val="00CD7A35"/>
    <w:rsid w:val="00CE0281"/>
    <w:rsid w:val="00CE0794"/>
    <w:rsid w:val="00CE1163"/>
    <w:rsid w:val="00CE221D"/>
    <w:rsid w:val="00CE3229"/>
    <w:rsid w:val="00CE5B8D"/>
    <w:rsid w:val="00CE6AAB"/>
    <w:rsid w:val="00CE7B28"/>
    <w:rsid w:val="00CF0236"/>
    <w:rsid w:val="00CF03D8"/>
    <w:rsid w:val="00CF1BA0"/>
    <w:rsid w:val="00CF2C19"/>
    <w:rsid w:val="00CF4AC5"/>
    <w:rsid w:val="00CF5619"/>
    <w:rsid w:val="00CF7146"/>
    <w:rsid w:val="00CF79A9"/>
    <w:rsid w:val="00D0162E"/>
    <w:rsid w:val="00D0187C"/>
    <w:rsid w:val="00D0210B"/>
    <w:rsid w:val="00D0445A"/>
    <w:rsid w:val="00D04584"/>
    <w:rsid w:val="00D04C40"/>
    <w:rsid w:val="00D05890"/>
    <w:rsid w:val="00D05D12"/>
    <w:rsid w:val="00D05D6C"/>
    <w:rsid w:val="00D0627B"/>
    <w:rsid w:val="00D0709E"/>
    <w:rsid w:val="00D07642"/>
    <w:rsid w:val="00D079B9"/>
    <w:rsid w:val="00D11CCA"/>
    <w:rsid w:val="00D124BA"/>
    <w:rsid w:val="00D12C34"/>
    <w:rsid w:val="00D13376"/>
    <w:rsid w:val="00D13662"/>
    <w:rsid w:val="00D136A2"/>
    <w:rsid w:val="00D143F8"/>
    <w:rsid w:val="00D150CD"/>
    <w:rsid w:val="00D16143"/>
    <w:rsid w:val="00D17189"/>
    <w:rsid w:val="00D17C1A"/>
    <w:rsid w:val="00D21656"/>
    <w:rsid w:val="00D23F79"/>
    <w:rsid w:val="00D24264"/>
    <w:rsid w:val="00D24889"/>
    <w:rsid w:val="00D25080"/>
    <w:rsid w:val="00D30419"/>
    <w:rsid w:val="00D31495"/>
    <w:rsid w:val="00D31525"/>
    <w:rsid w:val="00D31BE2"/>
    <w:rsid w:val="00D32582"/>
    <w:rsid w:val="00D337EF"/>
    <w:rsid w:val="00D33A9C"/>
    <w:rsid w:val="00D33D60"/>
    <w:rsid w:val="00D34364"/>
    <w:rsid w:val="00D3523A"/>
    <w:rsid w:val="00D35AFE"/>
    <w:rsid w:val="00D37033"/>
    <w:rsid w:val="00D373B7"/>
    <w:rsid w:val="00D379A7"/>
    <w:rsid w:val="00D37AC6"/>
    <w:rsid w:val="00D4046F"/>
    <w:rsid w:val="00D410D5"/>
    <w:rsid w:val="00D420BA"/>
    <w:rsid w:val="00D43D93"/>
    <w:rsid w:val="00D44AEF"/>
    <w:rsid w:val="00D466FD"/>
    <w:rsid w:val="00D47037"/>
    <w:rsid w:val="00D4718D"/>
    <w:rsid w:val="00D47864"/>
    <w:rsid w:val="00D5008D"/>
    <w:rsid w:val="00D503DB"/>
    <w:rsid w:val="00D50A4C"/>
    <w:rsid w:val="00D50C5D"/>
    <w:rsid w:val="00D51D8B"/>
    <w:rsid w:val="00D532ED"/>
    <w:rsid w:val="00D568A0"/>
    <w:rsid w:val="00D568A6"/>
    <w:rsid w:val="00D56C89"/>
    <w:rsid w:val="00D56FC2"/>
    <w:rsid w:val="00D57207"/>
    <w:rsid w:val="00D57B57"/>
    <w:rsid w:val="00D60A00"/>
    <w:rsid w:val="00D60CC3"/>
    <w:rsid w:val="00D611C9"/>
    <w:rsid w:val="00D61D99"/>
    <w:rsid w:val="00D6770B"/>
    <w:rsid w:val="00D67F3E"/>
    <w:rsid w:val="00D708AB"/>
    <w:rsid w:val="00D71210"/>
    <w:rsid w:val="00D714B2"/>
    <w:rsid w:val="00D720F5"/>
    <w:rsid w:val="00D72266"/>
    <w:rsid w:val="00D724F3"/>
    <w:rsid w:val="00D72E10"/>
    <w:rsid w:val="00D72FA4"/>
    <w:rsid w:val="00D73D20"/>
    <w:rsid w:val="00D75C8B"/>
    <w:rsid w:val="00D76012"/>
    <w:rsid w:val="00D76B8D"/>
    <w:rsid w:val="00D77144"/>
    <w:rsid w:val="00D77F24"/>
    <w:rsid w:val="00D80896"/>
    <w:rsid w:val="00D81C4A"/>
    <w:rsid w:val="00D81F0B"/>
    <w:rsid w:val="00D82FC3"/>
    <w:rsid w:val="00D866B1"/>
    <w:rsid w:val="00D86E06"/>
    <w:rsid w:val="00D87236"/>
    <w:rsid w:val="00D877D0"/>
    <w:rsid w:val="00D8783A"/>
    <w:rsid w:val="00D909B6"/>
    <w:rsid w:val="00D91019"/>
    <w:rsid w:val="00D9114E"/>
    <w:rsid w:val="00D91B3B"/>
    <w:rsid w:val="00D9258C"/>
    <w:rsid w:val="00D93B0D"/>
    <w:rsid w:val="00D94436"/>
    <w:rsid w:val="00D946FD"/>
    <w:rsid w:val="00DA100A"/>
    <w:rsid w:val="00DA2C19"/>
    <w:rsid w:val="00DA3945"/>
    <w:rsid w:val="00DA44BC"/>
    <w:rsid w:val="00DA46FE"/>
    <w:rsid w:val="00DA484C"/>
    <w:rsid w:val="00DA5101"/>
    <w:rsid w:val="00DA55A4"/>
    <w:rsid w:val="00DA5A02"/>
    <w:rsid w:val="00DA6027"/>
    <w:rsid w:val="00DA6586"/>
    <w:rsid w:val="00DB032E"/>
    <w:rsid w:val="00DB071D"/>
    <w:rsid w:val="00DB10FA"/>
    <w:rsid w:val="00DB1C53"/>
    <w:rsid w:val="00DB3192"/>
    <w:rsid w:val="00DB39C3"/>
    <w:rsid w:val="00DB42DE"/>
    <w:rsid w:val="00DB478D"/>
    <w:rsid w:val="00DB47A1"/>
    <w:rsid w:val="00DB4BEB"/>
    <w:rsid w:val="00DB5088"/>
    <w:rsid w:val="00DB55C5"/>
    <w:rsid w:val="00DB6768"/>
    <w:rsid w:val="00DC0A16"/>
    <w:rsid w:val="00DC20F4"/>
    <w:rsid w:val="00DC2446"/>
    <w:rsid w:val="00DC2B14"/>
    <w:rsid w:val="00DC2D82"/>
    <w:rsid w:val="00DC5EB3"/>
    <w:rsid w:val="00DC7BA7"/>
    <w:rsid w:val="00DD0E51"/>
    <w:rsid w:val="00DD1301"/>
    <w:rsid w:val="00DD248F"/>
    <w:rsid w:val="00DD2754"/>
    <w:rsid w:val="00DD2A2C"/>
    <w:rsid w:val="00DD3CAE"/>
    <w:rsid w:val="00DD528F"/>
    <w:rsid w:val="00DD5984"/>
    <w:rsid w:val="00DD6327"/>
    <w:rsid w:val="00DD65B4"/>
    <w:rsid w:val="00DD6C1B"/>
    <w:rsid w:val="00DD7416"/>
    <w:rsid w:val="00DD7855"/>
    <w:rsid w:val="00DE1077"/>
    <w:rsid w:val="00DE15E8"/>
    <w:rsid w:val="00DE1BCE"/>
    <w:rsid w:val="00DE3816"/>
    <w:rsid w:val="00DE3CA6"/>
    <w:rsid w:val="00DE3F12"/>
    <w:rsid w:val="00DE5210"/>
    <w:rsid w:val="00DE583A"/>
    <w:rsid w:val="00DE64AD"/>
    <w:rsid w:val="00DF003E"/>
    <w:rsid w:val="00DF07FC"/>
    <w:rsid w:val="00DF0EAC"/>
    <w:rsid w:val="00DF0F17"/>
    <w:rsid w:val="00DF1FE8"/>
    <w:rsid w:val="00DF25A5"/>
    <w:rsid w:val="00DF3500"/>
    <w:rsid w:val="00DF4C76"/>
    <w:rsid w:val="00E0145A"/>
    <w:rsid w:val="00E02400"/>
    <w:rsid w:val="00E02DB3"/>
    <w:rsid w:val="00E02F39"/>
    <w:rsid w:val="00E034F4"/>
    <w:rsid w:val="00E04087"/>
    <w:rsid w:val="00E0463B"/>
    <w:rsid w:val="00E05093"/>
    <w:rsid w:val="00E056D9"/>
    <w:rsid w:val="00E05C3F"/>
    <w:rsid w:val="00E064B8"/>
    <w:rsid w:val="00E065D2"/>
    <w:rsid w:val="00E074FC"/>
    <w:rsid w:val="00E07BF2"/>
    <w:rsid w:val="00E07F6C"/>
    <w:rsid w:val="00E10E56"/>
    <w:rsid w:val="00E12C73"/>
    <w:rsid w:val="00E14028"/>
    <w:rsid w:val="00E146E4"/>
    <w:rsid w:val="00E147AB"/>
    <w:rsid w:val="00E156F4"/>
    <w:rsid w:val="00E15787"/>
    <w:rsid w:val="00E15DB2"/>
    <w:rsid w:val="00E16C2E"/>
    <w:rsid w:val="00E20876"/>
    <w:rsid w:val="00E208AD"/>
    <w:rsid w:val="00E2149F"/>
    <w:rsid w:val="00E21713"/>
    <w:rsid w:val="00E22AF3"/>
    <w:rsid w:val="00E22BF5"/>
    <w:rsid w:val="00E23A47"/>
    <w:rsid w:val="00E23C62"/>
    <w:rsid w:val="00E260EE"/>
    <w:rsid w:val="00E2694F"/>
    <w:rsid w:val="00E27533"/>
    <w:rsid w:val="00E30BFD"/>
    <w:rsid w:val="00E33206"/>
    <w:rsid w:val="00E33AEA"/>
    <w:rsid w:val="00E349A7"/>
    <w:rsid w:val="00E34A34"/>
    <w:rsid w:val="00E361F3"/>
    <w:rsid w:val="00E3707B"/>
    <w:rsid w:val="00E37445"/>
    <w:rsid w:val="00E37A64"/>
    <w:rsid w:val="00E4005A"/>
    <w:rsid w:val="00E409FC"/>
    <w:rsid w:val="00E41DC0"/>
    <w:rsid w:val="00E4231C"/>
    <w:rsid w:val="00E42FBA"/>
    <w:rsid w:val="00E43503"/>
    <w:rsid w:val="00E440D4"/>
    <w:rsid w:val="00E44294"/>
    <w:rsid w:val="00E4457B"/>
    <w:rsid w:val="00E44959"/>
    <w:rsid w:val="00E44BFE"/>
    <w:rsid w:val="00E45847"/>
    <w:rsid w:val="00E45B9F"/>
    <w:rsid w:val="00E45C6F"/>
    <w:rsid w:val="00E5065B"/>
    <w:rsid w:val="00E50E42"/>
    <w:rsid w:val="00E5147A"/>
    <w:rsid w:val="00E5188B"/>
    <w:rsid w:val="00E52CAC"/>
    <w:rsid w:val="00E54205"/>
    <w:rsid w:val="00E56C74"/>
    <w:rsid w:val="00E5724C"/>
    <w:rsid w:val="00E57CA2"/>
    <w:rsid w:val="00E57F85"/>
    <w:rsid w:val="00E60380"/>
    <w:rsid w:val="00E607E0"/>
    <w:rsid w:val="00E6106F"/>
    <w:rsid w:val="00E61091"/>
    <w:rsid w:val="00E62E35"/>
    <w:rsid w:val="00E62E5C"/>
    <w:rsid w:val="00E634B6"/>
    <w:rsid w:val="00E63BB5"/>
    <w:rsid w:val="00E64FE1"/>
    <w:rsid w:val="00E651C7"/>
    <w:rsid w:val="00E67E56"/>
    <w:rsid w:val="00E70DE4"/>
    <w:rsid w:val="00E72A45"/>
    <w:rsid w:val="00E73949"/>
    <w:rsid w:val="00E74448"/>
    <w:rsid w:val="00E74788"/>
    <w:rsid w:val="00E76BB9"/>
    <w:rsid w:val="00E80107"/>
    <w:rsid w:val="00E80A0F"/>
    <w:rsid w:val="00E81165"/>
    <w:rsid w:val="00E81BE0"/>
    <w:rsid w:val="00E8227E"/>
    <w:rsid w:val="00E823B7"/>
    <w:rsid w:val="00E8309D"/>
    <w:rsid w:val="00E840A8"/>
    <w:rsid w:val="00E8465F"/>
    <w:rsid w:val="00E84A3A"/>
    <w:rsid w:val="00E84A51"/>
    <w:rsid w:val="00E854DC"/>
    <w:rsid w:val="00E85BE6"/>
    <w:rsid w:val="00E85F1E"/>
    <w:rsid w:val="00E868D2"/>
    <w:rsid w:val="00E91DD8"/>
    <w:rsid w:val="00E93690"/>
    <w:rsid w:val="00E94438"/>
    <w:rsid w:val="00E9463A"/>
    <w:rsid w:val="00E95765"/>
    <w:rsid w:val="00E965C6"/>
    <w:rsid w:val="00E9674B"/>
    <w:rsid w:val="00E96B4C"/>
    <w:rsid w:val="00E975ED"/>
    <w:rsid w:val="00EA12EF"/>
    <w:rsid w:val="00EA132B"/>
    <w:rsid w:val="00EA1919"/>
    <w:rsid w:val="00EA2AC2"/>
    <w:rsid w:val="00EA31F1"/>
    <w:rsid w:val="00EA473C"/>
    <w:rsid w:val="00EA4BF2"/>
    <w:rsid w:val="00EA63AA"/>
    <w:rsid w:val="00EA7B5F"/>
    <w:rsid w:val="00EB032B"/>
    <w:rsid w:val="00EB073B"/>
    <w:rsid w:val="00EB0B5B"/>
    <w:rsid w:val="00EB0CC8"/>
    <w:rsid w:val="00EB153D"/>
    <w:rsid w:val="00EB1985"/>
    <w:rsid w:val="00EB2A94"/>
    <w:rsid w:val="00EB3CC0"/>
    <w:rsid w:val="00EB52BC"/>
    <w:rsid w:val="00EB7ADA"/>
    <w:rsid w:val="00EC0396"/>
    <w:rsid w:val="00EC0A7F"/>
    <w:rsid w:val="00EC1B71"/>
    <w:rsid w:val="00EC1C30"/>
    <w:rsid w:val="00EC221A"/>
    <w:rsid w:val="00EC2D36"/>
    <w:rsid w:val="00EC30F4"/>
    <w:rsid w:val="00EC3B1D"/>
    <w:rsid w:val="00EC3F1D"/>
    <w:rsid w:val="00EC449B"/>
    <w:rsid w:val="00EC50E9"/>
    <w:rsid w:val="00EC56E5"/>
    <w:rsid w:val="00EC5848"/>
    <w:rsid w:val="00EC62BA"/>
    <w:rsid w:val="00EC634B"/>
    <w:rsid w:val="00EC6513"/>
    <w:rsid w:val="00EC7039"/>
    <w:rsid w:val="00EC750E"/>
    <w:rsid w:val="00EC760B"/>
    <w:rsid w:val="00ED06A4"/>
    <w:rsid w:val="00ED121E"/>
    <w:rsid w:val="00ED164E"/>
    <w:rsid w:val="00ED26CC"/>
    <w:rsid w:val="00ED3B90"/>
    <w:rsid w:val="00ED4143"/>
    <w:rsid w:val="00ED72F5"/>
    <w:rsid w:val="00ED74B6"/>
    <w:rsid w:val="00ED7748"/>
    <w:rsid w:val="00ED7A7E"/>
    <w:rsid w:val="00EE0493"/>
    <w:rsid w:val="00EE16F2"/>
    <w:rsid w:val="00EE20BB"/>
    <w:rsid w:val="00EE2A07"/>
    <w:rsid w:val="00EE5306"/>
    <w:rsid w:val="00EE55E1"/>
    <w:rsid w:val="00EE7A37"/>
    <w:rsid w:val="00EF201A"/>
    <w:rsid w:val="00EF4240"/>
    <w:rsid w:val="00EF44DE"/>
    <w:rsid w:val="00EF507F"/>
    <w:rsid w:val="00EF5C5A"/>
    <w:rsid w:val="00EF6D3C"/>
    <w:rsid w:val="00EF6DCC"/>
    <w:rsid w:val="00EF79C8"/>
    <w:rsid w:val="00F01302"/>
    <w:rsid w:val="00F017DD"/>
    <w:rsid w:val="00F017ED"/>
    <w:rsid w:val="00F01C97"/>
    <w:rsid w:val="00F022EA"/>
    <w:rsid w:val="00F06040"/>
    <w:rsid w:val="00F06F4F"/>
    <w:rsid w:val="00F078AD"/>
    <w:rsid w:val="00F10633"/>
    <w:rsid w:val="00F11503"/>
    <w:rsid w:val="00F127F8"/>
    <w:rsid w:val="00F12882"/>
    <w:rsid w:val="00F14F60"/>
    <w:rsid w:val="00F158C4"/>
    <w:rsid w:val="00F16C6C"/>
    <w:rsid w:val="00F17460"/>
    <w:rsid w:val="00F17BF4"/>
    <w:rsid w:val="00F230F5"/>
    <w:rsid w:val="00F24231"/>
    <w:rsid w:val="00F255AF"/>
    <w:rsid w:val="00F261BF"/>
    <w:rsid w:val="00F30530"/>
    <w:rsid w:val="00F312FE"/>
    <w:rsid w:val="00F32D74"/>
    <w:rsid w:val="00F33CFD"/>
    <w:rsid w:val="00F33D49"/>
    <w:rsid w:val="00F34416"/>
    <w:rsid w:val="00F3460C"/>
    <w:rsid w:val="00F35130"/>
    <w:rsid w:val="00F362AB"/>
    <w:rsid w:val="00F370F6"/>
    <w:rsid w:val="00F4117E"/>
    <w:rsid w:val="00F42558"/>
    <w:rsid w:val="00F4271E"/>
    <w:rsid w:val="00F42DD5"/>
    <w:rsid w:val="00F4309B"/>
    <w:rsid w:val="00F436BC"/>
    <w:rsid w:val="00F43A5B"/>
    <w:rsid w:val="00F45CD5"/>
    <w:rsid w:val="00F470AC"/>
    <w:rsid w:val="00F529D2"/>
    <w:rsid w:val="00F545B5"/>
    <w:rsid w:val="00F54DDE"/>
    <w:rsid w:val="00F568B9"/>
    <w:rsid w:val="00F574A0"/>
    <w:rsid w:val="00F57FE4"/>
    <w:rsid w:val="00F61D8D"/>
    <w:rsid w:val="00F61F72"/>
    <w:rsid w:val="00F62BB1"/>
    <w:rsid w:val="00F63728"/>
    <w:rsid w:val="00F63754"/>
    <w:rsid w:val="00F63E27"/>
    <w:rsid w:val="00F647D8"/>
    <w:rsid w:val="00F64800"/>
    <w:rsid w:val="00F64C8D"/>
    <w:rsid w:val="00F662EA"/>
    <w:rsid w:val="00F6650B"/>
    <w:rsid w:val="00F667EA"/>
    <w:rsid w:val="00F66CF4"/>
    <w:rsid w:val="00F66E28"/>
    <w:rsid w:val="00F67090"/>
    <w:rsid w:val="00F70088"/>
    <w:rsid w:val="00F71702"/>
    <w:rsid w:val="00F72200"/>
    <w:rsid w:val="00F724ED"/>
    <w:rsid w:val="00F73D03"/>
    <w:rsid w:val="00F75A68"/>
    <w:rsid w:val="00F77BF6"/>
    <w:rsid w:val="00F81326"/>
    <w:rsid w:val="00F81492"/>
    <w:rsid w:val="00F81535"/>
    <w:rsid w:val="00F81BAA"/>
    <w:rsid w:val="00F82CBA"/>
    <w:rsid w:val="00F8352A"/>
    <w:rsid w:val="00F83E8B"/>
    <w:rsid w:val="00F8400E"/>
    <w:rsid w:val="00F84EBD"/>
    <w:rsid w:val="00F85586"/>
    <w:rsid w:val="00F866C5"/>
    <w:rsid w:val="00F86B42"/>
    <w:rsid w:val="00F87C2F"/>
    <w:rsid w:val="00F90379"/>
    <w:rsid w:val="00F92D6A"/>
    <w:rsid w:val="00F936E6"/>
    <w:rsid w:val="00F93E89"/>
    <w:rsid w:val="00F94438"/>
    <w:rsid w:val="00F94870"/>
    <w:rsid w:val="00F94D8F"/>
    <w:rsid w:val="00F97A47"/>
    <w:rsid w:val="00FA22C9"/>
    <w:rsid w:val="00FA4C91"/>
    <w:rsid w:val="00FA50E5"/>
    <w:rsid w:val="00FA538C"/>
    <w:rsid w:val="00FA6576"/>
    <w:rsid w:val="00FA6E71"/>
    <w:rsid w:val="00FA6EAE"/>
    <w:rsid w:val="00FB0723"/>
    <w:rsid w:val="00FB0803"/>
    <w:rsid w:val="00FB0C4A"/>
    <w:rsid w:val="00FB21EF"/>
    <w:rsid w:val="00FB37DE"/>
    <w:rsid w:val="00FB3E84"/>
    <w:rsid w:val="00FB5A0A"/>
    <w:rsid w:val="00FB685E"/>
    <w:rsid w:val="00FB68E6"/>
    <w:rsid w:val="00FB7D84"/>
    <w:rsid w:val="00FB7DFB"/>
    <w:rsid w:val="00FB7F23"/>
    <w:rsid w:val="00FC0F17"/>
    <w:rsid w:val="00FC175E"/>
    <w:rsid w:val="00FC199E"/>
    <w:rsid w:val="00FC2A82"/>
    <w:rsid w:val="00FC3374"/>
    <w:rsid w:val="00FC3EBE"/>
    <w:rsid w:val="00FC4302"/>
    <w:rsid w:val="00FC5DB2"/>
    <w:rsid w:val="00FC5FB5"/>
    <w:rsid w:val="00FC6FA3"/>
    <w:rsid w:val="00FC7470"/>
    <w:rsid w:val="00FC796B"/>
    <w:rsid w:val="00FC7B18"/>
    <w:rsid w:val="00FD1765"/>
    <w:rsid w:val="00FD2600"/>
    <w:rsid w:val="00FD2BDA"/>
    <w:rsid w:val="00FD2DFE"/>
    <w:rsid w:val="00FD361F"/>
    <w:rsid w:val="00FD60D5"/>
    <w:rsid w:val="00FD6D09"/>
    <w:rsid w:val="00FD6E73"/>
    <w:rsid w:val="00FD7772"/>
    <w:rsid w:val="00FD779A"/>
    <w:rsid w:val="00FE2CE2"/>
    <w:rsid w:val="00FE3989"/>
    <w:rsid w:val="00FE7CD7"/>
    <w:rsid w:val="00FF1968"/>
    <w:rsid w:val="00FF47D4"/>
    <w:rsid w:val="00FF5102"/>
    <w:rsid w:val="00FF5E51"/>
    <w:rsid w:val="00FF6251"/>
    <w:rsid w:val="00FF6624"/>
    <w:rsid w:val="00FF7A95"/>
    <w:rsid w:val="00FF7D4D"/>
    <w:rsid w:val="02349ADC"/>
    <w:rsid w:val="03BC75EE"/>
    <w:rsid w:val="0462AD03"/>
    <w:rsid w:val="04D21C02"/>
    <w:rsid w:val="06430A7A"/>
    <w:rsid w:val="0767C09D"/>
    <w:rsid w:val="079A4A99"/>
    <w:rsid w:val="07B37622"/>
    <w:rsid w:val="0B4E8907"/>
    <w:rsid w:val="0BC9CCC9"/>
    <w:rsid w:val="0C19A2CD"/>
    <w:rsid w:val="0D49BB3F"/>
    <w:rsid w:val="0F328FDD"/>
    <w:rsid w:val="0FDEF7E6"/>
    <w:rsid w:val="1109E81E"/>
    <w:rsid w:val="122B7D74"/>
    <w:rsid w:val="140AF597"/>
    <w:rsid w:val="14AE0E6E"/>
    <w:rsid w:val="14DC42F0"/>
    <w:rsid w:val="1520DE3B"/>
    <w:rsid w:val="156743A0"/>
    <w:rsid w:val="179DE08A"/>
    <w:rsid w:val="186BC65C"/>
    <w:rsid w:val="19F44F5E"/>
    <w:rsid w:val="1ACD1BA1"/>
    <w:rsid w:val="1B18D310"/>
    <w:rsid w:val="1C1BDE52"/>
    <w:rsid w:val="1E0E783C"/>
    <w:rsid w:val="1EC7C081"/>
    <w:rsid w:val="1ECFAE07"/>
    <w:rsid w:val="1F00E501"/>
    <w:rsid w:val="1F50A12D"/>
    <w:rsid w:val="1FFA66AB"/>
    <w:rsid w:val="20505DCD"/>
    <w:rsid w:val="2143A6CC"/>
    <w:rsid w:val="214618FE"/>
    <w:rsid w:val="22074EC9"/>
    <w:rsid w:val="244FE8F2"/>
    <w:rsid w:val="2460B292"/>
    <w:rsid w:val="248EF497"/>
    <w:rsid w:val="24AB3877"/>
    <w:rsid w:val="24BCC17E"/>
    <w:rsid w:val="253EEF8B"/>
    <w:rsid w:val="258F25E1"/>
    <w:rsid w:val="25B0571C"/>
    <w:rsid w:val="2632B27E"/>
    <w:rsid w:val="26928FC1"/>
    <w:rsid w:val="26CE17A1"/>
    <w:rsid w:val="2744B84C"/>
    <w:rsid w:val="2781FA0E"/>
    <w:rsid w:val="282AB5E9"/>
    <w:rsid w:val="2984642D"/>
    <w:rsid w:val="2A86802E"/>
    <w:rsid w:val="2B699958"/>
    <w:rsid w:val="2C7AC8B2"/>
    <w:rsid w:val="2CC5CC0B"/>
    <w:rsid w:val="2D2D9496"/>
    <w:rsid w:val="2D4A0170"/>
    <w:rsid w:val="2DAABDFC"/>
    <w:rsid w:val="2E444C04"/>
    <w:rsid w:val="2F22A353"/>
    <w:rsid w:val="338D223E"/>
    <w:rsid w:val="33EBD01C"/>
    <w:rsid w:val="357E4F45"/>
    <w:rsid w:val="36C789FD"/>
    <w:rsid w:val="397DBF9A"/>
    <w:rsid w:val="3A141875"/>
    <w:rsid w:val="3A2D40D2"/>
    <w:rsid w:val="3A3EE526"/>
    <w:rsid w:val="3A50B527"/>
    <w:rsid w:val="3B06216D"/>
    <w:rsid w:val="3BC91133"/>
    <w:rsid w:val="3C33E267"/>
    <w:rsid w:val="3C33F537"/>
    <w:rsid w:val="3D5B6A75"/>
    <w:rsid w:val="3DA41969"/>
    <w:rsid w:val="3DA830E4"/>
    <w:rsid w:val="3DD06CB6"/>
    <w:rsid w:val="3E53E82D"/>
    <w:rsid w:val="3E65F8B2"/>
    <w:rsid w:val="3EEA2AD4"/>
    <w:rsid w:val="4033E16C"/>
    <w:rsid w:val="40930B37"/>
    <w:rsid w:val="41597F6F"/>
    <w:rsid w:val="41726092"/>
    <w:rsid w:val="41B4A08D"/>
    <w:rsid w:val="43873693"/>
    <w:rsid w:val="43BAFABB"/>
    <w:rsid w:val="43FD02D6"/>
    <w:rsid w:val="45A3FED3"/>
    <w:rsid w:val="47206C4B"/>
    <w:rsid w:val="4843BF61"/>
    <w:rsid w:val="48EBE029"/>
    <w:rsid w:val="4905BC8A"/>
    <w:rsid w:val="49B686F9"/>
    <w:rsid w:val="4B1942D8"/>
    <w:rsid w:val="4B924878"/>
    <w:rsid w:val="4BDC2A73"/>
    <w:rsid w:val="4BE7AD4B"/>
    <w:rsid w:val="4BEF2B05"/>
    <w:rsid w:val="4C501FFC"/>
    <w:rsid w:val="4D74BD9B"/>
    <w:rsid w:val="4D979B55"/>
    <w:rsid w:val="4E79FB38"/>
    <w:rsid w:val="4EAA55C5"/>
    <w:rsid w:val="50A16B49"/>
    <w:rsid w:val="50D38371"/>
    <w:rsid w:val="5171EB82"/>
    <w:rsid w:val="51FA7310"/>
    <w:rsid w:val="5214A084"/>
    <w:rsid w:val="525BC2C9"/>
    <w:rsid w:val="53D37C65"/>
    <w:rsid w:val="53D90C0B"/>
    <w:rsid w:val="53FB9177"/>
    <w:rsid w:val="559ABFB4"/>
    <w:rsid w:val="566C8ECC"/>
    <w:rsid w:val="57D5D95D"/>
    <w:rsid w:val="5A29958C"/>
    <w:rsid w:val="5A33B149"/>
    <w:rsid w:val="5B1AFA9F"/>
    <w:rsid w:val="5B2AABDD"/>
    <w:rsid w:val="5B9B7133"/>
    <w:rsid w:val="5BF8C661"/>
    <w:rsid w:val="626807E5"/>
    <w:rsid w:val="62FC1F36"/>
    <w:rsid w:val="659FA8A7"/>
    <w:rsid w:val="65B20CFF"/>
    <w:rsid w:val="661BFD8C"/>
    <w:rsid w:val="66495045"/>
    <w:rsid w:val="66659ACC"/>
    <w:rsid w:val="66D9E412"/>
    <w:rsid w:val="6754A165"/>
    <w:rsid w:val="6885FFCA"/>
    <w:rsid w:val="68A31252"/>
    <w:rsid w:val="68D74969"/>
    <w:rsid w:val="6B4C5E32"/>
    <w:rsid w:val="6BD7B8C4"/>
    <w:rsid w:val="6C2BB487"/>
    <w:rsid w:val="6DAABA8C"/>
    <w:rsid w:val="6E14E7CC"/>
    <w:rsid w:val="6E70ACB1"/>
    <w:rsid w:val="6F05D8CA"/>
    <w:rsid w:val="6F0EDCBA"/>
    <w:rsid w:val="6F468AED"/>
    <w:rsid w:val="6FE968E8"/>
    <w:rsid w:val="705CB5FB"/>
    <w:rsid w:val="72B63991"/>
    <w:rsid w:val="74EF45C8"/>
    <w:rsid w:val="75BDB9F7"/>
    <w:rsid w:val="7647FA6E"/>
    <w:rsid w:val="76A9EC11"/>
    <w:rsid w:val="77B5100B"/>
    <w:rsid w:val="789838A4"/>
    <w:rsid w:val="78ED6D33"/>
    <w:rsid w:val="78F55AB9"/>
    <w:rsid w:val="79366AC9"/>
    <w:rsid w:val="7992C8FD"/>
    <w:rsid w:val="79CE9F21"/>
    <w:rsid w:val="79F07320"/>
    <w:rsid w:val="7AE13EB0"/>
    <w:rsid w:val="7AE37FFD"/>
    <w:rsid w:val="7B6A6F82"/>
    <w:rsid w:val="7CC3CE12"/>
    <w:rsid w:val="7D063FE3"/>
    <w:rsid w:val="7DAEDD90"/>
    <w:rsid w:val="7DBF9FEF"/>
    <w:rsid w:val="7E2C7464"/>
    <w:rsid w:val="7E4145A8"/>
    <w:rsid w:val="7E4B29DC"/>
    <w:rsid w:val="7F030747"/>
    <w:rsid w:val="7FB910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B8B918"/>
  <w15:chartTrackingRefBased/>
  <w15:docId w15:val="{1985D616-BA5D-42A8-9473-BF293F7BC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12DE"/>
    <w:pPr>
      <w:spacing w:after="240" w:line="280" w:lineRule="exact"/>
    </w:pPr>
    <w:rPr>
      <w:color w:val="10142A"/>
    </w:rPr>
  </w:style>
  <w:style w:type="paragraph" w:styleId="Heading1">
    <w:name w:val="heading 1"/>
    <w:basedOn w:val="Normal"/>
    <w:next w:val="Normal"/>
    <w:link w:val="Heading1Char"/>
    <w:uiPriority w:val="9"/>
    <w:qFormat/>
    <w:rsid w:val="009B43CD"/>
    <w:pPr>
      <w:keepNext/>
      <w:keepLines/>
      <w:spacing w:line="240" w:lineRule="auto"/>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E60380"/>
    <w:pPr>
      <w:spacing w:after="0" w:line="240" w:lineRule="auto"/>
      <w:outlineLvl w:val="1"/>
    </w:pPr>
    <w:rPr>
      <w:rFonts w:eastAsiaTheme="majorEastAsia" w:cstheme="majorBidi"/>
      <w:b/>
      <w:sz w:val="32"/>
      <w:szCs w:val="26"/>
    </w:rPr>
  </w:style>
  <w:style w:type="paragraph" w:styleId="Heading3">
    <w:name w:val="heading 3"/>
    <w:basedOn w:val="Normal"/>
    <w:next w:val="Normal"/>
    <w:link w:val="Heading3Char"/>
    <w:uiPriority w:val="9"/>
    <w:unhideWhenUsed/>
    <w:qFormat/>
    <w:rsid w:val="00E60380"/>
    <w:pPr>
      <w:spacing w:after="0"/>
      <w:outlineLvl w:val="2"/>
    </w:pPr>
    <w:rPr>
      <w:rFonts w:eastAsiaTheme="majorEastAsia" w:cstheme="majorBidi"/>
      <w:b/>
      <w:sz w:val="28"/>
    </w:rPr>
  </w:style>
  <w:style w:type="paragraph" w:styleId="Heading4">
    <w:name w:val="heading 4"/>
    <w:basedOn w:val="Normal"/>
    <w:next w:val="Normal"/>
    <w:link w:val="Heading4Char"/>
    <w:uiPriority w:val="9"/>
    <w:unhideWhenUsed/>
    <w:qFormat/>
    <w:rsid w:val="00161F7C"/>
    <w:pPr>
      <w:outlineLvl w:val="3"/>
    </w:pPr>
    <w:rPr>
      <w:rFonts w:eastAsiaTheme="majorEastAsia"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10C9"/>
    <w:pPr>
      <w:tabs>
        <w:tab w:val="center" w:pos="4513"/>
        <w:tab w:val="right" w:pos="9026"/>
      </w:tabs>
      <w:spacing w:line="600" w:lineRule="exact"/>
    </w:pPr>
    <w:rPr>
      <w:rFonts w:asciiTheme="majorHAnsi" w:hAnsiTheme="majorHAnsi"/>
      <w:color w:val="FFFFFF" w:themeColor="background1"/>
    </w:rPr>
  </w:style>
  <w:style w:type="character" w:customStyle="1" w:styleId="HeaderChar">
    <w:name w:val="Header Char"/>
    <w:basedOn w:val="DefaultParagraphFont"/>
    <w:link w:val="Header"/>
    <w:uiPriority w:val="99"/>
    <w:rsid w:val="004410C9"/>
    <w:rPr>
      <w:rFonts w:asciiTheme="majorHAnsi" w:hAnsiTheme="majorHAnsi"/>
      <w:color w:val="FFFFFF" w:themeColor="background1"/>
    </w:rPr>
  </w:style>
  <w:style w:type="paragraph" w:styleId="Footer">
    <w:name w:val="footer"/>
    <w:basedOn w:val="Normal"/>
    <w:link w:val="FooterChar"/>
    <w:uiPriority w:val="99"/>
    <w:unhideWhenUsed/>
    <w:rsid w:val="00C60D3D"/>
    <w:pPr>
      <w:tabs>
        <w:tab w:val="center" w:pos="4513"/>
        <w:tab w:val="right" w:pos="9026"/>
      </w:tabs>
      <w:spacing w:line="180" w:lineRule="exact"/>
    </w:pPr>
    <w:rPr>
      <w:sz w:val="14"/>
    </w:rPr>
  </w:style>
  <w:style w:type="character" w:customStyle="1" w:styleId="FooterChar">
    <w:name w:val="Footer Char"/>
    <w:basedOn w:val="DefaultParagraphFont"/>
    <w:link w:val="Footer"/>
    <w:uiPriority w:val="99"/>
    <w:rsid w:val="00C60D3D"/>
    <w:rPr>
      <w:rFonts w:ascii="Poppins" w:hAnsi="Poppins"/>
      <w:color w:val="10142A"/>
      <w:sz w:val="14"/>
    </w:rPr>
  </w:style>
  <w:style w:type="character" w:customStyle="1" w:styleId="Heading1Char">
    <w:name w:val="Heading 1 Char"/>
    <w:basedOn w:val="DefaultParagraphFont"/>
    <w:link w:val="Heading1"/>
    <w:uiPriority w:val="9"/>
    <w:rsid w:val="009B43CD"/>
    <w:rPr>
      <w:rFonts w:ascii="Poppins" w:eastAsiaTheme="majorEastAsia" w:hAnsi="Poppins" w:cstheme="majorBidi"/>
      <w:b/>
      <w:color w:val="10142A"/>
      <w:sz w:val="36"/>
      <w:szCs w:val="32"/>
    </w:rPr>
  </w:style>
  <w:style w:type="paragraph" w:customStyle="1" w:styleId="BasicParagraph">
    <w:name w:val="[Basic Paragraph]"/>
    <w:basedOn w:val="Normal"/>
    <w:uiPriority w:val="99"/>
    <w:rsid w:val="00C60D3D"/>
    <w:pPr>
      <w:autoSpaceDE w:val="0"/>
      <w:autoSpaceDN w:val="0"/>
      <w:adjustRightInd w:val="0"/>
      <w:spacing w:line="288" w:lineRule="auto"/>
      <w:textAlignment w:val="center"/>
    </w:pPr>
    <w:rPr>
      <w:rFonts w:ascii="Minion Pro" w:hAnsi="Minion Pro" w:cs="Minion Pro"/>
      <w:color w:val="000000"/>
    </w:rPr>
  </w:style>
  <w:style w:type="character" w:customStyle="1" w:styleId="Heading2Char">
    <w:name w:val="Heading 2 Char"/>
    <w:basedOn w:val="DefaultParagraphFont"/>
    <w:link w:val="Heading2"/>
    <w:uiPriority w:val="9"/>
    <w:rsid w:val="00E60380"/>
    <w:rPr>
      <w:rFonts w:eastAsiaTheme="majorEastAsia" w:cstheme="majorBidi"/>
      <w:b/>
      <w:color w:val="10142A"/>
      <w:sz w:val="32"/>
      <w:szCs w:val="26"/>
    </w:rPr>
  </w:style>
  <w:style w:type="character" w:customStyle="1" w:styleId="Heading3Char">
    <w:name w:val="Heading 3 Char"/>
    <w:basedOn w:val="DefaultParagraphFont"/>
    <w:link w:val="Heading3"/>
    <w:uiPriority w:val="9"/>
    <w:rsid w:val="00E60380"/>
    <w:rPr>
      <w:rFonts w:eastAsiaTheme="majorEastAsia" w:cstheme="majorBidi"/>
      <w:b/>
      <w:color w:val="10142A"/>
      <w:sz w:val="28"/>
    </w:rPr>
  </w:style>
  <w:style w:type="paragraph" w:customStyle="1" w:styleId="Bullet">
    <w:name w:val="Bullet"/>
    <w:basedOn w:val="Normal"/>
    <w:qFormat/>
    <w:rsid w:val="00146A55"/>
    <w:pPr>
      <w:numPr>
        <w:numId w:val="1"/>
      </w:numPr>
      <w:spacing w:after="0"/>
      <w:ind w:left="227" w:hanging="227"/>
    </w:pPr>
    <w:rPr>
      <w:lang w:val="en-US"/>
    </w:rPr>
  </w:style>
  <w:style w:type="table" w:styleId="TableGrid">
    <w:name w:val="Table Grid"/>
    <w:basedOn w:val="TableNormal"/>
    <w:uiPriority w:val="39"/>
    <w:rsid w:val="009B43CD"/>
    <w:pPr>
      <w:spacing w:line="280" w:lineRule="exact"/>
    </w:pPr>
    <w:rPr>
      <w:rFonts w:ascii="Poppins" w:hAnsi="Poppins"/>
      <w:color w:val="10142A"/>
    </w:rPr>
    <w:tblPr/>
    <w:tcPr>
      <w:shd w:val="clear" w:color="auto" w:fill="EBE8E9"/>
      <w:tcMar>
        <w:top w:w="170" w:type="dxa"/>
        <w:left w:w="170" w:type="dxa"/>
        <w:bottom w:w="170" w:type="dxa"/>
        <w:right w:w="170" w:type="dxa"/>
      </w:tcMar>
    </w:tcPr>
  </w:style>
  <w:style w:type="character" w:customStyle="1" w:styleId="Heading4Char">
    <w:name w:val="Heading 4 Char"/>
    <w:basedOn w:val="DefaultParagraphFont"/>
    <w:link w:val="Heading4"/>
    <w:uiPriority w:val="9"/>
    <w:rsid w:val="00161F7C"/>
    <w:rPr>
      <w:rFonts w:eastAsiaTheme="majorEastAsia" w:cstheme="majorBidi"/>
      <w:b/>
      <w:iCs/>
      <w:color w:val="10142A"/>
    </w:rPr>
  </w:style>
  <w:style w:type="paragraph" w:customStyle="1" w:styleId="BodytextIndent">
    <w:name w:val="Bodytext_Indent"/>
    <w:basedOn w:val="Normal"/>
    <w:qFormat/>
    <w:rsid w:val="00146A55"/>
    <w:pPr>
      <w:ind w:left="227"/>
    </w:pPr>
  </w:style>
  <w:style w:type="paragraph" w:styleId="NoSpacing">
    <w:name w:val="No Spacing"/>
    <w:basedOn w:val="Normal"/>
    <w:uiPriority w:val="1"/>
    <w:qFormat/>
    <w:rsid w:val="00146A55"/>
    <w:pPr>
      <w:spacing w:after="0"/>
    </w:pPr>
  </w:style>
  <w:style w:type="paragraph" w:customStyle="1" w:styleId="Heading2SpaceAfter">
    <w:name w:val="Heading 2 SpaceAfter"/>
    <w:basedOn w:val="Heading2"/>
    <w:qFormat/>
    <w:rsid w:val="002525EE"/>
    <w:pPr>
      <w:spacing w:after="120"/>
    </w:pPr>
  </w:style>
  <w:style w:type="paragraph" w:customStyle="1" w:styleId="BulletSpaceAfter">
    <w:name w:val="Bullet_SpaceAfter"/>
    <w:basedOn w:val="Bullet"/>
    <w:qFormat/>
    <w:rsid w:val="00A55BB3"/>
    <w:pPr>
      <w:spacing w:after="240"/>
    </w:pPr>
  </w:style>
  <w:style w:type="paragraph" w:customStyle="1" w:styleId="BodytextSpaceBefore">
    <w:name w:val="Bodytext_SpaceBefore"/>
    <w:basedOn w:val="Normal"/>
    <w:qFormat/>
    <w:rsid w:val="00A55BB3"/>
    <w:pPr>
      <w:spacing w:before="240"/>
    </w:pPr>
  </w:style>
  <w:style w:type="paragraph" w:customStyle="1" w:styleId="Heading3SpaceAfter">
    <w:name w:val="Heading 3 SpaceAfter"/>
    <w:basedOn w:val="Heading3"/>
    <w:qFormat/>
    <w:rsid w:val="00A55BB3"/>
    <w:pPr>
      <w:spacing w:before="240" w:after="120"/>
    </w:pPr>
  </w:style>
  <w:style w:type="paragraph" w:customStyle="1" w:styleId="Heading4NoSpaceAfter">
    <w:name w:val="Heading 4 NoSpaceAfter"/>
    <w:basedOn w:val="Heading4"/>
    <w:qFormat/>
    <w:rsid w:val="005E5A20"/>
    <w:pPr>
      <w:spacing w:after="0"/>
    </w:pPr>
  </w:style>
  <w:style w:type="paragraph" w:customStyle="1" w:styleId="MainHeading">
    <w:name w:val="Main Heading"/>
    <w:basedOn w:val="Heading1"/>
    <w:qFormat/>
    <w:rsid w:val="004410C9"/>
    <w:pPr>
      <w:spacing w:after="960"/>
    </w:pPr>
    <w:rPr>
      <w:rFonts w:ascii="Bw Gradual DEMO" w:hAnsi="Bw Gradual DEMO"/>
      <w:b w:val="0"/>
      <w:color w:val="FFFFFF" w:themeColor="background1"/>
      <w:sz w:val="56"/>
    </w:rPr>
  </w:style>
  <w:style w:type="character" w:styleId="Hyperlink">
    <w:name w:val="Hyperlink"/>
    <w:basedOn w:val="DefaultParagraphFont"/>
    <w:uiPriority w:val="99"/>
    <w:unhideWhenUsed/>
    <w:rsid w:val="003459A8"/>
    <w:rPr>
      <w:color w:val="0563C1" w:themeColor="hyperlink"/>
      <w:u w:val="single"/>
    </w:rPr>
  </w:style>
  <w:style w:type="character" w:styleId="UnresolvedMention">
    <w:name w:val="Unresolved Mention"/>
    <w:basedOn w:val="DefaultParagraphFont"/>
    <w:uiPriority w:val="99"/>
    <w:semiHidden/>
    <w:unhideWhenUsed/>
    <w:rsid w:val="003459A8"/>
    <w:rPr>
      <w:color w:val="605E5C"/>
      <w:shd w:val="clear" w:color="auto" w:fill="E1DFDD"/>
    </w:rPr>
  </w:style>
  <w:style w:type="paragraph" w:styleId="ListParagraph">
    <w:name w:val="List Paragraph"/>
    <w:basedOn w:val="Normal"/>
    <w:uiPriority w:val="1"/>
    <w:qFormat/>
    <w:rsid w:val="00DC2B14"/>
    <w:pPr>
      <w:ind w:left="720"/>
      <w:contextualSpacing/>
    </w:pPr>
  </w:style>
  <w:style w:type="character" w:styleId="FollowedHyperlink">
    <w:name w:val="FollowedHyperlink"/>
    <w:basedOn w:val="DefaultParagraphFont"/>
    <w:uiPriority w:val="99"/>
    <w:semiHidden/>
    <w:unhideWhenUsed/>
    <w:rsid w:val="00274925"/>
    <w:rPr>
      <w:color w:val="954F72" w:themeColor="followedHyperlink"/>
      <w:u w:val="single"/>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color w:val="10142A"/>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A043BB"/>
    <w:rPr>
      <w:b/>
      <w:bCs/>
    </w:rPr>
  </w:style>
  <w:style w:type="character" w:customStyle="1" w:styleId="CommentSubjectChar">
    <w:name w:val="Comment Subject Char"/>
    <w:basedOn w:val="CommentTextChar"/>
    <w:link w:val="CommentSubject"/>
    <w:uiPriority w:val="99"/>
    <w:semiHidden/>
    <w:rsid w:val="00A043BB"/>
    <w:rPr>
      <w:b/>
      <w:bCs/>
      <w:color w:val="10142A"/>
      <w:sz w:val="20"/>
      <w:szCs w:val="20"/>
    </w:rPr>
  </w:style>
  <w:style w:type="paragraph" w:styleId="NormalWeb">
    <w:name w:val="Normal (Web)"/>
    <w:basedOn w:val="Normal"/>
    <w:uiPriority w:val="99"/>
    <w:semiHidden/>
    <w:unhideWhenUsed/>
    <w:rsid w:val="00DC7BA7"/>
    <w:rPr>
      <w:rFonts w:ascii="Times New Roman" w:hAnsi="Times New Roman" w:cs="Times New Roman"/>
    </w:rPr>
  </w:style>
  <w:style w:type="paragraph" w:styleId="Revision">
    <w:name w:val="Revision"/>
    <w:hidden/>
    <w:uiPriority w:val="99"/>
    <w:semiHidden/>
    <w:rsid w:val="00215FF8"/>
    <w:rPr>
      <w:color w:val="10142A"/>
    </w:rPr>
  </w:style>
  <w:style w:type="character" w:customStyle="1" w:styleId="ui-provider">
    <w:name w:val="ui-provider"/>
    <w:basedOn w:val="DefaultParagraphFont"/>
    <w:rsid w:val="005147A6"/>
  </w:style>
  <w:style w:type="character" w:customStyle="1" w:styleId="cf01">
    <w:name w:val="cf01"/>
    <w:basedOn w:val="DefaultParagraphFont"/>
    <w:rsid w:val="00E74448"/>
    <w:rPr>
      <w:rFonts w:ascii="Segoe UI" w:hAnsi="Segoe UI" w:cs="Segoe UI" w:hint="default"/>
      <w:color w:val="333333"/>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7397">
      <w:bodyDiv w:val="1"/>
      <w:marLeft w:val="0"/>
      <w:marRight w:val="0"/>
      <w:marTop w:val="0"/>
      <w:marBottom w:val="0"/>
      <w:divBdr>
        <w:top w:val="none" w:sz="0" w:space="0" w:color="auto"/>
        <w:left w:val="none" w:sz="0" w:space="0" w:color="auto"/>
        <w:bottom w:val="none" w:sz="0" w:space="0" w:color="auto"/>
        <w:right w:val="none" w:sz="0" w:space="0" w:color="auto"/>
      </w:divBdr>
    </w:div>
    <w:div w:id="52198235">
      <w:bodyDiv w:val="1"/>
      <w:marLeft w:val="0"/>
      <w:marRight w:val="0"/>
      <w:marTop w:val="0"/>
      <w:marBottom w:val="0"/>
      <w:divBdr>
        <w:top w:val="none" w:sz="0" w:space="0" w:color="auto"/>
        <w:left w:val="none" w:sz="0" w:space="0" w:color="auto"/>
        <w:bottom w:val="none" w:sz="0" w:space="0" w:color="auto"/>
        <w:right w:val="none" w:sz="0" w:space="0" w:color="auto"/>
      </w:divBdr>
    </w:div>
    <w:div w:id="63644228">
      <w:bodyDiv w:val="1"/>
      <w:marLeft w:val="0"/>
      <w:marRight w:val="0"/>
      <w:marTop w:val="0"/>
      <w:marBottom w:val="0"/>
      <w:divBdr>
        <w:top w:val="none" w:sz="0" w:space="0" w:color="auto"/>
        <w:left w:val="none" w:sz="0" w:space="0" w:color="auto"/>
        <w:bottom w:val="none" w:sz="0" w:space="0" w:color="auto"/>
        <w:right w:val="none" w:sz="0" w:space="0" w:color="auto"/>
      </w:divBdr>
    </w:div>
    <w:div w:id="65961738">
      <w:bodyDiv w:val="1"/>
      <w:marLeft w:val="0"/>
      <w:marRight w:val="0"/>
      <w:marTop w:val="0"/>
      <w:marBottom w:val="0"/>
      <w:divBdr>
        <w:top w:val="none" w:sz="0" w:space="0" w:color="auto"/>
        <w:left w:val="none" w:sz="0" w:space="0" w:color="auto"/>
        <w:bottom w:val="none" w:sz="0" w:space="0" w:color="auto"/>
        <w:right w:val="none" w:sz="0" w:space="0" w:color="auto"/>
      </w:divBdr>
    </w:div>
    <w:div w:id="75983627">
      <w:bodyDiv w:val="1"/>
      <w:marLeft w:val="0"/>
      <w:marRight w:val="0"/>
      <w:marTop w:val="0"/>
      <w:marBottom w:val="0"/>
      <w:divBdr>
        <w:top w:val="none" w:sz="0" w:space="0" w:color="auto"/>
        <w:left w:val="none" w:sz="0" w:space="0" w:color="auto"/>
        <w:bottom w:val="none" w:sz="0" w:space="0" w:color="auto"/>
        <w:right w:val="none" w:sz="0" w:space="0" w:color="auto"/>
      </w:divBdr>
    </w:div>
    <w:div w:id="103379359">
      <w:bodyDiv w:val="1"/>
      <w:marLeft w:val="0"/>
      <w:marRight w:val="0"/>
      <w:marTop w:val="0"/>
      <w:marBottom w:val="0"/>
      <w:divBdr>
        <w:top w:val="none" w:sz="0" w:space="0" w:color="auto"/>
        <w:left w:val="none" w:sz="0" w:space="0" w:color="auto"/>
        <w:bottom w:val="none" w:sz="0" w:space="0" w:color="auto"/>
        <w:right w:val="none" w:sz="0" w:space="0" w:color="auto"/>
      </w:divBdr>
    </w:div>
    <w:div w:id="233710086">
      <w:bodyDiv w:val="1"/>
      <w:marLeft w:val="0"/>
      <w:marRight w:val="0"/>
      <w:marTop w:val="0"/>
      <w:marBottom w:val="0"/>
      <w:divBdr>
        <w:top w:val="none" w:sz="0" w:space="0" w:color="auto"/>
        <w:left w:val="none" w:sz="0" w:space="0" w:color="auto"/>
        <w:bottom w:val="none" w:sz="0" w:space="0" w:color="auto"/>
        <w:right w:val="none" w:sz="0" w:space="0" w:color="auto"/>
      </w:divBdr>
      <w:divsChild>
        <w:div w:id="290404029">
          <w:marLeft w:val="0"/>
          <w:marRight w:val="0"/>
          <w:marTop w:val="0"/>
          <w:marBottom w:val="0"/>
          <w:divBdr>
            <w:top w:val="none" w:sz="0" w:space="0" w:color="auto"/>
            <w:left w:val="none" w:sz="0" w:space="0" w:color="auto"/>
            <w:bottom w:val="none" w:sz="0" w:space="0" w:color="auto"/>
            <w:right w:val="none" w:sz="0" w:space="0" w:color="auto"/>
          </w:divBdr>
        </w:div>
        <w:div w:id="589437190">
          <w:marLeft w:val="0"/>
          <w:marRight w:val="0"/>
          <w:marTop w:val="0"/>
          <w:marBottom w:val="0"/>
          <w:divBdr>
            <w:top w:val="none" w:sz="0" w:space="0" w:color="auto"/>
            <w:left w:val="none" w:sz="0" w:space="0" w:color="auto"/>
            <w:bottom w:val="none" w:sz="0" w:space="0" w:color="auto"/>
            <w:right w:val="none" w:sz="0" w:space="0" w:color="auto"/>
          </w:divBdr>
        </w:div>
        <w:div w:id="1891115039">
          <w:marLeft w:val="0"/>
          <w:marRight w:val="0"/>
          <w:marTop w:val="0"/>
          <w:marBottom w:val="0"/>
          <w:divBdr>
            <w:top w:val="none" w:sz="0" w:space="0" w:color="auto"/>
            <w:left w:val="none" w:sz="0" w:space="0" w:color="auto"/>
            <w:bottom w:val="none" w:sz="0" w:space="0" w:color="auto"/>
            <w:right w:val="none" w:sz="0" w:space="0" w:color="auto"/>
          </w:divBdr>
        </w:div>
        <w:div w:id="2099906831">
          <w:marLeft w:val="0"/>
          <w:marRight w:val="0"/>
          <w:marTop w:val="0"/>
          <w:marBottom w:val="0"/>
          <w:divBdr>
            <w:top w:val="none" w:sz="0" w:space="0" w:color="auto"/>
            <w:left w:val="none" w:sz="0" w:space="0" w:color="auto"/>
            <w:bottom w:val="none" w:sz="0" w:space="0" w:color="auto"/>
            <w:right w:val="none" w:sz="0" w:space="0" w:color="auto"/>
          </w:divBdr>
        </w:div>
      </w:divsChild>
    </w:div>
    <w:div w:id="282545653">
      <w:bodyDiv w:val="1"/>
      <w:marLeft w:val="0"/>
      <w:marRight w:val="0"/>
      <w:marTop w:val="0"/>
      <w:marBottom w:val="0"/>
      <w:divBdr>
        <w:top w:val="none" w:sz="0" w:space="0" w:color="auto"/>
        <w:left w:val="none" w:sz="0" w:space="0" w:color="auto"/>
        <w:bottom w:val="none" w:sz="0" w:space="0" w:color="auto"/>
        <w:right w:val="none" w:sz="0" w:space="0" w:color="auto"/>
      </w:divBdr>
    </w:div>
    <w:div w:id="402144145">
      <w:bodyDiv w:val="1"/>
      <w:marLeft w:val="0"/>
      <w:marRight w:val="0"/>
      <w:marTop w:val="0"/>
      <w:marBottom w:val="0"/>
      <w:divBdr>
        <w:top w:val="none" w:sz="0" w:space="0" w:color="auto"/>
        <w:left w:val="none" w:sz="0" w:space="0" w:color="auto"/>
        <w:bottom w:val="none" w:sz="0" w:space="0" w:color="auto"/>
        <w:right w:val="none" w:sz="0" w:space="0" w:color="auto"/>
      </w:divBdr>
      <w:divsChild>
        <w:div w:id="109789996">
          <w:marLeft w:val="0"/>
          <w:marRight w:val="0"/>
          <w:marTop w:val="0"/>
          <w:marBottom w:val="0"/>
          <w:divBdr>
            <w:top w:val="none" w:sz="0" w:space="0" w:color="auto"/>
            <w:left w:val="none" w:sz="0" w:space="0" w:color="auto"/>
            <w:bottom w:val="none" w:sz="0" w:space="0" w:color="auto"/>
            <w:right w:val="none" w:sz="0" w:space="0" w:color="auto"/>
          </w:divBdr>
        </w:div>
        <w:div w:id="315037784">
          <w:marLeft w:val="0"/>
          <w:marRight w:val="0"/>
          <w:marTop w:val="0"/>
          <w:marBottom w:val="0"/>
          <w:divBdr>
            <w:top w:val="none" w:sz="0" w:space="0" w:color="auto"/>
            <w:left w:val="none" w:sz="0" w:space="0" w:color="auto"/>
            <w:bottom w:val="none" w:sz="0" w:space="0" w:color="auto"/>
            <w:right w:val="none" w:sz="0" w:space="0" w:color="auto"/>
          </w:divBdr>
        </w:div>
        <w:div w:id="359165558">
          <w:marLeft w:val="0"/>
          <w:marRight w:val="0"/>
          <w:marTop w:val="0"/>
          <w:marBottom w:val="0"/>
          <w:divBdr>
            <w:top w:val="none" w:sz="0" w:space="0" w:color="auto"/>
            <w:left w:val="none" w:sz="0" w:space="0" w:color="auto"/>
            <w:bottom w:val="none" w:sz="0" w:space="0" w:color="auto"/>
            <w:right w:val="none" w:sz="0" w:space="0" w:color="auto"/>
          </w:divBdr>
        </w:div>
        <w:div w:id="912275359">
          <w:marLeft w:val="0"/>
          <w:marRight w:val="0"/>
          <w:marTop w:val="0"/>
          <w:marBottom w:val="0"/>
          <w:divBdr>
            <w:top w:val="none" w:sz="0" w:space="0" w:color="auto"/>
            <w:left w:val="none" w:sz="0" w:space="0" w:color="auto"/>
            <w:bottom w:val="none" w:sz="0" w:space="0" w:color="auto"/>
            <w:right w:val="none" w:sz="0" w:space="0" w:color="auto"/>
          </w:divBdr>
        </w:div>
        <w:div w:id="2029212411">
          <w:marLeft w:val="0"/>
          <w:marRight w:val="0"/>
          <w:marTop w:val="0"/>
          <w:marBottom w:val="0"/>
          <w:divBdr>
            <w:top w:val="none" w:sz="0" w:space="0" w:color="auto"/>
            <w:left w:val="none" w:sz="0" w:space="0" w:color="auto"/>
            <w:bottom w:val="none" w:sz="0" w:space="0" w:color="auto"/>
            <w:right w:val="none" w:sz="0" w:space="0" w:color="auto"/>
          </w:divBdr>
        </w:div>
      </w:divsChild>
    </w:div>
    <w:div w:id="411395427">
      <w:bodyDiv w:val="1"/>
      <w:marLeft w:val="0"/>
      <w:marRight w:val="0"/>
      <w:marTop w:val="0"/>
      <w:marBottom w:val="0"/>
      <w:divBdr>
        <w:top w:val="none" w:sz="0" w:space="0" w:color="auto"/>
        <w:left w:val="none" w:sz="0" w:space="0" w:color="auto"/>
        <w:bottom w:val="none" w:sz="0" w:space="0" w:color="auto"/>
        <w:right w:val="none" w:sz="0" w:space="0" w:color="auto"/>
      </w:divBdr>
    </w:div>
    <w:div w:id="414058804">
      <w:bodyDiv w:val="1"/>
      <w:marLeft w:val="0"/>
      <w:marRight w:val="0"/>
      <w:marTop w:val="0"/>
      <w:marBottom w:val="0"/>
      <w:divBdr>
        <w:top w:val="none" w:sz="0" w:space="0" w:color="auto"/>
        <w:left w:val="none" w:sz="0" w:space="0" w:color="auto"/>
        <w:bottom w:val="none" w:sz="0" w:space="0" w:color="auto"/>
        <w:right w:val="none" w:sz="0" w:space="0" w:color="auto"/>
      </w:divBdr>
    </w:div>
    <w:div w:id="590505916">
      <w:bodyDiv w:val="1"/>
      <w:marLeft w:val="0"/>
      <w:marRight w:val="0"/>
      <w:marTop w:val="0"/>
      <w:marBottom w:val="0"/>
      <w:divBdr>
        <w:top w:val="none" w:sz="0" w:space="0" w:color="auto"/>
        <w:left w:val="none" w:sz="0" w:space="0" w:color="auto"/>
        <w:bottom w:val="none" w:sz="0" w:space="0" w:color="auto"/>
        <w:right w:val="none" w:sz="0" w:space="0" w:color="auto"/>
      </w:divBdr>
    </w:div>
    <w:div w:id="766929126">
      <w:bodyDiv w:val="1"/>
      <w:marLeft w:val="0"/>
      <w:marRight w:val="0"/>
      <w:marTop w:val="0"/>
      <w:marBottom w:val="0"/>
      <w:divBdr>
        <w:top w:val="none" w:sz="0" w:space="0" w:color="auto"/>
        <w:left w:val="none" w:sz="0" w:space="0" w:color="auto"/>
        <w:bottom w:val="none" w:sz="0" w:space="0" w:color="auto"/>
        <w:right w:val="none" w:sz="0" w:space="0" w:color="auto"/>
      </w:divBdr>
    </w:div>
    <w:div w:id="771315714">
      <w:bodyDiv w:val="1"/>
      <w:marLeft w:val="0"/>
      <w:marRight w:val="0"/>
      <w:marTop w:val="0"/>
      <w:marBottom w:val="0"/>
      <w:divBdr>
        <w:top w:val="none" w:sz="0" w:space="0" w:color="auto"/>
        <w:left w:val="none" w:sz="0" w:space="0" w:color="auto"/>
        <w:bottom w:val="none" w:sz="0" w:space="0" w:color="auto"/>
        <w:right w:val="none" w:sz="0" w:space="0" w:color="auto"/>
      </w:divBdr>
    </w:div>
    <w:div w:id="872576257">
      <w:bodyDiv w:val="1"/>
      <w:marLeft w:val="0"/>
      <w:marRight w:val="0"/>
      <w:marTop w:val="0"/>
      <w:marBottom w:val="0"/>
      <w:divBdr>
        <w:top w:val="none" w:sz="0" w:space="0" w:color="auto"/>
        <w:left w:val="none" w:sz="0" w:space="0" w:color="auto"/>
        <w:bottom w:val="none" w:sz="0" w:space="0" w:color="auto"/>
        <w:right w:val="none" w:sz="0" w:space="0" w:color="auto"/>
      </w:divBdr>
    </w:div>
    <w:div w:id="882594621">
      <w:bodyDiv w:val="1"/>
      <w:marLeft w:val="0"/>
      <w:marRight w:val="0"/>
      <w:marTop w:val="0"/>
      <w:marBottom w:val="0"/>
      <w:divBdr>
        <w:top w:val="none" w:sz="0" w:space="0" w:color="auto"/>
        <w:left w:val="none" w:sz="0" w:space="0" w:color="auto"/>
        <w:bottom w:val="none" w:sz="0" w:space="0" w:color="auto"/>
        <w:right w:val="none" w:sz="0" w:space="0" w:color="auto"/>
      </w:divBdr>
      <w:divsChild>
        <w:div w:id="610866110">
          <w:marLeft w:val="0"/>
          <w:marRight w:val="0"/>
          <w:marTop w:val="0"/>
          <w:marBottom w:val="0"/>
          <w:divBdr>
            <w:top w:val="none" w:sz="0" w:space="0" w:color="auto"/>
            <w:left w:val="none" w:sz="0" w:space="0" w:color="auto"/>
            <w:bottom w:val="none" w:sz="0" w:space="0" w:color="auto"/>
            <w:right w:val="none" w:sz="0" w:space="0" w:color="auto"/>
          </w:divBdr>
        </w:div>
        <w:div w:id="1087075523">
          <w:marLeft w:val="0"/>
          <w:marRight w:val="0"/>
          <w:marTop w:val="0"/>
          <w:marBottom w:val="0"/>
          <w:divBdr>
            <w:top w:val="none" w:sz="0" w:space="0" w:color="auto"/>
            <w:left w:val="none" w:sz="0" w:space="0" w:color="auto"/>
            <w:bottom w:val="none" w:sz="0" w:space="0" w:color="auto"/>
            <w:right w:val="none" w:sz="0" w:space="0" w:color="auto"/>
          </w:divBdr>
        </w:div>
        <w:div w:id="1148936824">
          <w:marLeft w:val="0"/>
          <w:marRight w:val="0"/>
          <w:marTop w:val="0"/>
          <w:marBottom w:val="0"/>
          <w:divBdr>
            <w:top w:val="none" w:sz="0" w:space="0" w:color="auto"/>
            <w:left w:val="none" w:sz="0" w:space="0" w:color="auto"/>
            <w:bottom w:val="none" w:sz="0" w:space="0" w:color="auto"/>
            <w:right w:val="none" w:sz="0" w:space="0" w:color="auto"/>
          </w:divBdr>
        </w:div>
        <w:div w:id="1157653113">
          <w:marLeft w:val="0"/>
          <w:marRight w:val="0"/>
          <w:marTop w:val="0"/>
          <w:marBottom w:val="0"/>
          <w:divBdr>
            <w:top w:val="none" w:sz="0" w:space="0" w:color="auto"/>
            <w:left w:val="none" w:sz="0" w:space="0" w:color="auto"/>
            <w:bottom w:val="none" w:sz="0" w:space="0" w:color="auto"/>
            <w:right w:val="none" w:sz="0" w:space="0" w:color="auto"/>
          </w:divBdr>
        </w:div>
        <w:div w:id="2088073796">
          <w:marLeft w:val="0"/>
          <w:marRight w:val="0"/>
          <w:marTop w:val="0"/>
          <w:marBottom w:val="0"/>
          <w:divBdr>
            <w:top w:val="none" w:sz="0" w:space="0" w:color="auto"/>
            <w:left w:val="none" w:sz="0" w:space="0" w:color="auto"/>
            <w:bottom w:val="none" w:sz="0" w:space="0" w:color="auto"/>
            <w:right w:val="none" w:sz="0" w:space="0" w:color="auto"/>
          </w:divBdr>
        </w:div>
      </w:divsChild>
    </w:div>
    <w:div w:id="926617122">
      <w:bodyDiv w:val="1"/>
      <w:marLeft w:val="0"/>
      <w:marRight w:val="0"/>
      <w:marTop w:val="0"/>
      <w:marBottom w:val="0"/>
      <w:divBdr>
        <w:top w:val="none" w:sz="0" w:space="0" w:color="auto"/>
        <w:left w:val="none" w:sz="0" w:space="0" w:color="auto"/>
        <w:bottom w:val="none" w:sz="0" w:space="0" w:color="auto"/>
        <w:right w:val="none" w:sz="0" w:space="0" w:color="auto"/>
      </w:divBdr>
    </w:div>
    <w:div w:id="1028291233">
      <w:bodyDiv w:val="1"/>
      <w:marLeft w:val="0"/>
      <w:marRight w:val="0"/>
      <w:marTop w:val="0"/>
      <w:marBottom w:val="0"/>
      <w:divBdr>
        <w:top w:val="none" w:sz="0" w:space="0" w:color="auto"/>
        <w:left w:val="none" w:sz="0" w:space="0" w:color="auto"/>
        <w:bottom w:val="none" w:sz="0" w:space="0" w:color="auto"/>
        <w:right w:val="none" w:sz="0" w:space="0" w:color="auto"/>
      </w:divBdr>
    </w:div>
    <w:div w:id="1029722354">
      <w:bodyDiv w:val="1"/>
      <w:marLeft w:val="0"/>
      <w:marRight w:val="0"/>
      <w:marTop w:val="0"/>
      <w:marBottom w:val="0"/>
      <w:divBdr>
        <w:top w:val="none" w:sz="0" w:space="0" w:color="auto"/>
        <w:left w:val="none" w:sz="0" w:space="0" w:color="auto"/>
        <w:bottom w:val="none" w:sz="0" w:space="0" w:color="auto"/>
        <w:right w:val="none" w:sz="0" w:space="0" w:color="auto"/>
      </w:divBdr>
    </w:div>
    <w:div w:id="1120030043">
      <w:bodyDiv w:val="1"/>
      <w:marLeft w:val="0"/>
      <w:marRight w:val="0"/>
      <w:marTop w:val="0"/>
      <w:marBottom w:val="0"/>
      <w:divBdr>
        <w:top w:val="none" w:sz="0" w:space="0" w:color="auto"/>
        <w:left w:val="none" w:sz="0" w:space="0" w:color="auto"/>
        <w:bottom w:val="none" w:sz="0" w:space="0" w:color="auto"/>
        <w:right w:val="none" w:sz="0" w:space="0" w:color="auto"/>
      </w:divBdr>
      <w:divsChild>
        <w:div w:id="341056121">
          <w:marLeft w:val="0"/>
          <w:marRight w:val="0"/>
          <w:marTop w:val="0"/>
          <w:marBottom w:val="0"/>
          <w:divBdr>
            <w:top w:val="none" w:sz="0" w:space="0" w:color="auto"/>
            <w:left w:val="none" w:sz="0" w:space="0" w:color="auto"/>
            <w:bottom w:val="none" w:sz="0" w:space="0" w:color="auto"/>
            <w:right w:val="none" w:sz="0" w:space="0" w:color="auto"/>
          </w:divBdr>
        </w:div>
        <w:div w:id="1184976626">
          <w:marLeft w:val="0"/>
          <w:marRight w:val="0"/>
          <w:marTop w:val="0"/>
          <w:marBottom w:val="0"/>
          <w:divBdr>
            <w:top w:val="none" w:sz="0" w:space="0" w:color="auto"/>
            <w:left w:val="none" w:sz="0" w:space="0" w:color="auto"/>
            <w:bottom w:val="none" w:sz="0" w:space="0" w:color="auto"/>
            <w:right w:val="none" w:sz="0" w:space="0" w:color="auto"/>
          </w:divBdr>
        </w:div>
        <w:div w:id="1506168347">
          <w:marLeft w:val="0"/>
          <w:marRight w:val="0"/>
          <w:marTop w:val="0"/>
          <w:marBottom w:val="0"/>
          <w:divBdr>
            <w:top w:val="none" w:sz="0" w:space="0" w:color="auto"/>
            <w:left w:val="none" w:sz="0" w:space="0" w:color="auto"/>
            <w:bottom w:val="none" w:sz="0" w:space="0" w:color="auto"/>
            <w:right w:val="none" w:sz="0" w:space="0" w:color="auto"/>
          </w:divBdr>
        </w:div>
        <w:div w:id="1734699850">
          <w:marLeft w:val="0"/>
          <w:marRight w:val="0"/>
          <w:marTop w:val="0"/>
          <w:marBottom w:val="0"/>
          <w:divBdr>
            <w:top w:val="none" w:sz="0" w:space="0" w:color="auto"/>
            <w:left w:val="none" w:sz="0" w:space="0" w:color="auto"/>
            <w:bottom w:val="none" w:sz="0" w:space="0" w:color="auto"/>
            <w:right w:val="none" w:sz="0" w:space="0" w:color="auto"/>
          </w:divBdr>
        </w:div>
      </w:divsChild>
    </w:div>
    <w:div w:id="1164276979">
      <w:bodyDiv w:val="1"/>
      <w:marLeft w:val="0"/>
      <w:marRight w:val="0"/>
      <w:marTop w:val="0"/>
      <w:marBottom w:val="0"/>
      <w:divBdr>
        <w:top w:val="none" w:sz="0" w:space="0" w:color="auto"/>
        <w:left w:val="none" w:sz="0" w:space="0" w:color="auto"/>
        <w:bottom w:val="none" w:sz="0" w:space="0" w:color="auto"/>
        <w:right w:val="none" w:sz="0" w:space="0" w:color="auto"/>
      </w:divBdr>
    </w:div>
    <w:div w:id="1201935557">
      <w:bodyDiv w:val="1"/>
      <w:marLeft w:val="0"/>
      <w:marRight w:val="0"/>
      <w:marTop w:val="0"/>
      <w:marBottom w:val="0"/>
      <w:divBdr>
        <w:top w:val="none" w:sz="0" w:space="0" w:color="auto"/>
        <w:left w:val="none" w:sz="0" w:space="0" w:color="auto"/>
        <w:bottom w:val="none" w:sz="0" w:space="0" w:color="auto"/>
        <w:right w:val="none" w:sz="0" w:space="0" w:color="auto"/>
      </w:divBdr>
    </w:div>
    <w:div w:id="1265917332">
      <w:bodyDiv w:val="1"/>
      <w:marLeft w:val="0"/>
      <w:marRight w:val="0"/>
      <w:marTop w:val="0"/>
      <w:marBottom w:val="0"/>
      <w:divBdr>
        <w:top w:val="none" w:sz="0" w:space="0" w:color="auto"/>
        <w:left w:val="none" w:sz="0" w:space="0" w:color="auto"/>
        <w:bottom w:val="none" w:sz="0" w:space="0" w:color="auto"/>
        <w:right w:val="none" w:sz="0" w:space="0" w:color="auto"/>
      </w:divBdr>
    </w:div>
    <w:div w:id="1355882380">
      <w:bodyDiv w:val="1"/>
      <w:marLeft w:val="0"/>
      <w:marRight w:val="0"/>
      <w:marTop w:val="0"/>
      <w:marBottom w:val="0"/>
      <w:divBdr>
        <w:top w:val="none" w:sz="0" w:space="0" w:color="auto"/>
        <w:left w:val="none" w:sz="0" w:space="0" w:color="auto"/>
        <w:bottom w:val="none" w:sz="0" w:space="0" w:color="auto"/>
        <w:right w:val="none" w:sz="0" w:space="0" w:color="auto"/>
      </w:divBdr>
    </w:div>
    <w:div w:id="1468626588">
      <w:bodyDiv w:val="1"/>
      <w:marLeft w:val="0"/>
      <w:marRight w:val="0"/>
      <w:marTop w:val="0"/>
      <w:marBottom w:val="0"/>
      <w:divBdr>
        <w:top w:val="none" w:sz="0" w:space="0" w:color="auto"/>
        <w:left w:val="none" w:sz="0" w:space="0" w:color="auto"/>
        <w:bottom w:val="none" w:sz="0" w:space="0" w:color="auto"/>
        <w:right w:val="none" w:sz="0" w:space="0" w:color="auto"/>
      </w:divBdr>
    </w:div>
    <w:div w:id="1485580655">
      <w:bodyDiv w:val="1"/>
      <w:marLeft w:val="0"/>
      <w:marRight w:val="0"/>
      <w:marTop w:val="0"/>
      <w:marBottom w:val="0"/>
      <w:divBdr>
        <w:top w:val="none" w:sz="0" w:space="0" w:color="auto"/>
        <w:left w:val="none" w:sz="0" w:space="0" w:color="auto"/>
        <w:bottom w:val="none" w:sz="0" w:space="0" w:color="auto"/>
        <w:right w:val="none" w:sz="0" w:space="0" w:color="auto"/>
      </w:divBdr>
    </w:div>
    <w:div w:id="1553467081">
      <w:bodyDiv w:val="1"/>
      <w:marLeft w:val="0"/>
      <w:marRight w:val="0"/>
      <w:marTop w:val="0"/>
      <w:marBottom w:val="0"/>
      <w:divBdr>
        <w:top w:val="none" w:sz="0" w:space="0" w:color="auto"/>
        <w:left w:val="none" w:sz="0" w:space="0" w:color="auto"/>
        <w:bottom w:val="none" w:sz="0" w:space="0" w:color="auto"/>
        <w:right w:val="none" w:sz="0" w:space="0" w:color="auto"/>
      </w:divBdr>
    </w:div>
    <w:div w:id="1580284244">
      <w:bodyDiv w:val="1"/>
      <w:marLeft w:val="0"/>
      <w:marRight w:val="0"/>
      <w:marTop w:val="0"/>
      <w:marBottom w:val="0"/>
      <w:divBdr>
        <w:top w:val="none" w:sz="0" w:space="0" w:color="auto"/>
        <w:left w:val="none" w:sz="0" w:space="0" w:color="auto"/>
        <w:bottom w:val="none" w:sz="0" w:space="0" w:color="auto"/>
        <w:right w:val="none" w:sz="0" w:space="0" w:color="auto"/>
      </w:divBdr>
    </w:div>
    <w:div w:id="1600407933">
      <w:bodyDiv w:val="1"/>
      <w:marLeft w:val="0"/>
      <w:marRight w:val="0"/>
      <w:marTop w:val="0"/>
      <w:marBottom w:val="0"/>
      <w:divBdr>
        <w:top w:val="none" w:sz="0" w:space="0" w:color="auto"/>
        <w:left w:val="none" w:sz="0" w:space="0" w:color="auto"/>
        <w:bottom w:val="none" w:sz="0" w:space="0" w:color="auto"/>
        <w:right w:val="none" w:sz="0" w:space="0" w:color="auto"/>
      </w:divBdr>
    </w:div>
    <w:div w:id="1839929226">
      <w:bodyDiv w:val="1"/>
      <w:marLeft w:val="0"/>
      <w:marRight w:val="0"/>
      <w:marTop w:val="0"/>
      <w:marBottom w:val="0"/>
      <w:divBdr>
        <w:top w:val="none" w:sz="0" w:space="0" w:color="auto"/>
        <w:left w:val="none" w:sz="0" w:space="0" w:color="auto"/>
        <w:bottom w:val="none" w:sz="0" w:space="0" w:color="auto"/>
        <w:right w:val="none" w:sz="0" w:space="0" w:color="auto"/>
      </w:divBdr>
    </w:div>
    <w:div w:id="1862551530">
      <w:bodyDiv w:val="1"/>
      <w:marLeft w:val="0"/>
      <w:marRight w:val="0"/>
      <w:marTop w:val="0"/>
      <w:marBottom w:val="0"/>
      <w:divBdr>
        <w:top w:val="none" w:sz="0" w:space="0" w:color="auto"/>
        <w:left w:val="none" w:sz="0" w:space="0" w:color="auto"/>
        <w:bottom w:val="none" w:sz="0" w:space="0" w:color="auto"/>
        <w:right w:val="none" w:sz="0" w:space="0" w:color="auto"/>
      </w:divBdr>
    </w:div>
    <w:div w:id="1940023985">
      <w:bodyDiv w:val="1"/>
      <w:marLeft w:val="0"/>
      <w:marRight w:val="0"/>
      <w:marTop w:val="0"/>
      <w:marBottom w:val="0"/>
      <w:divBdr>
        <w:top w:val="none" w:sz="0" w:space="0" w:color="auto"/>
        <w:left w:val="none" w:sz="0" w:space="0" w:color="auto"/>
        <w:bottom w:val="none" w:sz="0" w:space="0" w:color="auto"/>
        <w:right w:val="none" w:sz="0" w:space="0" w:color="auto"/>
      </w:divBdr>
    </w:div>
    <w:div w:id="2028869925">
      <w:bodyDiv w:val="1"/>
      <w:marLeft w:val="0"/>
      <w:marRight w:val="0"/>
      <w:marTop w:val="0"/>
      <w:marBottom w:val="0"/>
      <w:divBdr>
        <w:top w:val="none" w:sz="0" w:space="0" w:color="auto"/>
        <w:left w:val="none" w:sz="0" w:space="0" w:color="auto"/>
        <w:bottom w:val="none" w:sz="0" w:space="0" w:color="auto"/>
        <w:right w:val="none" w:sz="0" w:space="0" w:color="auto"/>
      </w:divBdr>
    </w:div>
    <w:div w:id="2056156432">
      <w:bodyDiv w:val="1"/>
      <w:marLeft w:val="0"/>
      <w:marRight w:val="0"/>
      <w:marTop w:val="0"/>
      <w:marBottom w:val="0"/>
      <w:divBdr>
        <w:top w:val="none" w:sz="0" w:space="0" w:color="auto"/>
        <w:left w:val="none" w:sz="0" w:space="0" w:color="auto"/>
        <w:bottom w:val="none" w:sz="0" w:space="0" w:color="auto"/>
        <w:right w:val="none" w:sz="0" w:space="0" w:color="auto"/>
      </w:divBdr>
    </w:div>
    <w:div w:id="2058119710">
      <w:bodyDiv w:val="1"/>
      <w:marLeft w:val="0"/>
      <w:marRight w:val="0"/>
      <w:marTop w:val="0"/>
      <w:marBottom w:val="0"/>
      <w:divBdr>
        <w:top w:val="none" w:sz="0" w:space="0" w:color="auto"/>
        <w:left w:val="none" w:sz="0" w:space="0" w:color="auto"/>
        <w:bottom w:val="none" w:sz="0" w:space="0" w:color="auto"/>
        <w:right w:val="none" w:sz="0" w:space="0" w:color="auto"/>
      </w:divBdr>
    </w:div>
    <w:div w:id="2073656264">
      <w:bodyDiv w:val="1"/>
      <w:marLeft w:val="0"/>
      <w:marRight w:val="0"/>
      <w:marTop w:val="0"/>
      <w:marBottom w:val="0"/>
      <w:divBdr>
        <w:top w:val="none" w:sz="0" w:space="0" w:color="auto"/>
        <w:left w:val="none" w:sz="0" w:space="0" w:color="auto"/>
        <w:bottom w:val="none" w:sz="0" w:space="0" w:color="auto"/>
        <w:right w:val="none" w:sz="0" w:space="0" w:color="auto"/>
      </w:divBdr>
    </w:div>
    <w:div w:id="2102333498">
      <w:bodyDiv w:val="1"/>
      <w:marLeft w:val="0"/>
      <w:marRight w:val="0"/>
      <w:marTop w:val="0"/>
      <w:marBottom w:val="0"/>
      <w:divBdr>
        <w:top w:val="none" w:sz="0" w:space="0" w:color="auto"/>
        <w:left w:val="none" w:sz="0" w:space="0" w:color="auto"/>
        <w:bottom w:val="none" w:sz="0" w:space="0" w:color="auto"/>
        <w:right w:val="none" w:sz="0" w:space="0" w:color="auto"/>
      </w:divBdr>
    </w:div>
    <w:div w:id="2105490607">
      <w:bodyDiv w:val="1"/>
      <w:marLeft w:val="0"/>
      <w:marRight w:val="0"/>
      <w:marTop w:val="0"/>
      <w:marBottom w:val="0"/>
      <w:divBdr>
        <w:top w:val="none" w:sz="0" w:space="0" w:color="auto"/>
        <w:left w:val="none" w:sz="0" w:space="0" w:color="auto"/>
        <w:bottom w:val="none" w:sz="0" w:space="0" w:color="auto"/>
        <w:right w:val="none" w:sz="0" w:space="0" w:color="auto"/>
      </w:divBdr>
    </w:div>
    <w:div w:id="212168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limateaction100.org/wp-content/uploads/2023/03/Climate-Action-100-Net-Zero-Company-Benchmark-Framework-2.0..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sma.europa.eu/sites/default/files/2023-05/JC_2023_18_-_Consolidated_JC_SFDR_QAs.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documenttasks/documenttasks1.xml><?xml version="1.0" encoding="utf-8"?>
<t:Tasks xmlns:t="http://schemas.microsoft.com/office/tasks/2019/documenttasks" xmlns:oel="http://schemas.microsoft.com/office/2019/extlst">
  <t:Task id="{39679C2E-448B-4374-BDF8-71CC858FE706}">
    <t:Anchor>
      <t:Comment id="699073427"/>
    </t:Anchor>
    <t:History>
      <t:Event id="{00E0406C-1652-4C0B-A10D-D5A89347086B}" time="2023-09-13T15:02:33.853Z">
        <t:Attribution userId="S::ldonnachie@iigcc.org::d9f355d5-85b2-43c2-bff9-885e7734bb68" userProvider="AD" userName="Leo Donnachie"/>
        <t:Anchor>
          <t:Comment id="699073427"/>
        </t:Anchor>
        <t:Create/>
      </t:Event>
      <t:Event id="{FAA761BA-4948-474F-976A-5DF238C15E73}" time="2023-09-13T15:02:33.853Z">
        <t:Attribution userId="S::ldonnachie@iigcc.org::d9f355d5-85b2-43c2-bff9-885e7734bb68" userProvider="AD" userName="Leo Donnachie"/>
        <t:Anchor>
          <t:Comment id="699073427"/>
        </t:Anchor>
        <t:Assign userId="S::dgardiner@IIGCC.org::f691f4c8-2dbe-4f53-9a20-27aefefde7b9" userProvider="AD" userName="Dan Gardiner"/>
      </t:Event>
      <t:Event id="{505FBF36-723A-460A-925E-2129D83C21DD}" time="2023-09-13T15:02:33.853Z">
        <t:Attribution userId="S::ldonnachie@iigcc.org::d9f355d5-85b2-43c2-bff9-885e7734bb68" userProvider="AD" userName="Leo Donnachie"/>
        <t:Anchor>
          <t:Comment id="699073427"/>
        </t:Anchor>
        <t:SetTitle title="@Dan Gardiner any chance you can add some wording to strengthen? Per your comment - 'we are already seeing evidence of transition risk impacting financial performance in sectors (autos, electric utilities)'"/>
      </t:Event>
    </t:History>
  </t:Task>
</t:Tasks>
</file>

<file path=word/theme/theme1.xml><?xml version="1.0" encoding="utf-8"?>
<a:theme xmlns:a="http://schemas.openxmlformats.org/drawingml/2006/main" name="Office Theme">
  <a:themeElements>
    <a:clrScheme name="IIGCC_Colours">
      <a:dk1>
        <a:sysClr val="windowText" lastClr="000000"/>
      </a:dk1>
      <a:lt1>
        <a:sysClr val="window" lastClr="FFFFFF"/>
      </a:lt1>
      <a:dk2>
        <a:srgbClr val="050449"/>
      </a:dk2>
      <a:lt2>
        <a:srgbClr val="E7E6E6"/>
      </a:lt2>
      <a:accent1>
        <a:srgbClr val="D719B1"/>
      </a:accent1>
      <a:accent2>
        <a:srgbClr val="F88610"/>
      </a:accent2>
      <a:accent3>
        <a:srgbClr val="CCFF6C"/>
      </a:accent3>
      <a:accent4>
        <a:srgbClr val="59EA93"/>
      </a:accent4>
      <a:accent5>
        <a:srgbClr val="4578F5"/>
      </a:accent5>
      <a:accent6>
        <a:srgbClr val="FFFFFF"/>
      </a:accent6>
      <a:hlink>
        <a:srgbClr val="0563C1"/>
      </a:hlink>
      <a:folHlink>
        <a:srgbClr val="954F72"/>
      </a:folHlink>
    </a:clrScheme>
    <a:fontScheme name="IIGCC_Fonts">
      <a:majorFont>
        <a:latin typeface="Poppins"/>
        <a:ea typeface=""/>
        <a:cs typeface=""/>
      </a:majorFont>
      <a:minorFont>
        <a:latin typeface="Poppi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3c11f6f6-ee3c-4e32-bab1-3707a07f61f3">
      <Terms xmlns="http://schemas.microsoft.com/office/infopath/2007/PartnerControls"/>
    </lcf76f155ced4ddcb4097134ff3c332f>
    <_ip_UnifiedCompliancePolicyProperties xmlns="http://schemas.microsoft.com/sharepoint/v3" xsi:nil="true"/>
    <TaxCatchAll xmlns="bba0be18-b10b-4cc3-b717-83a87bfa736c" xsi:nil="true"/>
    <Date xmlns="3c11f6f6-ee3c-4e32-bab1-3707a07f61f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A8040B23526414F86D566C1534C2F6B" ma:contentTypeVersion="20" ma:contentTypeDescription="Create a new document." ma:contentTypeScope="" ma:versionID="699f06bd54521d07ebf8b25d839d3055">
  <xsd:schema xmlns:xsd="http://www.w3.org/2001/XMLSchema" xmlns:xs="http://www.w3.org/2001/XMLSchema" xmlns:p="http://schemas.microsoft.com/office/2006/metadata/properties" xmlns:ns1="http://schemas.microsoft.com/sharepoint/v3" xmlns:ns2="bba0be18-b10b-4cc3-b717-83a87bfa736c" xmlns:ns3="3c11f6f6-ee3c-4e32-bab1-3707a07f61f3" targetNamespace="http://schemas.microsoft.com/office/2006/metadata/properties" ma:root="true" ma:fieldsID="3af5b480ca94da583b1cf72d299620f8" ns1:_="" ns2:_="" ns3:_="">
    <xsd:import namespace="http://schemas.microsoft.com/sharepoint/v3"/>
    <xsd:import namespace="bba0be18-b10b-4cc3-b717-83a87bfa736c"/>
    <xsd:import namespace="3c11f6f6-ee3c-4e32-bab1-3707a07f61f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3:MediaLengthInSeconds" minOccurs="0"/>
                <xsd:element ref="ns1:_ip_UnifiedCompliancePolicyProperties" minOccurs="0"/>
                <xsd:element ref="ns1:_ip_UnifiedCompliancePolicyUIAction" minOccurs="0"/>
                <xsd:element ref="ns3:lcf76f155ced4ddcb4097134ff3c332f" minOccurs="0"/>
                <xsd:element ref="ns2:TaxCatchAll" minOccurs="0"/>
                <xsd:element ref="ns3:Date"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a0be18-b10b-4cc3-b717-83a87bfa736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5" nillable="true" ma:displayName="Taxonomy Catch All Column" ma:hidden="true" ma:list="{fea7640c-51cc-483a-bdd6-30587774ad92}" ma:internalName="TaxCatchAll" ma:showField="CatchAllData" ma:web="bba0be18-b10b-4cc3-b717-83a87bfa736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c11f6f6-ee3c-4e32-bab1-3707a07f61f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d0411674-8b6c-4ff2-843d-d4ec9d98e1f5" ma:termSetId="09814cd3-568e-fe90-9814-8d621ff8fb84" ma:anchorId="fba54fb3-c3e1-fe81-a776-ca4b69148c4d" ma:open="true" ma:isKeyword="false">
      <xsd:complexType>
        <xsd:sequence>
          <xsd:element ref="pc:Terms" minOccurs="0" maxOccurs="1"/>
        </xsd:sequence>
      </xsd:complexType>
    </xsd:element>
    <xsd:element name="Date" ma:index="26" nillable="true" ma:displayName="Date" ma:format="DateOnly" ma:internalName="Date">
      <xsd:simpleType>
        <xsd:restriction base="dms:DateTim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8C8946-435C-4B3E-84B5-F4FF885B74F0}">
  <ds:schemaRefs>
    <ds:schemaRef ds:uri="http://schemas.microsoft.com/office/2006/metadata/properties"/>
    <ds:schemaRef ds:uri="http://schemas.microsoft.com/office/infopath/2007/PartnerControls"/>
    <ds:schemaRef ds:uri="http://schemas.microsoft.com/sharepoint/v3"/>
    <ds:schemaRef ds:uri="3c11f6f6-ee3c-4e32-bab1-3707a07f61f3"/>
    <ds:schemaRef ds:uri="bba0be18-b10b-4cc3-b717-83a87bfa736c"/>
  </ds:schemaRefs>
</ds:datastoreItem>
</file>

<file path=customXml/itemProps2.xml><?xml version="1.0" encoding="utf-8"?>
<ds:datastoreItem xmlns:ds="http://schemas.openxmlformats.org/officeDocument/2006/customXml" ds:itemID="{8304C85E-FAE5-447A-968E-5B39888A6404}">
  <ds:schemaRefs>
    <ds:schemaRef ds:uri="http://schemas.microsoft.com/sharepoint/v3/contenttype/forms"/>
  </ds:schemaRefs>
</ds:datastoreItem>
</file>

<file path=customXml/itemProps3.xml><?xml version="1.0" encoding="utf-8"?>
<ds:datastoreItem xmlns:ds="http://schemas.openxmlformats.org/officeDocument/2006/customXml" ds:itemID="{81C5E9E9-A827-41FF-A85D-AB30428EDC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ba0be18-b10b-4cc3-b717-83a87bfa736c"/>
    <ds:schemaRef ds:uri="3c11f6f6-ee3c-4e32-bab1-3707a07f61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03EE69-D8BF-4EF3-ACCC-7369E11AE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1257</Words>
  <Characters>7170</Characters>
  <Application>Microsoft Office Word</Application>
  <DocSecurity>0</DocSecurity>
  <Lines>59</Lines>
  <Paragraphs>16</Paragraphs>
  <ScaleCrop>false</ScaleCrop>
  <Company/>
  <LinksUpToDate>false</LinksUpToDate>
  <CharactersWithSpaces>8411</CharactersWithSpaces>
  <SharedDoc>false</SharedDoc>
  <HLinks>
    <vt:vector size="120" baseType="variant">
      <vt:variant>
        <vt:i4>262167</vt:i4>
      </vt:variant>
      <vt:variant>
        <vt:i4>3</vt:i4>
      </vt:variant>
      <vt:variant>
        <vt:i4>0</vt:i4>
      </vt:variant>
      <vt:variant>
        <vt:i4>5</vt:i4>
      </vt:variant>
      <vt:variant>
        <vt:lpwstr>https://eur-lex.europa.eu/legal-content/EN/TXT/?uri=CELEX:52023XC0616(01)</vt:lpwstr>
      </vt:variant>
      <vt:variant>
        <vt:lpwstr/>
      </vt:variant>
      <vt:variant>
        <vt:i4>3997790</vt:i4>
      </vt:variant>
      <vt:variant>
        <vt:i4>0</vt:i4>
      </vt:variant>
      <vt:variant>
        <vt:i4>0</vt:i4>
      </vt:variant>
      <vt:variant>
        <vt:i4>5</vt:i4>
      </vt:variant>
      <vt:variant>
        <vt:lpwstr>https://finance.ec.europa.eu/system/files/2023-09/2023-sfdr-implementation-targeted-consultation-document_en.pdf</vt:lpwstr>
      </vt:variant>
      <vt:variant>
        <vt:lpwstr/>
      </vt:variant>
      <vt:variant>
        <vt:i4>6094952</vt:i4>
      </vt:variant>
      <vt:variant>
        <vt:i4>51</vt:i4>
      </vt:variant>
      <vt:variant>
        <vt:i4>0</vt:i4>
      </vt:variant>
      <vt:variant>
        <vt:i4>5</vt:i4>
      </vt:variant>
      <vt:variant>
        <vt:lpwstr>https://139838633.fs1.hubspotusercontent-eu1.net/hubfs/139838633/Past insights uploads/IIGCC-response-to-ESMA-consultation-fund-labelling_February2023.pdf</vt:lpwstr>
      </vt:variant>
      <vt:variant>
        <vt:lpwstr/>
      </vt:variant>
      <vt:variant>
        <vt:i4>1638459</vt:i4>
      </vt:variant>
      <vt:variant>
        <vt:i4>48</vt:i4>
      </vt:variant>
      <vt:variant>
        <vt:i4>0</vt:i4>
      </vt:variant>
      <vt:variant>
        <vt:i4>5</vt:i4>
      </vt:variant>
      <vt:variant>
        <vt:lpwstr>mailto:afenton@IIGCC.org</vt:lpwstr>
      </vt:variant>
      <vt:variant>
        <vt:lpwstr/>
      </vt:variant>
      <vt:variant>
        <vt:i4>6815815</vt:i4>
      </vt:variant>
      <vt:variant>
        <vt:i4>45</vt:i4>
      </vt:variant>
      <vt:variant>
        <vt:i4>0</vt:i4>
      </vt:variant>
      <vt:variant>
        <vt:i4>5</vt:i4>
      </vt:variant>
      <vt:variant>
        <vt:lpwstr>mailto:dboyd@IIGCC.org</vt:lpwstr>
      </vt:variant>
      <vt:variant>
        <vt:lpwstr/>
      </vt:variant>
      <vt:variant>
        <vt:i4>5636138</vt:i4>
      </vt:variant>
      <vt:variant>
        <vt:i4>42</vt:i4>
      </vt:variant>
      <vt:variant>
        <vt:i4>0</vt:i4>
      </vt:variant>
      <vt:variant>
        <vt:i4>5</vt:i4>
      </vt:variant>
      <vt:variant>
        <vt:lpwstr>https://www.parisalignedassetowners.org/media/2021/03/PAII-Net-Zero-Investment-Framework_Implementation-Guide.pdf</vt:lpwstr>
      </vt:variant>
      <vt:variant>
        <vt:lpwstr/>
      </vt:variant>
      <vt:variant>
        <vt:i4>524351</vt:i4>
      </vt:variant>
      <vt:variant>
        <vt:i4>39</vt:i4>
      </vt:variant>
      <vt:variant>
        <vt:i4>0</vt:i4>
      </vt:variant>
      <vt:variant>
        <vt:i4>5</vt:i4>
      </vt:variant>
      <vt:variant>
        <vt:lpwstr>mailto:fturner@IIGCC.org</vt:lpwstr>
      </vt:variant>
      <vt:variant>
        <vt:lpwstr/>
      </vt:variant>
      <vt:variant>
        <vt:i4>1245230</vt:i4>
      </vt:variant>
      <vt:variant>
        <vt:i4>36</vt:i4>
      </vt:variant>
      <vt:variant>
        <vt:i4>0</vt:i4>
      </vt:variant>
      <vt:variant>
        <vt:i4>5</vt:i4>
      </vt:variant>
      <vt:variant>
        <vt:lpwstr>mailto:ldonnachie@IIGCC.org</vt:lpwstr>
      </vt:variant>
      <vt:variant>
        <vt:lpwstr/>
      </vt:variant>
      <vt:variant>
        <vt:i4>1900564</vt:i4>
      </vt:variant>
      <vt:variant>
        <vt:i4>33</vt:i4>
      </vt:variant>
      <vt:variant>
        <vt:i4>0</vt:i4>
      </vt:variant>
      <vt:variant>
        <vt:i4>5</vt:i4>
      </vt:variant>
      <vt:variant>
        <vt:lpwstr>https://www.fca.org.uk/publication/discussion/dp21-4.pdf</vt:lpwstr>
      </vt:variant>
      <vt:variant>
        <vt:lpwstr/>
      </vt:variant>
      <vt:variant>
        <vt:i4>2949233</vt:i4>
      </vt:variant>
      <vt:variant>
        <vt:i4>30</vt:i4>
      </vt:variant>
      <vt:variant>
        <vt:i4>0</vt:i4>
      </vt:variant>
      <vt:variant>
        <vt:i4>5</vt:i4>
      </vt:variant>
      <vt:variant>
        <vt:lpwstr>https://www.fca.org.uk/publication/consultation/cp22-20.pdf</vt:lpwstr>
      </vt:variant>
      <vt:variant>
        <vt:lpwstr/>
      </vt:variant>
      <vt:variant>
        <vt:i4>7995461</vt:i4>
      </vt:variant>
      <vt:variant>
        <vt:i4>27</vt:i4>
      </vt:variant>
      <vt:variant>
        <vt:i4>0</vt:i4>
      </vt:variant>
      <vt:variant>
        <vt:i4>5</vt:i4>
      </vt:variant>
      <vt:variant>
        <vt:lpwstr>mailto:dgardiner@IIGCC.org</vt:lpwstr>
      </vt:variant>
      <vt:variant>
        <vt:lpwstr/>
      </vt:variant>
      <vt:variant>
        <vt:i4>7995461</vt:i4>
      </vt:variant>
      <vt:variant>
        <vt:i4>24</vt:i4>
      </vt:variant>
      <vt:variant>
        <vt:i4>0</vt:i4>
      </vt:variant>
      <vt:variant>
        <vt:i4>5</vt:i4>
      </vt:variant>
      <vt:variant>
        <vt:lpwstr>mailto:dgardiner@IIGCC.org</vt:lpwstr>
      </vt:variant>
      <vt:variant>
        <vt:lpwstr/>
      </vt:variant>
      <vt:variant>
        <vt:i4>917572</vt:i4>
      </vt:variant>
      <vt:variant>
        <vt:i4>21</vt:i4>
      </vt:variant>
      <vt:variant>
        <vt:i4>0</vt:i4>
      </vt:variant>
      <vt:variant>
        <vt:i4>5</vt:i4>
      </vt:variant>
      <vt:variant>
        <vt:lpwstr>https://139838633.fs1.hubspotusercontent-eu1.net/hubfs/139838633/Past resource uploads/IIGCC-Enhancing-the-Quality-of-Net-Zero-Benchmarks.pdf</vt:lpwstr>
      </vt:variant>
      <vt:variant>
        <vt:lpwstr/>
      </vt:variant>
      <vt:variant>
        <vt:i4>6815815</vt:i4>
      </vt:variant>
      <vt:variant>
        <vt:i4>18</vt:i4>
      </vt:variant>
      <vt:variant>
        <vt:i4>0</vt:i4>
      </vt:variant>
      <vt:variant>
        <vt:i4>5</vt:i4>
      </vt:variant>
      <vt:variant>
        <vt:lpwstr>mailto:dboyd@IIGCC.org</vt:lpwstr>
      </vt:variant>
      <vt:variant>
        <vt:lpwstr/>
      </vt:variant>
      <vt:variant>
        <vt:i4>65638</vt:i4>
      </vt:variant>
      <vt:variant>
        <vt:i4>15</vt:i4>
      </vt:variant>
      <vt:variant>
        <vt:i4>0</vt:i4>
      </vt:variant>
      <vt:variant>
        <vt:i4>5</vt:i4>
      </vt:variant>
      <vt:variant>
        <vt:lpwstr>https://www.esma.europa.eu/sites/default/files/2023-04/Answers_to_questions_on_the_interpretation_of_Regulation_%28EU%29_20192088.PDF</vt:lpwstr>
      </vt:variant>
      <vt:variant>
        <vt:lpwstr/>
      </vt:variant>
      <vt:variant>
        <vt:i4>262219</vt:i4>
      </vt:variant>
      <vt:variant>
        <vt:i4>12</vt:i4>
      </vt:variant>
      <vt:variant>
        <vt:i4>0</vt:i4>
      </vt:variant>
      <vt:variant>
        <vt:i4>5</vt:i4>
      </vt:variant>
      <vt:variant>
        <vt:lpwstr>https://www.eurosif.org/wp-content/uploads/2023/07/Eurosif-PRI-IIGCC-EFAMA-UNEP-FI-Joint-statement-on-ESRS-1.pdf</vt:lpwstr>
      </vt:variant>
      <vt:variant>
        <vt:lpwstr/>
      </vt:variant>
      <vt:variant>
        <vt:i4>5308498</vt:i4>
      </vt:variant>
      <vt:variant>
        <vt:i4>9</vt:i4>
      </vt:variant>
      <vt:variant>
        <vt:i4>0</vt:i4>
      </vt:variant>
      <vt:variant>
        <vt:i4>5</vt:i4>
      </vt:variant>
      <vt:variant>
        <vt:lpwstr>https://139838633.fs1.hubspotusercontent-eu1.net/hubfs/139838633/Past resource uploads/IIGCC NZIF SFDR Q%26A.pdf</vt:lpwstr>
      </vt:variant>
      <vt:variant>
        <vt:lpwstr/>
      </vt:variant>
      <vt:variant>
        <vt:i4>4587637</vt:i4>
      </vt:variant>
      <vt:variant>
        <vt:i4>6</vt:i4>
      </vt:variant>
      <vt:variant>
        <vt:i4>0</vt:i4>
      </vt:variant>
      <vt:variant>
        <vt:i4>5</vt:i4>
      </vt:variant>
      <vt:variant>
        <vt:lpwstr>https://www.esma.europa.eu/sites/default/files/2023-05/JC_2023_18_-_Consolidated_JC_SFDR_QAs.pdf</vt:lpwstr>
      </vt:variant>
      <vt:variant>
        <vt:lpwstr/>
      </vt:variant>
      <vt:variant>
        <vt:i4>6094952</vt:i4>
      </vt:variant>
      <vt:variant>
        <vt:i4>3</vt:i4>
      </vt:variant>
      <vt:variant>
        <vt:i4>0</vt:i4>
      </vt:variant>
      <vt:variant>
        <vt:i4>5</vt:i4>
      </vt:variant>
      <vt:variant>
        <vt:lpwstr>https://139838633.fs1.hubspotusercontent-eu1.net/hubfs/139838633/Past insights uploads/IIGCC-response-to-ESMA-consultation-fund-labelling_February2023.pdf</vt:lpwstr>
      </vt:variant>
      <vt:variant>
        <vt:lpwstr/>
      </vt:variant>
      <vt:variant>
        <vt:i4>1245218</vt:i4>
      </vt:variant>
      <vt:variant>
        <vt:i4>0</vt:i4>
      </vt:variant>
      <vt:variant>
        <vt:i4>0</vt:i4>
      </vt:variant>
      <vt:variant>
        <vt:i4>5</vt:i4>
      </vt:variant>
      <vt:variant>
        <vt:lpwstr>mailto:jmurray@IIGCC.org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Daren Li</dc:creator>
  <cp:keywords/>
  <dc:description/>
  <cp:lastModifiedBy>Leo Donnachie</cp:lastModifiedBy>
  <cp:revision>3</cp:revision>
  <dcterms:created xsi:type="dcterms:W3CDTF">2023-12-15T08:38:00Z</dcterms:created>
  <dcterms:modified xsi:type="dcterms:W3CDTF">2023-12-15T08:39:00Z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0x0101008A8040B23526414F86D566C1534C2F6B</vt:lpwstr>
  </property>
  <property fmtid="{D5CDD505-2E9C-101B-9397-08002B2CF9AE}" pid="3" name="MediaServiceImageTags">
    <vt:lpwstr/>
  </property>
</Properties>
</file>