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B08DE" w14:textId="0F427616" w:rsidR="009973CF" w:rsidRPr="00796E46" w:rsidRDefault="00832C28" w:rsidP="00353BA2">
      <w:pPr>
        <w:pStyle w:val="Title"/>
        <w:jc w:val="both"/>
        <w:rPr>
          <w:lang w:val="en-US"/>
        </w:rPr>
      </w:pPr>
      <w:r w:rsidRPr="00796E46">
        <w:rPr>
          <w:lang w:val="en-US"/>
        </w:rPr>
        <w:t>EU Targeted Consultation</w:t>
      </w:r>
      <w:r w:rsidR="005B5048" w:rsidRPr="00796E46">
        <w:rPr>
          <w:lang w:val="en-US"/>
        </w:rPr>
        <w:t xml:space="preserve">: </w:t>
      </w:r>
      <w:r w:rsidR="00F95120" w:rsidRPr="00796E46">
        <w:rPr>
          <w:lang w:val="en-US"/>
        </w:rPr>
        <w:t>key messages from the SPTF group</w:t>
      </w:r>
    </w:p>
    <w:p w14:paraId="54C988D4" w14:textId="77777777" w:rsidR="00353BA2" w:rsidRPr="00796E46" w:rsidRDefault="00353BA2" w:rsidP="00353BA2">
      <w:pPr>
        <w:rPr>
          <w:lang w:val="en-US"/>
        </w:rPr>
      </w:pPr>
    </w:p>
    <w:p w14:paraId="18823BFC" w14:textId="77777777" w:rsidR="00E936D7" w:rsidRPr="00796E46" w:rsidRDefault="00E936D7" w:rsidP="00E57EB3">
      <w:pPr>
        <w:jc w:val="both"/>
        <w:rPr>
          <w:lang w:val="en-US"/>
        </w:rPr>
      </w:pPr>
    </w:p>
    <w:sdt>
      <w:sdtPr>
        <w:rPr>
          <w:rFonts w:asciiTheme="minorHAnsi" w:eastAsiaTheme="minorHAnsi" w:hAnsiTheme="minorHAnsi" w:cstheme="minorBidi"/>
          <w:color w:val="auto"/>
          <w:sz w:val="22"/>
          <w:szCs w:val="22"/>
          <w:lang w:val="en-GB"/>
        </w:rPr>
        <w:id w:val="-181589397"/>
        <w:docPartObj>
          <w:docPartGallery w:val="Table of Contents"/>
          <w:docPartUnique/>
        </w:docPartObj>
      </w:sdtPr>
      <w:sdtEndPr>
        <w:rPr>
          <w:b/>
          <w:bCs/>
          <w:noProof/>
        </w:rPr>
      </w:sdtEndPr>
      <w:sdtContent>
        <w:p w14:paraId="04F6732B" w14:textId="149A32AF" w:rsidR="008C01FF" w:rsidRPr="00796E46" w:rsidRDefault="008C01FF">
          <w:pPr>
            <w:pStyle w:val="TOCHeading"/>
          </w:pPr>
          <w:r w:rsidRPr="00796E46">
            <w:t>Contents</w:t>
          </w:r>
        </w:p>
        <w:p w14:paraId="6B17FD82" w14:textId="77777777" w:rsidR="00353BA2" w:rsidRPr="00796E46" w:rsidRDefault="00353BA2" w:rsidP="00353BA2">
          <w:pPr>
            <w:rPr>
              <w:lang w:val="en-US"/>
            </w:rPr>
          </w:pPr>
        </w:p>
        <w:p w14:paraId="1FCE43A3" w14:textId="7F3538FC" w:rsidR="00711778" w:rsidRPr="00796E46" w:rsidRDefault="008C01FF">
          <w:pPr>
            <w:pStyle w:val="TOC1"/>
            <w:rPr>
              <w:rFonts w:eastAsiaTheme="minorEastAsia"/>
              <w:noProof/>
              <w:kern w:val="2"/>
              <w14:ligatures w14:val="standardContextual"/>
            </w:rPr>
          </w:pPr>
          <w:r w:rsidRPr="00796E46">
            <w:fldChar w:fldCharType="begin"/>
          </w:r>
          <w:r w:rsidRPr="00796E46">
            <w:instrText xml:space="preserve"> TOC \o "1-3" \h \z \u </w:instrText>
          </w:r>
          <w:r w:rsidRPr="00796E46">
            <w:fldChar w:fldCharType="separate"/>
          </w:r>
          <w:hyperlink w:anchor="_Toc152770338" w:history="1">
            <w:r w:rsidR="00711778" w:rsidRPr="00796E46">
              <w:rPr>
                <w:rStyle w:val="Hyperlink"/>
                <w:noProof/>
                <w:lang w:val="en-US"/>
              </w:rPr>
              <w:t>0.</w:t>
            </w:r>
            <w:r w:rsidR="00711778" w:rsidRPr="00796E46">
              <w:rPr>
                <w:rFonts w:eastAsiaTheme="minorEastAsia"/>
                <w:noProof/>
                <w:kern w:val="2"/>
                <w14:ligatures w14:val="standardContextual"/>
              </w:rPr>
              <w:tab/>
            </w:r>
            <w:r w:rsidR="00711778" w:rsidRPr="00796E46">
              <w:rPr>
                <w:rStyle w:val="Hyperlink"/>
                <w:noProof/>
                <w:lang w:val="en-US"/>
              </w:rPr>
              <w:t>The Sustainable Finance Disclosure Regulation (SFDR) has been an important milestone in the shift towards a sustainable economy. However, like every new regulation it has unintended effects that need to be addressed in the upcoming review of the SFDR.</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_Toc152770338 \h </w:instrText>
            </w:r>
            <w:r w:rsidR="00711778" w:rsidRPr="00796E46">
              <w:rPr>
                <w:noProof/>
                <w:webHidden/>
              </w:rPr>
            </w:r>
            <w:r w:rsidR="00711778" w:rsidRPr="00796E46">
              <w:rPr>
                <w:noProof/>
                <w:webHidden/>
              </w:rPr>
              <w:fldChar w:fldCharType="separate"/>
            </w:r>
            <w:r w:rsidR="000B2078" w:rsidRPr="00796E46">
              <w:rPr>
                <w:noProof/>
                <w:webHidden/>
              </w:rPr>
              <w:t>2</w:t>
            </w:r>
            <w:r w:rsidR="00711778" w:rsidRPr="00796E46">
              <w:rPr>
                <w:noProof/>
                <w:webHidden/>
              </w:rPr>
              <w:fldChar w:fldCharType="end"/>
            </w:r>
          </w:hyperlink>
        </w:p>
        <w:p w14:paraId="47058E65" w14:textId="3982D3BD" w:rsidR="00711778" w:rsidRPr="00796E46" w:rsidRDefault="00000000">
          <w:pPr>
            <w:pStyle w:val="TOC1"/>
            <w:rPr>
              <w:rFonts w:eastAsiaTheme="minorEastAsia"/>
              <w:noProof/>
              <w:kern w:val="2"/>
              <w14:ligatures w14:val="standardContextual"/>
            </w:rPr>
          </w:pPr>
          <w:hyperlink w:anchor="_Toc152770339" w:history="1">
            <w:r w:rsidR="00711778" w:rsidRPr="00796E46">
              <w:rPr>
                <w:rStyle w:val="Hyperlink"/>
                <w:noProof/>
                <w:lang w:val="en-US"/>
              </w:rPr>
              <w:t>1.</w:t>
            </w:r>
            <w:r w:rsidR="00711778" w:rsidRPr="00796E46">
              <w:rPr>
                <w:rFonts w:eastAsiaTheme="minorEastAsia"/>
                <w:noProof/>
                <w:kern w:val="2"/>
                <w14:ligatures w14:val="standardContextual"/>
              </w:rPr>
              <w:tab/>
            </w:r>
            <w:r w:rsidR="00711778" w:rsidRPr="00796E46">
              <w:rPr>
                <w:rStyle w:val="Hyperlink"/>
                <w:noProof/>
                <w:lang w:val="en-US"/>
              </w:rPr>
              <w:t>Ensure harmonization and complementarity across EU sustainability-related regulations and remove overlaps.</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_Toc152770339 \h </w:instrText>
            </w:r>
            <w:r w:rsidR="00711778" w:rsidRPr="00796E46">
              <w:rPr>
                <w:noProof/>
                <w:webHidden/>
              </w:rPr>
            </w:r>
            <w:r w:rsidR="00711778" w:rsidRPr="00796E46">
              <w:rPr>
                <w:noProof/>
                <w:webHidden/>
              </w:rPr>
              <w:fldChar w:fldCharType="separate"/>
            </w:r>
            <w:r w:rsidR="000B2078" w:rsidRPr="00796E46">
              <w:rPr>
                <w:noProof/>
                <w:webHidden/>
              </w:rPr>
              <w:t>3</w:t>
            </w:r>
            <w:r w:rsidR="00711778" w:rsidRPr="00796E46">
              <w:rPr>
                <w:noProof/>
                <w:webHidden/>
              </w:rPr>
              <w:fldChar w:fldCharType="end"/>
            </w:r>
          </w:hyperlink>
        </w:p>
        <w:p w14:paraId="3B348BCA" w14:textId="3E107EB6" w:rsidR="00711778" w:rsidRPr="00796E46" w:rsidRDefault="00000000">
          <w:pPr>
            <w:pStyle w:val="TOC2"/>
            <w:tabs>
              <w:tab w:val="right" w:leader="dot" w:pos="9016"/>
            </w:tabs>
            <w:rPr>
              <w:rFonts w:eastAsiaTheme="minorEastAsia"/>
              <w:noProof/>
              <w:kern w:val="2"/>
              <w14:ligatures w14:val="standardContextual"/>
            </w:rPr>
          </w:pPr>
          <w:hyperlink w:anchor="_Toc152770340" w:history="1">
            <w:r w:rsidR="00711778" w:rsidRPr="00796E46">
              <w:rPr>
                <w:rStyle w:val="Hyperlink"/>
                <w:noProof/>
                <w:lang w:val="en-US"/>
              </w:rPr>
              <w:t>1.1 SFDR should apply only to product (and not entity) disclosures.</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_Toc152770340 \h </w:instrText>
            </w:r>
            <w:r w:rsidR="00711778" w:rsidRPr="00796E46">
              <w:rPr>
                <w:noProof/>
                <w:webHidden/>
              </w:rPr>
            </w:r>
            <w:r w:rsidR="00711778" w:rsidRPr="00796E46">
              <w:rPr>
                <w:noProof/>
                <w:webHidden/>
              </w:rPr>
              <w:fldChar w:fldCharType="separate"/>
            </w:r>
            <w:r w:rsidR="000B2078" w:rsidRPr="00796E46">
              <w:rPr>
                <w:noProof/>
                <w:webHidden/>
              </w:rPr>
              <w:t>3</w:t>
            </w:r>
            <w:r w:rsidR="00711778" w:rsidRPr="00796E46">
              <w:rPr>
                <w:noProof/>
                <w:webHidden/>
              </w:rPr>
              <w:fldChar w:fldCharType="end"/>
            </w:r>
          </w:hyperlink>
        </w:p>
        <w:p w14:paraId="69E388B7" w14:textId="54B15832" w:rsidR="00711778" w:rsidRPr="00796E46" w:rsidRDefault="00000000">
          <w:pPr>
            <w:pStyle w:val="TOC2"/>
            <w:tabs>
              <w:tab w:val="right" w:leader="dot" w:pos="9016"/>
            </w:tabs>
            <w:rPr>
              <w:rFonts w:eastAsiaTheme="minorEastAsia"/>
              <w:noProof/>
              <w:kern w:val="2"/>
              <w14:ligatures w14:val="standardContextual"/>
            </w:rPr>
          </w:pPr>
          <w:hyperlink w:anchor="_Toc152770341" w:history="1">
            <w:r w:rsidR="00711778" w:rsidRPr="00796E46">
              <w:rPr>
                <w:rStyle w:val="Hyperlink"/>
                <w:noProof/>
                <w:lang w:val="en-US"/>
              </w:rPr>
              <w:t>1.2 Harmonization of concepts and approaches.</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_Toc152770341 \h </w:instrText>
            </w:r>
            <w:r w:rsidR="00711778" w:rsidRPr="00796E46">
              <w:rPr>
                <w:noProof/>
                <w:webHidden/>
              </w:rPr>
            </w:r>
            <w:r w:rsidR="00711778" w:rsidRPr="00796E46">
              <w:rPr>
                <w:noProof/>
                <w:webHidden/>
              </w:rPr>
              <w:fldChar w:fldCharType="separate"/>
            </w:r>
            <w:r w:rsidR="000B2078" w:rsidRPr="00796E46">
              <w:rPr>
                <w:noProof/>
                <w:webHidden/>
              </w:rPr>
              <w:t>4</w:t>
            </w:r>
            <w:r w:rsidR="00711778" w:rsidRPr="00796E46">
              <w:rPr>
                <w:noProof/>
                <w:webHidden/>
              </w:rPr>
              <w:fldChar w:fldCharType="end"/>
            </w:r>
          </w:hyperlink>
        </w:p>
        <w:p w14:paraId="5900C77F" w14:textId="0DAB3189" w:rsidR="00711778" w:rsidRPr="00796E46" w:rsidRDefault="00000000">
          <w:pPr>
            <w:pStyle w:val="TOC1"/>
            <w:rPr>
              <w:rFonts w:eastAsiaTheme="minorEastAsia"/>
              <w:noProof/>
              <w:kern w:val="2"/>
              <w14:ligatures w14:val="standardContextual"/>
            </w:rPr>
          </w:pPr>
          <w:hyperlink w:anchor="_Toc152770342" w:history="1">
            <w:r w:rsidR="00711778" w:rsidRPr="00796E46">
              <w:rPr>
                <w:rStyle w:val="Hyperlink"/>
                <w:noProof/>
                <w:lang w:val="en-US"/>
              </w:rPr>
              <w:t>2.</w:t>
            </w:r>
            <w:r w:rsidR="00711778" w:rsidRPr="00796E46">
              <w:rPr>
                <w:rFonts w:eastAsiaTheme="minorEastAsia"/>
                <w:noProof/>
                <w:kern w:val="2"/>
                <w14:ligatures w14:val="standardContextual"/>
              </w:rPr>
              <w:tab/>
            </w:r>
            <w:r w:rsidR="00711778" w:rsidRPr="00796E46">
              <w:rPr>
                <w:rStyle w:val="Hyperlink"/>
                <w:noProof/>
                <w:lang w:val="en-US"/>
              </w:rPr>
              <w:t>Different transparency requirements are needed for professional and retail investors. Website disclosures are crucial for retail investors but should become voluntary for products which only target professional investors.</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_Toc152770342 \h </w:instrText>
            </w:r>
            <w:r w:rsidR="00711778" w:rsidRPr="00796E46">
              <w:rPr>
                <w:noProof/>
                <w:webHidden/>
              </w:rPr>
            </w:r>
            <w:r w:rsidR="00711778" w:rsidRPr="00796E46">
              <w:rPr>
                <w:noProof/>
                <w:webHidden/>
              </w:rPr>
              <w:fldChar w:fldCharType="separate"/>
            </w:r>
            <w:r w:rsidR="000B2078" w:rsidRPr="00796E46">
              <w:rPr>
                <w:noProof/>
                <w:webHidden/>
              </w:rPr>
              <w:t>5</w:t>
            </w:r>
            <w:r w:rsidR="00711778" w:rsidRPr="00796E46">
              <w:rPr>
                <w:noProof/>
                <w:webHidden/>
              </w:rPr>
              <w:fldChar w:fldCharType="end"/>
            </w:r>
          </w:hyperlink>
        </w:p>
        <w:p w14:paraId="0DF22603" w14:textId="143616E7" w:rsidR="00711778" w:rsidRPr="00796E46" w:rsidRDefault="00000000">
          <w:pPr>
            <w:pStyle w:val="TOC1"/>
            <w:rPr>
              <w:rFonts w:eastAsiaTheme="minorEastAsia"/>
              <w:noProof/>
              <w:kern w:val="2"/>
              <w14:ligatures w14:val="standardContextual"/>
            </w:rPr>
          </w:pPr>
          <w:hyperlink w:anchor="_Toc152770343" w:history="1">
            <w:r w:rsidR="00711778" w:rsidRPr="00796E46">
              <w:rPr>
                <w:rStyle w:val="Hyperlink"/>
                <w:noProof/>
                <w:lang w:val="en-US"/>
              </w:rPr>
              <w:t>3.</w:t>
            </w:r>
            <w:r w:rsidR="00711778" w:rsidRPr="00796E46">
              <w:rPr>
                <w:rFonts w:eastAsiaTheme="minorEastAsia"/>
                <w:noProof/>
                <w:kern w:val="2"/>
                <w14:ligatures w14:val="standardContextual"/>
              </w:rPr>
              <w:tab/>
            </w:r>
            <w:r w:rsidR="00711778" w:rsidRPr="00796E46">
              <w:rPr>
                <w:rStyle w:val="Hyperlink"/>
                <w:noProof/>
                <w:lang w:val="en-US"/>
              </w:rPr>
              <w:t>Mandatory disclosure of a minimum set of PAI indicators for all products. Remaining PAI disclosure subject to a materiality threshold, based on the particular asset class.</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_Toc152770343 \h </w:instrText>
            </w:r>
            <w:r w:rsidR="00711778" w:rsidRPr="00796E46">
              <w:rPr>
                <w:noProof/>
                <w:webHidden/>
              </w:rPr>
            </w:r>
            <w:r w:rsidR="00711778" w:rsidRPr="00796E46">
              <w:rPr>
                <w:noProof/>
                <w:webHidden/>
              </w:rPr>
              <w:fldChar w:fldCharType="separate"/>
            </w:r>
            <w:r w:rsidR="000B2078" w:rsidRPr="00796E46">
              <w:rPr>
                <w:noProof/>
                <w:webHidden/>
              </w:rPr>
              <w:t>6</w:t>
            </w:r>
            <w:r w:rsidR="00711778" w:rsidRPr="00796E46">
              <w:rPr>
                <w:noProof/>
                <w:webHidden/>
              </w:rPr>
              <w:fldChar w:fldCharType="end"/>
            </w:r>
          </w:hyperlink>
        </w:p>
        <w:p w14:paraId="1DA8F086" w14:textId="3BD8FB65" w:rsidR="00711778" w:rsidRPr="00796E46" w:rsidRDefault="00000000">
          <w:pPr>
            <w:pStyle w:val="TOC1"/>
            <w:rPr>
              <w:rFonts w:eastAsiaTheme="minorEastAsia"/>
              <w:noProof/>
              <w:kern w:val="2"/>
              <w14:ligatures w14:val="standardContextual"/>
            </w:rPr>
          </w:pPr>
          <w:hyperlink w:anchor="_Toc152770344" w:history="1">
            <w:r w:rsidR="00711778" w:rsidRPr="00796E46">
              <w:rPr>
                <w:rStyle w:val="Hyperlink"/>
                <w:noProof/>
              </w:rPr>
              <w:t>4.</w:t>
            </w:r>
            <w:r w:rsidR="00711778" w:rsidRPr="00796E46">
              <w:rPr>
                <w:rFonts w:eastAsiaTheme="minorEastAsia"/>
                <w:noProof/>
                <w:kern w:val="2"/>
                <w14:ligatures w14:val="standardContextual"/>
              </w:rPr>
              <w:tab/>
            </w:r>
            <w:r w:rsidR="00711778" w:rsidRPr="00796E46">
              <w:rPr>
                <w:rStyle w:val="Hyperlink"/>
                <w:noProof/>
              </w:rPr>
              <w:t xml:space="preserve">Keep the current </w:t>
            </w:r>
            <w:r w:rsidR="00711778" w:rsidRPr="00796E46">
              <w:rPr>
                <w:rStyle w:val="Hyperlink"/>
                <w:noProof/>
                <w:lang w:val="en-US"/>
              </w:rPr>
              <w:t>definition of “s</w:t>
            </w:r>
            <w:r w:rsidR="00711778" w:rsidRPr="00796E46">
              <w:rPr>
                <w:rStyle w:val="Hyperlink"/>
                <w:noProof/>
              </w:rPr>
              <w:t xml:space="preserve">ustainable </w:t>
            </w:r>
            <w:r w:rsidR="00711778" w:rsidRPr="00796E46">
              <w:rPr>
                <w:rStyle w:val="Hyperlink"/>
                <w:noProof/>
                <w:lang w:val="en-US"/>
              </w:rPr>
              <w:t>i</w:t>
            </w:r>
            <w:r w:rsidR="00711778" w:rsidRPr="00796E46">
              <w:rPr>
                <w:rStyle w:val="Hyperlink"/>
                <w:noProof/>
              </w:rPr>
              <w:t>nvestment</w:t>
            </w:r>
            <w:r w:rsidR="00711778" w:rsidRPr="00796E46">
              <w:rPr>
                <w:rStyle w:val="Hyperlink"/>
                <w:noProof/>
                <w:lang w:val="en-US"/>
              </w:rPr>
              <w:t>s”</w:t>
            </w:r>
            <w:r w:rsidR="00711778" w:rsidRPr="00796E46">
              <w:rPr>
                <w:rStyle w:val="Hyperlink"/>
                <w:noProof/>
              </w:rPr>
              <w:t xml:space="preserve"> </w:t>
            </w:r>
            <w:r w:rsidR="00711778" w:rsidRPr="00796E46">
              <w:rPr>
                <w:rStyle w:val="Hyperlink"/>
                <w:noProof/>
                <w:lang w:val="en-US"/>
              </w:rPr>
              <w:t>(Article 2(17) of SFDR). Refine to include concepts commonly used internationally to define impact investments.</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_Toc152770344 \h </w:instrText>
            </w:r>
            <w:r w:rsidR="00711778" w:rsidRPr="00796E46">
              <w:rPr>
                <w:noProof/>
                <w:webHidden/>
              </w:rPr>
            </w:r>
            <w:r w:rsidR="00711778" w:rsidRPr="00796E46">
              <w:rPr>
                <w:noProof/>
                <w:webHidden/>
              </w:rPr>
              <w:fldChar w:fldCharType="separate"/>
            </w:r>
            <w:r w:rsidR="000B2078" w:rsidRPr="00796E46">
              <w:rPr>
                <w:noProof/>
                <w:webHidden/>
              </w:rPr>
              <w:t>8</w:t>
            </w:r>
            <w:r w:rsidR="00711778" w:rsidRPr="00796E46">
              <w:rPr>
                <w:noProof/>
                <w:webHidden/>
              </w:rPr>
              <w:fldChar w:fldCharType="end"/>
            </w:r>
          </w:hyperlink>
        </w:p>
        <w:p w14:paraId="751FF754" w14:textId="0C51F542" w:rsidR="00711778" w:rsidRPr="00796E46" w:rsidRDefault="00000000">
          <w:pPr>
            <w:pStyle w:val="TOC1"/>
            <w:rPr>
              <w:rFonts w:eastAsiaTheme="minorEastAsia"/>
              <w:noProof/>
              <w:kern w:val="2"/>
              <w14:ligatures w14:val="standardContextual"/>
            </w:rPr>
          </w:pPr>
          <w:hyperlink w:anchor="_Toc152770345" w:history="1">
            <w:r w:rsidR="00711778" w:rsidRPr="00796E46">
              <w:rPr>
                <w:rStyle w:val="Hyperlink"/>
                <w:noProof/>
              </w:rPr>
              <w:t>5.</w:t>
            </w:r>
            <w:r w:rsidR="00711778" w:rsidRPr="00796E46">
              <w:rPr>
                <w:rFonts w:eastAsiaTheme="minorEastAsia"/>
                <w:noProof/>
                <w:kern w:val="2"/>
                <w14:ligatures w14:val="standardContextual"/>
              </w:rPr>
              <w:tab/>
            </w:r>
            <w:r w:rsidR="00711778" w:rsidRPr="00796E46">
              <w:rPr>
                <w:rStyle w:val="Hyperlink"/>
                <w:noProof/>
              </w:rPr>
              <w:t>The "promotion of social and/or environmental characteristics" (SFDR article 8) is too vague and is the one that can lead to the highest risk of greenwashing</w:t>
            </w:r>
            <w:r w:rsidR="00711778" w:rsidRPr="00796E46">
              <w:rPr>
                <w:rStyle w:val="Hyperlink"/>
                <w:noProof/>
                <w:lang w:val="en-US"/>
              </w:rPr>
              <w:t>. This category should be removed, also if evolving into a different categorization system.</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_Toc152770345 \h </w:instrText>
            </w:r>
            <w:r w:rsidR="00711778" w:rsidRPr="00796E46">
              <w:rPr>
                <w:noProof/>
                <w:webHidden/>
              </w:rPr>
            </w:r>
            <w:r w:rsidR="00711778" w:rsidRPr="00796E46">
              <w:rPr>
                <w:noProof/>
                <w:webHidden/>
              </w:rPr>
              <w:fldChar w:fldCharType="separate"/>
            </w:r>
            <w:r w:rsidR="000B2078" w:rsidRPr="00796E46">
              <w:rPr>
                <w:noProof/>
                <w:webHidden/>
              </w:rPr>
              <w:t>10</w:t>
            </w:r>
            <w:r w:rsidR="00711778" w:rsidRPr="00796E46">
              <w:rPr>
                <w:noProof/>
                <w:webHidden/>
              </w:rPr>
              <w:fldChar w:fldCharType="end"/>
            </w:r>
          </w:hyperlink>
        </w:p>
        <w:p w14:paraId="666049A0" w14:textId="47281E1B" w:rsidR="00711778" w:rsidRPr="00796E46" w:rsidRDefault="00000000">
          <w:pPr>
            <w:pStyle w:val="TOC1"/>
            <w:rPr>
              <w:rFonts w:eastAsiaTheme="minorEastAsia"/>
              <w:noProof/>
              <w:kern w:val="2"/>
              <w14:ligatures w14:val="standardContextual"/>
            </w:rPr>
          </w:pPr>
          <w:hyperlink w:anchor="_Toc152770346" w:history="1">
            <w:r w:rsidR="00711778" w:rsidRPr="00796E46">
              <w:rPr>
                <w:rStyle w:val="Hyperlink"/>
                <w:noProof/>
                <w:lang w:val="en-US"/>
              </w:rPr>
              <w:t>6.</w:t>
            </w:r>
            <w:r w:rsidR="00711778" w:rsidRPr="00796E46">
              <w:rPr>
                <w:rFonts w:eastAsiaTheme="minorEastAsia"/>
                <w:noProof/>
                <w:kern w:val="2"/>
                <w14:ligatures w14:val="standardContextual"/>
              </w:rPr>
              <w:tab/>
            </w:r>
            <w:r w:rsidR="00711778" w:rsidRPr="00796E46">
              <w:rPr>
                <w:rStyle w:val="Hyperlink"/>
                <w:noProof/>
                <w:lang w:val="en-US"/>
              </w:rPr>
              <w:t>Create a product categorization system based on the current SFDR disclosures. This would allow Retail investors to judge the extent with which a Financial Product considers Sustainability in its investment strategy.</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_Toc152770346 \h </w:instrText>
            </w:r>
            <w:r w:rsidR="00711778" w:rsidRPr="00796E46">
              <w:rPr>
                <w:noProof/>
                <w:webHidden/>
              </w:rPr>
            </w:r>
            <w:r w:rsidR="00711778" w:rsidRPr="00796E46">
              <w:rPr>
                <w:noProof/>
                <w:webHidden/>
              </w:rPr>
              <w:fldChar w:fldCharType="separate"/>
            </w:r>
            <w:r w:rsidR="000B2078" w:rsidRPr="00796E46">
              <w:rPr>
                <w:noProof/>
                <w:webHidden/>
              </w:rPr>
              <w:t>11</w:t>
            </w:r>
            <w:r w:rsidR="00711778" w:rsidRPr="00796E46">
              <w:rPr>
                <w:noProof/>
                <w:webHidden/>
              </w:rPr>
              <w:fldChar w:fldCharType="end"/>
            </w:r>
          </w:hyperlink>
        </w:p>
        <w:p w14:paraId="16F55F8F" w14:textId="4EA20B5C" w:rsidR="00711778" w:rsidRPr="00796E46" w:rsidRDefault="00000000">
          <w:pPr>
            <w:pStyle w:val="TOC1"/>
            <w:rPr>
              <w:rFonts w:eastAsiaTheme="minorEastAsia"/>
              <w:noProof/>
              <w:kern w:val="2"/>
              <w14:ligatures w14:val="standardContextual"/>
            </w:rPr>
          </w:pPr>
          <w:hyperlink w:anchor="_Toc152770347" w:history="1">
            <w:r w:rsidR="00711778" w:rsidRPr="00796E46">
              <w:rPr>
                <w:rStyle w:val="Hyperlink"/>
                <w:noProof/>
                <w:lang w:val="en-US"/>
              </w:rPr>
              <w:t>7.</w:t>
            </w:r>
            <w:r w:rsidR="00711778" w:rsidRPr="00796E46">
              <w:rPr>
                <w:rFonts w:eastAsiaTheme="minorEastAsia"/>
                <w:noProof/>
                <w:kern w:val="2"/>
                <w14:ligatures w14:val="standardContextual"/>
              </w:rPr>
              <w:tab/>
            </w:r>
            <w:r w:rsidR="00711778" w:rsidRPr="00796E46">
              <w:rPr>
                <w:rStyle w:val="Hyperlink"/>
                <w:noProof/>
                <w:lang w:val="en-US"/>
              </w:rPr>
              <w:t>Limit the use of certain product names to those who meet certain criteria</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_Toc152770347 \h </w:instrText>
            </w:r>
            <w:r w:rsidR="00711778" w:rsidRPr="00796E46">
              <w:rPr>
                <w:noProof/>
                <w:webHidden/>
              </w:rPr>
            </w:r>
            <w:r w:rsidR="00711778" w:rsidRPr="00796E46">
              <w:rPr>
                <w:noProof/>
                <w:webHidden/>
              </w:rPr>
              <w:fldChar w:fldCharType="separate"/>
            </w:r>
            <w:r w:rsidR="000B2078" w:rsidRPr="00796E46">
              <w:rPr>
                <w:noProof/>
                <w:webHidden/>
              </w:rPr>
              <w:t>13</w:t>
            </w:r>
            <w:r w:rsidR="00711778" w:rsidRPr="00796E46">
              <w:rPr>
                <w:noProof/>
                <w:webHidden/>
              </w:rPr>
              <w:fldChar w:fldCharType="end"/>
            </w:r>
          </w:hyperlink>
        </w:p>
        <w:p w14:paraId="5E5FC205" w14:textId="7BBFFC7A" w:rsidR="00711778" w:rsidRPr="00796E46" w:rsidRDefault="00000000">
          <w:pPr>
            <w:pStyle w:val="TOC1"/>
            <w:rPr>
              <w:rFonts w:eastAsiaTheme="minorEastAsia"/>
              <w:noProof/>
              <w:kern w:val="2"/>
              <w14:ligatures w14:val="standardContextual"/>
            </w:rPr>
          </w:pPr>
          <w:hyperlink w:anchor="_Toc152770348" w:history="1">
            <w:r w:rsidR="00711778" w:rsidRPr="00796E46">
              <w:rPr>
                <w:rStyle w:val="Hyperlink"/>
                <w:noProof/>
              </w:rPr>
              <w:t>8.</w:t>
            </w:r>
            <w:r w:rsidR="00711778" w:rsidRPr="00796E46">
              <w:rPr>
                <w:rFonts w:eastAsiaTheme="minorEastAsia"/>
                <w:noProof/>
                <w:kern w:val="2"/>
                <w14:ligatures w14:val="standardContextual"/>
              </w:rPr>
              <w:tab/>
            </w:r>
            <w:r w:rsidR="00711778" w:rsidRPr="00796E46">
              <w:rPr>
                <w:rStyle w:val="Hyperlink"/>
                <w:noProof/>
              </w:rPr>
              <w:t>SFDR needs to better account for FMPs investing in emerging markets. Unless support is provided (e.g. to collect certain PAIs and further promote proxy data collection) the SFDR will continue restricting the flow of investment to these vital parts of the economy. Consider the same for Taxonomy Regulation.</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_Toc152770348 \h </w:instrText>
            </w:r>
            <w:r w:rsidR="00711778" w:rsidRPr="00796E46">
              <w:rPr>
                <w:noProof/>
                <w:webHidden/>
              </w:rPr>
            </w:r>
            <w:r w:rsidR="00711778" w:rsidRPr="00796E46">
              <w:rPr>
                <w:noProof/>
                <w:webHidden/>
              </w:rPr>
              <w:fldChar w:fldCharType="separate"/>
            </w:r>
            <w:r w:rsidR="000B2078" w:rsidRPr="00796E46">
              <w:rPr>
                <w:noProof/>
                <w:webHidden/>
              </w:rPr>
              <w:t>14</w:t>
            </w:r>
            <w:r w:rsidR="00711778" w:rsidRPr="00796E46">
              <w:rPr>
                <w:noProof/>
                <w:webHidden/>
              </w:rPr>
              <w:fldChar w:fldCharType="end"/>
            </w:r>
          </w:hyperlink>
        </w:p>
        <w:p w14:paraId="1AA32830" w14:textId="014814D9" w:rsidR="00711778" w:rsidRPr="00796E46" w:rsidRDefault="00000000">
          <w:pPr>
            <w:pStyle w:val="TOC2"/>
            <w:tabs>
              <w:tab w:val="right" w:leader="dot" w:pos="9016"/>
            </w:tabs>
            <w:rPr>
              <w:rFonts w:eastAsiaTheme="minorEastAsia"/>
              <w:noProof/>
              <w:kern w:val="2"/>
              <w14:ligatures w14:val="standardContextual"/>
            </w:rPr>
          </w:pPr>
          <w:hyperlink w:anchor="_Toc152770349" w:history="1">
            <w:r w:rsidR="00711778" w:rsidRPr="00796E46">
              <w:rPr>
                <w:rStyle w:val="Hyperlink"/>
                <w:noProof/>
              </w:rPr>
              <w:t>8.1 PAI indicator collection and proxy gathering</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_Toc152770349 \h </w:instrText>
            </w:r>
            <w:r w:rsidR="00711778" w:rsidRPr="00796E46">
              <w:rPr>
                <w:noProof/>
                <w:webHidden/>
              </w:rPr>
            </w:r>
            <w:r w:rsidR="00711778" w:rsidRPr="00796E46">
              <w:rPr>
                <w:noProof/>
                <w:webHidden/>
              </w:rPr>
              <w:fldChar w:fldCharType="separate"/>
            </w:r>
            <w:r w:rsidR="000B2078" w:rsidRPr="00796E46">
              <w:rPr>
                <w:noProof/>
                <w:webHidden/>
              </w:rPr>
              <w:t>14</w:t>
            </w:r>
            <w:r w:rsidR="00711778" w:rsidRPr="00796E46">
              <w:rPr>
                <w:noProof/>
                <w:webHidden/>
              </w:rPr>
              <w:fldChar w:fldCharType="end"/>
            </w:r>
          </w:hyperlink>
        </w:p>
        <w:p w14:paraId="00498246" w14:textId="5784B99A" w:rsidR="00711778" w:rsidRPr="00796E46" w:rsidRDefault="00000000">
          <w:pPr>
            <w:pStyle w:val="TOC2"/>
            <w:tabs>
              <w:tab w:val="right" w:leader="dot" w:pos="9016"/>
            </w:tabs>
            <w:rPr>
              <w:rFonts w:eastAsiaTheme="minorEastAsia"/>
              <w:noProof/>
              <w:kern w:val="2"/>
              <w14:ligatures w14:val="standardContextual"/>
            </w:rPr>
          </w:pPr>
          <w:hyperlink w:anchor="_Toc152770350" w:history="1">
            <w:r w:rsidR="00711778" w:rsidRPr="00796E46">
              <w:rPr>
                <w:rStyle w:val="Hyperlink"/>
                <w:noProof/>
                <w:lang w:val="en-US"/>
              </w:rPr>
              <w:t>8.2. Amend the Taxonomy Regulation to allow the use of local regulations or international standards when investments are made outside of the EU.</w:t>
            </w:r>
            <w:r w:rsidR="00711778" w:rsidRPr="00796E46">
              <w:rPr>
                <w:noProof/>
                <w:webHidden/>
              </w:rPr>
              <w:tab/>
            </w:r>
            <w:r w:rsidR="00711778" w:rsidRPr="00796E46">
              <w:rPr>
                <w:noProof/>
                <w:webHidden/>
              </w:rPr>
              <w:fldChar w:fldCharType="begin"/>
            </w:r>
            <w:r w:rsidR="00711778" w:rsidRPr="00796E46">
              <w:rPr>
                <w:noProof/>
                <w:webHidden/>
              </w:rPr>
              <w:instrText xml:space="preserve"> PAGEREF _Toc152770350 \h </w:instrText>
            </w:r>
            <w:r w:rsidR="00711778" w:rsidRPr="00796E46">
              <w:rPr>
                <w:noProof/>
                <w:webHidden/>
              </w:rPr>
            </w:r>
            <w:r w:rsidR="00711778" w:rsidRPr="00796E46">
              <w:rPr>
                <w:noProof/>
                <w:webHidden/>
              </w:rPr>
              <w:fldChar w:fldCharType="separate"/>
            </w:r>
            <w:r w:rsidR="000B2078" w:rsidRPr="00796E46">
              <w:rPr>
                <w:noProof/>
                <w:webHidden/>
              </w:rPr>
              <w:t>15</w:t>
            </w:r>
            <w:r w:rsidR="00711778" w:rsidRPr="00796E46">
              <w:rPr>
                <w:noProof/>
                <w:webHidden/>
              </w:rPr>
              <w:fldChar w:fldCharType="end"/>
            </w:r>
          </w:hyperlink>
        </w:p>
        <w:p w14:paraId="3FB4E9B4" w14:textId="1F1759D3" w:rsidR="00C67EEA" w:rsidRPr="00796E46" w:rsidRDefault="008C01FF" w:rsidP="00353BA2">
          <w:pPr>
            <w:jc w:val="both"/>
            <w:rPr>
              <w:lang w:val="en-US"/>
            </w:rPr>
          </w:pPr>
          <w:r w:rsidRPr="00796E46">
            <w:rPr>
              <w:b/>
              <w:bCs/>
              <w:noProof/>
            </w:rPr>
            <w:fldChar w:fldCharType="end"/>
          </w:r>
        </w:p>
      </w:sdtContent>
    </w:sdt>
    <w:p w14:paraId="6108F925" w14:textId="77777777" w:rsidR="00967833" w:rsidRPr="00796E46" w:rsidRDefault="00967833">
      <w:pPr>
        <w:rPr>
          <w:rStyle w:val="Strong"/>
          <w:b w:val="0"/>
          <w:bCs w:val="0"/>
          <w:lang w:val="en-US"/>
        </w:rPr>
      </w:pPr>
      <w:bookmarkStart w:id="0" w:name="_Toc152193508"/>
    </w:p>
    <w:p w14:paraId="195BB672" w14:textId="09140B7A" w:rsidR="00353BA2" w:rsidRPr="00796E46" w:rsidRDefault="00353BA2">
      <w:pPr>
        <w:rPr>
          <w:rStyle w:val="Strong"/>
          <w:b w:val="0"/>
          <w:bCs w:val="0"/>
          <w:lang w:val="en-US"/>
        </w:rPr>
      </w:pPr>
      <w:r w:rsidRPr="00796E46">
        <w:rPr>
          <w:rStyle w:val="Strong"/>
          <w:b w:val="0"/>
          <w:bCs w:val="0"/>
          <w:lang w:val="en-US"/>
        </w:rPr>
        <w:br w:type="page"/>
      </w:r>
    </w:p>
    <w:p w14:paraId="215B0293" w14:textId="77777777" w:rsidR="00EF46D5" w:rsidRPr="00796E46" w:rsidRDefault="00EF46D5">
      <w:pPr>
        <w:rPr>
          <w:rStyle w:val="Strong"/>
          <w:b w:val="0"/>
          <w:bCs w:val="0"/>
          <w:lang w:val="en-US"/>
        </w:rPr>
      </w:pPr>
    </w:p>
    <w:p w14:paraId="5A1A4D07" w14:textId="79A3EE68" w:rsidR="00EF46D5" w:rsidRPr="00796E46" w:rsidRDefault="00EF46D5" w:rsidP="005244E2">
      <w:pPr>
        <w:pStyle w:val="Heading1"/>
        <w:rPr>
          <w:rStyle w:val="Strong"/>
          <w:b w:val="0"/>
          <w:bCs w:val="0"/>
          <w:lang w:val="en-US"/>
        </w:rPr>
      </w:pPr>
      <w:bookmarkStart w:id="1" w:name="_Toc152770338"/>
      <w:r w:rsidRPr="00796E46">
        <w:rPr>
          <w:rStyle w:val="Strong"/>
          <w:b w:val="0"/>
          <w:bCs w:val="0"/>
          <w:lang w:val="en-US"/>
        </w:rPr>
        <w:t>The Sustainable Finance Disclosure Regulation (SFDR) has been an important milestone in the shift towards a sustainable economy. However, like every new regulation it has unintended effects that need to be addressed in the upcoming review of the SFDR.</w:t>
      </w:r>
      <w:bookmarkEnd w:id="1"/>
    </w:p>
    <w:p w14:paraId="3C80D34F" w14:textId="77777777" w:rsidR="00EF46D5" w:rsidRPr="00796E46" w:rsidRDefault="00EF46D5" w:rsidP="00EF46D5">
      <w:pPr>
        <w:rPr>
          <w:rStyle w:val="Strong"/>
          <w:b w:val="0"/>
          <w:bCs w:val="0"/>
          <w:lang w:val="en-US"/>
        </w:rPr>
      </w:pPr>
      <w:r w:rsidRPr="00796E46">
        <w:rPr>
          <w:rStyle w:val="Strong"/>
          <w:b w:val="0"/>
          <w:bCs w:val="0"/>
          <w:lang w:val="en-US"/>
        </w:rPr>
        <w:t>The Sustainable Finance Disclosure Regulation (SFDR) has been an important milestone in the shift towards a sustainable economy and a big gamechanger for mainstreaming sustainable finance in the boardroom of the investment world. However, like every new regulation it has unintended effects that do not contribute to the objectives of the regulation itself. We stand firmly behind the original SFDR objectives of steering capital flows towards sustainable investments, mainstreaming sustainability into risk management and fostering transparency and long-termism. With that in mind, we see the following effects of the regulation that need to be addressed in the upcoming review of the SFDR.</w:t>
      </w:r>
    </w:p>
    <w:p w14:paraId="3537537E" w14:textId="77777777" w:rsidR="00EF46D5" w:rsidRPr="00796E46" w:rsidRDefault="00EF46D5" w:rsidP="00EF46D5">
      <w:pPr>
        <w:rPr>
          <w:rStyle w:val="Strong"/>
          <w:b w:val="0"/>
          <w:bCs w:val="0"/>
          <w:lang w:val="en-US"/>
        </w:rPr>
      </w:pPr>
      <w:r w:rsidRPr="00796E46">
        <w:rPr>
          <w:rStyle w:val="Strong"/>
          <w:b w:val="0"/>
          <w:bCs w:val="0"/>
          <w:lang w:val="en-US"/>
        </w:rPr>
        <w:t>•</w:t>
      </w:r>
      <w:r w:rsidRPr="00796E46">
        <w:rPr>
          <w:rStyle w:val="Strong"/>
          <w:b w:val="0"/>
          <w:bCs w:val="0"/>
          <w:lang w:val="en-US"/>
        </w:rPr>
        <w:tab/>
        <w:t xml:space="preserve">The current SFDR documentation doesn’t provide clarity and comparability for investors, particularly retail investors. We see that the disclosure documents published on the product websites are hardly read and understood by investors. The market seems to rely on the article 6, 8 or 9 </w:t>
      </w:r>
      <w:proofErr w:type="spellStart"/>
      <w:r w:rsidRPr="00796E46">
        <w:rPr>
          <w:rStyle w:val="Strong"/>
          <w:b w:val="0"/>
          <w:bCs w:val="0"/>
          <w:lang w:val="en-US"/>
        </w:rPr>
        <w:t>categorisations</w:t>
      </w:r>
      <w:proofErr w:type="spellEnd"/>
      <w:r w:rsidRPr="00796E46">
        <w:rPr>
          <w:rStyle w:val="Strong"/>
          <w:b w:val="0"/>
          <w:bCs w:val="0"/>
          <w:lang w:val="en-US"/>
        </w:rPr>
        <w:t xml:space="preserve"> mostly, which is, however, limited and not comparable. </w:t>
      </w:r>
    </w:p>
    <w:p w14:paraId="268AE1CA" w14:textId="77777777" w:rsidR="00EF46D5" w:rsidRPr="00796E46" w:rsidRDefault="00EF46D5" w:rsidP="00EF46D5">
      <w:pPr>
        <w:rPr>
          <w:rStyle w:val="Strong"/>
          <w:b w:val="0"/>
          <w:bCs w:val="0"/>
          <w:lang w:val="en-US"/>
        </w:rPr>
      </w:pPr>
      <w:r w:rsidRPr="00796E46">
        <w:rPr>
          <w:rStyle w:val="Strong"/>
          <w:b w:val="0"/>
          <w:bCs w:val="0"/>
          <w:lang w:val="en-US"/>
        </w:rPr>
        <w:t>•</w:t>
      </w:r>
      <w:r w:rsidRPr="00796E46">
        <w:rPr>
          <w:rStyle w:val="Strong"/>
          <w:b w:val="0"/>
          <w:bCs w:val="0"/>
          <w:lang w:val="en-US"/>
        </w:rPr>
        <w:tab/>
        <w:t xml:space="preserve">The SFDR currently does not provide insights in the investments in non-sustainable or even harmful activities. The lack of information on the impact of article 6 products results in insufficient transparency for investors to make informed decisions and steer capital towards sustainable investments. </w:t>
      </w:r>
    </w:p>
    <w:p w14:paraId="4E928237" w14:textId="0A6B75EE" w:rsidR="00EF46D5" w:rsidRPr="00796E46" w:rsidRDefault="00EF46D5" w:rsidP="00EF46D5">
      <w:pPr>
        <w:rPr>
          <w:rStyle w:val="Strong"/>
          <w:b w:val="0"/>
          <w:bCs w:val="0"/>
          <w:lang w:val="en-US"/>
        </w:rPr>
      </w:pPr>
      <w:r w:rsidRPr="00796E46">
        <w:rPr>
          <w:rStyle w:val="Strong"/>
          <w:b w:val="0"/>
          <w:bCs w:val="0"/>
          <w:lang w:val="en-US"/>
        </w:rPr>
        <w:t>•</w:t>
      </w:r>
      <w:r w:rsidRPr="00796E46">
        <w:rPr>
          <w:rStyle w:val="Strong"/>
          <w:b w:val="0"/>
          <w:bCs w:val="0"/>
          <w:lang w:val="en-US"/>
        </w:rPr>
        <w:tab/>
        <w:t>The focus of the SFDR on disclosures for sustainable products results in an increased financial and administrative burden for those products. This results in an uneven playing field between sustainable and non-sustainable products, because it increases the costs of sustainable products only. It also leads to market participants purposely not disclosing sustainable characteristics</w:t>
      </w:r>
      <w:r w:rsidR="00D23B1B" w:rsidRPr="00796E46">
        <w:rPr>
          <w:rStyle w:val="Strong"/>
          <w:b w:val="0"/>
          <w:bCs w:val="0"/>
          <w:lang w:val="en-US"/>
        </w:rPr>
        <w:t xml:space="preserve"> </w:t>
      </w:r>
      <w:r w:rsidRPr="00796E46">
        <w:rPr>
          <w:rStyle w:val="Strong"/>
          <w:b w:val="0"/>
          <w:bCs w:val="0"/>
          <w:lang w:val="en-US"/>
        </w:rPr>
        <w:t>of their products, also known as ‘green hushing’. Both stand in the way of steering capital to sustainable investments.</w:t>
      </w:r>
    </w:p>
    <w:p w14:paraId="7992605F" w14:textId="77777777" w:rsidR="00D23B1B" w:rsidRPr="00796E46" w:rsidRDefault="00D23B1B">
      <w:pPr>
        <w:rPr>
          <w:rStyle w:val="Strong"/>
          <w:b w:val="0"/>
          <w:bCs w:val="0"/>
          <w:lang w:val="en-US"/>
        </w:rPr>
      </w:pPr>
    </w:p>
    <w:p w14:paraId="4B9EE7E9" w14:textId="77777777" w:rsidR="00D23B1B" w:rsidRPr="00796E46" w:rsidRDefault="00D23B1B" w:rsidP="00D23B1B">
      <w:pPr>
        <w:pStyle w:val="Subtitle"/>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Questions where this key message can be pasted: </w:t>
      </w:r>
    </w:p>
    <w:p w14:paraId="0ED4287A" w14:textId="77777777" w:rsidR="00D23B1B" w:rsidRPr="00796E46" w:rsidRDefault="00D23B1B" w:rsidP="00D23B1B">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1.5 &gt; 1.7 : current requirements of the SFDR </w:t>
      </w:r>
    </w:p>
    <w:p w14:paraId="23832D13" w14:textId="77777777" w:rsidR="00D23B1B" w:rsidRPr="00796E46" w:rsidRDefault="00D23B1B">
      <w:pPr>
        <w:rPr>
          <w:rStyle w:val="Strong"/>
          <w:b w:val="0"/>
          <w:bCs w:val="0"/>
          <w:lang w:val="en-US"/>
        </w:rPr>
      </w:pPr>
    </w:p>
    <w:p w14:paraId="24F7BEBC" w14:textId="7F881B10" w:rsidR="00711778" w:rsidRPr="00796E46" w:rsidRDefault="00711778">
      <w:pPr>
        <w:rPr>
          <w:rStyle w:val="Strong"/>
          <w:b w:val="0"/>
          <w:bCs w:val="0"/>
          <w:lang w:val="en-US"/>
        </w:rPr>
      </w:pPr>
      <w:r w:rsidRPr="00796E46">
        <w:rPr>
          <w:rStyle w:val="Strong"/>
          <w:b w:val="0"/>
          <w:bCs w:val="0"/>
          <w:lang w:val="en-US"/>
        </w:rPr>
        <w:br w:type="page"/>
      </w:r>
    </w:p>
    <w:p w14:paraId="311C2E55" w14:textId="7AEF89FB" w:rsidR="00572EBF" w:rsidRPr="00796E46" w:rsidRDefault="00CC3F30" w:rsidP="00E57EB3">
      <w:pPr>
        <w:pStyle w:val="Heading1"/>
        <w:numPr>
          <w:ilvl w:val="0"/>
          <w:numId w:val="4"/>
        </w:numPr>
        <w:jc w:val="both"/>
        <w:rPr>
          <w:rStyle w:val="Strong"/>
          <w:b w:val="0"/>
          <w:bCs w:val="0"/>
          <w:lang w:val="en-US"/>
        </w:rPr>
      </w:pPr>
      <w:bookmarkStart w:id="2" w:name="_Toc152770339"/>
      <w:r w:rsidRPr="00796E46">
        <w:rPr>
          <w:rStyle w:val="Strong"/>
          <w:b w:val="0"/>
          <w:bCs w:val="0"/>
          <w:lang w:val="en-US"/>
        </w:rPr>
        <w:lastRenderedPageBreak/>
        <w:t xml:space="preserve">Ensure </w:t>
      </w:r>
      <w:r w:rsidR="00E57EB3" w:rsidRPr="00796E46">
        <w:rPr>
          <w:rStyle w:val="Strong"/>
          <w:b w:val="0"/>
          <w:bCs w:val="0"/>
          <w:lang w:val="en-US"/>
        </w:rPr>
        <w:t xml:space="preserve">harmonization and </w:t>
      </w:r>
      <w:r w:rsidR="00B30B12" w:rsidRPr="00796E46">
        <w:rPr>
          <w:rStyle w:val="Strong"/>
          <w:b w:val="0"/>
          <w:bCs w:val="0"/>
          <w:lang w:val="en-US"/>
        </w:rPr>
        <w:t xml:space="preserve">complementarity </w:t>
      </w:r>
      <w:r w:rsidR="002B2367" w:rsidRPr="00796E46">
        <w:rPr>
          <w:rStyle w:val="Strong"/>
          <w:b w:val="0"/>
          <w:bCs w:val="0"/>
          <w:lang w:val="en-US"/>
        </w:rPr>
        <w:t>across EU</w:t>
      </w:r>
      <w:r w:rsidRPr="00796E46">
        <w:rPr>
          <w:rStyle w:val="Strong"/>
          <w:b w:val="0"/>
          <w:bCs w:val="0"/>
          <w:lang w:val="en-US"/>
        </w:rPr>
        <w:t xml:space="preserve"> </w:t>
      </w:r>
      <w:r w:rsidR="002B2367" w:rsidRPr="00796E46">
        <w:rPr>
          <w:rStyle w:val="Strong"/>
          <w:b w:val="0"/>
          <w:bCs w:val="0"/>
          <w:lang w:val="en-US"/>
        </w:rPr>
        <w:t>sustainability-related</w:t>
      </w:r>
      <w:r w:rsidR="00572EBF" w:rsidRPr="00796E46">
        <w:rPr>
          <w:rStyle w:val="Strong"/>
          <w:b w:val="0"/>
          <w:bCs w:val="0"/>
          <w:lang w:val="en-US"/>
        </w:rPr>
        <w:t xml:space="preserve"> regulations</w:t>
      </w:r>
      <w:r w:rsidR="00B30B12" w:rsidRPr="00796E46">
        <w:rPr>
          <w:rStyle w:val="Strong"/>
          <w:b w:val="0"/>
          <w:bCs w:val="0"/>
          <w:lang w:val="en-US"/>
        </w:rPr>
        <w:t xml:space="preserve"> and remove overlaps</w:t>
      </w:r>
      <w:r w:rsidR="00572EBF" w:rsidRPr="00796E46">
        <w:rPr>
          <w:rStyle w:val="Strong"/>
          <w:b w:val="0"/>
          <w:bCs w:val="0"/>
          <w:lang w:val="en-US"/>
        </w:rPr>
        <w:t>.</w:t>
      </w:r>
      <w:bookmarkEnd w:id="0"/>
      <w:bookmarkEnd w:id="2"/>
    </w:p>
    <w:p w14:paraId="717D52C7" w14:textId="790E4803" w:rsidR="009F2733" w:rsidRPr="00796E46" w:rsidRDefault="009F2733" w:rsidP="00353BA2">
      <w:pPr>
        <w:rPr>
          <w:rStyle w:val="Strong"/>
          <w:rFonts w:asciiTheme="majorHAnsi" w:hAnsiTheme="majorHAnsi"/>
          <w:b w:val="0"/>
          <w:bCs w:val="0"/>
          <w:lang w:val="en-US"/>
        </w:rPr>
      </w:pPr>
      <w:r w:rsidRPr="00796E46">
        <w:rPr>
          <w:rStyle w:val="Strong"/>
          <w:rFonts w:asciiTheme="majorHAnsi" w:hAnsiTheme="majorHAnsi"/>
          <w:b w:val="0"/>
          <w:bCs w:val="0"/>
          <w:lang w:val="en-US"/>
        </w:rPr>
        <w:t xml:space="preserve">SFDR for </w:t>
      </w:r>
      <w:r w:rsidR="25CE7C39" w:rsidRPr="00796E46">
        <w:rPr>
          <w:rStyle w:val="Strong"/>
          <w:rFonts w:asciiTheme="majorHAnsi" w:hAnsiTheme="majorHAnsi"/>
          <w:b w:val="0"/>
          <w:bCs w:val="0"/>
          <w:lang w:val="en-US"/>
        </w:rPr>
        <w:t>F</w:t>
      </w:r>
      <w:r w:rsidRPr="00796E46">
        <w:rPr>
          <w:rStyle w:val="Strong"/>
          <w:rFonts w:asciiTheme="majorHAnsi" w:hAnsiTheme="majorHAnsi"/>
          <w:b w:val="0"/>
          <w:bCs w:val="0"/>
          <w:lang w:val="en-US"/>
        </w:rPr>
        <w:t xml:space="preserve">inancial </w:t>
      </w:r>
      <w:r w:rsidR="59D60A61" w:rsidRPr="00796E46">
        <w:rPr>
          <w:rStyle w:val="Strong"/>
          <w:rFonts w:asciiTheme="majorHAnsi" w:hAnsiTheme="majorHAnsi"/>
          <w:b w:val="0"/>
          <w:bCs w:val="0"/>
          <w:lang w:val="en-US"/>
        </w:rPr>
        <w:t>M</w:t>
      </w:r>
      <w:r w:rsidR="0A80F022" w:rsidRPr="00796E46">
        <w:rPr>
          <w:rStyle w:val="Strong"/>
          <w:rFonts w:asciiTheme="majorHAnsi" w:hAnsiTheme="majorHAnsi"/>
          <w:b w:val="0"/>
          <w:bCs w:val="0"/>
          <w:lang w:val="en-US"/>
        </w:rPr>
        <w:t xml:space="preserve">arket </w:t>
      </w:r>
      <w:r w:rsidR="6412D23B" w:rsidRPr="00796E46">
        <w:rPr>
          <w:rStyle w:val="Strong"/>
          <w:rFonts w:asciiTheme="majorHAnsi" w:hAnsiTheme="majorHAnsi"/>
          <w:b w:val="0"/>
          <w:bCs w:val="0"/>
          <w:lang w:val="en-US"/>
        </w:rPr>
        <w:t>P</w:t>
      </w:r>
      <w:r w:rsidR="0A80F022" w:rsidRPr="00796E46">
        <w:rPr>
          <w:rStyle w:val="Strong"/>
          <w:rFonts w:asciiTheme="majorHAnsi" w:hAnsiTheme="majorHAnsi"/>
          <w:b w:val="0"/>
          <w:bCs w:val="0"/>
          <w:lang w:val="en-US"/>
        </w:rPr>
        <w:t>articipants</w:t>
      </w:r>
      <w:r w:rsidR="0078348F" w:rsidRPr="00796E46">
        <w:rPr>
          <w:rStyle w:val="Strong"/>
          <w:rFonts w:asciiTheme="majorHAnsi" w:hAnsiTheme="majorHAnsi"/>
          <w:b w:val="0"/>
          <w:bCs w:val="0"/>
          <w:lang w:val="en-US"/>
        </w:rPr>
        <w:t>,</w:t>
      </w:r>
      <w:r w:rsidR="00521366"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xml:space="preserve">the EU Taxonomy for </w:t>
      </w:r>
      <w:r w:rsidR="00521366" w:rsidRPr="00796E46">
        <w:rPr>
          <w:rStyle w:val="Strong"/>
          <w:rFonts w:asciiTheme="majorHAnsi" w:hAnsiTheme="majorHAnsi"/>
          <w:b w:val="0"/>
          <w:bCs w:val="0"/>
          <w:lang w:val="en-US"/>
        </w:rPr>
        <w:t>s</w:t>
      </w:r>
      <w:r w:rsidRPr="00796E46">
        <w:rPr>
          <w:rStyle w:val="Strong"/>
          <w:rFonts w:asciiTheme="majorHAnsi" w:hAnsiTheme="majorHAnsi"/>
          <w:b w:val="0"/>
          <w:bCs w:val="0"/>
          <w:lang w:val="en-US"/>
        </w:rPr>
        <w:t xml:space="preserve">ustainable </w:t>
      </w:r>
      <w:r w:rsidR="00521366" w:rsidRPr="00796E46">
        <w:rPr>
          <w:rStyle w:val="Strong"/>
          <w:rFonts w:asciiTheme="majorHAnsi" w:hAnsiTheme="majorHAnsi"/>
          <w:b w:val="0"/>
          <w:bCs w:val="0"/>
          <w:lang w:val="en-US"/>
        </w:rPr>
        <w:t>a</w:t>
      </w:r>
      <w:r w:rsidRPr="00796E46">
        <w:rPr>
          <w:rStyle w:val="Strong"/>
          <w:rFonts w:asciiTheme="majorHAnsi" w:hAnsiTheme="majorHAnsi"/>
          <w:b w:val="0"/>
          <w:bCs w:val="0"/>
          <w:lang w:val="en-US"/>
        </w:rPr>
        <w:t>ctivities,  CS</w:t>
      </w:r>
      <w:r w:rsidR="00B82041" w:rsidRPr="00796E46">
        <w:rPr>
          <w:rStyle w:val="Strong"/>
          <w:rFonts w:asciiTheme="majorHAnsi" w:hAnsiTheme="majorHAnsi"/>
          <w:b w:val="0"/>
          <w:bCs w:val="0"/>
          <w:lang w:val="en-US"/>
        </w:rPr>
        <w:t>R</w:t>
      </w:r>
      <w:r w:rsidRPr="00796E46">
        <w:rPr>
          <w:rStyle w:val="Strong"/>
          <w:rFonts w:asciiTheme="majorHAnsi" w:hAnsiTheme="majorHAnsi"/>
          <w:b w:val="0"/>
          <w:bCs w:val="0"/>
          <w:lang w:val="en-US"/>
        </w:rPr>
        <w:t>D</w:t>
      </w:r>
      <w:r w:rsidR="00540DCF"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and the future CSD</w:t>
      </w:r>
      <w:r w:rsidR="00B82041" w:rsidRPr="00796E46">
        <w:rPr>
          <w:rStyle w:val="Strong"/>
          <w:rFonts w:asciiTheme="majorHAnsi" w:hAnsiTheme="majorHAnsi"/>
          <w:b w:val="0"/>
          <w:bCs w:val="0"/>
          <w:lang w:val="en-US"/>
        </w:rPr>
        <w:t>D</w:t>
      </w:r>
      <w:r w:rsidRPr="00796E46">
        <w:rPr>
          <w:rStyle w:val="Strong"/>
          <w:rFonts w:asciiTheme="majorHAnsi" w:hAnsiTheme="majorHAnsi"/>
          <w:b w:val="0"/>
          <w:bCs w:val="0"/>
          <w:lang w:val="en-US"/>
        </w:rPr>
        <w:t xml:space="preserve">D for Corporates, all share the same </w:t>
      </w:r>
      <w:proofErr w:type="gramStart"/>
      <w:r w:rsidRPr="00796E46">
        <w:rPr>
          <w:rStyle w:val="Strong"/>
          <w:rFonts w:asciiTheme="majorHAnsi" w:hAnsiTheme="majorHAnsi"/>
          <w:b w:val="0"/>
          <w:bCs w:val="0"/>
          <w:lang w:val="en-US"/>
        </w:rPr>
        <w:t>ultimate goal</w:t>
      </w:r>
      <w:proofErr w:type="gramEnd"/>
      <w:r w:rsidRPr="00796E46">
        <w:rPr>
          <w:rStyle w:val="Strong"/>
          <w:rFonts w:asciiTheme="majorHAnsi" w:hAnsiTheme="majorHAnsi"/>
          <w:b w:val="0"/>
          <w:bCs w:val="0"/>
          <w:lang w:val="en-US"/>
        </w:rPr>
        <w:t>: foster a more sustainable economic development and reach the EU Green Deal Objectives. In their current form, these differen</w:t>
      </w:r>
      <w:r w:rsidR="00B82041" w:rsidRPr="00796E46">
        <w:rPr>
          <w:rStyle w:val="Strong"/>
          <w:rFonts w:asciiTheme="majorHAnsi" w:hAnsiTheme="majorHAnsi"/>
          <w:b w:val="0"/>
          <w:bCs w:val="0"/>
          <w:lang w:val="en-US"/>
        </w:rPr>
        <w:t>t</w:t>
      </w:r>
      <w:r w:rsidRPr="00796E46">
        <w:rPr>
          <w:rStyle w:val="Strong"/>
          <w:rFonts w:asciiTheme="majorHAnsi" w:hAnsiTheme="majorHAnsi"/>
          <w:b w:val="0"/>
          <w:bCs w:val="0"/>
          <w:lang w:val="en-US"/>
        </w:rPr>
        <w:t xml:space="preserve"> pieces of regulation are deeply intertwined, have some overlaps and, while they borrow concepts from each other, they sometimes use different definitions for concepts that are quite similar. This creates legal uncertainty</w:t>
      </w:r>
      <w:r w:rsidR="00B82041" w:rsidRPr="00796E46">
        <w:rPr>
          <w:rStyle w:val="Strong"/>
          <w:rFonts w:asciiTheme="majorHAnsi" w:hAnsiTheme="majorHAnsi"/>
          <w:b w:val="0"/>
          <w:bCs w:val="0"/>
          <w:lang w:val="en-US"/>
        </w:rPr>
        <w:t xml:space="preserve"> and confusion</w:t>
      </w:r>
      <w:r w:rsidRPr="00796E46">
        <w:rPr>
          <w:rStyle w:val="Strong"/>
          <w:rFonts w:asciiTheme="majorHAnsi" w:hAnsiTheme="majorHAnsi"/>
          <w:b w:val="0"/>
          <w:bCs w:val="0"/>
          <w:lang w:val="en-US"/>
        </w:rPr>
        <w:t xml:space="preserve">, at the cost of </w:t>
      </w:r>
      <w:r w:rsidR="6653B27F" w:rsidRPr="00796E46">
        <w:rPr>
          <w:rStyle w:val="Strong"/>
          <w:rFonts w:asciiTheme="majorHAnsi" w:hAnsiTheme="majorHAnsi"/>
          <w:b w:val="0"/>
          <w:bCs w:val="0"/>
          <w:lang w:val="en-US"/>
        </w:rPr>
        <w:t>Corporates</w:t>
      </w:r>
      <w:r w:rsidRPr="00796E46">
        <w:rPr>
          <w:rStyle w:val="Strong"/>
          <w:rFonts w:asciiTheme="majorHAnsi" w:hAnsiTheme="majorHAnsi"/>
          <w:b w:val="0"/>
          <w:bCs w:val="0"/>
          <w:lang w:val="en-US"/>
        </w:rPr>
        <w:t xml:space="preserve">, Financial Market Participants and Investors. </w:t>
      </w:r>
    </w:p>
    <w:p w14:paraId="365DE01C" w14:textId="2C9C6C82" w:rsidR="007E040A" w:rsidRPr="00796E46" w:rsidRDefault="009F2733" w:rsidP="00353BA2">
      <w:pPr>
        <w:rPr>
          <w:rFonts w:asciiTheme="majorHAnsi" w:hAnsiTheme="majorHAnsi"/>
        </w:rPr>
      </w:pPr>
      <w:r w:rsidRPr="00796E46">
        <w:rPr>
          <w:rStyle w:val="Strong"/>
          <w:rFonts w:asciiTheme="majorHAnsi" w:hAnsiTheme="majorHAnsi"/>
          <w:b w:val="0"/>
          <w:bCs w:val="0"/>
          <w:lang w:val="en-US"/>
        </w:rPr>
        <w:t>To ensure that the EU regulations efficiently push all market actors towards a resource-efficient and just economy, we deem it imperative to ensure that these regulations complement each other, while removing overlaps and inconsistencies. This would improve the data available for SFDR reporting in terms of quality, coverage and comparability</w:t>
      </w:r>
      <w:r w:rsidR="00B30B12" w:rsidRPr="00796E46">
        <w:rPr>
          <w:rStyle w:val="Strong"/>
          <w:rFonts w:asciiTheme="majorHAnsi" w:hAnsiTheme="majorHAnsi"/>
          <w:b w:val="0"/>
          <w:bCs w:val="0"/>
          <w:lang w:val="en-US"/>
        </w:rPr>
        <w:t>.</w:t>
      </w:r>
    </w:p>
    <w:p w14:paraId="39DC5FCA" w14:textId="5309D70E" w:rsidR="009C750C" w:rsidRPr="00796E46" w:rsidRDefault="00412327" w:rsidP="00412327">
      <w:pPr>
        <w:pStyle w:val="Heading2"/>
        <w:ind w:left="720"/>
        <w:rPr>
          <w:rStyle w:val="Strong"/>
          <w:b w:val="0"/>
          <w:bCs w:val="0"/>
          <w:lang w:val="en-US"/>
        </w:rPr>
      </w:pPr>
      <w:bookmarkStart w:id="3" w:name="_Toc152770340"/>
      <w:r w:rsidRPr="00796E46">
        <w:rPr>
          <w:rStyle w:val="Strong"/>
          <w:b w:val="0"/>
          <w:bCs w:val="0"/>
          <w:lang w:val="en-US"/>
        </w:rPr>
        <w:t xml:space="preserve">1.1 </w:t>
      </w:r>
      <w:r w:rsidR="009C750C" w:rsidRPr="00796E46">
        <w:rPr>
          <w:rStyle w:val="Strong"/>
          <w:b w:val="0"/>
          <w:bCs w:val="0"/>
          <w:lang w:val="en-US"/>
        </w:rPr>
        <w:t>SFDR should apply only to product (and not entity) disclosures.</w:t>
      </w:r>
      <w:bookmarkEnd w:id="3"/>
    </w:p>
    <w:p w14:paraId="2D00A586" w14:textId="33EDA257" w:rsidR="009C750C" w:rsidRPr="00796E46" w:rsidRDefault="000B769B" w:rsidP="009C750C">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We agree fully with increasing disclosure requirements. However, we believe that </w:t>
      </w:r>
      <w:r w:rsidR="009C750C" w:rsidRPr="00796E46">
        <w:rPr>
          <w:rStyle w:val="Strong"/>
          <w:rFonts w:asciiTheme="majorHAnsi" w:hAnsiTheme="majorHAnsi"/>
          <w:b w:val="0"/>
          <w:bCs w:val="0"/>
          <w:lang w:val="en-US"/>
        </w:rPr>
        <w:t xml:space="preserve">SFDR should focus on product-level disclosure and remove </w:t>
      </w:r>
      <w:r w:rsidR="00220643" w:rsidRPr="00796E46">
        <w:rPr>
          <w:rStyle w:val="Strong"/>
          <w:rFonts w:asciiTheme="majorHAnsi" w:hAnsiTheme="majorHAnsi"/>
          <w:b w:val="0"/>
          <w:bCs w:val="0"/>
          <w:lang w:val="en-US"/>
        </w:rPr>
        <w:t xml:space="preserve">the current </w:t>
      </w:r>
      <w:r w:rsidR="009C750C" w:rsidRPr="00796E46">
        <w:rPr>
          <w:rStyle w:val="Strong"/>
          <w:rFonts w:asciiTheme="majorHAnsi" w:hAnsiTheme="majorHAnsi"/>
          <w:b w:val="0"/>
          <w:bCs w:val="0"/>
          <w:lang w:val="en-US"/>
        </w:rPr>
        <w:t xml:space="preserve">entity-level disclosure requirements. </w:t>
      </w:r>
      <w:r w:rsidRPr="00796E46">
        <w:rPr>
          <w:rStyle w:val="Strong"/>
          <w:rFonts w:asciiTheme="majorHAnsi" w:hAnsiTheme="majorHAnsi"/>
          <w:b w:val="0"/>
          <w:bCs w:val="0"/>
          <w:lang w:val="en-US"/>
        </w:rPr>
        <w:t xml:space="preserve">Indeed, much </w:t>
      </w:r>
      <w:r w:rsidR="009C750C" w:rsidRPr="00796E46">
        <w:rPr>
          <w:rStyle w:val="Strong"/>
          <w:rFonts w:asciiTheme="majorHAnsi" w:hAnsiTheme="majorHAnsi"/>
          <w:b w:val="0"/>
          <w:bCs w:val="0"/>
          <w:lang w:val="en-US"/>
        </w:rPr>
        <w:t xml:space="preserve">of the SFDR entity-level information </w:t>
      </w:r>
      <w:proofErr w:type="gramStart"/>
      <w:r w:rsidR="009C750C" w:rsidRPr="00796E46">
        <w:rPr>
          <w:rStyle w:val="Strong"/>
          <w:rFonts w:asciiTheme="majorHAnsi" w:hAnsiTheme="majorHAnsi"/>
          <w:b w:val="0"/>
          <w:bCs w:val="0"/>
          <w:lang w:val="en-US"/>
        </w:rPr>
        <w:t>has to</w:t>
      </w:r>
      <w:proofErr w:type="gramEnd"/>
      <w:r w:rsidR="009C750C" w:rsidRPr="00796E46">
        <w:rPr>
          <w:rStyle w:val="Strong"/>
          <w:rFonts w:asciiTheme="majorHAnsi" w:hAnsiTheme="majorHAnsi"/>
          <w:b w:val="0"/>
          <w:bCs w:val="0"/>
          <w:lang w:val="en-US"/>
        </w:rPr>
        <w:t xml:space="preserve"> be disclosed by Financial Market Participants through other regulatory requirements, with CSRD requiring all large companies and all listed companies to disclose information on what they see as the risks and opportunities arising from social and environmental issues and the Capital Requirements Regulation requiring banks to incorporate ESG risks in their risk</w:t>
      </w:r>
      <w:r w:rsidR="00F87A27" w:rsidRPr="00796E46">
        <w:rPr>
          <w:rStyle w:val="Strong"/>
          <w:rFonts w:asciiTheme="majorHAnsi" w:hAnsiTheme="majorHAnsi"/>
          <w:b w:val="0"/>
          <w:bCs w:val="0"/>
          <w:lang w:val="en-US"/>
        </w:rPr>
        <w:t xml:space="preserve"> management framework</w:t>
      </w:r>
      <w:r w:rsidR="009C750C" w:rsidRPr="00796E46">
        <w:rPr>
          <w:rStyle w:val="Strong"/>
          <w:rFonts w:asciiTheme="majorHAnsi" w:hAnsiTheme="majorHAnsi"/>
          <w:b w:val="0"/>
          <w:bCs w:val="0"/>
          <w:lang w:val="en-US"/>
        </w:rPr>
        <w:t xml:space="preserve"> and stress testing. </w:t>
      </w:r>
    </w:p>
    <w:p w14:paraId="0CDAC29A" w14:textId="71B0FBF2" w:rsidR="009C750C" w:rsidRPr="00796E46" w:rsidRDefault="000B769B" w:rsidP="009C750C">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If </w:t>
      </w:r>
      <w:r w:rsidR="009C750C" w:rsidRPr="00796E46">
        <w:rPr>
          <w:rStyle w:val="Strong"/>
          <w:rFonts w:asciiTheme="majorHAnsi" w:hAnsiTheme="majorHAnsi"/>
          <w:b w:val="0"/>
          <w:bCs w:val="0"/>
          <w:lang w:val="en-US"/>
        </w:rPr>
        <w:t xml:space="preserve">SFDR </w:t>
      </w:r>
      <w:r w:rsidRPr="00796E46">
        <w:rPr>
          <w:rStyle w:val="Strong"/>
          <w:rFonts w:asciiTheme="majorHAnsi" w:hAnsiTheme="majorHAnsi"/>
          <w:b w:val="0"/>
          <w:bCs w:val="0"/>
          <w:lang w:val="en-US"/>
        </w:rPr>
        <w:t xml:space="preserve">would </w:t>
      </w:r>
      <w:r w:rsidR="009C750C" w:rsidRPr="00796E46">
        <w:rPr>
          <w:rStyle w:val="Strong"/>
          <w:rFonts w:asciiTheme="majorHAnsi" w:hAnsiTheme="majorHAnsi"/>
          <w:b w:val="0"/>
          <w:bCs w:val="0"/>
          <w:lang w:val="en-US"/>
        </w:rPr>
        <w:t>solely focus on product-level disclosures</w:t>
      </w:r>
      <w:r w:rsidRPr="00796E46">
        <w:rPr>
          <w:rStyle w:val="Strong"/>
          <w:rFonts w:asciiTheme="majorHAnsi" w:hAnsiTheme="majorHAnsi"/>
          <w:b w:val="0"/>
          <w:bCs w:val="0"/>
          <w:lang w:val="en-US"/>
        </w:rPr>
        <w:t xml:space="preserve">, it would avoid overlaps and potential inconsistencies between the different pieces of the sustainability regulatory framework and ensure that regulatory obligations are proportional to meet investors’ needs. </w:t>
      </w:r>
      <w:r w:rsidR="009C750C" w:rsidRPr="00796E46">
        <w:rPr>
          <w:rStyle w:val="Strong"/>
          <w:rFonts w:asciiTheme="majorHAnsi" w:hAnsiTheme="majorHAnsi"/>
          <w:b w:val="0"/>
          <w:bCs w:val="0"/>
          <w:lang w:val="en-US"/>
        </w:rPr>
        <w:t>In turn, this cost-saving would enable Financial Market Participants to focus on enhancing their product-level disclosures.</w:t>
      </w:r>
    </w:p>
    <w:p w14:paraId="6C6B4201" w14:textId="02FE47B3" w:rsidR="00B82041" w:rsidRPr="00796E46" w:rsidRDefault="009C750C" w:rsidP="00CE538A">
      <w:pPr>
        <w:jc w:val="both"/>
        <w:rPr>
          <w:rFonts w:asciiTheme="majorHAnsi" w:hAnsiTheme="majorHAnsi"/>
          <w:lang w:val="en-US"/>
        </w:rPr>
      </w:pPr>
      <w:r w:rsidRPr="00796E46">
        <w:rPr>
          <w:rStyle w:val="Strong"/>
          <w:rFonts w:asciiTheme="majorHAnsi" w:hAnsiTheme="majorHAnsi"/>
          <w:b w:val="0"/>
          <w:bCs w:val="0"/>
          <w:lang w:val="en-US"/>
        </w:rPr>
        <w:t xml:space="preserve">This is especially true for the Principal Adverse </w:t>
      </w:r>
      <w:r w:rsidR="00B82041" w:rsidRPr="00796E46">
        <w:rPr>
          <w:rStyle w:val="Strong"/>
          <w:rFonts w:asciiTheme="majorHAnsi" w:hAnsiTheme="majorHAnsi"/>
          <w:b w:val="0"/>
          <w:bCs w:val="0"/>
          <w:lang w:val="en-US"/>
        </w:rPr>
        <w:t>Impact</w:t>
      </w:r>
      <w:r w:rsidRPr="00796E46">
        <w:rPr>
          <w:rStyle w:val="Strong"/>
          <w:rFonts w:asciiTheme="majorHAnsi" w:hAnsiTheme="majorHAnsi"/>
          <w:b w:val="0"/>
          <w:bCs w:val="0"/>
          <w:lang w:val="en-US"/>
        </w:rPr>
        <w:t xml:space="preserve"> </w:t>
      </w:r>
      <w:r w:rsidR="007F1A90" w:rsidRPr="00796E46">
        <w:rPr>
          <w:rStyle w:val="Strong"/>
          <w:rFonts w:asciiTheme="majorHAnsi" w:hAnsiTheme="majorHAnsi"/>
          <w:b w:val="0"/>
          <w:bCs w:val="0"/>
          <w:lang w:val="en-US"/>
        </w:rPr>
        <w:t xml:space="preserve">(PAI) </w:t>
      </w:r>
      <w:r w:rsidRPr="00796E46">
        <w:rPr>
          <w:rStyle w:val="Strong"/>
          <w:rFonts w:asciiTheme="majorHAnsi" w:hAnsiTheme="majorHAnsi"/>
          <w:b w:val="0"/>
          <w:bCs w:val="0"/>
          <w:lang w:val="en-US"/>
        </w:rPr>
        <w:t xml:space="preserve">statement: while disclosure of </w:t>
      </w:r>
      <w:r w:rsidR="007F1A90" w:rsidRPr="00796E46">
        <w:rPr>
          <w:rStyle w:val="Strong"/>
          <w:rFonts w:asciiTheme="majorHAnsi" w:hAnsiTheme="majorHAnsi"/>
          <w:b w:val="0"/>
          <w:bCs w:val="0"/>
          <w:lang w:val="en-US"/>
        </w:rPr>
        <w:t>PAI</w:t>
      </w:r>
      <w:r w:rsidR="00B82041" w:rsidRPr="00796E46">
        <w:rPr>
          <w:rStyle w:val="Strong"/>
          <w:rFonts w:asciiTheme="majorHAnsi" w:hAnsiTheme="majorHAnsi"/>
          <w:b w:val="0"/>
          <w:bCs w:val="0"/>
          <w:lang w:val="en-US"/>
        </w:rPr>
        <w:t>s</w:t>
      </w:r>
      <w:r w:rsidRPr="00796E46">
        <w:rPr>
          <w:rStyle w:val="Strong"/>
          <w:rFonts w:asciiTheme="majorHAnsi" w:hAnsiTheme="majorHAnsi"/>
          <w:b w:val="0"/>
          <w:bCs w:val="0"/>
          <w:lang w:val="en-US"/>
        </w:rPr>
        <w:t xml:space="preserve"> is very relevant at the product level and can help investors (including retail ones) in making their investment decision, entities can have different investment strategies and aggregating results at the entity level can be misleading, which goes against the purpose of SFDR. </w:t>
      </w:r>
      <w:r w:rsidR="0002440D" w:rsidRPr="00796E46">
        <w:rPr>
          <w:rFonts w:asciiTheme="majorHAnsi" w:hAnsiTheme="majorHAnsi"/>
          <w:lang w:val="en-US"/>
        </w:rPr>
        <w:t>Current PAI statements are exceeding 20-pages long</w:t>
      </w:r>
      <w:r w:rsidR="00CE538A" w:rsidRPr="00796E46">
        <w:rPr>
          <w:rFonts w:asciiTheme="majorHAnsi" w:hAnsiTheme="majorHAnsi"/>
          <w:lang w:val="en-US"/>
        </w:rPr>
        <w:t xml:space="preserve">, not user friendly nor useful for investors, and allow room for misinterpretations. </w:t>
      </w:r>
    </w:p>
    <w:p w14:paraId="12A192EF" w14:textId="3E79A8C4" w:rsidR="009C750C" w:rsidRPr="00796E46" w:rsidRDefault="00B82041"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The entity disclosures should thus be removed from the SFDR and entities that are in scope of CSRD would make disclosures according to </w:t>
      </w:r>
      <w:r w:rsidR="000B2E13" w:rsidRPr="00796E46">
        <w:rPr>
          <w:rStyle w:val="Strong"/>
          <w:rFonts w:asciiTheme="majorHAnsi" w:hAnsiTheme="majorHAnsi"/>
          <w:lang w:val="en-US"/>
        </w:rPr>
        <w:t>European Sustainability Reporting Standards</w:t>
      </w:r>
      <w:r w:rsidR="00C876EA" w:rsidRPr="00796E46">
        <w:rPr>
          <w:rStyle w:val="Strong"/>
          <w:rFonts w:asciiTheme="majorHAnsi" w:hAnsiTheme="majorHAnsi"/>
          <w:b w:val="0"/>
          <w:bCs w:val="0"/>
          <w:lang w:val="en-US"/>
        </w:rPr>
        <w:t xml:space="preserve"> (ESRS)</w:t>
      </w:r>
      <w:r w:rsidRPr="00796E46">
        <w:rPr>
          <w:rStyle w:val="Strong"/>
          <w:rFonts w:asciiTheme="majorHAnsi" w:hAnsiTheme="majorHAnsi"/>
          <w:b w:val="0"/>
          <w:bCs w:val="0"/>
          <w:lang w:val="en-US"/>
        </w:rPr>
        <w:t xml:space="preserve"> requirements.</w:t>
      </w:r>
    </w:p>
    <w:p w14:paraId="5B8E90D9" w14:textId="0EE9D376" w:rsidR="009C750C" w:rsidRPr="00796E46" w:rsidRDefault="000760BD" w:rsidP="009C750C">
      <w:pPr>
        <w:pStyle w:val="Subtitle"/>
        <w:jc w:val="both"/>
        <w:rPr>
          <w:rStyle w:val="Strong"/>
          <w:rFonts w:asciiTheme="majorHAnsi" w:hAnsiTheme="majorHAnsi"/>
          <w:b w:val="0"/>
          <w:bCs w:val="0"/>
          <w:lang w:val="en-US"/>
        </w:rPr>
      </w:pPr>
      <w:r w:rsidRPr="00796E46">
        <w:rPr>
          <w:rStyle w:val="Strong"/>
          <w:rFonts w:asciiTheme="majorHAnsi" w:hAnsiTheme="majorHAnsi"/>
          <w:b w:val="0"/>
          <w:bCs w:val="0"/>
          <w:lang w:val="en-US"/>
        </w:rPr>
        <w:t>Q</w:t>
      </w:r>
      <w:r w:rsidR="009C750C" w:rsidRPr="00796E46">
        <w:rPr>
          <w:rStyle w:val="Strong"/>
          <w:rFonts w:asciiTheme="majorHAnsi" w:hAnsiTheme="majorHAnsi"/>
          <w:b w:val="0"/>
          <w:bCs w:val="0"/>
          <w:lang w:val="en-US"/>
        </w:rPr>
        <w:t>uestions</w:t>
      </w:r>
      <w:r w:rsidRPr="00796E46">
        <w:rPr>
          <w:rStyle w:val="Strong"/>
          <w:rFonts w:asciiTheme="majorHAnsi" w:hAnsiTheme="majorHAnsi"/>
          <w:b w:val="0"/>
          <w:bCs w:val="0"/>
          <w:lang w:val="en-US"/>
        </w:rPr>
        <w:t xml:space="preserve"> where this key message can be pasted: </w:t>
      </w:r>
    </w:p>
    <w:p w14:paraId="4DE767A5" w14:textId="77777777" w:rsidR="00A93C15" w:rsidRPr="00796E46" w:rsidRDefault="00A93C15" w:rsidP="00A93C15">
      <w:pPr>
        <w:jc w:val="both"/>
        <w:rPr>
          <w:rFonts w:asciiTheme="majorHAnsi" w:hAnsiTheme="majorHAnsi"/>
          <w:lang w:val="en-US"/>
        </w:rPr>
      </w:pPr>
      <w:r w:rsidRPr="00796E46">
        <w:rPr>
          <w:rFonts w:asciiTheme="majorHAnsi" w:hAnsiTheme="majorHAnsi"/>
          <w:lang w:val="en-US"/>
        </w:rPr>
        <w:t>Box below 1.8 / 1.8.1 and 1.9: Disclosures of PAIs</w:t>
      </w:r>
    </w:p>
    <w:p w14:paraId="499E309D" w14:textId="5998CC5D" w:rsidR="009C750C" w:rsidRPr="00796E46" w:rsidRDefault="009C750C" w:rsidP="009C750C">
      <w:pPr>
        <w:jc w:val="both"/>
        <w:rPr>
          <w:rFonts w:asciiTheme="majorHAnsi" w:hAnsiTheme="majorHAnsi"/>
          <w:lang w:val="en-US"/>
        </w:rPr>
      </w:pPr>
      <w:r w:rsidRPr="00796E46">
        <w:rPr>
          <w:rStyle w:val="Strong"/>
          <w:rFonts w:asciiTheme="majorHAnsi" w:hAnsiTheme="majorHAnsi"/>
          <w:b w:val="0"/>
          <w:bCs w:val="0"/>
          <w:lang w:val="en-US"/>
        </w:rPr>
        <w:t xml:space="preserve">3.1 : </w:t>
      </w:r>
      <w:r w:rsidRPr="00796E46">
        <w:rPr>
          <w:rFonts w:asciiTheme="majorHAnsi" w:hAnsiTheme="majorHAnsi"/>
          <w:lang w:val="en-US"/>
        </w:rPr>
        <w:t>Entity Level Disclosures</w:t>
      </w:r>
      <w:r w:rsidR="002946E2" w:rsidRPr="00796E46">
        <w:rPr>
          <w:rFonts w:asciiTheme="majorHAnsi" w:hAnsiTheme="majorHAnsi"/>
          <w:lang w:val="en-US"/>
        </w:rPr>
        <w:t xml:space="preserve"> (box at the end of the section)</w:t>
      </w:r>
    </w:p>
    <w:p w14:paraId="63F085F4" w14:textId="265DAAC5" w:rsidR="004F4E14" w:rsidRPr="00796E46" w:rsidRDefault="00DB0608" w:rsidP="00DB0608">
      <w:pPr>
        <w:jc w:val="both"/>
        <w:rPr>
          <w:rStyle w:val="Strong"/>
          <w:rFonts w:asciiTheme="majorHAnsi" w:hAnsiTheme="majorHAnsi"/>
          <w:b w:val="0"/>
          <w:bCs w:val="0"/>
          <w:lang w:val="en-US"/>
        </w:rPr>
      </w:pPr>
      <w:r w:rsidRPr="00796E46">
        <w:rPr>
          <w:rFonts w:asciiTheme="majorHAnsi" w:hAnsiTheme="majorHAnsi"/>
          <w:lang w:val="en-US"/>
        </w:rPr>
        <w:t>3.2.8: Do you believe that sustainability related disclosure requirements at product level should be independent from any entity level disclosure requirements, (i.e. product disclosures should not be conditional on entity disclosures, and vice-versa)?</w:t>
      </w:r>
    </w:p>
    <w:p w14:paraId="17FB2FCE" w14:textId="77777777" w:rsidR="00DB0608" w:rsidRPr="00796E46" w:rsidRDefault="00DB0608" w:rsidP="00E57EB3">
      <w:pPr>
        <w:jc w:val="both"/>
        <w:rPr>
          <w:rFonts w:asciiTheme="majorHAnsi" w:hAnsiTheme="majorHAnsi"/>
          <w:lang w:val="en-US"/>
        </w:rPr>
      </w:pPr>
    </w:p>
    <w:p w14:paraId="212AAB72" w14:textId="443FDCA3" w:rsidR="002B2367" w:rsidRPr="00796E46" w:rsidRDefault="00412327" w:rsidP="00412327">
      <w:pPr>
        <w:pStyle w:val="Heading2"/>
        <w:ind w:left="720"/>
        <w:rPr>
          <w:rStyle w:val="Strong"/>
          <w:b w:val="0"/>
          <w:bCs w:val="0"/>
          <w:lang w:val="en-US"/>
        </w:rPr>
      </w:pPr>
      <w:bookmarkStart w:id="4" w:name="_Toc152770341"/>
      <w:r w:rsidRPr="00796E46">
        <w:rPr>
          <w:rStyle w:val="Strong"/>
          <w:b w:val="0"/>
          <w:bCs w:val="0"/>
          <w:lang w:val="en-US"/>
        </w:rPr>
        <w:lastRenderedPageBreak/>
        <w:t xml:space="preserve">1.2 </w:t>
      </w:r>
      <w:r w:rsidR="00FB5B89" w:rsidRPr="00796E46">
        <w:rPr>
          <w:rStyle w:val="Strong"/>
          <w:b w:val="0"/>
          <w:bCs w:val="0"/>
          <w:lang w:val="en-US"/>
        </w:rPr>
        <w:t>H</w:t>
      </w:r>
      <w:r w:rsidR="002B2367" w:rsidRPr="00796E46">
        <w:rPr>
          <w:rStyle w:val="Strong"/>
          <w:b w:val="0"/>
          <w:bCs w:val="0"/>
          <w:lang w:val="en-US"/>
        </w:rPr>
        <w:t xml:space="preserve">armonization </w:t>
      </w:r>
      <w:r w:rsidR="00FB5B89" w:rsidRPr="00796E46">
        <w:rPr>
          <w:rStyle w:val="Strong"/>
          <w:b w:val="0"/>
          <w:bCs w:val="0"/>
          <w:lang w:val="en-US"/>
        </w:rPr>
        <w:t>of concepts</w:t>
      </w:r>
      <w:r w:rsidR="005C536A" w:rsidRPr="00796E46">
        <w:rPr>
          <w:rStyle w:val="Strong"/>
          <w:b w:val="0"/>
          <w:bCs w:val="0"/>
          <w:lang w:val="en-US"/>
        </w:rPr>
        <w:t xml:space="preserve"> </w:t>
      </w:r>
      <w:r w:rsidR="006F3275" w:rsidRPr="00796E46">
        <w:rPr>
          <w:rStyle w:val="Strong"/>
          <w:b w:val="0"/>
          <w:bCs w:val="0"/>
          <w:lang w:val="en-US"/>
        </w:rPr>
        <w:t>and approaches</w:t>
      </w:r>
      <w:r w:rsidR="002B2367" w:rsidRPr="00796E46">
        <w:rPr>
          <w:rStyle w:val="Strong"/>
          <w:b w:val="0"/>
          <w:bCs w:val="0"/>
          <w:lang w:val="en-US"/>
        </w:rPr>
        <w:t>.</w:t>
      </w:r>
      <w:bookmarkEnd w:id="4"/>
    </w:p>
    <w:p w14:paraId="714DCD50" w14:textId="184B4AF7" w:rsidR="007E040A" w:rsidRPr="00796E46" w:rsidRDefault="007E040A" w:rsidP="00AB05E0">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We agree fully with the goals of fostering more sustainable environmental and economic development. However, to be most effective, all regulatory efforts towards this goal (SFDR for financial services, the EU Taxonomy for </w:t>
      </w:r>
      <w:r w:rsidR="007A6D30" w:rsidRPr="00796E46">
        <w:rPr>
          <w:rStyle w:val="Strong"/>
          <w:rFonts w:asciiTheme="majorHAnsi" w:hAnsiTheme="majorHAnsi"/>
          <w:b w:val="0"/>
          <w:bCs w:val="0"/>
          <w:lang w:val="en-US"/>
        </w:rPr>
        <w:t>s</w:t>
      </w:r>
      <w:r w:rsidRPr="00796E46">
        <w:rPr>
          <w:rStyle w:val="Strong"/>
          <w:rFonts w:asciiTheme="majorHAnsi" w:hAnsiTheme="majorHAnsi"/>
          <w:b w:val="0"/>
          <w:bCs w:val="0"/>
          <w:lang w:val="en-US"/>
        </w:rPr>
        <w:t xml:space="preserve">ustainable </w:t>
      </w:r>
      <w:r w:rsidR="007A6D30" w:rsidRPr="00796E46">
        <w:rPr>
          <w:rStyle w:val="Strong"/>
          <w:rFonts w:asciiTheme="majorHAnsi" w:hAnsiTheme="majorHAnsi"/>
          <w:b w:val="0"/>
          <w:bCs w:val="0"/>
          <w:lang w:val="en-US"/>
        </w:rPr>
        <w:t>a</w:t>
      </w:r>
      <w:r w:rsidRPr="00796E46">
        <w:rPr>
          <w:rStyle w:val="Strong"/>
          <w:rFonts w:asciiTheme="majorHAnsi" w:hAnsiTheme="majorHAnsi"/>
          <w:b w:val="0"/>
          <w:bCs w:val="0"/>
          <w:lang w:val="en-US"/>
        </w:rPr>
        <w:t>ctivities, CSDR and the future CSDD</w:t>
      </w:r>
      <w:r w:rsidR="007A6D30" w:rsidRPr="00796E46">
        <w:rPr>
          <w:rStyle w:val="Strong"/>
          <w:rFonts w:asciiTheme="majorHAnsi" w:hAnsiTheme="majorHAnsi"/>
          <w:b w:val="0"/>
          <w:bCs w:val="0"/>
          <w:lang w:val="en-US"/>
        </w:rPr>
        <w:t>D</w:t>
      </w:r>
      <w:r w:rsidRPr="00796E46">
        <w:rPr>
          <w:rStyle w:val="Strong"/>
          <w:rFonts w:asciiTheme="majorHAnsi" w:hAnsiTheme="majorHAnsi"/>
          <w:b w:val="0"/>
          <w:bCs w:val="0"/>
          <w:lang w:val="en-US"/>
        </w:rPr>
        <w:t xml:space="preserve"> for Corporates) should be fully aligned, avoid overlaps, and use identical definitions for </w:t>
      </w:r>
      <w:r w:rsidR="00D01D01" w:rsidRPr="00796E46">
        <w:rPr>
          <w:rStyle w:val="Strong"/>
          <w:rFonts w:asciiTheme="majorHAnsi" w:hAnsiTheme="majorHAnsi"/>
          <w:b w:val="0"/>
          <w:bCs w:val="0"/>
          <w:lang w:val="en-US"/>
        </w:rPr>
        <w:t xml:space="preserve">common </w:t>
      </w:r>
      <w:r w:rsidRPr="00796E46">
        <w:rPr>
          <w:rStyle w:val="Strong"/>
          <w:rFonts w:asciiTheme="majorHAnsi" w:hAnsiTheme="majorHAnsi"/>
          <w:b w:val="0"/>
          <w:bCs w:val="0"/>
          <w:lang w:val="en-US"/>
        </w:rPr>
        <w:t>key concepts</w:t>
      </w:r>
      <w:r w:rsidR="00C14076" w:rsidRPr="00796E46">
        <w:rPr>
          <w:rStyle w:val="Strong"/>
          <w:rFonts w:asciiTheme="majorHAnsi" w:hAnsiTheme="majorHAnsi"/>
          <w:b w:val="0"/>
          <w:bCs w:val="0"/>
          <w:lang w:val="en-US"/>
        </w:rPr>
        <w:t xml:space="preserve">. We suggest this </w:t>
      </w:r>
      <w:r w:rsidR="006860AE" w:rsidRPr="00796E46">
        <w:rPr>
          <w:rStyle w:val="Strong"/>
          <w:rFonts w:asciiTheme="majorHAnsi" w:hAnsiTheme="majorHAnsi"/>
          <w:b w:val="0"/>
          <w:bCs w:val="0"/>
          <w:lang w:val="en-US"/>
        </w:rPr>
        <w:t>requires</w:t>
      </w:r>
      <w:r w:rsidR="00C14076" w:rsidRPr="00796E46">
        <w:rPr>
          <w:rStyle w:val="Strong"/>
          <w:rFonts w:asciiTheme="majorHAnsi" w:hAnsiTheme="majorHAnsi"/>
          <w:b w:val="0"/>
          <w:bCs w:val="0"/>
          <w:lang w:val="en-US"/>
        </w:rPr>
        <w:t xml:space="preserve"> to</w:t>
      </w:r>
      <w:r w:rsidR="005C04D3" w:rsidRPr="00796E46">
        <w:rPr>
          <w:rStyle w:val="Strong"/>
          <w:rFonts w:asciiTheme="majorHAnsi" w:hAnsiTheme="majorHAnsi"/>
          <w:b w:val="0"/>
          <w:bCs w:val="0"/>
          <w:lang w:val="en-US"/>
        </w:rPr>
        <w:t xml:space="preserve">: </w:t>
      </w:r>
    </w:p>
    <w:p w14:paraId="035D8972" w14:textId="6CB2EE15" w:rsidR="001844C2" w:rsidRPr="00796E46" w:rsidRDefault="007C6DDC" w:rsidP="007E040A">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C</w:t>
      </w:r>
      <w:r w:rsidR="001844C2" w:rsidRPr="00796E46">
        <w:rPr>
          <w:rStyle w:val="Strong"/>
          <w:rFonts w:asciiTheme="majorHAnsi" w:hAnsiTheme="majorHAnsi"/>
          <w:b w:val="0"/>
          <w:bCs w:val="0"/>
          <w:lang w:val="en-US"/>
        </w:rPr>
        <w:t xml:space="preserve">larify the current overlap between SFDR’s </w:t>
      </w:r>
      <w:r w:rsidRPr="00796E46">
        <w:rPr>
          <w:rStyle w:val="Strong"/>
          <w:rFonts w:asciiTheme="majorHAnsi" w:hAnsiTheme="majorHAnsi"/>
          <w:b w:val="0"/>
          <w:bCs w:val="0"/>
          <w:lang w:val="en-US"/>
        </w:rPr>
        <w:t>Do No Significant Harm</w:t>
      </w:r>
      <w:r w:rsidR="00C14076" w:rsidRPr="00796E46">
        <w:rPr>
          <w:rStyle w:val="Strong"/>
          <w:rFonts w:asciiTheme="majorHAnsi" w:hAnsiTheme="majorHAnsi"/>
          <w:b w:val="0"/>
          <w:bCs w:val="0"/>
          <w:lang w:val="en-US"/>
        </w:rPr>
        <w:t xml:space="preserve"> (“DNSH”)</w:t>
      </w:r>
      <w:r w:rsidRPr="00796E46">
        <w:rPr>
          <w:rStyle w:val="Strong"/>
          <w:rFonts w:asciiTheme="majorHAnsi" w:hAnsiTheme="majorHAnsi"/>
          <w:b w:val="0"/>
          <w:bCs w:val="0"/>
          <w:lang w:val="en-US"/>
        </w:rPr>
        <w:t xml:space="preserve"> and Good Governance </w:t>
      </w:r>
      <w:r w:rsidR="00C14076" w:rsidRPr="00796E46">
        <w:rPr>
          <w:rStyle w:val="Strong"/>
          <w:rFonts w:asciiTheme="majorHAnsi" w:hAnsiTheme="majorHAnsi"/>
          <w:b w:val="0"/>
          <w:bCs w:val="0"/>
          <w:lang w:val="en-US"/>
        </w:rPr>
        <w:t xml:space="preserve">requirements </w:t>
      </w:r>
      <w:r w:rsidR="001844C2" w:rsidRPr="00796E46">
        <w:rPr>
          <w:rStyle w:val="Strong"/>
          <w:rFonts w:asciiTheme="majorHAnsi" w:hAnsiTheme="majorHAnsi"/>
          <w:b w:val="0"/>
          <w:bCs w:val="0"/>
          <w:lang w:val="en-US"/>
        </w:rPr>
        <w:t xml:space="preserve">and </w:t>
      </w:r>
      <w:r w:rsidRPr="00796E46">
        <w:rPr>
          <w:rStyle w:val="Strong"/>
          <w:rFonts w:asciiTheme="majorHAnsi" w:hAnsiTheme="majorHAnsi"/>
          <w:b w:val="0"/>
          <w:bCs w:val="0"/>
          <w:lang w:val="en-US"/>
        </w:rPr>
        <w:t xml:space="preserve">the EU </w:t>
      </w:r>
      <w:r w:rsidR="001844C2" w:rsidRPr="00796E46">
        <w:rPr>
          <w:rStyle w:val="Strong"/>
          <w:rFonts w:asciiTheme="majorHAnsi" w:hAnsiTheme="majorHAnsi"/>
          <w:b w:val="0"/>
          <w:bCs w:val="0"/>
          <w:lang w:val="en-US"/>
        </w:rPr>
        <w:t xml:space="preserve">Taxonomy’s </w:t>
      </w:r>
      <w:r w:rsidRPr="00796E46">
        <w:rPr>
          <w:rStyle w:val="Strong"/>
          <w:rFonts w:asciiTheme="majorHAnsi" w:hAnsiTheme="majorHAnsi"/>
          <w:b w:val="0"/>
          <w:bCs w:val="0"/>
          <w:lang w:val="en-US"/>
        </w:rPr>
        <w:t>M</w:t>
      </w:r>
      <w:r w:rsidR="001844C2" w:rsidRPr="00796E46">
        <w:rPr>
          <w:rStyle w:val="Strong"/>
          <w:rFonts w:asciiTheme="majorHAnsi" w:hAnsiTheme="majorHAnsi"/>
          <w:b w:val="0"/>
          <w:bCs w:val="0"/>
          <w:lang w:val="en-US"/>
        </w:rPr>
        <w:t xml:space="preserve">inimum </w:t>
      </w:r>
      <w:r w:rsidRPr="00796E46">
        <w:rPr>
          <w:rStyle w:val="Strong"/>
          <w:rFonts w:asciiTheme="majorHAnsi" w:hAnsiTheme="majorHAnsi"/>
          <w:b w:val="0"/>
          <w:bCs w:val="0"/>
          <w:lang w:val="en-US"/>
        </w:rPr>
        <w:t>S</w:t>
      </w:r>
      <w:r w:rsidR="001844C2" w:rsidRPr="00796E46">
        <w:rPr>
          <w:rStyle w:val="Strong"/>
          <w:rFonts w:asciiTheme="majorHAnsi" w:hAnsiTheme="majorHAnsi"/>
          <w:b w:val="0"/>
          <w:bCs w:val="0"/>
          <w:lang w:val="en-US"/>
        </w:rPr>
        <w:t>afeguards</w:t>
      </w:r>
      <w:r w:rsidRPr="00796E46">
        <w:rPr>
          <w:rStyle w:val="Strong"/>
          <w:rFonts w:asciiTheme="majorHAnsi" w:hAnsiTheme="majorHAnsi"/>
          <w:b w:val="0"/>
          <w:bCs w:val="0"/>
          <w:lang w:val="en-US"/>
        </w:rPr>
        <w:t xml:space="preserve"> </w:t>
      </w:r>
      <w:r w:rsidR="001844C2" w:rsidRPr="00796E46">
        <w:rPr>
          <w:rStyle w:val="Strong"/>
          <w:rFonts w:asciiTheme="majorHAnsi" w:hAnsiTheme="majorHAnsi"/>
          <w:b w:val="0"/>
          <w:bCs w:val="0"/>
          <w:lang w:val="en-US"/>
        </w:rPr>
        <w:t>concepts</w:t>
      </w:r>
      <w:r w:rsidRPr="00796E46">
        <w:rPr>
          <w:rStyle w:val="Strong"/>
          <w:rFonts w:asciiTheme="majorHAnsi" w:hAnsiTheme="majorHAnsi"/>
          <w:b w:val="0"/>
          <w:bCs w:val="0"/>
          <w:lang w:val="en-US"/>
        </w:rPr>
        <w:t xml:space="preserve">. </w:t>
      </w:r>
      <w:r w:rsidR="007E040A" w:rsidRPr="00796E46">
        <w:rPr>
          <w:rStyle w:val="Strong"/>
          <w:rFonts w:asciiTheme="majorHAnsi" w:hAnsiTheme="majorHAnsi"/>
          <w:b w:val="0"/>
          <w:bCs w:val="0"/>
          <w:lang w:val="en-US"/>
        </w:rPr>
        <w:t>Currently</w:t>
      </w:r>
      <w:r w:rsidR="001844C2" w:rsidRPr="00796E46">
        <w:rPr>
          <w:rStyle w:val="Strong"/>
          <w:rFonts w:asciiTheme="majorHAnsi" w:hAnsiTheme="majorHAnsi"/>
          <w:b w:val="0"/>
          <w:bCs w:val="0"/>
          <w:lang w:val="en-US"/>
        </w:rPr>
        <w:t xml:space="preserve">, the SFDR </w:t>
      </w:r>
      <w:r w:rsidR="00C14076" w:rsidRPr="00796E46">
        <w:rPr>
          <w:rStyle w:val="Strong"/>
          <w:rFonts w:asciiTheme="majorHAnsi" w:hAnsiTheme="majorHAnsi"/>
          <w:b w:val="0"/>
          <w:bCs w:val="0"/>
          <w:lang w:val="en-US"/>
        </w:rPr>
        <w:t>D</w:t>
      </w:r>
      <w:r w:rsidR="001844C2" w:rsidRPr="00796E46">
        <w:rPr>
          <w:rStyle w:val="Strong"/>
          <w:rFonts w:asciiTheme="majorHAnsi" w:hAnsiTheme="majorHAnsi"/>
          <w:b w:val="0"/>
          <w:bCs w:val="0"/>
          <w:lang w:val="en-US"/>
        </w:rPr>
        <w:t xml:space="preserve">elegated </w:t>
      </w:r>
      <w:r w:rsidR="00C14076" w:rsidRPr="00796E46">
        <w:rPr>
          <w:rStyle w:val="Strong"/>
          <w:rFonts w:asciiTheme="majorHAnsi" w:hAnsiTheme="majorHAnsi"/>
          <w:b w:val="0"/>
          <w:bCs w:val="0"/>
          <w:lang w:val="en-US"/>
        </w:rPr>
        <w:t>R</w:t>
      </w:r>
      <w:r w:rsidR="001844C2" w:rsidRPr="00796E46">
        <w:rPr>
          <w:rStyle w:val="Strong"/>
          <w:rFonts w:asciiTheme="majorHAnsi" w:hAnsiTheme="majorHAnsi"/>
          <w:b w:val="0"/>
          <w:bCs w:val="0"/>
          <w:lang w:val="en-US"/>
        </w:rPr>
        <w:t>egulation</w:t>
      </w:r>
      <w:r w:rsidR="00C14076" w:rsidRPr="00796E46">
        <w:rPr>
          <w:rStyle w:val="Strong"/>
          <w:rFonts w:asciiTheme="majorHAnsi" w:hAnsiTheme="majorHAnsi"/>
          <w:b w:val="0"/>
          <w:bCs w:val="0"/>
          <w:lang w:val="en-US"/>
        </w:rPr>
        <w:t xml:space="preserve"> requires</w:t>
      </w:r>
      <w:r w:rsidR="001844C2" w:rsidRPr="00796E46">
        <w:rPr>
          <w:rStyle w:val="Strong"/>
          <w:rFonts w:asciiTheme="majorHAnsi" w:hAnsiTheme="majorHAnsi"/>
          <w:b w:val="0"/>
          <w:bCs w:val="0"/>
          <w:lang w:val="en-US"/>
        </w:rPr>
        <w:t xml:space="preserve"> to disclose minimum safeguards on top of good governance criteria and as part of “DNSH” safeguarding</w:t>
      </w:r>
      <w:r w:rsidR="005C04D3" w:rsidRPr="00796E46">
        <w:rPr>
          <w:rStyle w:val="Strong"/>
          <w:rFonts w:asciiTheme="majorHAnsi" w:hAnsiTheme="majorHAnsi"/>
          <w:b w:val="0"/>
          <w:bCs w:val="0"/>
          <w:lang w:val="en-US"/>
        </w:rPr>
        <w:t xml:space="preserve"> </w:t>
      </w:r>
      <w:r w:rsidR="007E040A" w:rsidRPr="00796E46">
        <w:rPr>
          <w:rStyle w:val="Strong"/>
          <w:rFonts w:asciiTheme="majorHAnsi" w:hAnsiTheme="majorHAnsi"/>
          <w:b w:val="0"/>
          <w:bCs w:val="0"/>
          <w:lang w:val="en-US"/>
        </w:rPr>
        <w:t>(</w:t>
      </w:r>
      <w:r w:rsidR="005C04D3" w:rsidRPr="00796E46">
        <w:rPr>
          <w:rStyle w:val="Strong"/>
          <w:rFonts w:asciiTheme="majorHAnsi" w:hAnsiTheme="majorHAnsi"/>
          <w:b w:val="0"/>
          <w:bCs w:val="0"/>
          <w:lang w:val="en-US"/>
        </w:rPr>
        <w:t>s</w:t>
      </w:r>
      <w:r w:rsidR="00AB05E0" w:rsidRPr="00796E46">
        <w:rPr>
          <w:color w:val="082D60"/>
          <w:lang w:val="en-US"/>
        </w:rPr>
        <w:t xml:space="preserve">ee </w:t>
      </w:r>
      <w:r w:rsidR="005C04D3" w:rsidRPr="00796E46">
        <w:rPr>
          <w:color w:val="082D60"/>
          <w:lang w:val="en-US"/>
        </w:rPr>
        <w:t>a</w:t>
      </w:r>
      <w:r w:rsidR="00AB05E0" w:rsidRPr="00796E46">
        <w:rPr>
          <w:color w:val="082D60"/>
          <w:lang w:val="en-US"/>
        </w:rPr>
        <w:t>rt</w:t>
      </w:r>
      <w:r w:rsidR="005C04D3" w:rsidRPr="00796E46">
        <w:rPr>
          <w:color w:val="082D60"/>
          <w:lang w:val="en-US"/>
        </w:rPr>
        <w:t>.</w:t>
      </w:r>
      <w:r w:rsidR="00AB05E0" w:rsidRPr="00796E46">
        <w:rPr>
          <w:color w:val="082D60"/>
          <w:lang w:val="en-US"/>
        </w:rPr>
        <w:t xml:space="preserve"> </w:t>
      </w:r>
      <w:r w:rsidR="00AB05E0" w:rsidRPr="00796E46">
        <w:rPr>
          <w:lang w:val="en-US"/>
        </w:rPr>
        <w:t>39(b) and 59(e)(ii) of Commission Delegated Regulation (EU) 2022/1288 of 6 April 2022</w:t>
      </w:r>
      <w:r w:rsidR="007E040A" w:rsidRPr="00796E46">
        <w:rPr>
          <w:lang w:val="en-US"/>
        </w:rPr>
        <w:t>)</w:t>
      </w:r>
      <w:r w:rsidR="00AB05E0" w:rsidRPr="00796E46">
        <w:rPr>
          <w:lang w:val="en-US"/>
        </w:rPr>
        <w:t>.</w:t>
      </w:r>
      <w:r w:rsidR="001844C2" w:rsidRPr="00796E46">
        <w:rPr>
          <w:rStyle w:val="Strong"/>
          <w:rFonts w:asciiTheme="majorHAnsi" w:hAnsiTheme="majorHAnsi"/>
          <w:b w:val="0"/>
          <w:bCs w:val="0"/>
          <w:lang w:val="en-US"/>
        </w:rPr>
        <w:t xml:space="preserve"> This overlap between concepts prevents disclosure harmonization and creates legal uncertainty.</w:t>
      </w:r>
      <w:r w:rsidRPr="00796E46">
        <w:rPr>
          <w:rStyle w:val="Strong"/>
          <w:rFonts w:asciiTheme="majorHAnsi" w:hAnsiTheme="majorHAnsi"/>
          <w:b w:val="0"/>
          <w:bCs w:val="0"/>
          <w:lang w:val="en-US"/>
        </w:rPr>
        <w:t xml:space="preserve"> The SFDR should thus avoid all references to minimum safeguard concepts, applicable only within the framework of the Taxonomy Regulation.</w:t>
      </w:r>
      <w:r w:rsidR="00AB05E0" w:rsidRPr="00796E46">
        <w:rPr>
          <w:rStyle w:val="Strong"/>
          <w:rFonts w:asciiTheme="majorHAnsi" w:hAnsiTheme="majorHAnsi"/>
          <w:b w:val="0"/>
          <w:bCs w:val="0"/>
          <w:lang w:val="en-US"/>
        </w:rPr>
        <w:t xml:space="preserve"> This will be legally consistent and ensure sufficient reporting.</w:t>
      </w:r>
    </w:p>
    <w:p w14:paraId="334FDE60" w14:textId="673F80B7" w:rsidR="00430F80" w:rsidRPr="00796E46" w:rsidRDefault="00B4663D" w:rsidP="00430F80">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Ensure full alignment of SFDR and CSRD on metrics used for similar concepts.</w:t>
      </w:r>
      <w:r w:rsidR="00AB05E0" w:rsidRPr="00796E46">
        <w:rPr>
          <w:rStyle w:val="Strong"/>
          <w:rFonts w:asciiTheme="majorHAnsi" w:hAnsiTheme="majorHAnsi"/>
          <w:b w:val="0"/>
          <w:bCs w:val="0"/>
          <w:lang w:val="en-US"/>
        </w:rPr>
        <w:t xml:space="preserve"> </w:t>
      </w:r>
      <w:r w:rsidR="00320C0E" w:rsidRPr="00796E46">
        <w:rPr>
          <w:rStyle w:val="Strong"/>
          <w:rFonts w:asciiTheme="majorHAnsi" w:hAnsiTheme="majorHAnsi"/>
          <w:b w:val="0"/>
          <w:bCs w:val="0"/>
        </w:rPr>
        <w:t>Both SFDR and CSRD recognize the concept of double materiality (i.e. ESG or sustainability risks and their implications for the value of investments or the value of the company, as opposed to the impact of the company</w:t>
      </w:r>
      <w:r w:rsidR="00540DCF" w:rsidRPr="00796E46">
        <w:rPr>
          <w:rStyle w:val="Strong"/>
          <w:rFonts w:asciiTheme="majorHAnsi" w:hAnsiTheme="majorHAnsi"/>
          <w:b w:val="0"/>
          <w:bCs w:val="0"/>
        </w:rPr>
        <w:t xml:space="preserve"> or investee </w:t>
      </w:r>
      <w:r w:rsidR="00320C0E" w:rsidRPr="00796E46">
        <w:rPr>
          <w:rStyle w:val="Strong"/>
          <w:rFonts w:asciiTheme="majorHAnsi" w:hAnsiTheme="majorHAnsi"/>
          <w:b w:val="0"/>
          <w:bCs w:val="0"/>
        </w:rPr>
        <w:t>on ESG or sustainability factors). The double materiality concept translates into sustainability reporting requirements</w:t>
      </w:r>
      <w:r w:rsidR="00430F80" w:rsidRPr="00796E46">
        <w:rPr>
          <w:rStyle w:val="Strong"/>
          <w:rFonts w:asciiTheme="majorHAnsi" w:hAnsiTheme="majorHAnsi"/>
          <w:b w:val="0"/>
          <w:bCs w:val="0"/>
        </w:rPr>
        <w:t>.</w:t>
      </w:r>
      <w:r w:rsidR="000603E8" w:rsidRPr="00796E46">
        <w:rPr>
          <w:rStyle w:val="Strong"/>
          <w:rFonts w:asciiTheme="majorHAnsi" w:hAnsiTheme="majorHAnsi"/>
          <w:b w:val="0"/>
          <w:bCs w:val="0"/>
        </w:rPr>
        <w:t xml:space="preserve"> However, such reporting is made with reference to two different sets of standards:</w:t>
      </w:r>
    </w:p>
    <w:p w14:paraId="1BD653BF" w14:textId="7FE50CAA" w:rsidR="00430F80" w:rsidRPr="00796E46" w:rsidRDefault="00430F80" w:rsidP="00DB0C9E">
      <w:pPr>
        <w:pStyle w:val="ListParagraph"/>
        <w:numPr>
          <w:ilvl w:val="1"/>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SFDR </w:t>
      </w:r>
      <w:r w:rsidR="00C876EA" w:rsidRPr="00796E46">
        <w:rPr>
          <w:rStyle w:val="Strong"/>
          <w:rFonts w:asciiTheme="majorHAnsi" w:hAnsiTheme="majorHAnsi"/>
          <w:b w:val="0"/>
          <w:bCs w:val="0"/>
          <w:lang w:val="en-US"/>
        </w:rPr>
        <w:t xml:space="preserve">(Art.3 and Art.4) </w:t>
      </w:r>
      <w:r w:rsidR="000603E8" w:rsidRPr="00796E46">
        <w:rPr>
          <w:rStyle w:val="Strong"/>
          <w:rFonts w:asciiTheme="majorHAnsi" w:hAnsiTheme="majorHAnsi"/>
          <w:b w:val="0"/>
          <w:bCs w:val="0"/>
          <w:lang w:val="en-US"/>
        </w:rPr>
        <w:t xml:space="preserve">requires </w:t>
      </w:r>
      <w:r w:rsidR="00B53413" w:rsidRPr="00796E46">
        <w:rPr>
          <w:rStyle w:val="Strong"/>
          <w:rFonts w:asciiTheme="majorHAnsi" w:hAnsiTheme="majorHAnsi"/>
          <w:b w:val="0"/>
          <w:bCs w:val="0"/>
          <w:lang w:val="en-US"/>
        </w:rPr>
        <w:t xml:space="preserve">double materiality </w:t>
      </w:r>
      <w:r w:rsidRPr="00796E46">
        <w:rPr>
          <w:rStyle w:val="Strong"/>
          <w:rFonts w:asciiTheme="majorHAnsi" w:hAnsiTheme="majorHAnsi"/>
          <w:b w:val="0"/>
          <w:bCs w:val="0"/>
          <w:lang w:val="en-US"/>
        </w:rPr>
        <w:t>disclosures</w:t>
      </w:r>
      <w:r w:rsidR="000603E8" w:rsidRPr="00796E46">
        <w:rPr>
          <w:rStyle w:val="Strong"/>
          <w:rFonts w:asciiTheme="majorHAnsi" w:hAnsiTheme="majorHAnsi"/>
          <w:b w:val="0"/>
          <w:bCs w:val="0"/>
          <w:lang w:val="en-US"/>
        </w:rPr>
        <w:t xml:space="preserve"> to be made in accordance with the Regulatory Technical Standards (RTS) which establish a single rulebook for sustainability disclosures under the SFDR and the Taxonomy Regulation</w:t>
      </w:r>
      <w:r w:rsidR="00B53413" w:rsidRPr="00796E46">
        <w:rPr>
          <w:rStyle w:val="Strong"/>
          <w:rFonts w:asciiTheme="majorHAnsi" w:hAnsiTheme="majorHAnsi"/>
          <w:b w:val="0"/>
          <w:bCs w:val="0"/>
          <w:lang w:val="en-US"/>
        </w:rPr>
        <w:t>.</w:t>
      </w:r>
    </w:p>
    <w:p w14:paraId="4613FD19" w14:textId="027BABDB" w:rsidR="00C876EA" w:rsidRPr="00796E46" w:rsidRDefault="00C876EA" w:rsidP="000603E8">
      <w:pPr>
        <w:pStyle w:val="ListParagraph"/>
        <w:numPr>
          <w:ilvl w:val="1"/>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CSRD requires double materiality reporting in compliance with the ESRS </w:t>
      </w:r>
      <w:r w:rsidR="000603E8" w:rsidRPr="00796E46">
        <w:rPr>
          <w:rStyle w:val="Strong"/>
          <w:rFonts w:asciiTheme="majorHAnsi" w:hAnsiTheme="majorHAnsi"/>
          <w:b w:val="0"/>
          <w:bCs w:val="0"/>
          <w:lang w:val="en-US"/>
        </w:rPr>
        <w:t>which provide twelve standards with detailed requirements for corporate ESG reporting.</w:t>
      </w:r>
    </w:p>
    <w:p w14:paraId="5DF297E4" w14:textId="240E663C" w:rsidR="000B5375" w:rsidRPr="00796E46" w:rsidRDefault="000B5375" w:rsidP="00DB0C9E">
      <w:pPr>
        <w:ind w:left="720"/>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As a result, financial institutions are facing multiple reporting requirements, which are at time overlapping and/or inconsistent. This adds complexity and undermines the purpose of providing consistent and reliable data. SFDR and CSRD metrics, when used for similar concepts, should be identical or comparable. The introduction of reconciliation tables may be a way forward to avoid this </w:t>
      </w:r>
      <w:proofErr w:type="gramStart"/>
      <w:r w:rsidRPr="00796E46">
        <w:rPr>
          <w:rStyle w:val="Strong"/>
          <w:rFonts w:asciiTheme="majorHAnsi" w:hAnsiTheme="majorHAnsi"/>
          <w:b w:val="0"/>
          <w:bCs w:val="0"/>
          <w:lang w:val="en-US"/>
        </w:rPr>
        <w:t>pitfall.</w:t>
      </w:r>
      <w:r w:rsidR="002B64E5" w:rsidRPr="00796E46">
        <w:rPr>
          <w:rStyle w:val="Strong"/>
          <w:rFonts w:asciiTheme="majorHAnsi" w:hAnsiTheme="majorHAnsi"/>
          <w:b w:val="0"/>
          <w:bCs w:val="0"/>
          <w:lang w:val="en-US"/>
        </w:rPr>
        <w:t>.</w:t>
      </w:r>
      <w:proofErr w:type="gramEnd"/>
    </w:p>
    <w:p w14:paraId="1D716F64" w14:textId="351CCF21" w:rsidR="008E3D0A" w:rsidRPr="00796E46" w:rsidRDefault="00C54F19"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Amend rules for Client Advice (MIFID) in line with </w:t>
      </w:r>
      <w:r w:rsidR="008E3D0A" w:rsidRPr="00796E46">
        <w:rPr>
          <w:rStyle w:val="Strong"/>
          <w:rFonts w:asciiTheme="majorHAnsi" w:hAnsiTheme="majorHAnsi"/>
          <w:b w:val="0"/>
          <w:bCs w:val="0"/>
          <w:lang w:val="en-US"/>
        </w:rPr>
        <w:t xml:space="preserve">future changes of SFDR </w:t>
      </w:r>
      <w:r w:rsidRPr="00796E46">
        <w:rPr>
          <w:rStyle w:val="Strong"/>
          <w:rFonts w:asciiTheme="majorHAnsi" w:hAnsiTheme="majorHAnsi"/>
          <w:b w:val="0"/>
          <w:bCs w:val="0"/>
          <w:lang w:val="en-US"/>
        </w:rPr>
        <w:t xml:space="preserve">so that intermediaries and investors can make effective use of SFDR disclosures to select a financial product that meets their </w:t>
      </w:r>
      <w:r w:rsidR="008E3D0A" w:rsidRPr="00796E46">
        <w:rPr>
          <w:rStyle w:val="Strong"/>
          <w:rFonts w:asciiTheme="majorHAnsi" w:hAnsiTheme="majorHAnsi"/>
          <w:b w:val="0"/>
          <w:bCs w:val="0"/>
          <w:lang w:val="en-US"/>
        </w:rPr>
        <w:t>clients’ “sustainability preferences”.</w:t>
      </w:r>
    </w:p>
    <w:p w14:paraId="123E9163" w14:textId="3509BE90" w:rsidR="005C04D3" w:rsidRPr="00796E46" w:rsidRDefault="005C04D3" w:rsidP="00F32822">
      <w:pPr>
        <w:pStyle w:val="ListParagraph"/>
        <w:numPr>
          <w:ilvl w:val="0"/>
          <w:numId w:val="20"/>
        </w:numPr>
        <w:jc w:val="both"/>
        <w:rPr>
          <w:rFonts w:asciiTheme="majorHAnsi" w:hAnsiTheme="majorHAnsi"/>
          <w:lang w:val="en-US"/>
        </w:rPr>
      </w:pPr>
      <w:r w:rsidRPr="00796E46">
        <w:rPr>
          <w:rFonts w:asciiTheme="majorHAnsi" w:hAnsiTheme="majorHAnsi"/>
          <w:lang w:val="en-US"/>
        </w:rPr>
        <w:t>Another example is the inclusion or exclusion of cash in the PAI statements of entities and products. In some jurisdictions the definition of investments include</w:t>
      </w:r>
      <w:r w:rsidR="001501AA" w:rsidRPr="00796E46">
        <w:rPr>
          <w:rFonts w:asciiTheme="majorHAnsi" w:hAnsiTheme="majorHAnsi"/>
          <w:lang w:val="en-US"/>
        </w:rPr>
        <w:t>s</w:t>
      </w:r>
      <w:r w:rsidRPr="00796E46">
        <w:rPr>
          <w:rFonts w:asciiTheme="majorHAnsi" w:hAnsiTheme="majorHAnsi"/>
          <w:lang w:val="en-US"/>
        </w:rPr>
        <w:t xml:space="preserve"> cash and in </w:t>
      </w:r>
      <w:proofErr w:type="gramStart"/>
      <w:r w:rsidRPr="00796E46">
        <w:rPr>
          <w:rFonts w:asciiTheme="majorHAnsi" w:hAnsiTheme="majorHAnsi"/>
          <w:lang w:val="en-US"/>
        </w:rPr>
        <w:t>others</w:t>
      </w:r>
      <w:proofErr w:type="gramEnd"/>
      <w:r w:rsidRPr="00796E46">
        <w:rPr>
          <w:rFonts w:asciiTheme="majorHAnsi" w:hAnsiTheme="majorHAnsi"/>
          <w:lang w:val="en-US"/>
        </w:rPr>
        <w:t xml:space="preserve"> cash is excluded. As some (more illiquid) alternative investment funds, especially private debt funds which are often used for impact investments, can have quite some cash </w:t>
      </w:r>
      <w:proofErr w:type="gramStart"/>
      <w:r w:rsidRPr="00796E46">
        <w:rPr>
          <w:rFonts w:asciiTheme="majorHAnsi" w:hAnsiTheme="majorHAnsi"/>
          <w:lang w:val="en-US"/>
        </w:rPr>
        <w:t>in order to</w:t>
      </w:r>
      <w:proofErr w:type="gramEnd"/>
      <w:r w:rsidRPr="00796E46">
        <w:rPr>
          <w:rFonts w:asciiTheme="majorHAnsi" w:hAnsiTheme="majorHAnsi"/>
          <w:lang w:val="en-US"/>
        </w:rPr>
        <w:t xml:space="preserve"> serve their (often retail) investors well, this has a large influence on the reported % of sustainable investments. The exclusion of cash from the calculation of proportion of sustainable investments/taxonomy-alignment should become standard and be clearly specified in the regulatory technical standards.</w:t>
      </w:r>
    </w:p>
    <w:p w14:paraId="50B2ADA3" w14:textId="1F859771" w:rsidR="007367E8" w:rsidRPr="00796E46" w:rsidRDefault="007367E8">
      <w:pPr>
        <w:rPr>
          <w:rStyle w:val="Strong"/>
          <w:rFonts w:asciiTheme="majorHAnsi" w:hAnsiTheme="majorHAnsi"/>
          <w:b w:val="0"/>
          <w:bCs w:val="0"/>
          <w:lang w:val="en-US"/>
        </w:rPr>
      </w:pPr>
      <w:r w:rsidRPr="00796E46">
        <w:rPr>
          <w:rStyle w:val="Strong"/>
          <w:rFonts w:asciiTheme="majorHAnsi" w:hAnsiTheme="majorHAnsi"/>
          <w:b w:val="0"/>
          <w:bCs w:val="0"/>
          <w:lang w:val="en-US"/>
        </w:rPr>
        <w:br w:type="page"/>
      </w:r>
    </w:p>
    <w:p w14:paraId="630F8684" w14:textId="77777777" w:rsidR="007367E8" w:rsidRPr="00796E46" w:rsidRDefault="007367E8" w:rsidP="007367E8">
      <w:pPr>
        <w:rPr>
          <w:rStyle w:val="Strong"/>
          <w:rFonts w:asciiTheme="majorHAnsi" w:hAnsiTheme="majorHAnsi"/>
          <w:b w:val="0"/>
          <w:bCs w:val="0"/>
          <w:lang w:val="en-US"/>
        </w:rPr>
      </w:pPr>
    </w:p>
    <w:p w14:paraId="1AD021C1" w14:textId="5ABF806D" w:rsidR="00E82F76" w:rsidRPr="00796E46" w:rsidRDefault="00E82F76" w:rsidP="00353BA2">
      <w:pPr>
        <w:pStyle w:val="Subtitle"/>
        <w:jc w:val="both"/>
        <w:rPr>
          <w:rStyle w:val="Strong"/>
          <w:rFonts w:asciiTheme="majorHAnsi" w:eastAsiaTheme="minorHAnsi" w:hAnsiTheme="majorHAnsi"/>
          <w:b w:val="0"/>
          <w:bCs w:val="0"/>
          <w:color w:val="auto"/>
          <w:spacing w:val="0"/>
          <w:u w:val="none"/>
          <w:lang w:val="en-US"/>
        </w:rPr>
      </w:pPr>
      <w:r w:rsidRPr="00796E46">
        <w:rPr>
          <w:rStyle w:val="Strong"/>
          <w:rFonts w:asciiTheme="majorHAnsi" w:hAnsiTheme="majorHAnsi"/>
          <w:b w:val="0"/>
          <w:bCs w:val="0"/>
          <w:lang w:val="en-US"/>
        </w:rPr>
        <w:t xml:space="preserve">Questions where this key message can be pasted: </w:t>
      </w:r>
    </w:p>
    <w:p w14:paraId="13FB3A2F" w14:textId="77777777" w:rsidR="007367E8" w:rsidRPr="00796E46" w:rsidRDefault="00B7356D" w:rsidP="00FB5919">
      <w:pPr>
        <w:jc w:val="both"/>
        <w:rPr>
          <w:rStyle w:val="Strong"/>
          <w:rFonts w:asciiTheme="majorHAnsi" w:hAnsiTheme="majorHAnsi"/>
          <w:b w:val="0"/>
          <w:bCs w:val="0"/>
          <w:lang w:val="en-US"/>
        </w:rPr>
      </w:pPr>
      <w:r w:rsidRPr="00796E46">
        <w:rPr>
          <w:rStyle w:val="Strong"/>
          <w:rFonts w:asciiTheme="majorHAnsi" w:hAnsiTheme="majorHAnsi"/>
          <w:b w:val="0"/>
          <w:bCs w:val="0"/>
          <w:lang w:val="en-US"/>
        </w:rPr>
        <w:t>Section 2: “Interaction with other sustainable Finance legislation”</w:t>
      </w:r>
      <w:r w:rsidR="00FF7A1B" w:rsidRPr="00796E46">
        <w:rPr>
          <w:rStyle w:val="Strong"/>
          <w:rFonts w:asciiTheme="majorHAnsi" w:hAnsiTheme="majorHAnsi"/>
          <w:b w:val="0"/>
          <w:bCs w:val="0"/>
          <w:lang w:val="en-US"/>
        </w:rPr>
        <w:t xml:space="preserve"> (box at the end of the section)</w:t>
      </w:r>
    </w:p>
    <w:p w14:paraId="4E9D4E04" w14:textId="73A976D0" w:rsidR="007367E8" w:rsidRPr="00796E46" w:rsidRDefault="007367E8" w:rsidP="00FB5919">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4.1.12 a) &gt;&gt; </w:t>
      </w:r>
      <w:r w:rsidRPr="00796E46">
        <w:rPr>
          <w:rStyle w:val="Strong"/>
          <w:rFonts w:asciiTheme="majorHAnsi" w:hAnsiTheme="majorHAnsi"/>
          <w:u w:val="single"/>
          <w:lang w:val="en-US"/>
        </w:rPr>
        <w:t>DNSH</w:t>
      </w:r>
      <w:r w:rsidRPr="00796E46">
        <w:rPr>
          <w:rStyle w:val="Strong"/>
          <w:rFonts w:asciiTheme="majorHAnsi" w:hAnsiTheme="majorHAnsi"/>
          <w:b w:val="0"/>
          <w:bCs w:val="0"/>
          <w:lang w:val="en-US"/>
        </w:rPr>
        <w:t xml:space="preserve"> Harm Box [copy only the section on DNSH] : If you consider that the elements listed in question 4.1.12 are not fit for purpose, how would you further specify the different elements of the ‘sustainable investment’ concept, what should be the minimum criteria required for each of them? </w:t>
      </w:r>
    </w:p>
    <w:p w14:paraId="7CF1240C" w14:textId="0F88F3BC" w:rsidR="007C6DDC" w:rsidRPr="00796E46" w:rsidRDefault="007C6DDC" w:rsidP="00FB5919">
      <w:pPr>
        <w:jc w:val="both"/>
        <w:rPr>
          <w:rStyle w:val="Strong"/>
          <w:rFonts w:asciiTheme="majorHAnsi" w:hAnsiTheme="majorHAnsi"/>
          <w:b w:val="0"/>
          <w:bCs w:val="0"/>
          <w:lang w:val="en-US"/>
        </w:rPr>
      </w:pPr>
      <w:r w:rsidRPr="00796E46">
        <w:rPr>
          <w:rStyle w:val="Strong"/>
          <w:rFonts w:asciiTheme="majorHAnsi" w:hAnsiTheme="majorHAnsi"/>
          <w:b w:val="0"/>
          <w:bCs w:val="0"/>
          <w:lang w:val="en-US"/>
        </w:rPr>
        <w:br w:type="page"/>
      </w:r>
    </w:p>
    <w:p w14:paraId="5308BB9C" w14:textId="3CCE2110" w:rsidR="00EB5581" w:rsidRPr="00796E46" w:rsidRDefault="00EB5581" w:rsidP="00353BA2">
      <w:pPr>
        <w:pStyle w:val="Heading1"/>
        <w:numPr>
          <w:ilvl w:val="0"/>
          <w:numId w:val="4"/>
        </w:numPr>
        <w:jc w:val="both"/>
        <w:rPr>
          <w:rStyle w:val="Strong"/>
          <w:b w:val="0"/>
          <w:bCs w:val="0"/>
          <w:lang w:val="en-US"/>
        </w:rPr>
      </w:pPr>
      <w:bookmarkStart w:id="5" w:name="_Toc152770342"/>
      <w:r w:rsidRPr="00796E46">
        <w:rPr>
          <w:rStyle w:val="Strong"/>
          <w:b w:val="0"/>
          <w:bCs w:val="0"/>
          <w:lang w:val="en-US"/>
        </w:rPr>
        <w:lastRenderedPageBreak/>
        <w:t>Different transparency requirements are needed for professional and retail investors. Website disclosures are crucial for retail investors but should become voluntary for products which only target professional investors.</w:t>
      </w:r>
      <w:bookmarkEnd w:id="5"/>
      <w:r w:rsidRPr="00796E46">
        <w:rPr>
          <w:rStyle w:val="Strong"/>
          <w:b w:val="0"/>
          <w:bCs w:val="0"/>
          <w:lang w:val="en-US"/>
        </w:rPr>
        <w:t xml:space="preserve"> </w:t>
      </w:r>
    </w:p>
    <w:p w14:paraId="01CF2CC1" w14:textId="1F687504" w:rsidR="00EB5581" w:rsidRPr="00796E46" w:rsidRDefault="00EB5581" w:rsidP="00EB5581">
      <w:pPr>
        <w:jc w:val="both"/>
        <w:rPr>
          <w:rStyle w:val="Strong"/>
          <w:rFonts w:asciiTheme="majorHAnsi" w:hAnsiTheme="majorHAnsi"/>
          <w:b w:val="0"/>
          <w:bCs w:val="0"/>
          <w:lang w:val="en-US"/>
        </w:rPr>
      </w:pPr>
      <w:r w:rsidRPr="00796E46">
        <w:rPr>
          <w:rStyle w:val="Strong"/>
          <w:rFonts w:asciiTheme="majorHAnsi" w:hAnsiTheme="majorHAnsi"/>
          <w:b w:val="0"/>
          <w:bCs w:val="0"/>
          <w:lang w:val="en-US"/>
        </w:rPr>
        <w:t>Website disclosures should be left solely for products offered to retail investors, who often are unable or cannot fully understand annual reports or pre contractual disclosures, written in complex risk and legal jargon.</w:t>
      </w:r>
    </w:p>
    <w:p w14:paraId="03F4AC01" w14:textId="7FAEBF3E" w:rsidR="00EB5581" w:rsidRPr="00796E46" w:rsidRDefault="00EB5581" w:rsidP="00EB5581">
      <w:pPr>
        <w:jc w:val="both"/>
        <w:rPr>
          <w:rStyle w:val="Strong"/>
          <w:rFonts w:asciiTheme="majorHAnsi" w:hAnsiTheme="majorHAnsi"/>
          <w:b w:val="0"/>
          <w:bCs w:val="0"/>
          <w:lang w:val="en-US"/>
        </w:rPr>
      </w:pPr>
      <w:r w:rsidRPr="00796E46">
        <w:rPr>
          <w:rStyle w:val="Strong"/>
          <w:rFonts w:asciiTheme="majorHAnsi" w:hAnsiTheme="majorHAnsi"/>
          <w:b w:val="0"/>
          <w:bCs w:val="0"/>
          <w:lang w:val="en-US"/>
        </w:rPr>
        <w:t>For products that are offered to professional investors, the website disclosures serve little to no purpose, as these investors are fully capable of understanding pre</w:t>
      </w:r>
      <w:r w:rsidR="00A85E48" w:rsidRPr="00796E46">
        <w:rPr>
          <w:rStyle w:val="Strong"/>
          <w:rFonts w:asciiTheme="majorHAnsi" w:hAnsiTheme="majorHAnsi"/>
          <w:b w:val="0"/>
          <w:bCs w:val="0"/>
          <w:lang w:val="en-US"/>
        </w:rPr>
        <w:t>-</w:t>
      </w:r>
      <w:r w:rsidRPr="00796E46">
        <w:rPr>
          <w:rStyle w:val="Strong"/>
          <w:rFonts w:asciiTheme="majorHAnsi" w:hAnsiTheme="majorHAnsi"/>
          <w:b w:val="0"/>
          <w:bCs w:val="0"/>
          <w:lang w:val="en-US"/>
        </w:rPr>
        <w:t>contractual disclosures and periodic reports, and commonly use these documents for their due diligence at entry and for their ongoing monitoring of investments.</w:t>
      </w:r>
    </w:p>
    <w:p w14:paraId="5C774535" w14:textId="77777777" w:rsidR="00EB5581" w:rsidRPr="00796E46" w:rsidRDefault="00EB5581" w:rsidP="00EB5581">
      <w:pPr>
        <w:jc w:val="both"/>
        <w:rPr>
          <w:rStyle w:val="Strong"/>
          <w:rFonts w:asciiTheme="majorHAnsi" w:hAnsiTheme="majorHAnsi"/>
          <w:b w:val="0"/>
          <w:bCs w:val="0"/>
          <w:lang w:val="en-US"/>
        </w:rPr>
      </w:pPr>
      <w:r w:rsidRPr="00796E46">
        <w:rPr>
          <w:rStyle w:val="Strong"/>
          <w:rFonts w:asciiTheme="majorHAnsi" w:hAnsiTheme="majorHAnsi"/>
          <w:b w:val="0"/>
          <w:bCs w:val="0"/>
          <w:lang w:val="en-US"/>
        </w:rPr>
        <w:t>The depth and detail currently required for Financial Market Participants’ website disclosures impacts competitive advantages by obliging to explain strategies at length and to the open public, many times at the sole advantage of competitors who are granted free access to inside knowledge of other market participants.</w:t>
      </w:r>
    </w:p>
    <w:p w14:paraId="66A6DE7B" w14:textId="6DEBB212" w:rsidR="00EB5581" w:rsidRPr="00796E46" w:rsidRDefault="00EB5581" w:rsidP="00EB5581">
      <w:pPr>
        <w:jc w:val="both"/>
        <w:rPr>
          <w:rStyle w:val="Strong"/>
          <w:rFonts w:asciiTheme="majorHAnsi" w:hAnsiTheme="majorHAnsi"/>
          <w:b w:val="0"/>
          <w:bCs w:val="0"/>
          <w:lang w:val="en-US"/>
        </w:rPr>
      </w:pPr>
      <w:r w:rsidRPr="00796E46">
        <w:rPr>
          <w:rStyle w:val="Strong"/>
          <w:rFonts w:asciiTheme="majorHAnsi" w:hAnsiTheme="majorHAnsi"/>
          <w:b w:val="0"/>
          <w:bCs w:val="0"/>
          <w:lang w:val="en-US"/>
        </w:rPr>
        <w:t>Website disclosure obligations should thus be made voluntary for Financial Market Participants that solely offer products to professional investors.</w:t>
      </w:r>
    </w:p>
    <w:p w14:paraId="2AB1F63E" w14:textId="77777777" w:rsidR="00EB5581" w:rsidRPr="00796E46" w:rsidRDefault="00EB5581" w:rsidP="00EB5581">
      <w:pPr>
        <w:jc w:val="both"/>
        <w:rPr>
          <w:rStyle w:val="Strong"/>
          <w:rFonts w:asciiTheme="majorHAnsi" w:hAnsiTheme="majorHAnsi"/>
          <w:b w:val="0"/>
          <w:bCs w:val="0"/>
          <w:lang w:val="en-US"/>
        </w:rPr>
      </w:pPr>
    </w:p>
    <w:p w14:paraId="44F403ED" w14:textId="5EDF2384" w:rsidR="00E82F76" w:rsidRPr="00796E46" w:rsidRDefault="00E82F76" w:rsidP="00EB5581">
      <w:pPr>
        <w:pStyle w:val="Subtitle"/>
        <w:jc w:val="both"/>
        <w:rPr>
          <w:rStyle w:val="Strong"/>
          <w:rFonts w:asciiTheme="majorHAnsi" w:eastAsiaTheme="minorHAnsi" w:hAnsiTheme="majorHAnsi"/>
          <w:b w:val="0"/>
          <w:bCs w:val="0"/>
          <w:color w:val="auto"/>
          <w:spacing w:val="0"/>
          <w:u w:val="none"/>
          <w:lang w:val="en-US"/>
        </w:rPr>
      </w:pPr>
      <w:r w:rsidRPr="00796E46">
        <w:rPr>
          <w:rStyle w:val="Strong"/>
          <w:rFonts w:asciiTheme="majorHAnsi" w:hAnsiTheme="majorHAnsi"/>
          <w:b w:val="0"/>
          <w:bCs w:val="0"/>
          <w:lang w:val="en-US"/>
        </w:rPr>
        <w:t xml:space="preserve">Questions where this key message can be pasted: </w:t>
      </w:r>
    </w:p>
    <w:p w14:paraId="4093B9A2" w14:textId="34F112BC" w:rsidR="007F54BC" w:rsidRPr="00796E46" w:rsidRDefault="007F54BC" w:rsidP="00EB5581">
      <w:pPr>
        <w:jc w:val="both"/>
        <w:rPr>
          <w:rStyle w:val="Strong"/>
          <w:rFonts w:asciiTheme="majorHAnsi" w:hAnsiTheme="majorHAnsi"/>
          <w:b w:val="0"/>
          <w:bCs w:val="0"/>
          <w:lang w:val="en-US"/>
        </w:rPr>
      </w:pPr>
      <w:r w:rsidRPr="00796E46">
        <w:rPr>
          <w:rStyle w:val="Strong"/>
          <w:rFonts w:asciiTheme="majorHAnsi" w:hAnsiTheme="majorHAnsi"/>
          <w:b w:val="0"/>
          <w:bCs w:val="0"/>
          <w:lang w:val="en-US"/>
        </w:rPr>
        <w:t>Question 3.2.2 a) If the EU was to impose uniform disclosure requirements for some financial products, what would be the criterion/criteria that would trigger the reporting obligations?</w:t>
      </w:r>
    </w:p>
    <w:p w14:paraId="2AF05CD3" w14:textId="12A78B32" w:rsidR="00EB5581" w:rsidRPr="00796E46" w:rsidRDefault="00EB5581" w:rsidP="00EB5581">
      <w:pPr>
        <w:jc w:val="both"/>
        <w:rPr>
          <w:rStyle w:val="Strong"/>
          <w:rFonts w:asciiTheme="majorHAnsi" w:eastAsiaTheme="minorEastAsia" w:hAnsiTheme="majorHAnsi"/>
          <w:b w:val="0"/>
          <w:bCs w:val="0"/>
          <w:color w:val="5A5A5A" w:themeColor="text1" w:themeTint="A5"/>
          <w:spacing w:val="15"/>
          <w:u w:val="single"/>
          <w:lang w:val="en-US"/>
        </w:rPr>
      </w:pPr>
      <w:r w:rsidRPr="00796E46">
        <w:rPr>
          <w:rStyle w:val="Strong"/>
          <w:rFonts w:asciiTheme="majorHAnsi" w:hAnsiTheme="majorHAnsi"/>
          <w:b w:val="0"/>
          <w:bCs w:val="0"/>
          <w:lang w:val="en-US"/>
        </w:rPr>
        <w:t xml:space="preserve">Question 3.2.6: </w:t>
      </w:r>
      <w:r w:rsidRPr="00796E46">
        <w:rPr>
          <w:rFonts w:asciiTheme="majorHAnsi" w:hAnsiTheme="majorHAnsi"/>
          <w:lang w:val="en-US"/>
        </w:rPr>
        <w:t>Website disclosures</w:t>
      </w:r>
    </w:p>
    <w:p w14:paraId="52D0595E" w14:textId="0D14282A" w:rsidR="00EB5581" w:rsidRPr="00796E46" w:rsidRDefault="00EB5581">
      <w:pPr>
        <w:rPr>
          <w:rStyle w:val="Strong"/>
          <w:rFonts w:asciiTheme="majorHAnsi" w:hAnsiTheme="majorHAnsi"/>
          <w:b w:val="0"/>
          <w:bCs w:val="0"/>
          <w:lang w:val="en-US"/>
        </w:rPr>
      </w:pPr>
      <w:r w:rsidRPr="00796E46">
        <w:rPr>
          <w:rStyle w:val="Strong"/>
          <w:rFonts w:asciiTheme="majorHAnsi" w:hAnsiTheme="majorHAnsi"/>
          <w:b w:val="0"/>
          <w:bCs w:val="0"/>
          <w:lang w:val="en-US"/>
        </w:rPr>
        <w:br w:type="page"/>
      </w:r>
    </w:p>
    <w:p w14:paraId="105D0C78" w14:textId="7CBD4DF2" w:rsidR="00572EBF" w:rsidRPr="00796E46" w:rsidRDefault="0020171F" w:rsidP="00353BA2">
      <w:pPr>
        <w:pStyle w:val="Heading1"/>
        <w:jc w:val="both"/>
        <w:rPr>
          <w:lang w:val="en-US"/>
        </w:rPr>
      </w:pPr>
      <w:bookmarkStart w:id="6" w:name="_Toc152319178"/>
      <w:bookmarkStart w:id="7" w:name="_Toc152326332"/>
      <w:bookmarkStart w:id="8" w:name="_Toc152319179"/>
      <w:bookmarkStart w:id="9" w:name="_Toc152326333"/>
      <w:bookmarkStart w:id="10" w:name="_Toc152319180"/>
      <w:bookmarkStart w:id="11" w:name="_Toc152326334"/>
      <w:bookmarkStart w:id="12" w:name="_Toc152319181"/>
      <w:bookmarkStart w:id="13" w:name="_Toc152326335"/>
      <w:bookmarkStart w:id="14" w:name="_Toc152319182"/>
      <w:bookmarkStart w:id="15" w:name="_Toc152326336"/>
      <w:bookmarkStart w:id="16" w:name="_Toc152319183"/>
      <w:bookmarkStart w:id="17" w:name="_Toc152326337"/>
      <w:bookmarkStart w:id="18" w:name="_Toc152319184"/>
      <w:bookmarkStart w:id="19" w:name="_Toc152326338"/>
      <w:bookmarkStart w:id="20" w:name="_Toc152319185"/>
      <w:bookmarkStart w:id="21" w:name="_Toc152326339"/>
      <w:bookmarkStart w:id="22" w:name="_Toc152319186"/>
      <w:bookmarkStart w:id="23" w:name="_Toc152326340"/>
      <w:bookmarkStart w:id="24" w:name="_Toc152319187"/>
      <w:bookmarkStart w:id="25" w:name="_Toc152326341"/>
      <w:bookmarkStart w:id="26" w:name="_Toc152319188"/>
      <w:bookmarkStart w:id="27" w:name="_Toc152326342"/>
      <w:bookmarkStart w:id="28" w:name="_Toc152319189"/>
      <w:bookmarkStart w:id="29" w:name="_Toc152326343"/>
      <w:bookmarkStart w:id="30" w:name="_Toc152193510"/>
      <w:bookmarkStart w:id="31" w:name="_Toc152770343"/>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796E46">
        <w:rPr>
          <w:rStyle w:val="Strong"/>
          <w:b w:val="0"/>
          <w:bCs w:val="0"/>
          <w:lang w:val="en-US"/>
        </w:rPr>
        <w:lastRenderedPageBreak/>
        <w:t>Mandatory</w:t>
      </w:r>
      <w:r w:rsidR="00832C28" w:rsidRPr="00796E46">
        <w:rPr>
          <w:lang w:val="en-US"/>
        </w:rPr>
        <w:t xml:space="preserve"> </w:t>
      </w:r>
      <w:r w:rsidRPr="00796E46">
        <w:rPr>
          <w:lang w:val="en-US"/>
        </w:rPr>
        <w:t xml:space="preserve">disclosure of </w:t>
      </w:r>
      <w:r w:rsidR="00832C28" w:rsidRPr="00796E46">
        <w:rPr>
          <w:lang w:val="en-US"/>
        </w:rPr>
        <w:t xml:space="preserve">a minimum set of </w:t>
      </w:r>
      <w:r w:rsidR="00F81A8B" w:rsidRPr="00796E46">
        <w:rPr>
          <w:lang w:val="en-US"/>
        </w:rPr>
        <w:t>PAI</w:t>
      </w:r>
      <w:r w:rsidR="00C67EEA" w:rsidRPr="00796E46">
        <w:rPr>
          <w:lang w:val="en-US"/>
        </w:rPr>
        <w:t xml:space="preserve"> indicators</w:t>
      </w:r>
      <w:r w:rsidRPr="00796E46">
        <w:rPr>
          <w:lang w:val="en-US"/>
        </w:rPr>
        <w:t xml:space="preserve"> for all products</w:t>
      </w:r>
      <w:r w:rsidR="00832C28" w:rsidRPr="00796E46">
        <w:rPr>
          <w:lang w:val="en-US"/>
        </w:rPr>
        <w:t>.</w:t>
      </w:r>
      <w:r w:rsidR="00F81A8B" w:rsidRPr="00796E46">
        <w:rPr>
          <w:lang w:val="en-US"/>
        </w:rPr>
        <w:t xml:space="preserve"> Remaining PAI</w:t>
      </w:r>
      <w:r w:rsidR="008574E9" w:rsidRPr="00796E46">
        <w:rPr>
          <w:lang w:val="en-US"/>
        </w:rPr>
        <w:t xml:space="preserve"> </w:t>
      </w:r>
      <w:r w:rsidR="002526D1" w:rsidRPr="00796E46">
        <w:rPr>
          <w:lang w:val="en-US"/>
        </w:rPr>
        <w:t xml:space="preserve">disclosure </w:t>
      </w:r>
      <w:r w:rsidR="00F81A8B" w:rsidRPr="00796E46">
        <w:rPr>
          <w:lang w:val="en-US"/>
        </w:rPr>
        <w:t>subject to a materiality</w:t>
      </w:r>
      <w:r w:rsidR="00891A40" w:rsidRPr="00796E46">
        <w:rPr>
          <w:lang w:val="en-US"/>
        </w:rPr>
        <w:t xml:space="preserve"> threshold, based on the particular asset class</w:t>
      </w:r>
      <w:bookmarkEnd w:id="30"/>
      <w:r w:rsidR="00B30B12" w:rsidRPr="00796E46">
        <w:rPr>
          <w:lang w:val="en-US"/>
        </w:rPr>
        <w:t>.</w:t>
      </w:r>
      <w:bookmarkEnd w:id="31"/>
    </w:p>
    <w:p w14:paraId="24A7AF8A" w14:textId="0C4EFFA3" w:rsidR="00391D4F" w:rsidRPr="00796E46" w:rsidRDefault="00391D4F" w:rsidP="00391D4F">
      <w:pPr>
        <w:jc w:val="both"/>
        <w:rPr>
          <w:lang w:val="en-US"/>
        </w:rPr>
      </w:pPr>
      <w:r w:rsidRPr="00796E46">
        <w:rPr>
          <w:lang w:val="en-US"/>
        </w:rPr>
        <w:t xml:space="preserve">We believe strongly in encouraging ALL Financial Market Participants towards greater transparency on sustainability issues. We believe limiting such disclosure requirements to only explicitly sustainable funds (Article 8 and 9) </w:t>
      </w:r>
      <w:proofErr w:type="gramStart"/>
      <w:r w:rsidRPr="00796E46">
        <w:rPr>
          <w:lang w:val="en-US"/>
        </w:rPr>
        <w:t>creates</w:t>
      </w:r>
      <w:proofErr w:type="gramEnd"/>
      <w:r w:rsidRPr="00796E46">
        <w:rPr>
          <w:lang w:val="en-US"/>
        </w:rPr>
        <w:t xml:space="preserve"> a misalignment of incentives, encouraging non-sustainable actors to hide their practices under less transparent (and less demanding) reporting requirements. </w:t>
      </w:r>
    </w:p>
    <w:p w14:paraId="09364C02" w14:textId="226EFCE0" w:rsidR="00391D4F" w:rsidRPr="00796E46" w:rsidRDefault="00391D4F" w:rsidP="00391D4F">
      <w:pPr>
        <w:jc w:val="both"/>
        <w:rPr>
          <w:lang w:val="en-US"/>
        </w:rPr>
      </w:pPr>
      <w:r w:rsidRPr="00796E46">
        <w:rPr>
          <w:lang w:val="en-US"/>
        </w:rPr>
        <w:t xml:space="preserve">Disclosures on a limited number of sustainability indicators that allow investors to assess the most important negative impacts should be mandatory across all products. And then, the additional reporting from funds that have sustainable investments as their objective, would ensure that these funds can back up their claims with appropriate evidence. The effect would be to set a minimum PAI reporting </w:t>
      </w:r>
      <w:proofErr w:type="gramStart"/>
      <w:r w:rsidRPr="00796E46">
        <w:rPr>
          <w:lang w:val="en-US"/>
        </w:rPr>
        <w:t>floor</w:t>
      </w:r>
      <w:proofErr w:type="gramEnd"/>
      <w:r w:rsidRPr="00796E46">
        <w:rPr>
          <w:lang w:val="en-US"/>
        </w:rPr>
        <w:t xml:space="preserve"> for all, with supplementary reporting for sustainable products. We believe that this could support the acceleration of transitions and contribute to reduce adverse impacts of ALL investments by ensuring that investors can make informed investment decisions. </w:t>
      </w:r>
    </w:p>
    <w:p w14:paraId="373B9585" w14:textId="69F471CF" w:rsidR="00832C28" w:rsidRPr="00796E46" w:rsidRDefault="00D2331C" w:rsidP="00353BA2">
      <w:pPr>
        <w:jc w:val="both"/>
        <w:rPr>
          <w:lang w:val="en-US"/>
        </w:rPr>
      </w:pPr>
      <w:r w:rsidRPr="00796E46">
        <w:rPr>
          <w:b/>
          <w:bCs/>
          <w:u w:val="single"/>
          <w:lang w:val="en-US"/>
        </w:rPr>
        <w:t xml:space="preserve">The </w:t>
      </w:r>
      <w:r w:rsidR="00832C28" w:rsidRPr="00796E46">
        <w:rPr>
          <w:b/>
          <w:bCs/>
          <w:u w:val="single"/>
          <w:lang w:val="en-US"/>
        </w:rPr>
        <w:t xml:space="preserve">mandatory set </w:t>
      </w:r>
      <w:r w:rsidR="00CE027B" w:rsidRPr="00796E46">
        <w:rPr>
          <w:b/>
          <w:bCs/>
          <w:u w:val="single"/>
          <w:lang w:val="en-US"/>
        </w:rPr>
        <w:t xml:space="preserve">of PAIs </w:t>
      </w:r>
      <w:r w:rsidR="00832C28" w:rsidRPr="00796E46">
        <w:rPr>
          <w:b/>
          <w:bCs/>
          <w:u w:val="single"/>
          <w:lang w:val="en-US"/>
        </w:rPr>
        <w:t>should</w:t>
      </w:r>
      <w:r w:rsidR="00D25652" w:rsidRPr="00796E46">
        <w:rPr>
          <w:b/>
          <w:bCs/>
          <w:u w:val="single"/>
          <w:lang w:val="en-US"/>
        </w:rPr>
        <w:t xml:space="preserve"> </w:t>
      </w:r>
      <w:r w:rsidR="00832C28" w:rsidRPr="00796E46">
        <w:rPr>
          <w:b/>
          <w:bCs/>
          <w:u w:val="single"/>
          <w:lang w:val="en-US"/>
        </w:rPr>
        <w:t>include</w:t>
      </w:r>
      <w:r w:rsidR="00C67EEA" w:rsidRPr="00796E46">
        <w:rPr>
          <w:lang w:val="en-US"/>
        </w:rPr>
        <w:t xml:space="preserve">: </w:t>
      </w:r>
    </w:p>
    <w:p w14:paraId="55126DBF" w14:textId="74C33818" w:rsidR="00C67EEA" w:rsidRPr="00796E46" w:rsidRDefault="00C67EEA" w:rsidP="00353BA2">
      <w:pPr>
        <w:pStyle w:val="ListParagraph"/>
        <w:numPr>
          <w:ilvl w:val="0"/>
          <w:numId w:val="1"/>
        </w:numPr>
        <w:jc w:val="both"/>
        <w:rPr>
          <w:lang w:val="en-US"/>
        </w:rPr>
      </w:pPr>
      <w:r w:rsidRPr="00796E46">
        <w:rPr>
          <w:lang w:val="en-US"/>
        </w:rPr>
        <w:t xml:space="preserve">Exposure </w:t>
      </w:r>
      <w:r w:rsidR="00832C28" w:rsidRPr="00796E46">
        <w:rPr>
          <w:lang w:val="en-US"/>
        </w:rPr>
        <w:t xml:space="preserve">to companies active in the fossil fuel sector, </w:t>
      </w:r>
    </w:p>
    <w:p w14:paraId="260B86E1" w14:textId="41D86E7D" w:rsidR="00CD7527" w:rsidRPr="00796E46" w:rsidRDefault="00CD7527" w:rsidP="00353BA2">
      <w:pPr>
        <w:pStyle w:val="ListParagraph"/>
        <w:numPr>
          <w:ilvl w:val="0"/>
          <w:numId w:val="1"/>
        </w:numPr>
        <w:jc w:val="both"/>
        <w:rPr>
          <w:lang w:val="en-US"/>
        </w:rPr>
      </w:pPr>
      <w:r w:rsidRPr="00796E46">
        <w:rPr>
          <w:lang w:val="en-US"/>
        </w:rPr>
        <w:t>Exposure to companies involved in the cultivation and production of tobacco,</w:t>
      </w:r>
    </w:p>
    <w:p w14:paraId="0A7B8872" w14:textId="7C2FC1DC" w:rsidR="00C67EEA" w:rsidRPr="00796E46" w:rsidRDefault="00C67EEA" w:rsidP="00353BA2">
      <w:pPr>
        <w:pStyle w:val="ListParagraph"/>
        <w:numPr>
          <w:ilvl w:val="0"/>
          <w:numId w:val="1"/>
        </w:numPr>
        <w:jc w:val="both"/>
        <w:rPr>
          <w:lang w:val="en-US"/>
        </w:rPr>
      </w:pPr>
      <w:r w:rsidRPr="00796E46">
        <w:rPr>
          <w:lang w:val="en-US"/>
        </w:rPr>
        <w:t>V</w:t>
      </w:r>
      <w:r w:rsidR="00832C28" w:rsidRPr="00796E46">
        <w:rPr>
          <w:lang w:val="en-US"/>
        </w:rPr>
        <w:t xml:space="preserve">iolations of UN Global Compact and OECD Guidelines, </w:t>
      </w:r>
    </w:p>
    <w:p w14:paraId="03E3CF16" w14:textId="440230AD" w:rsidR="00832C28" w:rsidRPr="00796E46" w:rsidRDefault="00C67EEA" w:rsidP="00353BA2">
      <w:pPr>
        <w:pStyle w:val="ListParagraph"/>
        <w:numPr>
          <w:ilvl w:val="0"/>
          <w:numId w:val="1"/>
        </w:numPr>
        <w:jc w:val="both"/>
        <w:rPr>
          <w:lang w:val="en-US"/>
        </w:rPr>
      </w:pPr>
      <w:r w:rsidRPr="00796E46">
        <w:rPr>
          <w:lang w:val="en-US"/>
        </w:rPr>
        <w:t xml:space="preserve">Exposure </w:t>
      </w:r>
      <w:r w:rsidR="00832C28" w:rsidRPr="00796E46">
        <w:rPr>
          <w:lang w:val="en-US"/>
        </w:rPr>
        <w:t>to controversial weapons</w:t>
      </w:r>
      <w:r w:rsidR="006D113A" w:rsidRPr="00796E46">
        <w:rPr>
          <w:lang w:val="en-US"/>
        </w:rPr>
        <w:t xml:space="preserve">, </w:t>
      </w:r>
    </w:p>
    <w:p w14:paraId="27F903FB" w14:textId="23122801" w:rsidR="006D113A" w:rsidRPr="00796E46" w:rsidRDefault="00D25652" w:rsidP="006D113A">
      <w:pPr>
        <w:pStyle w:val="ListParagraph"/>
        <w:rPr>
          <w:lang w:val="en-US"/>
        </w:rPr>
      </w:pPr>
      <w:r w:rsidRPr="00796E46">
        <w:rPr>
          <w:lang w:val="en-US"/>
        </w:rPr>
        <w:t>GHG emissions and the related metrics (Carbon footprint and GHG intensity of investee companies),</w:t>
      </w:r>
    </w:p>
    <w:p w14:paraId="2FB0683F" w14:textId="0CE4654D" w:rsidR="006D113A" w:rsidRPr="00796E46" w:rsidRDefault="00D25652" w:rsidP="006D113A">
      <w:pPr>
        <w:pStyle w:val="ListParagraph"/>
        <w:numPr>
          <w:ilvl w:val="0"/>
          <w:numId w:val="1"/>
        </w:numPr>
        <w:jc w:val="both"/>
        <w:rPr>
          <w:lang w:val="en-US"/>
        </w:rPr>
      </w:pPr>
      <w:r w:rsidRPr="00796E46">
        <w:rPr>
          <w:lang w:val="en-US"/>
        </w:rPr>
        <w:t>Board gender diversity of investee companies</w:t>
      </w:r>
      <w:r w:rsidR="006D113A" w:rsidRPr="00796E46">
        <w:rPr>
          <w:lang w:val="en-US"/>
        </w:rPr>
        <w:t>.</w:t>
      </w:r>
    </w:p>
    <w:p w14:paraId="399DE738" w14:textId="025B2307" w:rsidR="00D25652" w:rsidRPr="00796E46" w:rsidRDefault="006D113A" w:rsidP="005244E2">
      <w:r w:rsidRPr="00796E46">
        <w:rPr>
          <w:lang w:val="en-US"/>
        </w:rPr>
        <w:t>T</w:t>
      </w:r>
      <w:r w:rsidRPr="00796E46">
        <w:t>h</w:t>
      </w:r>
      <w:r w:rsidR="001501AA" w:rsidRPr="00796E46">
        <w:t>e</w:t>
      </w:r>
      <w:r w:rsidRPr="00796E46">
        <w:t xml:space="preserve"> list </w:t>
      </w:r>
      <w:r w:rsidR="001501AA" w:rsidRPr="00796E46">
        <w:t xml:space="preserve">above </w:t>
      </w:r>
      <w:r w:rsidRPr="00796E46">
        <w:t xml:space="preserve">includes all </w:t>
      </w:r>
      <w:r w:rsidR="00D25652" w:rsidRPr="00796E46">
        <w:t>investments that are excluded from EU-Paris aligned Benchmarks (art. 12 of the Delegated Acts of the Benchmark Directive (EU 2020/1818)</w:t>
      </w:r>
      <w:r w:rsidR="001501AA" w:rsidRPr="00796E46">
        <w:t>)</w:t>
      </w:r>
      <w:r w:rsidRPr="00796E46">
        <w:t>. It provides relevant information for all investors and is also manageable to collect from all investee companies (</w:t>
      </w:r>
      <w:proofErr w:type="gramStart"/>
      <w:r w:rsidRPr="00796E46">
        <w:t>through the use of</w:t>
      </w:r>
      <w:proofErr w:type="gramEnd"/>
      <w:r w:rsidRPr="00796E46">
        <w:t xml:space="preserve"> proxies for the case of </w:t>
      </w:r>
      <w:r w:rsidR="00D25652" w:rsidRPr="00796E46">
        <w:t>GHG emission</w:t>
      </w:r>
      <w:r w:rsidRPr="00796E46">
        <w:t>s).</w:t>
      </w:r>
    </w:p>
    <w:p w14:paraId="5A599B8E" w14:textId="7178B5A8" w:rsidR="00C67EEA" w:rsidRPr="00796E46" w:rsidRDefault="00391D4F" w:rsidP="00353BA2">
      <w:pPr>
        <w:jc w:val="both"/>
        <w:rPr>
          <w:lang w:val="en-US"/>
        </w:rPr>
      </w:pPr>
      <w:r w:rsidRPr="00796E46">
        <w:t xml:space="preserve">In addition, the following </w:t>
      </w:r>
      <w:r w:rsidR="002C1269" w:rsidRPr="00796E46">
        <w:t xml:space="preserve">PAIs should </w:t>
      </w:r>
      <w:r w:rsidRPr="00796E46">
        <w:t xml:space="preserve">also be mandatory, </w:t>
      </w:r>
      <w:r w:rsidR="002C1269" w:rsidRPr="00796E46">
        <w:t xml:space="preserve">subject to a materiality assessment </w:t>
      </w:r>
      <w:r w:rsidRPr="00796E46">
        <w:t xml:space="preserve">if a given product </w:t>
      </w:r>
      <w:r w:rsidR="002C1269" w:rsidRPr="00796E46">
        <w:t>invest</w:t>
      </w:r>
      <w:r w:rsidRPr="00796E46">
        <w:t xml:space="preserve">s significant </w:t>
      </w:r>
      <w:proofErr w:type="gramStart"/>
      <w:r w:rsidRPr="00796E46">
        <w:t xml:space="preserve">amounts </w:t>
      </w:r>
      <w:r w:rsidR="002C1269" w:rsidRPr="00796E46">
        <w:t xml:space="preserve"> in</w:t>
      </w:r>
      <w:proofErr w:type="gramEnd"/>
      <w:r w:rsidR="002C1269" w:rsidRPr="00796E46">
        <w:t xml:space="preserve"> </w:t>
      </w:r>
      <w:r w:rsidRPr="00796E46">
        <w:t xml:space="preserve">relevant </w:t>
      </w:r>
      <w:r w:rsidR="002C1269" w:rsidRPr="00796E46">
        <w:t>economic sector</w:t>
      </w:r>
      <w:r w:rsidR="0000316B" w:rsidRPr="00796E46">
        <w:t>s</w:t>
      </w:r>
      <w:r w:rsidR="00832C28" w:rsidRPr="00796E46">
        <w:rPr>
          <w:lang w:val="en-US"/>
        </w:rPr>
        <w:t xml:space="preserve">: </w:t>
      </w:r>
    </w:p>
    <w:p w14:paraId="0B4C3D1C" w14:textId="6B516600" w:rsidR="00C67EEA" w:rsidRPr="00796E46" w:rsidRDefault="00832C28" w:rsidP="00353BA2">
      <w:pPr>
        <w:pStyle w:val="ListParagraph"/>
        <w:numPr>
          <w:ilvl w:val="0"/>
          <w:numId w:val="2"/>
        </w:numPr>
        <w:jc w:val="both"/>
        <w:rPr>
          <w:lang w:val="en-US"/>
        </w:rPr>
      </w:pPr>
      <w:r w:rsidRPr="00796E46">
        <w:rPr>
          <w:lang w:val="en-US"/>
        </w:rPr>
        <w:t>Energy consumption intensity per high impact climate sector</w:t>
      </w:r>
      <w:r w:rsidR="00D2331C" w:rsidRPr="00796E46">
        <w:rPr>
          <w:lang w:val="en-US"/>
        </w:rPr>
        <w:t>,</w:t>
      </w:r>
    </w:p>
    <w:p w14:paraId="0AA93312" w14:textId="0F37845B" w:rsidR="00C67EEA" w:rsidRPr="00796E46" w:rsidRDefault="00C67EEA" w:rsidP="00353BA2">
      <w:pPr>
        <w:pStyle w:val="ListParagraph"/>
        <w:numPr>
          <w:ilvl w:val="0"/>
          <w:numId w:val="2"/>
        </w:numPr>
        <w:jc w:val="both"/>
        <w:rPr>
          <w:lang w:val="en-US"/>
        </w:rPr>
      </w:pPr>
      <w:r w:rsidRPr="00796E46">
        <w:rPr>
          <w:lang w:val="en-US"/>
        </w:rPr>
        <w:t>A</w:t>
      </w:r>
      <w:r w:rsidR="00832C28" w:rsidRPr="00796E46">
        <w:rPr>
          <w:lang w:val="en-US"/>
        </w:rPr>
        <w:t>ctivities negatively affecting biodiversity sensitive areas</w:t>
      </w:r>
      <w:r w:rsidR="00D2331C" w:rsidRPr="00796E46">
        <w:rPr>
          <w:lang w:val="en-US"/>
        </w:rPr>
        <w:t>,</w:t>
      </w:r>
    </w:p>
    <w:p w14:paraId="0C6CDFE8" w14:textId="6CA84771" w:rsidR="00C67EEA" w:rsidRPr="00796E46" w:rsidRDefault="00C67EEA" w:rsidP="00353BA2">
      <w:pPr>
        <w:pStyle w:val="ListParagraph"/>
        <w:numPr>
          <w:ilvl w:val="0"/>
          <w:numId w:val="2"/>
        </w:numPr>
        <w:jc w:val="both"/>
        <w:rPr>
          <w:lang w:val="en-US"/>
        </w:rPr>
      </w:pPr>
      <w:r w:rsidRPr="00796E46">
        <w:rPr>
          <w:lang w:val="en-US"/>
        </w:rPr>
        <w:t>E</w:t>
      </w:r>
      <w:r w:rsidR="00832C28" w:rsidRPr="00796E46">
        <w:rPr>
          <w:lang w:val="en-US"/>
        </w:rPr>
        <w:t>missions to water,</w:t>
      </w:r>
    </w:p>
    <w:p w14:paraId="566048EE" w14:textId="3C9E7AF2" w:rsidR="00832C28" w:rsidRPr="00796E46" w:rsidRDefault="00C67EEA" w:rsidP="00353BA2">
      <w:pPr>
        <w:pStyle w:val="ListParagraph"/>
        <w:numPr>
          <w:ilvl w:val="0"/>
          <w:numId w:val="2"/>
        </w:numPr>
        <w:jc w:val="both"/>
        <w:rPr>
          <w:lang w:val="en-US"/>
        </w:rPr>
      </w:pPr>
      <w:r w:rsidRPr="00796E46">
        <w:rPr>
          <w:lang w:val="en-US"/>
        </w:rPr>
        <w:t>H</w:t>
      </w:r>
      <w:r w:rsidR="00832C28" w:rsidRPr="00796E46">
        <w:rPr>
          <w:lang w:val="en-US"/>
        </w:rPr>
        <w:t xml:space="preserve">azardous waste. </w:t>
      </w:r>
    </w:p>
    <w:p w14:paraId="34935853" w14:textId="2E009EC9" w:rsidR="000A067E" w:rsidRPr="00796E46" w:rsidRDefault="0047452F" w:rsidP="00353BA2">
      <w:pPr>
        <w:jc w:val="both"/>
        <w:rPr>
          <w:lang w:val="en-US"/>
        </w:rPr>
      </w:pPr>
      <w:r w:rsidRPr="00796E46">
        <w:rPr>
          <w:lang w:val="en-US"/>
        </w:rPr>
        <w:t>The definition of PAIs should be clarified to ensure comparability of disclosures (definitions, formulas, etc.)</w:t>
      </w:r>
      <w:r w:rsidR="0000316B" w:rsidRPr="00796E46">
        <w:rPr>
          <w:lang w:val="en-US"/>
        </w:rPr>
        <w:t xml:space="preserve"> across products, jurisdictions and legal frameworks</w:t>
      </w:r>
      <w:r w:rsidR="00CE027B" w:rsidRPr="00796E46">
        <w:rPr>
          <w:lang w:val="en-US"/>
        </w:rPr>
        <w:t>. The definition of violations notably should be sufficiently precise (sanctions, dispute in court, etc.).</w:t>
      </w:r>
      <w:r w:rsidR="00C60560" w:rsidRPr="00796E46">
        <w:rPr>
          <w:lang w:val="en-US"/>
        </w:rPr>
        <w:t xml:space="preserve"> </w:t>
      </w:r>
    </w:p>
    <w:p w14:paraId="0962514C" w14:textId="4F9EAD0D" w:rsidR="00CE027B" w:rsidRPr="00796E46" w:rsidRDefault="008E7BB4" w:rsidP="00353BA2">
      <w:pPr>
        <w:jc w:val="both"/>
        <w:rPr>
          <w:lang w:val="en-US"/>
        </w:rPr>
      </w:pPr>
      <w:r w:rsidRPr="00796E46">
        <w:rPr>
          <w:lang w:val="en-US"/>
        </w:rPr>
        <w:t xml:space="preserve">Using a similar approach as CSRD, </w:t>
      </w:r>
      <w:r w:rsidR="000A067E" w:rsidRPr="00796E46">
        <w:rPr>
          <w:lang w:val="en-US"/>
        </w:rPr>
        <w:t xml:space="preserve">SFDR should also make it clear that Financial Institutions need to </w:t>
      </w:r>
      <w:proofErr w:type="gramStart"/>
      <w:r w:rsidR="000A067E" w:rsidRPr="00796E46">
        <w:rPr>
          <w:lang w:val="en-US"/>
        </w:rPr>
        <w:t>take into account</w:t>
      </w:r>
      <w:proofErr w:type="gramEnd"/>
      <w:r w:rsidR="000A067E" w:rsidRPr="00796E46">
        <w:rPr>
          <w:lang w:val="en-US"/>
        </w:rPr>
        <w:t xml:space="preserve"> the impact of their business/client relationships in their sustainability reporting to ensure comparability of disclosures on Principal Adverse Impacts for Financial Products that have Financial Institutions as Investee Companies. </w:t>
      </w:r>
    </w:p>
    <w:p w14:paraId="6CBFC3F9" w14:textId="0B58F42C" w:rsidR="00391D4F" w:rsidRPr="00796E46" w:rsidRDefault="00391D4F" w:rsidP="00391D4F">
      <w:pPr>
        <w:jc w:val="both"/>
        <w:rPr>
          <w:lang w:val="en-US"/>
        </w:rPr>
      </w:pPr>
      <w:r w:rsidRPr="00796E46">
        <w:rPr>
          <w:lang w:val="en-US"/>
        </w:rPr>
        <w:t xml:space="preserve">Financial Market Participants could choose to disclose additional PAIs if they believe these are relevant for their types of investments. </w:t>
      </w:r>
    </w:p>
    <w:p w14:paraId="00C7FC1A" w14:textId="77777777" w:rsidR="008574E9" w:rsidRPr="00796E46" w:rsidRDefault="008574E9" w:rsidP="00353BA2">
      <w:pPr>
        <w:pStyle w:val="Subtitle"/>
        <w:jc w:val="both"/>
        <w:rPr>
          <w:lang w:val="en-US"/>
        </w:rPr>
      </w:pPr>
    </w:p>
    <w:p w14:paraId="2BB1EC3A" w14:textId="6FD3CCD0" w:rsidR="00E82F76" w:rsidRPr="00796E46" w:rsidRDefault="00E82F76" w:rsidP="00353BA2">
      <w:pPr>
        <w:pStyle w:val="Subtitle"/>
        <w:jc w:val="both"/>
        <w:rPr>
          <w:lang w:val="en-US"/>
        </w:rPr>
      </w:pPr>
      <w:r w:rsidRPr="00796E46">
        <w:rPr>
          <w:rStyle w:val="Strong"/>
          <w:rFonts w:asciiTheme="majorHAnsi" w:hAnsiTheme="majorHAnsi"/>
          <w:b w:val="0"/>
          <w:bCs w:val="0"/>
          <w:lang w:val="en-US"/>
        </w:rPr>
        <w:t xml:space="preserve">Questions where this key message can be pasted: </w:t>
      </w:r>
    </w:p>
    <w:p w14:paraId="3775AAC7" w14:textId="5BFB4F23" w:rsidR="00D23B1B" w:rsidRPr="00796E46" w:rsidRDefault="00D23B1B" w:rsidP="00D14D74">
      <w:pPr>
        <w:jc w:val="both"/>
        <w:rPr>
          <w:rFonts w:asciiTheme="majorHAnsi" w:hAnsiTheme="majorHAnsi"/>
          <w:lang w:val="en-US"/>
        </w:rPr>
      </w:pPr>
      <w:r w:rsidRPr="00796E46">
        <w:rPr>
          <w:rFonts w:asciiTheme="majorHAnsi" w:hAnsiTheme="majorHAnsi"/>
          <w:lang w:val="en-US"/>
        </w:rPr>
        <w:t>Box below 1.8 / 1.8.1 and 1.9: Disclosures of PAIs</w:t>
      </w:r>
    </w:p>
    <w:p w14:paraId="3C5807D0" w14:textId="6956F940" w:rsidR="00D14D74" w:rsidRPr="00796E46" w:rsidRDefault="00D14D74" w:rsidP="00D14D74">
      <w:pPr>
        <w:jc w:val="both"/>
        <w:rPr>
          <w:rFonts w:asciiTheme="majorHAnsi" w:hAnsiTheme="majorHAnsi"/>
          <w:b/>
          <w:bCs/>
          <w:lang w:val="en-US"/>
        </w:rPr>
      </w:pPr>
      <w:r w:rsidRPr="00796E46">
        <w:rPr>
          <w:rFonts w:asciiTheme="majorHAnsi" w:hAnsiTheme="majorHAnsi"/>
          <w:lang w:val="en-US"/>
        </w:rPr>
        <w:t>3.1.2 Among the specific entity level principal adverse impact indicators required by the Delegated Regulation of the SFDR adopted pursuant to Article 4 (tables 1, 2 and 3 of Annex I), which indicators do you find the most (and least) useful?</w:t>
      </w:r>
      <w:r w:rsidR="00BD3707" w:rsidRPr="00796E46">
        <w:rPr>
          <w:rFonts w:asciiTheme="majorHAnsi" w:hAnsiTheme="majorHAnsi"/>
          <w:lang w:val="en-US"/>
        </w:rPr>
        <w:t xml:space="preserve"> </w:t>
      </w:r>
      <w:r w:rsidR="00BD3707" w:rsidRPr="00796E46">
        <w:rPr>
          <w:rFonts w:asciiTheme="majorHAnsi" w:hAnsiTheme="majorHAnsi"/>
          <w:b/>
          <w:bCs/>
          <w:lang w:val="en-US"/>
        </w:rPr>
        <w:t>[Only list of PAIs + paragraph]</w:t>
      </w:r>
    </w:p>
    <w:p w14:paraId="76190FC2" w14:textId="442335B7" w:rsidR="00C266E9" w:rsidRPr="00796E46" w:rsidRDefault="00C266E9" w:rsidP="00C266E9">
      <w:pPr>
        <w:jc w:val="both"/>
        <w:rPr>
          <w:rFonts w:asciiTheme="majorHAnsi" w:hAnsiTheme="majorHAnsi"/>
          <w:lang w:val="en-US"/>
        </w:rPr>
      </w:pPr>
      <w:r w:rsidRPr="00796E46">
        <w:rPr>
          <w:rFonts w:asciiTheme="majorHAnsi" w:hAnsiTheme="majorHAnsi"/>
          <w:lang w:val="en-US"/>
        </w:rPr>
        <w:t>3.2.1.</w:t>
      </w:r>
      <w:proofErr w:type="spellStart"/>
      <w:r w:rsidRPr="00796E46">
        <w:rPr>
          <w:rFonts w:asciiTheme="majorHAnsi" w:hAnsiTheme="majorHAnsi"/>
          <w:lang w:val="en-US"/>
        </w:rPr>
        <w:t>a</w:t>
      </w:r>
      <w:proofErr w:type="spellEnd"/>
      <w:r w:rsidRPr="00796E46">
        <w:rPr>
          <w:rFonts w:asciiTheme="majorHAnsi" w:hAnsiTheme="majorHAnsi"/>
          <w:lang w:val="en-US"/>
        </w:rPr>
        <w:t xml:space="preserve"> If the EU was to impose uniform disclosure requirements for all financial products offered in the EU, should disclosures on a limited number of principal adverse impact indicators be required for all financial products offered in the EU?</w:t>
      </w:r>
    </w:p>
    <w:p w14:paraId="073F221A" w14:textId="2E691BD1" w:rsidR="00042DC8" w:rsidRPr="00796E46" w:rsidRDefault="00056ABA" w:rsidP="00353BA2">
      <w:pPr>
        <w:jc w:val="both"/>
        <w:rPr>
          <w:rFonts w:asciiTheme="majorHAnsi" w:hAnsiTheme="majorHAnsi"/>
          <w:lang w:val="en-US"/>
        </w:rPr>
      </w:pPr>
      <w:r w:rsidRPr="00796E46">
        <w:rPr>
          <w:rFonts w:asciiTheme="majorHAnsi" w:hAnsiTheme="majorHAnsi"/>
          <w:lang w:val="en-US"/>
        </w:rPr>
        <w:t xml:space="preserve">Question 3.2.2 b) If the EU was to impose uniform disclosure requirements for some financial products, should a limited number of principal adverse impact indicators be required? </w:t>
      </w:r>
      <w:r w:rsidRPr="00796E46">
        <w:rPr>
          <w:rFonts w:asciiTheme="majorHAnsi" w:hAnsiTheme="majorHAnsi"/>
          <w:b/>
          <w:bCs/>
          <w:lang w:val="en-US"/>
        </w:rPr>
        <w:t>[Only list of PAIs + paragraph]</w:t>
      </w:r>
    </w:p>
    <w:p w14:paraId="0AC9435B" w14:textId="66B0063D" w:rsidR="00B4663D" w:rsidRPr="00796E46" w:rsidRDefault="00B4663D" w:rsidP="00353BA2">
      <w:pPr>
        <w:jc w:val="both"/>
        <w:rPr>
          <w:rFonts w:asciiTheme="majorHAnsi" w:hAnsiTheme="majorHAnsi"/>
          <w:lang w:val="en-US"/>
        </w:rPr>
      </w:pPr>
      <w:r w:rsidRPr="00796E46">
        <w:rPr>
          <w:rFonts w:asciiTheme="majorHAnsi" w:hAnsiTheme="majorHAnsi"/>
          <w:lang w:val="en-US"/>
        </w:rPr>
        <w:br w:type="page"/>
      </w:r>
    </w:p>
    <w:p w14:paraId="09585028" w14:textId="41426655" w:rsidR="00546CD1" w:rsidRPr="00796E46" w:rsidRDefault="00D65A9A" w:rsidP="00353BA2">
      <w:pPr>
        <w:pStyle w:val="Heading1"/>
        <w:jc w:val="both"/>
      </w:pPr>
      <w:bookmarkStart w:id="32" w:name="_Toc152193513"/>
      <w:bookmarkStart w:id="33" w:name="_Toc152770344"/>
      <w:r w:rsidRPr="00796E46">
        <w:lastRenderedPageBreak/>
        <w:t>Keep the current</w:t>
      </w:r>
      <w:r w:rsidR="00546CD1" w:rsidRPr="00796E46">
        <w:t xml:space="preserve"> </w:t>
      </w:r>
      <w:r w:rsidR="00C60560" w:rsidRPr="00796E46">
        <w:rPr>
          <w:lang w:val="en-US"/>
        </w:rPr>
        <w:t>definition of “</w:t>
      </w:r>
      <w:r w:rsidR="008F48D3" w:rsidRPr="00796E46">
        <w:rPr>
          <w:lang w:val="en-US"/>
        </w:rPr>
        <w:t>s</w:t>
      </w:r>
      <w:proofErr w:type="spellStart"/>
      <w:r w:rsidR="00546CD1" w:rsidRPr="00796E46">
        <w:t>ustainable</w:t>
      </w:r>
      <w:proofErr w:type="spellEnd"/>
      <w:r w:rsidR="00546CD1" w:rsidRPr="00796E46">
        <w:t xml:space="preserve"> </w:t>
      </w:r>
      <w:proofErr w:type="spellStart"/>
      <w:r w:rsidR="008F48D3" w:rsidRPr="00796E46">
        <w:rPr>
          <w:lang w:val="en-US"/>
        </w:rPr>
        <w:t>i</w:t>
      </w:r>
      <w:r w:rsidR="00546CD1" w:rsidRPr="00796E46">
        <w:t>nvestment</w:t>
      </w:r>
      <w:proofErr w:type="spellEnd"/>
      <w:r w:rsidR="00C60560" w:rsidRPr="00796E46">
        <w:rPr>
          <w:lang w:val="en-US"/>
        </w:rPr>
        <w:t>s”</w:t>
      </w:r>
      <w:r w:rsidR="00546CD1" w:rsidRPr="00796E46">
        <w:t xml:space="preserve"> </w:t>
      </w:r>
      <w:r w:rsidR="00C60560" w:rsidRPr="00796E46">
        <w:rPr>
          <w:lang w:val="en-US"/>
        </w:rPr>
        <w:t>(Article 2(17) of SFDR)</w:t>
      </w:r>
      <w:r w:rsidRPr="00796E46">
        <w:rPr>
          <w:lang w:val="en-US"/>
        </w:rPr>
        <w:t xml:space="preserve">. Refine </w:t>
      </w:r>
      <w:r w:rsidR="00990134" w:rsidRPr="00796E46">
        <w:rPr>
          <w:lang w:val="en-US"/>
        </w:rPr>
        <w:t xml:space="preserve">to include </w:t>
      </w:r>
      <w:r w:rsidR="000650D1" w:rsidRPr="00796E46">
        <w:rPr>
          <w:lang w:val="en-US"/>
        </w:rPr>
        <w:t>concepts commonly used internationally to define impact investments</w:t>
      </w:r>
      <w:r w:rsidR="00C60560" w:rsidRPr="00796E46">
        <w:rPr>
          <w:lang w:val="en-US"/>
        </w:rPr>
        <w:t>.</w:t>
      </w:r>
      <w:bookmarkEnd w:id="32"/>
      <w:bookmarkEnd w:id="33"/>
      <w:r w:rsidR="00C60560" w:rsidRPr="00796E46">
        <w:rPr>
          <w:lang w:val="en-US"/>
        </w:rPr>
        <w:t xml:space="preserve"> </w:t>
      </w:r>
    </w:p>
    <w:p w14:paraId="07C4006A" w14:textId="4F58D993" w:rsidR="00C60560" w:rsidRPr="00796E46" w:rsidRDefault="00C60560"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We consider the current definition of “Sustainable Investments” (Article 2(17) of SFDR) as optimal in terms of its openness and flexibility</w:t>
      </w:r>
      <w:r w:rsidR="0065359D" w:rsidRPr="00796E46">
        <w:rPr>
          <w:rStyle w:val="Strong"/>
          <w:rFonts w:asciiTheme="majorHAnsi" w:hAnsiTheme="majorHAnsi"/>
          <w:b w:val="0"/>
          <w:bCs w:val="0"/>
          <w:lang w:val="en-US"/>
        </w:rPr>
        <w:t xml:space="preserve">. It allows a Financial Market Participant to explain how its investments contribute to sustainable objectives. It can </w:t>
      </w:r>
      <w:r w:rsidRPr="00796E46">
        <w:rPr>
          <w:rStyle w:val="Strong"/>
          <w:rFonts w:asciiTheme="majorHAnsi" w:hAnsiTheme="majorHAnsi"/>
          <w:b w:val="0"/>
          <w:bCs w:val="0"/>
          <w:lang w:val="en-US"/>
        </w:rPr>
        <w:t xml:space="preserve">adapt to all strategies that </w:t>
      </w:r>
      <w:r w:rsidR="0065359D" w:rsidRPr="00796E46">
        <w:rPr>
          <w:rStyle w:val="Strong"/>
          <w:rFonts w:asciiTheme="majorHAnsi" w:hAnsiTheme="majorHAnsi"/>
          <w:b w:val="0"/>
          <w:bCs w:val="0"/>
          <w:lang w:val="en-US"/>
        </w:rPr>
        <w:t xml:space="preserve">can be used by </w:t>
      </w:r>
      <w:r w:rsidRPr="00796E46">
        <w:rPr>
          <w:rStyle w:val="Strong"/>
          <w:rFonts w:asciiTheme="majorHAnsi" w:hAnsiTheme="majorHAnsi"/>
          <w:b w:val="0"/>
          <w:bCs w:val="0"/>
          <w:lang w:val="en-US"/>
        </w:rPr>
        <w:t xml:space="preserve">Financial Market Participants to contribute to </w:t>
      </w:r>
      <w:r w:rsidR="000650D1" w:rsidRPr="00796E46">
        <w:rPr>
          <w:rStyle w:val="Strong"/>
          <w:rFonts w:asciiTheme="majorHAnsi" w:hAnsiTheme="majorHAnsi"/>
          <w:b w:val="0"/>
          <w:bCs w:val="0"/>
          <w:lang w:val="en-US"/>
        </w:rPr>
        <w:t>solving</w:t>
      </w:r>
      <w:r w:rsidRPr="00796E46">
        <w:rPr>
          <w:rStyle w:val="Strong"/>
          <w:rFonts w:asciiTheme="majorHAnsi" w:hAnsiTheme="majorHAnsi"/>
          <w:b w:val="0"/>
          <w:bCs w:val="0"/>
          <w:lang w:val="en-US"/>
        </w:rPr>
        <w:t xml:space="preserve"> sustainability issues. It can also adjust to the realities of emerging markets</w:t>
      </w:r>
      <w:r w:rsidR="0065359D"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xml:space="preserve">This is very much welcome, and this approach should not be changed. </w:t>
      </w:r>
    </w:p>
    <w:p w14:paraId="4D22E7F9" w14:textId="77777777" w:rsidR="00434F07" w:rsidRPr="00796E46" w:rsidRDefault="00C60560"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We </w:t>
      </w:r>
      <w:r w:rsidR="000650D1" w:rsidRPr="00796E46">
        <w:rPr>
          <w:rStyle w:val="Strong"/>
          <w:rFonts w:asciiTheme="majorHAnsi" w:hAnsiTheme="majorHAnsi"/>
          <w:b w:val="0"/>
          <w:bCs w:val="0"/>
          <w:lang w:val="en-US"/>
        </w:rPr>
        <w:t xml:space="preserve">however </w:t>
      </w:r>
      <w:r w:rsidRPr="00796E46">
        <w:rPr>
          <w:rStyle w:val="Strong"/>
          <w:rFonts w:asciiTheme="majorHAnsi" w:hAnsiTheme="majorHAnsi"/>
          <w:b w:val="0"/>
          <w:bCs w:val="0"/>
          <w:lang w:val="en-US"/>
        </w:rPr>
        <w:t xml:space="preserve">suggest refining the wording to </w:t>
      </w:r>
      <w:r w:rsidR="000650D1" w:rsidRPr="00796E46">
        <w:rPr>
          <w:rStyle w:val="Strong"/>
          <w:rFonts w:asciiTheme="majorHAnsi" w:hAnsiTheme="majorHAnsi"/>
          <w:b w:val="0"/>
          <w:bCs w:val="0"/>
          <w:lang w:val="en-US"/>
        </w:rPr>
        <w:t xml:space="preserve">put more emphasis on the terms commonly </w:t>
      </w:r>
      <w:r w:rsidRPr="00796E46">
        <w:rPr>
          <w:rStyle w:val="Strong"/>
          <w:rFonts w:asciiTheme="majorHAnsi" w:hAnsiTheme="majorHAnsi"/>
          <w:b w:val="0"/>
          <w:bCs w:val="0"/>
          <w:lang w:val="en-US"/>
        </w:rPr>
        <w:t xml:space="preserve">used internationally to </w:t>
      </w:r>
      <w:r w:rsidR="000650D1" w:rsidRPr="00796E46">
        <w:rPr>
          <w:rStyle w:val="Strong"/>
          <w:rFonts w:asciiTheme="majorHAnsi" w:hAnsiTheme="majorHAnsi"/>
          <w:b w:val="0"/>
          <w:bCs w:val="0"/>
          <w:lang w:val="en-US"/>
        </w:rPr>
        <w:t>define</w:t>
      </w:r>
      <w:r w:rsidRPr="00796E46">
        <w:rPr>
          <w:rStyle w:val="Strong"/>
          <w:rFonts w:asciiTheme="majorHAnsi" w:hAnsiTheme="majorHAnsi"/>
          <w:b w:val="0"/>
          <w:bCs w:val="0"/>
          <w:lang w:val="en-US"/>
        </w:rPr>
        <w:t xml:space="preserve"> impact investments</w:t>
      </w:r>
      <w:r w:rsidR="000650D1" w:rsidRPr="00796E46">
        <w:rPr>
          <w:rStyle w:val="Strong"/>
          <w:rFonts w:asciiTheme="majorHAnsi" w:hAnsiTheme="majorHAnsi"/>
          <w:b w:val="0"/>
          <w:bCs w:val="0"/>
          <w:lang w:val="en-US"/>
        </w:rPr>
        <w:t xml:space="preserve">: the </w:t>
      </w:r>
      <w:r w:rsidR="000650D1" w:rsidRPr="00796E46">
        <w:rPr>
          <w:rStyle w:val="Strong"/>
          <w:rFonts w:asciiTheme="majorHAnsi" w:hAnsiTheme="majorHAnsi"/>
          <w:b w:val="0"/>
          <w:bCs w:val="0"/>
          <w:u w:val="single"/>
          <w:lang w:val="en-US"/>
        </w:rPr>
        <w:t>intention</w:t>
      </w:r>
      <w:r w:rsidR="000650D1" w:rsidRPr="00796E46">
        <w:rPr>
          <w:rStyle w:val="Strong"/>
          <w:rFonts w:asciiTheme="majorHAnsi" w:hAnsiTheme="majorHAnsi"/>
          <w:b w:val="0"/>
          <w:bCs w:val="0"/>
          <w:lang w:val="en-US"/>
        </w:rPr>
        <w:t xml:space="preserve"> to achieve a </w:t>
      </w:r>
      <w:r w:rsidR="000650D1" w:rsidRPr="00796E46">
        <w:rPr>
          <w:rStyle w:val="Strong"/>
          <w:rFonts w:asciiTheme="majorHAnsi" w:hAnsiTheme="majorHAnsi"/>
          <w:b w:val="0"/>
          <w:bCs w:val="0"/>
          <w:u w:val="single"/>
          <w:lang w:val="en-US"/>
        </w:rPr>
        <w:t>positive</w:t>
      </w:r>
      <w:r w:rsidR="000650D1" w:rsidRPr="00796E46">
        <w:rPr>
          <w:rStyle w:val="Strong"/>
          <w:rFonts w:asciiTheme="majorHAnsi" w:hAnsiTheme="majorHAnsi"/>
          <w:b w:val="0"/>
          <w:bCs w:val="0"/>
          <w:lang w:val="en-US"/>
        </w:rPr>
        <w:t xml:space="preserve"> and </w:t>
      </w:r>
      <w:r w:rsidR="000650D1" w:rsidRPr="00796E46">
        <w:rPr>
          <w:rStyle w:val="Strong"/>
          <w:rFonts w:asciiTheme="majorHAnsi" w:hAnsiTheme="majorHAnsi"/>
          <w:b w:val="0"/>
          <w:bCs w:val="0"/>
          <w:u w:val="single"/>
          <w:lang w:val="en-US"/>
        </w:rPr>
        <w:t>measurable</w:t>
      </w:r>
      <w:r w:rsidR="000650D1" w:rsidRPr="00796E46">
        <w:rPr>
          <w:rStyle w:val="Strong"/>
          <w:rFonts w:asciiTheme="majorHAnsi" w:hAnsiTheme="majorHAnsi"/>
          <w:b w:val="0"/>
          <w:bCs w:val="0"/>
          <w:lang w:val="en-US"/>
        </w:rPr>
        <w:t xml:space="preserve"> social and/or environmental </w:t>
      </w:r>
      <w:r w:rsidR="000650D1" w:rsidRPr="00796E46">
        <w:rPr>
          <w:rStyle w:val="Strong"/>
          <w:rFonts w:asciiTheme="majorHAnsi" w:hAnsiTheme="majorHAnsi"/>
          <w:b w:val="0"/>
          <w:bCs w:val="0"/>
          <w:u w:val="single"/>
          <w:lang w:val="en-US"/>
        </w:rPr>
        <w:t>impact</w:t>
      </w:r>
      <w:r w:rsidR="000650D1" w:rsidRPr="00796E46">
        <w:rPr>
          <w:rStyle w:val="Strong"/>
          <w:rFonts w:asciiTheme="majorHAnsi" w:hAnsiTheme="majorHAnsi"/>
          <w:b w:val="0"/>
          <w:bCs w:val="0"/>
          <w:lang w:val="en-US"/>
        </w:rPr>
        <w:t>.</w:t>
      </w:r>
      <w:r w:rsidR="00DF588E" w:rsidRPr="00796E46">
        <w:rPr>
          <w:rStyle w:val="Strong"/>
          <w:rFonts w:asciiTheme="majorHAnsi" w:hAnsiTheme="majorHAnsi"/>
          <w:b w:val="0"/>
          <w:bCs w:val="0"/>
          <w:lang w:val="en-US"/>
        </w:rPr>
        <w:t xml:space="preserve"> </w:t>
      </w:r>
    </w:p>
    <w:p w14:paraId="60CDC6E1" w14:textId="19F6BAE0" w:rsidR="00567987" w:rsidRPr="00796E46" w:rsidRDefault="000650D1" w:rsidP="00567987">
      <w:pPr>
        <w:jc w:val="both"/>
        <w:rPr>
          <w:rStyle w:val="Strong"/>
          <w:rFonts w:asciiTheme="majorHAnsi" w:hAnsiTheme="majorHAnsi"/>
          <w:b w:val="0"/>
          <w:bCs w:val="0"/>
          <w:lang w:val="en-US"/>
        </w:rPr>
      </w:pPr>
      <w:r w:rsidRPr="00796E46">
        <w:rPr>
          <w:rStyle w:val="Strong"/>
          <w:rFonts w:asciiTheme="majorHAnsi" w:hAnsiTheme="majorHAnsi"/>
          <w:b w:val="0"/>
          <w:bCs w:val="0"/>
          <w:lang w:val="en-US"/>
        </w:rPr>
        <w:t>A potential evolution of Article 2(17) could read as follows</w:t>
      </w:r>
      <w:r w:rsidR="00EC3391" w:rsidRPr="00796E46">
        <w:rPr>
          <w:rStyle w:val="Strong"/>
          <w:rFonts w:asciiTheme="majorHAnsi" w:hAnsiTheme="majorHAnsi"/>
          <w:b w:val="0"/>
          <w:bCs w:val="0"/>
          <w:lang w:val="en-US"/>
        </w:rPr>
        <w:t xml:space="preserve"> (additions in CAPITAL LETTERS)</w:t>
      </w:r>
    </w:p>
    <w:p w14:paraId="61908FAB" w14:textId="0A8CC07E" w:rsidR="00F566A2" w:rsidRPr="00796E46" w:rsidRDefault="00F566A2" w:rsidP="00F566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w:t>
      </w:r>
      <w:proofErr w:type="gramStart"/>
      <w:r w:rsidRPr="00796E46">
        <w:rPr>
          <w:rStyle w:val="Strong"/>
          <w:rFonts w:asciiTheme="majorHAnsi" w:hAnsiTheme="majorHAnsi"/>
          <w:b w:val="0"/>
          <w:bCs w:val="0"/>
          <w:lang w:val="en-US"/>
        </w:rPr>
        <w:t>sustainable</w:t>
      </w:r>
      <w:proofErr w:type="gramEnd"/>
      <w:r w:rsidRPr="00796E46">
        <w:rPr>
          <w:rStyle w:val="Strong"/>
          <w:rFonts w:asciiTheme="majorHAnsi" w:hAnsiTheme="majorHAnsi"/>
          <w:b w:val="0"/>
          <w:bCs w:val="0"/>
          <w:lang w:val="en-US"/>
        </w:rPr>
        <w:t xml:space="preserve"> investment’ means an investment in an economic activity OR ASSET that contributes:</w:t>
      </w:r>
    </w:p>
    <w:p w14:paraId="01E49041" w14:textId="541B7E5F" w:rsidR="00F566A2" w:rsidRPr="00796E46" w:rsidRDefault="00F566A2" w:rsidP="005244E2">
      <w:pPr>
        <w:pStyle w:val="ListParagraph"/>
        <w:numPr>
          <w:ilvl w:val="0"/>
          <w:numId w:val="32"/>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to an environmental objective, </w:t>
      </w:r>
      <w:r w:rsidR="00EC3391" w:rsidRPr="00796E46">
        <w:rPr>
          <w:rStyle w:val="Strong"/>
          <w:rFonts w:asciiTheme="majorHAnsi" w:hAnsiTheme="majorHAnsi"/>
          <w:b w:val="0"/>
          <w:bCs w:val="0"/>
          <w:lang w:val="en-US"/>
        </w:rPr>
        <w:t xml:space="preserve">SUCH AS </w:t>
      </w:r>
      <w:r w:rsidRPr="00796E46">
        <w:rPr>
          <w:rStyle w:val="Strong"/>
          <w:rFonts w:asciiTheme="majorHAnsi" w:hAnsiTheme="majorHAnsi"/>
          <w:b w:val="0"/>
          <w:bCs w:val="0"/>
          <w:lang w:val="en-US"/>
        </w:rPr>
        <w:t xml:space="preserve">the </w:t>
      </w:r>
      <w:r w:rsidR="007F6FDD" w:rsidRPr="00796E46">
        <w:rPr>
          <w:rStyle w:val="Strong"/>
          <w:rFonts w:asciiTheme="majorHAnsi" w:hAnsiTheme="majorHAnsi"/>
          <w:b w:val="0"/>
          <w:bCs w:val="0"/>
          <w:lang w:val="en-US"/>
        </w:rPr>
        <w:t xml:space="preserve">REDUCTION OF THE </w:t>
      </w:r>
      <w:r w:rsidRPr="00796E46">
        <w:rPr>
          <w:rStyle w:val="Strong"/>
          <w:rFonts w:asciiTheme="majorHAnsi" w:hAnsiTheme="majorHAnsi"/>
          <w:b w:val="0"/>
          <w:bCs w:val="0"/>
          <w:lang w:val="en-US"/>
        </w:rPr>
        <w:t xml:space="preserve">use of energy, </w:t>
      </w:r>
      <w:r w:rsidR="007F6FDD" w:rsidRPr="00796E46">
        <w:rPr>
          <w:rStyle w:val="Strong"/>
          <w:rFonts w:asciiTheme="majorHAnsi" w:hAnsiTheme="majorHAnsi"/>
          <w:b w:val="0"/>
          <w:bCs w:val="0"/>
          <w:lang w:val="en-US"/>
        </w:rPr>
        <w:t xml:space="preserve">THE INCREASE IN THE PRODUCTION OR CONSUMPTION OF </w:t>
      </w:r>
      <w:r w:rsidRPr="00796E46">
        <w:rPr>
          <w:rStyle w:val="Strong"/>
          <w:rFonts w:asciiTheme="majorHAnsi" w:hAnsiTheme="majorHAnsi"/>
          <w:b w:val="0"/>
          <w:bCs w:val="0"/>
          <w:lang w:val="en-US"/>
        </w:rPr>
        <w:t xml:space="preserve">renewable energy, </w:t>
      </w:r>
      <w:r w:rsidR="00EC3391" w:rsidRPr="00796E46">
        <w:rPr>
          <w:rStyle w:val="Strong"/>
          <w:rFonts w:asciiTheme="majorHAnsi" w:hAnsiTheme="majorHAnsi"/>
          <w:b w:val="0"/>
          <w:bCs w:val="0"/>
          <w:lang w:val="en-US"/>
        </w:rPr>
        <w:t xml:space="preserve">THE REDUCTION OF THE USE OF </w:t>
      </w:r>
      <w:r w:rsidRPr="00796E46">
        <w:rPr>
          <w:rStyle w:val="Strong"/>
          <w:rFonts w:asciiTheme="majorHAnsi" w:hAnsiTheme="majorHAnsi"/>
          <w:b w:val="0"/>
          <w:bCs w:val="0"/>
          <w:lang w:val="en-US"/>
        </w:rPr>
        <w:t xml:space="preserve">raw materials, water and land, the </w:t>
      </w:r>
      <w:r w:rsidR="00EC3391" w:rsidRPr="00796E46">
        <w:rPr>
          <w:rStyle w:val="Strong"/>
          <w:rFonts w:asciiTheme="majorHAnsi" w:hAnsiTheme="majorHAnsi"/>
          <w:b w:val="0"/>
          <w:bCs w:val="0"/>
          <w:lang w:val="en-US"/>
        </w:rPr>
        <w:t xml:space="preserve">REDUCTION OF THE </w:t>
      </w:r>
      <w:r w:rsidRPr="00796E46">
        <w:rPr>
          <w:rStyle w:val="Strong"/>
          <w:rFonts w:asciiTheme="majorHAnsi" w:hAnsiTheme="majorHAnsi"/>
          <w:b w:val="0"/>
          <w:bCs w:val="0"/>
          <w:lang w:val="en-US"/>
        </w:rPr>
        <w:t xml:space="preserve">production of waste, </w:t>
      </w:r>
      <w:r w:rsidR="007F6FDD" w:rsidRPr="00796E46">
        <w:rPr>
          <w:rStyle w:val="Strong"/>
          <w:rFonts w:asciiTheme="majorHAnsi" w:hAnsiTheme="majorHAnsi"/>
          <w:b w:val="0"/>
          <w:bCs w:val="0"/>
          <w:lang w:val="en-US"/>
        </w:rPr>
        <w:t>THE REDUCTION OF</w:t>
      </w:r>
      <w:r w:rsidRPr="00796E46">
        <w:rPr>
          <w:rStyle w:val="Strong"/>
          <w:rFonts w:asciiTheme="majorHAnsi" w:hAnsiTheme="majorHAnsi"/>
          <w:b w:val="0"/>
          <w:bCs w:val="0"/>
          <w:lang w:val="en-US"/>
        </w:rPr>
        <w:t xml:space="preserve"> greenhouse gas emissions (INCLUDING THROUGH TRANSITION PLANS), or</w:t>
      </w:r>
      <w:r w:rsidR="00EC3391" w:rsidRPr="00796E46">
        <w:rPr>
          <w:rStyle w:val="Strong"/>
          <w:rFonts w:asciiTheme="majorHAnsi" w:hAnsiTheme="majorHAnsi"/>
          <w:b w:val="0"/>
          <w:bCs w:val="0"/>
          <w:lang w:val="en-US"/>
        </w:rPr>
        <w:t xml:space="preserve"> A POSITIVE </w:t>
      </w:r>
      <w:r w:rsidRPr="00796E46">
        <w:rPr>
          <w:rStyle w:val="Strong"/>
          <w:rFonts w:asciiTheme="majorHAnsi" w:hAnsiTheme="majorHAnsi"/>
          <w:b w:val="0"/>
          <w:bCs w:val="0"/>
          <w:lang w:val="en-US"/>
        </w:rPr>
        <w:t xml:space="preserve">impact on biodiversity and the circular </w:t>
      </w:r>
      <w:proofErr w:type="gramStart"/>
      <w:r w:rsidRPr="00796E46">
        <w:rPr>
          <w:rStyle w:val="Strong"/>
          <w:rFonts w:asciiTheme="majorHAnsi" w:hAnsiTheme="majorHAnsi"/>
          <w:b w:val="0"/>
          <w:bCs w:val="0"/>
          <w:lang w:val="en-US"/>
        </w:rPr>
        <w:t>economy;</w:t>
      </w:r>
      <w:proofErr w:type="gramEnd"/>
      <w:r w:rsidRPr="00796E46">
        <w:rPr>
          <w:rStyle w:val="Strong"/>
          <w:rFonts w:asciiTheme="majorHAnsi" w:hAnsiTheme="majorHAnsi"/>
          <w:b w:val="0"/>
          <w:bCs w:val="0"/>
          <w:lang w:val="en-US"/>
        </w:rPr>
        <w:t xml:space="preserve"> </w:t>
      </w:r>
    </w:p>
    <w:p w14:paraId="387ECE21" w14:textId="7916B79A" w:rsidR="00F566A2" w:rsidRPr="00796E46" w:rsidRDefault="00F566A2" w:rsidP="005244E2">
      <w:pPr>
        <w:pStyle w:val="ListParagraph"/>
        <w:numPr>
          <w:ilvl w:val="0"/>
          <w:numId w:val="32"/>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to a social objective,</w:t>
      </w:r>
      <w:r w:rsidR="002D2B0C" w:rsidRPr="00796E46">
        <w:rPr>
          <w:rStyle w:val="Strong"/>
          <w:rFonts w:asciiTheme="majorHAnsi" w:hAnsiTheme="majorHAnsi"/>
          <w:b w:val="0"/>
          <w:bCs w:val="0"/>
          <w:lang w:val="en-US"/>
        </w:rPr>
        <w:t xml:space="preserve"> SUCH AS</w:t>
      </w:r>
      <w:r w:rsidR="008C4AA0"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xml:space="preserve">tackling inequality or </w:t>
      </w:r>
      <w:r w:rsidR="002D2B0C" w:rsidRPr="00796E46">
        <w:rPr>
          <w:rStyle w:val="Strong"/>
          <w:rFonts w:asciiTheme="majorHAnsi" w:hAnsiTheme="majorHAnsi"/>
          <w:b w:val="0"/>
          <w:bCs w:val="0"/>
          <w:lang w:val="en-US"/>
        </w:rPr>
        <w:t xml:space="preserve">FOSTERING </w:t>
      </w:r>
      <w:r w:rsidRPr="00796E46">
        <w:rPr>
          <w:rStyle w:val="Strong"/>
          <w:rFonts w:asciiTheme="majorHAnsi" w:hAnsiTheme="majorHAnsi"/>
          <w:b w:val="0"/>
          <w:bCs w:val="0"/>
          <w:lang w:val="en-US"/>
        </w:rPr>
        <w:t xml:space="preserve">social cohesion, social integration and </w:t>
      </w:r>
      <w:proofErr w:type="spellStart"/>
      <w:r w:rsidRPr="00796E46">
        <w:rPr>
          <w:rStyle w:val="Strong"/>
          <w:rFonts w:asciiTheme="majorHAnsi" w:hAnsiTheme="majorHAnsi"/>
          <w:b w:val="0"/>
          <w:bCs w:val="0"/>
          <w:lang w:val="en-US"/>
        </w:rPr>
        <w:t>labour</w:t>
      </w:r>
      <w:proofErr w:type="spellEnd"/>
      <w:r w:rsidRPr="00796E46">
        <w:rPr>
          <w:rStyle w:val="Strong"/>
          <w:rFonts w:asciiTheme="majorHAnsi" w:hAnsiTheme="majorHAnsi"/>
          <w:b w:val="0"/>
          <w:bCs w:val="0"/>
          <w:lang w:val="en-US"/>
        </w:rPr>
        <w:t xml:space="preserve"> relations, or an investment in human capital or </w:t>
      </w:r>
      <w:r w:rsidR="007F6FDD" w:rsidRPr="00796E46">
        <w:rPr>
          <w:rStyle w:val="Strong"/>
          <w:rFonts w:asciiTheme="majorHAnsi" w:hAnsiTheme="majorHAnsi"/>
          <w:b w:val="0"/>
          <w:bCs w:val="0"/>
          <w:lang w:val="en-US"/>
        </w:rPr>
        <w:t xml:space="preserve">THE DEVELOPMENT OF </w:t>
      </w:r>
      <w:r w:rsidRPr="00796E46">
        <w:rPr>
          <w:rStyle w:val="Strong"/>
          <w:rFonts w:asciiTheme="majorHAnsi" w:hAnsiTheme="majorHAnsi"/>
          <w:b w:val="0"/>
          <w:bCs w:val="0"/>
          <w:lang w:val="en-US"/>
        </w:rPr>
        <w:t xml:space="preserve">economically or socially disadvantaged </w:t>
      </w:r>
      <w:proofErr w:type="gramStart"/>
      <w:r w:rsidRPr="00796E46">
        <w:rPr>
          <w:rStyle w:val="Strong"/>
          <w:rFonts w:asciiTheme="majorHAnsi" w:hAnsiTheme="majorHAnsi"/>
          <w:b w:val="0"/>
          <w:bCs w:val="0"/>
          <w:lang w:val="en-US"/>
        </w:rPr>
        <w:t>communities;</w:t>
      </w:r>
      <w:proofErr w:type="gramEnd"/>
    </w:p>
    <w:p w14:paraId="73B68A86" w14:textId="5FAC35F7" w:rsidR="00F566A2" w:rsidRPr="00796E46" w:rsidRDefault="00F566A2" w:rsidP="00F566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provided that</w:t>
      </w:r>
      <w:r w:rsidR="00603B4A" w:rsidRPr="00796E46">
        <w:rPr>
          <w:rStyle w:val="Strong"/>
          <w:rFonts w:asciiTheme="majorHAnsi" w:hAnsiTheme="majorHAnsi"/>
          <w:b w:val="0"/>
          <w:bCs w:val="0"/>
          <w:lang w:val="en-US"/>
        </w:rPr>
        <w:t>:</w:t>
      </w:r>
    </w:p>
    <w:p w14:paraId="3CED32E9" w14:textId="6B854BB2" w:rsidR="00F566A2" w:rsidRPr="00796E46" w:rsidRDefault="00603B4A" w:rsidP="005244E2">
      <w:pPr>
        <w:pStyle w:val="ListParagraph"/>
        <w:numPr>
          <w:ilvl w:val="0"/>
          <w:numId w:val="33"/>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such investments </w:t>
      </w:r>
      <w:r w:rsidR="00F566A2" w:rsidRPr="00796E46">
        <w:rPr>
          <w:rStyle w:val="Strong"/>
          <w:rFonts w:asciiTheme="majorHAnsi" w:hAnsiTheme="majorHAnsi"/>
          <w:b w:val="0"/>
          <w:bCs w:val="0"/>
          <w:lang w:val="en-US"/>
        </w:rPr>
        <w:t xml:space="preserve">do not significantly harm </w:t>
      </w:r>
      <w:r w:rsidR="008D5DF6" w:rsidRPr="00796E46">
        <w:rPr>
          <w:rStyle w:val="Strong"/>
          <w:rFonts w:asciiTheme="majorHAnsi" w:hAnsiTheme="majorHAnsi"/>
          <w:b w:val="0"/>
          <w:bCs w:val="0"/>
          <w:lang w:val="en-US"/>
        </w:rPr>
        <w:t xml:space="preserve">SUSTAINABILITY </w:t>
      </w:r>
      <w:proofErr w:type="gramStart"/>
      <w:r w:rsidR="008D5DF6" w:rsidRPr="00796E46">
        <w:rPr>
          <w:rStyle w:val="Strong"/>
          <w:rFonts w:asciiTheme="majorHAnsi" w:hAnsiTheme="majorHAnsi"/>
          <w:b w:val="0"/>
          <w:bCs w:val="0"/>
          <w:lang w:val="en-US"/>
        </w:rPr>
        <w:t>FACTORS</w:t>
      </w:r>
      <w:r w:rsidR="00F566A2" w:rsidRPr="00796E46">
        <w:rPr>
          <w:rStyle w:val="Strong"/>
          <w:rFonts w:asciiTheme="majorHAnsi" w:hAnsiTheme="majorHAnsi"/>
          <w:b w:val="0"/>
          <w:bCs w:val="0"/>
          <w:lang w:val="en-US"/>
        </w:rPr>
        <w:t>;</w:t>
      </w:r>
      <w:proofErr w:type="gramEnd"/>
      <w:r w:rsidR="00F566A2" w:rsidRPr="00796E46">
        <w:rPr>
          <w:rStyle w:val="Strong"/>
          <w:rFonts w:asciiTheme="majorHAnsi" w:hAnsiTheme="majorHAnsi"/>
          <w:b w:val="0"/>
          <w:bCs w:val="0"/>
          <w:lang w:val="en-US"/>
        </w:rPr>
        <w:t xml:space="preserve"> </w:t>
      </w:r>
    </w:p>
    <w:p w14:paraId="72C6F4C6" w14:textId="54C6796E" w:rsidR="00F566A2" w:rsidRPr="00796E46" w:rsidRDefault="00EC3391" w:rsidP="005244E2">
      <w:pPr>
        <w:pStyle w:val="ListParagraph"/>
        <w:numPr>
          <w:ilvl w:val="0"/>
          <w:numId w:val="33"/>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SUCH INVESTMENTS ARE MADE WITH A PRE-DEFINED INTENTION TO ACHIEVE A POSITIVE IMPACT THAT IS REGULARLY REPORTED AND MEASURED</w:t>
      </w:r>
    </w:p>
    <w:p w14:paraId="4A1E5B48" w14:textId="792CBC17" w:rsidR="00F566A2" w:rsidRPr="00796E46" w:rsidRDefault="00603B4A" w:rsidP="005244E2">
      <w:pPr>
        <w:pStyle w:val="ListParagraph"/>
        <w:numPr>
          <w:ilvl w:val="0"/>
          <w:numId w:val="33"/>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investee </w:t>
      </w:r>
      <w:r w:rsidR="00F566A2" w:rsidRPr="00796E46">
        <w:rPr>
          <w:rStyle w:val="Strong"/>
          <w:rFonts w:asciiTheme="majorHAnsi" w:hAnsiTheme="majorHAnsi"/>
          <w:b w:val="0"/>
          <w:bCs w:val="0"/>
          <w:lang w:val="en-US"/>
        </w:rPr>
        <w:t>compan</w:t>
      </w:r>
      <w:r w:rsidRPr="00796E46">
        <w:rPr>
          <w:rStyle w:val="Strong"/>
          <w:rFonts w:asciiTheme="majorHAnsi" w:hAnsiTheme="majorHAnsi"/>
          <w:b w:val="0"/>
          <w:bCs w:val="0"/>
          <w:lang w:val="en-US"/>
        </w:rPr>
        <w:t>ies</w:t>
      </w:r>
      <w:r w:rsidR="00F566A2" w:rsidRPr="00796E46">
        <w:rPr>
          <w:rStyle w:val="Strong"/>
          <w:rFonts w:asciiTheme="majorHAnsi" w:hAnsiTheme="majorHAnsi"/>
          <w:b w:val="0"/>
          <w:bCs w:val="0"/>
          <w:lang w:val="en-US"/>
        </w:rPr>
        <w:t xml:space="preserve"> follow good governance practices</w:t>
      </w:r>
      <w:r w:rsidR="008C4AA0" w:rsidRPr="00796E46">
        <w:rPr>
          <w:rStyle w:val="Strong"/>
          <w:rFonts w:asciiTheme="majorHAnsi" w:hAnsiTheme="majorHAnsi"/>
          <w:b w:val="0"/>
          <w:bCs w:val="0"/>
          <w:lang w:val="en-US"/>
        </w:rPr>
        <w:t>.</w:t>
      </w:r>
      <w:r w:rsidR="00EC3391" w:rsidRPr="00796E46">
        <w:rPr>
          <w:rStyle w:val="Strong"/>
          <w:rFonts w:asciiTheme="majorHAnsi" w:hAnsiTheme="majorHAnsi"/>
          <w:b w:val="0"/>
          <w:bCs w:val="0"/>
          <w:lang w:val="en-US"/>
        </w:rPr>
        <w:t xml:space="preserve"> </w:t>
      </w:r>
    </w:p>
    <w:p w14:paraId="436142E8" w14:textId="3F7033F6" w:rsidR="00434F07" w:rsidRPr="00796E46" w:rsidRDefault="00F271C2"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We suggest clarifying</w:t>
      </w:r>
      <w:r w:rsidR="00434F07" w:rsidRPr="00796E46">
        <w:rPr>
          <w:rStyle w:val="Strong"/>
          <w:rFonts w:asciiTheme="majorHAnsi" w:hAnsiTheme="majorHAnsi"/>
          <w:b w:val="0"/>
          <w:bCs w:val="0"/>
          <w:lang w:val="en-US"/>
        </w:rPr>
        <w:t xml:space="preserve"> the following points: </w:t>
      </w:r>
    </w:p>
    <w:p w14:paraId="5933A2A1" w14:textId="4E864D7E" w:rsidR="0065359D" w:rsidRPr="00796E46" w:rsidRDefault="0065359D"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Investments that specify the use of proceeds and intend to help companies decarbonize and/or adopt a transition plan </w:t>
      </w:r>
      <w:r w:rsidR="00142D21" w:rsidRPr="00796E46">
        <w:rPr>
          <w:rStyle w:val="Strong"/>
          <w:rFonts w:asciiTheme="majorHAnsi" w:hAnsiTheme="majorHAnsi"/>
          <w:b w:val="0"/>
          <w:bCs w:val="0"/>
          <w:lang w:val="en-US"/>
        </w:rPr>
        <w:t xml:space="preserve">are </w:t>
      </w:r>
      <w:r w:rsidRPr="00796E46">
        <w:rPr>
          <w:rStyle w:val="Strong"/>
          <w:rFonts w:asciiTheme="majorHAnsi" w:hAnsiTheme="majorHAnsi"/>
          <w:b w:val="0"/>
          <w:bCs w:val="0"/>
          <w:lang w:val="en-US"/>
        </w:rPr>
        <w:t>included within the definition, so as to give legal certainty to so-called article 9 funds that these activities naturally fall within the remit of products with sustainable investments as their objective, as long as clear impact targets are defined and measured and reasonable safeguards are put in place to ensure that such investments do not cause significant harm.</w:t>
      </w:r>
    </w:p>
    <w:p w14:paraId="130FC8FC" w14:textId="6BCFE72E" w:rsidR="00F271C2" w:rsidRPr="00796E46" w:rsidRDefault="00434F07"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I</w:t>
      </w:r>
      <w:r w:rsidR="00DF588E" w:rsidRPr="00796E46">
        <w:rPr>
          <w:rStyle w:val="Strong"/>
          <w:rFonts w:asciiTheme="majorHAnsi" w:hAnsiTheme="majorHAnsi"/>
          <w:b w:val="0"/>
          <w:bCs w:val="0"/>
          <w:lang w:val="en-US"/>
        </w:rPr>
        <w:t>nvestments that contribute to the economic development of low or middle income countrie</w:t>
      </w:r>
      <w:r w:rsidRPr="00796E46">
        <w:rPr>
          <w:rStyle w:val="Strong"/>
          <w:rFonts w:asciiTheme="majorHAnsi" w:hAnsiTheme="majorHAnsi"/>
          <w:b w:val="0"/>
          <w:bCs w:val="0"/>
          <w:lang w:val="en-US"/>
        </w:rPr>
        <w:t xml:space="preserve">s can be considered as Sustainable Investment </w:t>
      </w:r>
      <w:r w:rsidR="003B1B15" w:rsidRPr="00796E46">
        <w:rPr>
          <w:rStyle w:val="Strong"/>
          <w:rFonts w:asciiTheme="majorHAnsi" w:hAnsiTheme="majorHAnsi"/>
          <w:b w:val="0"/>
          <w:bCs w:val="0"/>
          <w:lang w:val="en-US"/>
        </w:rPr>
        <w:t xml:space="preserve">as long as clear impact targets are defined and measured and reasonable safeguards are put in place to ensure that such investments do not cause significant </w:t>
      </w:r>
      <w:proofErr w:type="gramStart"/>
      <w:r w:rsidR="003B1B15" w:rsidRPr="00796E46">
        <w:rPr>
          <w:rStyle w:val="Strong"/>
          <w:rFonts w:asciiTheme="majorHAnsi" w:hAnsiTheme="majorHAnsi"/>
          <w:b w:val="0"/>
          <w:bCs w:val="0"/>
          <w:lang w:val="en-US"/>
        </w:rPr>
        <w:t>harm.</w:t>
      </w:r>
      <w:r w:rsidRPr="00796E46">
        <w:rPr>
          <w:rStyle w:val="Strong"/>
          <w:rFonts w:asciiTheme="majorHAnsi" w:hAnsiTheme="majorHAnsi"/>
          <w:b w:val="0"/>
          <w:bCs w:val="0"/>
          <w:lang w:val="en-US"/>
        </w:rPr>
        <w:t>.</w:t>
      </w:r>
      <w:proofErr w:type="gramEnd"/>
      <w:r w:rsidRPr="00796E46">
        <w:rPr>
          <w:rStyle w:val="Strong"/>
          <w:rFonts w:asciiTheme="majorHAnsi" w:hAnsiTheme="majorHAnsi"/>
          <w:b w:val="0"/>
          <w:bCs w:val="0"/>
          <w:lang w:val="en-US"/>
        </w:rPr>
        <w:t xml:space="preserve"> </w:t>
      </w:r>
    </w:p>
    <w:p w14:paraId="044BD423" w14:textId="08733CD3" w:rsidR="00434F07" w:rsidRPr="00796E46" w:rsidRDefault="00434F07"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Sustainable Investments cannot be confined to economic activities covered by the EU taxonomy as this would not do justice to the spectrum of investments needed for a sustainable society, especially given the fact that many Taxonomy criteria rely on compliance with EU legislation which de facto eliminates non-EU investments. </w:t>
      </w:r>
    </w:p>
    <w:p w14:paraId="31578921" w14:textId="129A27FA" w:rsidR="0061699D" w:rsidRPr="00796E46" w:rsidRDefault="0061699D"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lastRenderedPageBreak/>
        <w:t xml:space="preserve">Investment in companies that are not fully compliant with good governance practices but that include contractual conditions and engagement with investee companies to lead them to implement good governance practices, can be considered as Sustainable Investment </w:t>
      </w:r>
      <w:proofErr w:type="gramStart"/>
      <w:r w:rsidRPr="00796E46">
        <w:rPr>
          <w:rStyle w:val="Strong"/>
          <w:rFonts w:asciiTheme="majorHAnsi" w:hAnsiTheme="majorHAnsi"/>
          <w:b w:val="0"/>
          <w:bCs w:val="0"/>
          <w:lang w:val="en-US"/>
        </w:rPr>
        <w:t>as long as</w:t>
      </w:r>
      <w:proofErr w:type="gramEnd"/>
      <w:r w:rsidRPr="00796E46">
        <w:rPr>
          <w:rStyle w:val="Strong"/>
          <w:rFonts w:asciiTheme="majorHAnsi" w:hAnsiTheme="majorHAnsi"/>
          <w:b w:val="0"/>
          <w:bCs w:val="0"/>
          <w:lang w:val="en-US"/>
        </w:rPr>
        <w:t xml:space="preserve"> the Financial Market Participant has adequate monitoring and reporting mechanism</w:t>
      </w:r>
      <w:r w:rsidR="00142D21" w:rsidRPr="00796E46">
        <w:rPr>
          <w:rStyle w:val="Strong"/>
          <w:rFonts w:asciiTheme="majorHAnsi" w:hAnsiTheme="majorHAnsi"/>
          <w:b w:val="0"/>
          <w:bCs w:val="0"/>
          <w:lang w:val="en-US"/>
        </w:rPr>
        <w:t>s</w:t>
      </w:r>
      <w:r w:rsidRPr="00796E46">
        <w:rPr>
          <w:rStyle w:val="Strong"/>
          <w:rFonts w:asciiTheme="majorHAnsi" w:hAnsiTheme="majorHAnsi"/>
          <w:b w:val="0"/>
          <w:bCs w:val="0"/>
          <w:lang w:val="en-US"/>
        </w:rPr>
        <w:t xml:space="preserve"> on this matter as well. This would ensure that Sustainable Investments can also foster change, which is much needed, especially in markets or countries where such concepts are not yet included in the national regulations. </w:t>
      </w:r>
      <w:r w:rsidR="00142D21" w:rsidRPr="00796E46">
        <w:rPr>
          <w:rStyle w:val="Strong"/>
          <w:rFonts w:asciiTheme="majorHAnsi" w:hAnsiTheme="majorHAnsi"/>
          <w:b w:val="0"/>
          <w:bCs w:val="0"/>
          <w:lang w:val="en-US"/>
        </w:rPr>
        <w:t>The enforcement of the forthcoming CSDDD will imply more activity in the governance area of sustainability.</w:t>
      </w:r>
    </w:p>
    <w:p w14:paraId="4D6F4E25" w14:textId="0E48F7C2" w:rsidR="00F3684B" w:rsidRPr="00796E46" w:rsidRDefault="00F3684B"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Reporting on positive impact should be governed by standards of quality and rigor </w:t>
      </w:r>
      <w:proofErr w:type="gramStart"/>
      <w:r w:rsidRPr="00796E46">
        <w:rPr>
          <w:rStyle w:val="Strong"/>
          <w:rFonts w:asciiTheme="majorHAnsi" w:hAnsiTheme="majorHAnsi"/>
          <w:b w:val="0"/>
          <w:bCs w:val="0"/>
          <w:lang w:val="en-US"/>
        </w:rPr>
        <w:t>similar to</w:t>
      </w:r>
      <w:proofErr w:type="gramEnd"/>
      <w:r w:rsidRPr="00796E46">
        <w:rPr>
          <w:rStyle w:val="Strong"/>
          <w:rFonts w:asciiTheme="majorHAnsi" w:hAnsiTheme="majorHAnsi"/>
          <w:b w:val="0"/>
          <w:bCs w:val="0"/>
          <w:lang w:val="en-US"/>
        </w:rPr>
        <w:t xml:space="preserve"> reporting on risks</w:t>
      </w:r>
      <w:r w:rsidR="001501AA" w:rsidRPr="00796E46">
        <w:rPr>
          <w:rStyle w:val="Strong"/>
          <w:rFonts w:asciiTheme="majorHAnsi" w:hAnsiTheme="majorHAnsi"/>
          <w:b w:val="0"/>
          <w:bCs w:val="0"/>
          <w:lang w:val="en-US"/>
        </w:rPr>
        <w:t xml:space="preserve">, </w:t>
      </w:r>
      <w:r w:rsidR="00B2118A" w:rsidRPr="00796E46">
        <w:rPr>
          <w:rStyle w:val="Strong"/>
          <w:rFonts w:asciiTheme="majorHAnsi" w:hAnsiTheme="majorHAnsi"/>
          <w:b w:val="0"/>
          <w:bCs w:val="0"/>
          <w:lang w:val="en-US"/>
        </w:rPr>
        <w:t xml:space="preserve">as </w:t>
      </w:r>
      <w:r w:rsidR="00286D80" w:rsidRPr="00796E46">
        <w:rPr>
          <w:rStyle w:val="Strong"/>
          <w:rFonts w:asciiTheme="majorHAnsi" w:hAnsiTheme="majorHAnsi"/>
          <w:b w:val="0"/>
          <w:bCs w:val="0"/>
          <w:lang w:val="en-US"/>
        </w:rPr>
        <w:t xml:space="preserve">referred to in articles 19a, 29a and 34 of </w:t>
      </w:r>
      <w:r w:rsidR="00B2118A" w:rsidRPr="00796E46">
        <w:rPr>
          <w:rStyle w:val="Strong"/>
          <w:rFonts w:asciiTheme="majorHAnsi" w:hAnsiTheme="majorHAnsi"/>
          <w:b w:val="0"/>
          <w:bCs w:val="0"/>
          <w:lang w:val="en-US"/>
        </w:rPr>
        <w:t>Directive 2013/34/EU</w:t>
      </w:r>
      <w:r w:rsidR="001501AA" w:rsidRPr="00796E46">
        <w:rPr>
          <w:rStyle w:val="Strong"/>
          <w:rFonts w:asciiTheme="majorHAnsi" w:hAnsiTheme="majorHAnsi"/>
          <w:b w:val="0"/>
          <w:bCs w:val="0"/>
          <w:lang w:val="en-US"/>
        </w:rPr>
        <w:t>.</w:t>
      </w:r>
    </w:p>
    <w:p w14:paraId="58743974" w14:textId="77777777" w:rsidR="00546CD1" w:rsidRPr="00796E46" w:rsidRDefault="00546CD1" w:rsidP="00353BA2">
      <w:pPr>
        <w:jc w:val="both"/>
        <w:rPr>
          <w:rStyle w:val="Strong"/>
          <w:rFonts w:asciiTheme="majorHAnsi" w:hAnsiTheme="majorHAnsi"/>
          <w:b w:val="0"/>
          <w:bCs w:val="0"/>
          <w:lang w:val="en-US"/>
        </w:rPr>
      </w:pPr>
    </w:p>
    <w:p w14:paraId="1F5F9E02" w14:textId="4957AA37" w:rsidR="000A067E" w:rsidRPr="00796E46" w:rsidRDefault="000A067E" w:rsidP="00353BA2">
      <w:pPr>
        <w:pStyle w:val="Subtitle"/>
        <w:jc w:val="both"/>
        <w:rPr>
          <w:rStyle w:val="Strong"/>
          <w:rFonts w:asciiTheme="majorHAnsi" w:eastAsiaTheme="minorHAnsi" w:hAnsiTheme="majorHAnsi"/>
          <w:b w:val="0"/>
          <w:bCs w:val="0"/>
          <w:color w:val="auto"/>
          <w:spacing w:val="0"/>
          <w:u w:val="none"/>
          <w:lang w:val="en-US"/>
        </w:rPr>
      </w:pPr>
      <w:r w:rsidRPr="00796E46">
        <w:rPr>
          <w:rStyle w:val="Strong"/>
          <w:rFonts w:asciiTheme="majorHAnsi" w:hAnsiTheme="majorHAnsi"/>
          <w:b w:val="0"/>
          <w:bCs w:val="0"/>
          <w:lang w:val="en-US"/>
        </w:rPr>
        <w:t xml:space="preserve">Questions where this key message can be pasted: </w:t>
      </w:r>
    </w:p>
    <w:p w14:paraId="3B819980" w14:textId="22879034" w:rsidR="0088522D" w:rsidRPr="00796E46" w:rsidRDefault="0088522D"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1.5 &gt; 1.7 : current requirements of the SFDR </w:t>
      </w:r>
      <w:r w:rsidR="008E1652" w:rsidRPr="00796E46">
        <w:rPr>
          <w:rStyle w:val="Strong"/>
          <w:rFonts w:asciiTheme="majorHAnsi" w:hAnsiTheme="majorHAnsi"/>
          <w:b w:val="0"/>
          <w:bCs w:val="0"/>
          <w:lang w:val="en-US"/>
        </w:rPr>
        <w:t>[Only first paragraph]</w:t>
      </w:r>
    </w:p>
    <w:p w14:paraId="6121DA81" w14:textId="081231E7" w:rsidR="004669B9" w:rsidRPr="00796E46" w:rsidRDefault="004669B9"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3.2.3 If requirements were imposed as per question 3.2.1 and/or 3.2.2, should there be some additional disclosure requirements when a product makes a sustainability claim?</w:t>
      </w:r>
    </w:p>
    <w:p w14:paraId="3DA3F80F" w14:textId="4A4105A0" w:rsidR="00546CD1" w:rsidRPr="00796E46" w:rsidRDefault="00546CD1" w:rsidP="00353BA2">
      <w:pPr>
        <w:jc w:val="both"/>
        <w:rPr>
          <w:rStyle w:val="Strong"/>
          <w:rFonts w:asciiTheme="majorHAnsi" w:eastAsiaTheme="minorEastAsia" w:hAnsiTheme="majorHAnsi"/>
          <w:b w:val="0"/>
          <w:bCs w:val="0"/>
          <w:color w:val="5A5A5A" w:themeColor="text1" w:themeTint="A5"/>
          <w:spacing w:val="15"/>
          <w:u w:val="single"/>
          <w:lang w:val="en-US"/>
        </w:rPr>
      </w:pPr>
      <w:r w:rsidRPr="00796E46">
        <w:rPr>
          <w:rStyle w:val="Strong"/>
          <w:rFonts w:asciiTheme="majorHAnsi" w:hAnsiTheme="majorHAnsi"/>
          <w:b w:val="0"/>
          <w:bCs w:val="0"/>
          <w:lang w:val="en-US"/>
        </w:rPr>
        <w:t>4.1.12.</w:t>
      </w:r>
      <w:proofErr w:type="spellStart"/>
      <w:r w:rsidRPr="00796E46">
        <w:rPr>
          <w:rStyle w:val="Strong"/>
          <w:rFonts w:asciiTheme="majorHAnsi" w:hAnsiTheme="majorHAnsi"/>
          <w:b w:val="0"/>
          <w:bCs w:val="0"/>
          <w:lang w:val="en-US"/>
        </w:rPr>
        <w:t>a</w:t>
      </w:r>
      <w:proofErr w:type="spellEnd"/>
      <w:r w:rsidRPr="00796E46">
        <w:rPr>
          <w:rStyle w:val="Strong"/>
          <w:rFonts w:asciiTheme="majorHAnsi" w:hAnsiTheme="majorHAnsi"/>
          <w:b w:val="0"/>
          <w:bCs w:val="0"/>
          <w:lang w:val="en-US"/>
        </w:rPr>
        <w:t xml:space="preserve"> </w:t>
      </w:r>
      <w:r w:rsidRPr="00796E46">
        <w:rPr>
          <w:rFonts w:asciiTheme="majorHAnsi" w:hAnsiTheme="majorHAnsi"/>
          <w:lang w:val="en-US"/>
        </w:rPr>
        <w:t>If you consider that the elements listed in question 4.1.12 are not fit for purpose, how would you further specify the different elements of the ‘sustainable investment’ concept, what should be the minimum criteria required for each of them?</w:t>
      </w:r>
    </w:p>
    <w:p w14:paraId="77DA1A93" w14:textId="654E058E" w:rsidR="0061699D" w:rsidRPr="00796E46" w:rsidRDefault="0061699D" w:rsidP="00353BA2">
      <w:pPr>
        <w:jc w:val="both"/>
        <w:rPr>
          <w:rFonts w:asciiTheme="majorHAnsi" w:hAnsiTheme="majorHAnsi"/>
          <w:lang w:val="en-US"/>
        </w:rPr>
      </w:pPr>
      <w:r w:rsidRPr="00796E46">
        <w:rPr>
          <w:rFonts w:asciiTheme="majorHAnsi" w:hAnsiTheme="majorHAnsi"/>
          <w:lang w:val="en-US"/>
        </w:rPr>
        <w:br w:type="page"/>
      </w:r>
    </w:p>
    <w:p w14:paraId="0A49DC51" w14:textId="4329D1BA" w:rsidR="00546CD1" w:rsidRPr="00796E46" w:rsidRDefault="00546CD1" w:rsidP="00353BA2">
      <w:pPr>
        <w:pStyle w:val="Heading1"/>
        <w:jc w:val="both"/>
      </w:pPr>
      <w:bookmarkStart w:id="34" w:name="_Toc152193514"/>
      <w:bookmarkStart w:id="35" w:name="_Toc152770345"/>
      <w:r w:rsidRPr="00796E46">
        <w:lastRenderedPageBreak/>
        <w:t>The "promotion of social and/</w:t>
      </w:r>
      <w:r w:rsidR="008C4AA0" w:rsidRPr="00796E46">
        <w:t>or</w:t>
      </w:r>
      <w:r w:rsidRPr="00796E46">
        <w:t xml:space="preserve"> environmental characteristics" (</w:t>
      </w:r>
      <w:r w:rsidR="00545ED9" w:rsidRPr="00796E46">
        <w:t xml:space="preserve">SFDR </w:t>
      </w:r>
      <w:r w:rsidRPr="00796E46">
        <w:t>article 8) is too vague and is the one that can lead to the highest risk of greenwashing</w:t>
      </w:r>
      <w:r w:rsidR="00662F73" w:rsidRPr="00796E46">
        <w:rPr>
          <w:lang w:val="en-US"/>
        </w:rPr>
        <w:t>. This category should be removed</w:t>
      </w:r>
      <w:r w:rsidR="00620185" w:rsidRPr="00796E46">
        <w:rPr>
          <w:lang w:val="en-US"/>
        </w:rPr>
        <w:t>, also if evolving into a different categorization system</w:t>
      </w:r>
      <w:r w:rsidR="00662F73" w:rsidRPr="00796E46">
        <w:rPr>
          <w:lang w:val="en-US"/>
        </w:rPr>
        <w:t>.</w:t>
      </w:r>
      <w:bookmarkEnd w:id="34"/>
      <w:bookmarkEnd w:id="35"/>
      <w:r w:rsidR="00662F73" w:rsidRPr="00796E46">
        <w:rPr>
          <w:lang w:val="en-US"/>
        </w:rPr>
        <w:t xml:space="preserve"> </w:t>
      </w:r>
    </w:p>
    <w:p w14:paraId="75C2A86F" w14:textId="365FACEE" w:rsidR="0061699D" w:rsidRPr="00796E46" w:rsidRDefault="0061699D" w:rsidP="00353BA2">
      <w:pPr>
        <w:jc w:val="both"/>
        <w:rPr>
          <w:rStyle w:val="Strong"/>
          <w:rFonts w:asciiTheme="majorHAnsi" w:hAnsiTheme="majorHAnsi"/>
          <w:b w:val="0"/>
          <w:bCs w:val="0"/>
          <w:lang w:val="en-US"/>
        </w:rPr>
      </w:pPr>
      <w:bookmarkStart w:id="36" w:name="_Hlk152184901"/>
      <w:r w:rsidRPr="00796E46">
        <w:rPr>
          <w:rStyle w:val="Strong"/>
          <w:rFonts w:asciiTheme="majorHAnsi" w:hAnsiTheme="majorHAnsi"/>
          <w:b w:val="0"/>
          <w:bCs w:val="0"/>
          <w:lang w:val="en-US"/>
        </w:rPr>
        <w:t xml:space="preserve">The SFDR makes a distinction between financial products that promote environmental and/or social characteristics (Article 8) and products that have sustainable investments as their objective (Article 9). Based on the applicable article, financial market participants provide specific product disclosures. With the implementation of the SFDR in market practices, we have seen that the market has been using the distinction between these categories as de facto labels for a certain degree of sustainability. However, these </w:t>
      </w:r>
      <w:r w:rsidR="00B2118A" w:rsidRPr="00796E46">
        <w:rPr>
          <w:rStyle w:val="Strong"/>
          <w:rFonts w:asciiTheme="majorHAnsi" w:hAnsiTheme="majorHAnsi"/>
          <w:b w:val="0"/>
          <w:bCs w:val="0"/>
          <w:lang w:val="en-US"/>
        </w:rPr>
        <w:t xml:space="preserve">provisions </w:t>
      </w:r>
      <w:r w:rsidRPr="00796E46">
        <w:rPr>
          <w:rStyle w:val="Strong"/>
          <w:rFonts w:asciiTheme="majorHAnsi" w:hAnsiTheme="majorHAnsi"/>
          <w:b w:val="0"/>
          <w:bCs w:val="0"/>
          <w:lang w:val="en-US"/>
        </w:rPr>
        <w:t xml:space="preserve">are not meant to be used as product labels and are </w:t>
      </w:r>
      <w:r w:rsidR="00B2118A" w:rsidRPr="00796E46">
        <w:rPr>
          <w:rStyle w:val="Strong"/>
          <w:rFonts w:asciiTheme="majorHAnsi" w:hAnsiTheme="majorHAnsi"/>
          <w:b w:val="0"/>
          <w:bCs w:val="0"/>
          <w:lang w:val="en-US"/>
        </w:rPr>
        <w:t xml:space="preserve">thus </w:t>
      </w:r>
      <w:r w:rsidRPr="00796E46">
        <w:rPr>
          <w:rStyle w:val="Strong"/>
          <w:rFonts w:asciiTheme="majorHAnsi" w:hAnsiTheme="majorHAnsi"/>
          <w:b w:val="0"/>
          <w:bCs w:val="0"/>
          <w:lang w:val="en-US"/>
        </w:rPr>
        <w:t>not suitable for this purpose.</w:t>
      </w:r>
    </w:p>
    <w:p w14:paraId="47C4A5E1" w14:textId="77777777" w:rsidR="0061699D" w:rsidRPr="00796E46" w:rsidRDefault="0061699D"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The misuse of Articles 8 and 9 can be a source of greenwashing. The distinction between financial products that promote sustainable characteristics and products with sustainable investments as an objective is not clear and therefore prone to different interpretations. Both categories include products with a varying degree of sustainability, as well as very different sustainability strategies. </w:t>
      </w:r>
      <w:proofErr w:type="gramStart"/>
      <w:r w:rsidRPr="00796E46">
        <w:rPr>
          <w:rStyle w:val="Strong"/>
          <w:rFonts w:asciiTheme="majorHAnsi" w:hAnsiTheme="majorHAnsi"/>
          <w:b w:val="0"/>
          <w:bCs w:val="0"/>
          <w:lang w:val="en-US"/>
        </w:rPr>
        <w:t>In particular, there</w:t>
      </w:r>
      <w:proofErr w:type="gramEnd"/>
      <w:r w:rsidRPr="00796E46">
        <w:rPr>
          <w:rStyle w:val="Strong"/>
          <w:rFonts w:asciiTheme="majorHAnsi" w:hAnsiTheme="majorHAnsi"/>
          <w:b w:val="0"/>
          <w:bCs w:val="0"/>
          <w:lang w:val="en-US"/>
        </w:rPr>
        <w:t xml:space="preserve"> is no meaningful sustainability quality threshold for products that report under SFDR Article 8, which makes its misuse as a sustainability label especially problematic. This also leads to an uneven playing field for providers of products with greater sustainable characteristics or objectives vis-à-vis providers with less ambition.</w:t>
      </w:r>
    </w:p>
    <w:p w14:paraId="5E1C96CE" w14:textId="3377E818" w:rsidR="0061699D" w:rsidRPr="00796E46" w:rsidRDefault="0061699D"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In a Q&amp;A published in 2021, answering questions from the ESAs, the EC stated that the term ‘promotion’ within the meaning of Article 8 of Regulation (EU) 2019/2088 </w:t>
      </w:r>
      <w:r w:rsidR="00B0481C" w:rsidRPr="00796E46">
        <w:rPr>
          <w:rStyle w:val="Strong"/>
          <w:rFonts w:asciiTheme="majorHAnsi" w:hAnsiTheme="majorHAnsi"/>
          <w:b w:val="0"/>
          <w:bCs w:val="0"/>
          <w:lang w:val="en-US"/>
        </w:rPr>
        <w:t>e</w:t>
      </w:r>
      <w:r w:rsidRPr="00796E46">
        <w:rPr>
          <w:rStyle w:val="Strong"/>
          <w:rFonts w:asciiTheme="majorHAnsi" w:hAnsiTheme="majorHAnsi"/>
          <w:b w:val="0"/>
          <w:bCs w:val="0"/>
          <w:lang w:val="en-US"/>
        </w:rPr>
        <w:t xml:space="preserve">ncompasses, by way of example, direct or indirect claims, information, reporting, disclosures as well as an impression that investments pursued by the given financial product also consider environmental or social characteristics in terms of investment policies, goals, targets or objectives or a general ambition in, but not limited to, pre-contractual and periodic documents or marketing communications, advertisements, product </w:t>
      </w:r>
      <w:proofErr w:type="spellStart"/>
      <w:r w:rsidRPr="00796E46">
        <w:rPr>
          <w:rStyle w:val="Strong"/>
          <w:rFonts w:asciiTheme="majorHAnsi" w:hAnsiTheme="majorHAnsi"/>
          <w:b w:val="0"/>
          <w:bCs w:val="0"/>
          <w:lang w:val="en-US"/>
        </w:rPr>
        <w:t>categorisation</w:t>
      </w:r>
      <w:proofErr w:type="spellEnd"/>
      <w:r w:rsidRPr="00796E46">
        <w:rPr>
          <w:rStyle w:val="Strong"/>
          <w:rFonts w:asciiTheme="majorHAnsi" w:hAnsiTheme="majorHAnsi"/>
          <w:b w:val="0"/>
          <w:bCs w:val="0"/>
          <w:lang w:val="en-US"/>
        </w:rPr>
        <w:t>, description of investment strategies or asset allocation, information on the adherence to sustainability-related financial product standards and labels, use of product names or designations, memoranda or issuing documents, factsheets, specifications about conditions for automatic enrolment or compliance with sectoral exclusions or statutory requirements regardless of the form used, such as on paper, durable media, by means of websites, or electronic data rooms.</w:t>
      </w:r>
    </w:p>
    <w:p w14:paraId="2547822B" w14:textId="0F79F091" w:rsidR="00546CD1" w:rsidRPr="00796E46" w:rsidRDefault="0061699D"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The</w:t>
      </w:r>
      <w:r w:rsidR="00B2118A" w:rsidRPr="00796E46">
        <w:rPr>
          <w:rStyle w:val="Strong"/>
          <w:rFonts w:asciiTheme="majorHAnsi" w:hAnsiTheme="majorHAnsi"/>
          <w:b w:val="0"/>
          <w:bCs w:val="0"/>
          <w:lang w:val="en-US"/>
        </w:rPr>
        <w:t xml:space="preserve">se </w:t>
      </w:r>
      <w:r w:rsidRPr="00796E46">
        <w:rPr>
          <w:rStyle w:val="Strong"/>
          <w:rFonts w:asciiTheme="majorHAnsi" w:hAnsiTheme="majorHAnsi"/>
          <w:b w:val="0"/>
          <w:bCs w:val="0"/>
          <w:lang w:val="en-US"/>
        </w:rPr>
        <w:t>criteria are very open and vague, leaving much room for loose statements and assertions which may not be backed by a specific methodology or precise indicators of the sustainable characteristics of the product. The term “promotion”, with the variety of forms it may take (“regardless of the form used”), lacks constraint and is conducive to greenwashing. Furthermore, sustainability claims made in pre-contractual or periodic documents should not be equated with those made in marketing material or advertisements.</w:t>
      </w:r>
    </w:p>
    <w:bookmarkEnd w:id="36"/>
    <w:p w14:paraId="02C63B67" w14:textId="7022614E" w:rsidR="0061699D" w:rsidRPr="00796E46" w:rsidRDefault="00B2118A"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Therefore, article 8 in its current form should be removed from the SFDR and replaced by a provision that regulates the </w:t>
      </w:r>
      <w:r w:rsidR="00DB0C9E" w:rsidRPr="00796E46">
        <w:rPr>
          <w:rStyle w:val="Strong"/>
          <w:rFonts w:asciiTheme="majorHAnsi" w:hAnsiTheme="majorHAnsi"/>
          <w:b w:val="0"/>
          <w:bCs w:val="0"/>
          <w:lang w:val="en-US"/>
        </w:rPr>
        <w:t xml:space="preserve">product </w:t>
      </w:r>
      <w:r w:rsidRPr="00796E46">
        <w:rPr>
          <w:rStyle w:val="Strong"/>
          <w:rFonts w:asciiTheme="majorHAnsi" w:hAnsiTheme="majorHAnsi"/>
          <w:b w:val="0"/>
          <w:bCs w:val="0"/>
          <w:lang w:val="en-US"/>
        </w:rPr>
        <w:t>categorization</w:t>
      </w:r>
      <w:r w:rsidR="00DB0C9E" w:rsidRPr="00796E46">
        <w:rPr>
          <w:rStyle w:val="Strong"/>
          <w:rFonts w:asciiTheme="majorHAnsi" w:hAnsiTheme="majorHAnsi"/>
          <w:b w:val="0"/>
          <w:bCs w:val="0"/>
          <w:lang w:val="en-US"/>
        </w:rPr>
        <w:t xml:space="preserve">: this would </w:t>
      </w:r>
      <w:r w:rsidRPr="00796E46">
        <w:rPr>
          <w:rStyle w:val="Strong"/>
          <w:rFonts w:asciiTheme="majorHAnsi" w:hAnsiTheme="majorHAnsi"/>
          <w:b w:val="0"/>
          <w:bCs w:val="0"/>
          <w:lang w:val="en-US"/>
        </w:rPr>
        <w:t>serve the market’s needs for a categorization.</w:t>
      </w:r>
    </w:p>
    <w:p w14:paraId="658438CF" w14:textId="5387C54A" w:rsidR="000A067E" w:rsidRPr="00796E46" w:rsidRDefault="000A067E" w:rsidP="00353BA2">
      <w:pPr>
        <w:pStyle w:val="Subtitle"/>
        <w:jc w:val="both"/>
        <w:rPr>
          <w:rStyle w:val="Strong"/>
          <w:rFonts w:asciiTheme="majorHAnsi" w:eastAsiaTheme="minorHAnsi" w:hAnsiTheme="majorHAnsi"/>
          <w:b w:val="0"/>
          <w:bCs w:val="0"/>
          <w:color w:val="auto"/>
          <w:spacing w:val="0"/>
          <w:u w:val="none"/>
          <w:lang w:val="en-US"/>
        </w:rPr>
      </w:pPr>
      <w:r w:rsidRPr="00796E46">
        <w:rPr>
          <w:rStyle w:val="Strong"/>
          <w:rFonts w:asciiTheme="majorHAnsi" w:hAnsiTheme="majorHAnsi"/>
          <w:b w:val="0"/>
          <w:bCs w:val="0"/>
          <w:lang w:val="en-US"/>
        </w:rPr>
        <w:t xml:space="preserve">Questions where this key message can be pasted: </w:t>
      </w:r>
    </w:p>
    <w:p w14:paraId="77A81564" w14:textId="24FE794D" w:rsidR="00144851" w:rsidRPr="00796E46" w:rsidRDefault="00546CD1" w:rsidP="00353BA2">
      <w:pPr>
        <w:jc w:val="both"/>
        <w:rPr>
          <w:rFonts w:asciiTheme="majorHAnsi" w:hAnsiTheme="majorHAnsi"/>
          <w:lang w:val="en-US"/>
        </w:rPr>
      </w:pPr>
      <w:r w:rsidRPr="00796E46">
        <w:rPr>
          <w:rFonts w:asciiTheme="majorHAnsi" w:hAnsiTheme="majorHAnsi"/>
          <w:lang w:val="en-US"/>
        </w:rPr>
        <w:t>4.1.13. How would you further specify what promotion of ‘environmental/social characteristics’ means, what should be the minimum criteria required for such characteristics and what should be the trigger for a product to be considered as promoting those characteristics?</w:t>
      </w:r>
      <w:r w:rsidR="00144851" w:rsidRPr="00796E46">
        <w:rPr>
          <w:rFonts w:asciiTheme="majorHAnsi" w:hAnsiTheme="majorHAnsi"/>
          <w:lang w:val="en-US"/>
        </w:rPr>
        <w:br w:type="page"/>
      </w:r>
    </w:p>
    <w:p w14:paraId="1AD6D8E4" w14:textId="1A85D857" w:rsidR="004C2E2C" w:rsidRPr="00796E46" w:rsidRDefault="00592152" w:rsidP="00353BA2">
      <w:pPr>
        <w:pStyle w:val="Heading1"/>
        <w:jc w:val="both"/>
        <w:rPr>
          <w:rStyle w:val="Strong"/>
          <w:b w:val="0"/>
          <w:bCs w:val="0"/>
          <w:lang w:val="en-US"/>
        </w:rPr>
      </w:pPr>
      <w:bookmarkStart w:id="37" w:name="_Toc152193517"/>
      <w:bookmarkStart w:id="38" w:name="_Toc152770346"/>
      <w:r w:rsidRPr="00796E46">
        <w:rPr>
          <w:rStyle w:val="Strong"/>
          <w:b w:val="0"/>
          <w:bCs w:val="0"/>
          <w:lang w:val="en-US"/>
        </w:rPr>
        <w:lastRenderedPageBreak/>
        <w:t xml:space="preserve">Create a </w:t>
      </w:r>
      <w:r w:rsidR="00AA4224" w:rsidRPr="00796E46">
        <w:rPr>
          <w:rStyle w:val="Strong"/>
          <w:b w:val="0"/>
          <w:bCs w:val="0"/>
          <w:lang w:val="en-US"/>
        </w:rPr>
        <w:t xml:space="preserve">product categorization </w:t>
      </w:r>
      <w:r w:rsidR="0090076A" w:rsidRPr="00796E46">
        <w:rPr>
          <w:rStyle w:val="Strong"/>
          <w:b w:val="0"/>
          <w:bCs w:val="0"/>
          <w:lang w:val="en-US"/>
        </w:rPr>
        <w:t xml:space="preserve">system </w:t>
      </w:r>
      <w:r w:rsidR="00AA4224" w:rsidRPr="00796E46">
        <w:rPr>
          <w:rStyle w:val="Strong"/>
          <w:b w:val="0"/>
          <w:bCs w:val="0"/>
          <w:lang w:val="en-US"/>
        </w:rPr>
        <w:t xml:space="preserve">based on the current SFDR </w:t>
      </w:r>
      <w:r w:rsidR="00D5219B" w:rsidRPr="00796E46">
        <w:rPr>
          <w:rStyle w:val="Strong"/>
          <w:b w:val="0"/>
          <w:bCs w:val="0"/>
          <w:lang w:val="en-US"/>
        </w:rPr>
        <w:t>disclosures</w:t>
      </w:r>
      <w:bookmarkEnd w:id="37"/>
      <w:r w:rsidR="00D5219B" w:rsidRPr="00796E46">
        <w:rPr>
          <w:rStyle w:val="Strong"/>
          <w:b w:val="0"/>
          <w:bCs w:val="0"/>
          <w:lang w:val="en-US"/>
        </w:rPr>
        <w:t xml:space="preserve">. This would allow Retail investors to judge the </w:t>
      </w:r>
      <w:r w:rsidR="002D2B0C" w:rsidRPr="00796E46">
        <w:rPr>
          <w:rStyle w:val="Strong"/>
          <w:b w:val="0"/>
          <w:bCs w:val="0"/>
          <w:lang w:val="en-US"/>
        </w:rPr>
        <w:t xml:space="preserve">extent </w:t>
      </w:r>
      <w:r w:rsidR="00D5219B" w:rsidRPr="00796E46">
        <w:rPr>
          <w:rStyle w:val="Strong"/>
          <w:b w:val="0"/>
          <w:bCs w:val="0"/>
          <w:lang w:val="en-US"/>
        </w:rPr>
        <w:t>with which a Financial Product considers Sustainability in its investment strategy.</w:t>
      </w:r>
      <w:bookmarkEnd w:id="38"/>
    </w:p>
    <w:p w14:paraId="26CDADD5" w14:textId="698E642F" w:rsidR="00FE3095" w:rsidRPr="00796E46" w:rsidRDefault="005B3159" w:rsidP="00353BA2">
      <w:pPr>
        <w:jc w:val="both"/>
        <w:rPr>
          <w:rStyle w:val="Strong"/>
          <w:rFonts w:asciiTheme="majorHAnsi" w:hAnsiTheme="majorHAnsi"/>
          <w:b w:val="0"/>
          <w:bCs w:val="0"/>
          <w:lang w:val="en-US"/>
        </w:rPr>
      </w:pPr>
      <w:commentRangeStart w:id="39"/>
      <w:r w:rsidRPr="00796E46">
        <w:rPr>
          <w:rStyle w:val="Strong"/>
          <w:rFonts w:asciiTheme="majorHAnsi" w:hAnsiTheme="majorHAnsi"/>
          <w:b w:val="0"/>
          <w:bCs w:val="0"/>
          <w:lang w:val="en-US"/>
        </w:rPr>
        <w:t xml:space="preserve">While </w:t>
      </w:r>
      <w:commentRangeEnd w:id="39"/>
      <w:r w:rsidR="000E4F0E" w:rsidRPr="00796E46">
        <w:rPr>
          <w:rStyle w:val="CommentReference"/>
        </w:rPr>
        <w:commentReference w:id="39"/>
      </w:r>
      <w:r w:rsidRPr="00796E46">
        <w:rPr>
          <w:rStyle w:val="Strong"/>
          <w:rFonts w:asciiTheme="majorHAnsi" w:hAnsiTheme="majorHAnsi"/>
          <w:b w:val="0"/>
          <w:bCs w:val="0"/>
          <w:lang w:val="en-US"/>
        </w:rPr>
        <w:t xml:space="preserve">we agree that the use of article 8 and 9 </w:t>
      </w:r>
      <w:r w:rsidR="00144851" w:rsidRPr="00796E46">
        <w:rPr>
          <w:rStyle w:val="Strong"/>
          <w:rFonts w:asciiTheme="majorHAnsi" w:hAnsiTheme="majorHAnsi"/>
          <w:b w:val="0"/>
          <w:bCs w:val="0"/>
          <w:lang w:val="en-US"/>
        </w:rPr>
        <w:t>to</w:t>
      </w:r>
      <w:r w:rsidRPr="00796E46">
        <w:rPr>
          <w:rStyle w:val="Strong"/>
          <w:rFonts w:asciiTheme="majorHAnsi" w:hAnsiTheme="majorHAnsi"/>
          <w:b w:val="0"/>
          <w:bCs w:val="0"/>
          <w:lang w:val="en-US"/>
        </w:rPr>
        <w:t xml:space="preserve"> judge the level of sustainability of financial products is problematic</w:t>
      </w:r>
      <w:r w:rsidR="007F5872" w:rsidRPr="00796E46">
        <w:rPr>
          <w:rStyle w:val="Strong"/>
          <w:rFonts w:asciiTheme="majorHAnsi" w:hAnsiTheme="majorHAnsi"/>
          <w:b w:val="0"/>
          <w:bCs w:val="0"/>
          <w:lang w:val="en-US"/>
        </w:rPr>
        <w:t xml:space="preserve"> because it has driven the market to </w:t>
      </w:r>
      <w:r w:rsidR="00176D46" w:rsidRPr="00796E46">
        <w:rPr>
          <w:rStyle w:val="Strong"/>
          <w:rFonts w:asciiTheme="majorHAnsi" w:hAnsiTheme="majorHAnsi"/>
          <w:b w:val="0"/>
          <w:bCs w:val="0"/>
          <w:lang w:val="en-US"/>
        </w:rPr>
        <w:t>create a labeling system from a regulation that was not intended for that</w:t>
      </w:r>
      <w:r w:rsidRPr="00796E46">
        <w:rPr>
          <w:rStyle w:val="Strong"/>
          <w:rFonts w:asciiTheme="majorHAnsi" w:hAnsiTheme="majorHAnsi"/>
          <w:b w:val="0"/>
          <w:bCs w:val="0"/>
          <w:lang w:val="en-US"/>
        </w:rPr>
        <w:t>, w</w:t>
      </w:r>
      <w:r w:rsidR="00FE3095" w:rsidRPr="00796E46">
        <w:rPr>
          <w:rStyle w:val="Strong"/>
          <w:rFonts w:asciiTheme="majorHAnsi" w:hAnsiTheme="majorHAnsi"/>
          <w:b w:val="0"/>
          <w:bCs w:val="0"/>
          <w:lang w:val="en-US"/>
        </w:rPr>
        <w:t xml:space="preserve">e believe that a simple categorization of the spectrum of investment products, based on existing requirements, would help steer investors’ choices as intended. </w:t>
      </w:r>
    </w:p>
    <w:p w14:paraId="0EADEFFB" w14:textId="514F3881" w:rsidR="005B42E0" w:rsidRPr="00796E46" w:rsidRDefault="005B3159"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The concepts underlying SFDR are the correct ones, and </w:t>
      </w:r>
      <w:r w:rsidR="00C966F4" w:rsidRPr="00796E46">
        <w:rPr>
          <w:rStyle w:val="Strong"/>
          <w:rFonts w:asciiTheme="majorHAnsi" w:hAnsiTheme="majorHAnsi"/>
          <w:b w:val="0"/>
          <w:bCs w:val="0"/>
          <w:lang w:val="en-US"/>
        </w:rPr>
        <w:t xml:space="preserve">many </w:t>
      </w:r>
      <w:r w:rsidRPr="00796E46">
        <w:rPr>
          <w:rStyle w:val="Strong"/>
          <w:rFonts w:asciiTheme="majorHAnsi" w:hAnsiTheme="majorHAnsi"/>
          <w:b w:val="0"/>
          <w:bCs w:val="0"/>
          <w:lang w:val="en-US"/>
        </w:rPr>
        <w:t>Financial Market Participants</w:t>
      </w:r>
      <w:r w:rsidR="005B42E0"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xml:space="preserve">have made significant investments to </w:t>
      </w:r>
      <w:r w:rsidR="005B42E0" w:rsidRPr="00796E46">
        <w:rPr>
          <w:rStyle w:val="Strong"/>
          <w:rFonts w:asciiTheme="majorHAnsi" w:hAnsiTheme="majorHAnsi"/>
          <w:b w:val="0"/>
          <w:bCs w:val="0"/>
          <w:lang w:val="en-US"/>
        </w:rPr>
        <w:t>adjust their investment processes to fully comply with them</w:t>
      </w:r>
      <w:r w:rsidRPr="00796E46">
        <w:rPr>
          <w:rStyle w:val="Strong"/>
          <w:rFonts w:asciiTheme="majorHAnsi" w:hAnsiTheme="majorHAnsi"/>
          <w:b w:val="0"/>
          <w:bCs w:val="0"/>
          <w:lang w:val="en-US"/>
        </w:rPr>
        <w:t xml:space="preserve">. </w:t>
      </w:r>
      <w:r w:rsidR="005B42E0" w:rsidRPr="00796E46">
        <w:rPr>
          <w:rStyle w:val="Strong"/>
          <w:rFonts w:asciiTheme="majorHAnsi" w:hAnsiTheme="majorHAnsi"/>
          <w:b w:val="0"/>
          <w:bCs w:val="0"/>
          <w:lang w:val="en-US"/>
        </w:rPr>
        <w:t>The concept</w:t>
      </w:r>
      <w:r w:rsidR="00144851" w:rsidRPr="00796E46">
        <w:rPr>
          <w:rStyle w:val="Strong"/>
          <w:rFonts w:asciiTheme="majorHAnsi" w:hAnsiTheme="majorHAnsi"/>
          <w:b w:val="0"/>
          <w:bCs w:val="0"/>
          <w:lang w:val="en-US"/>
        </w:rPr>
        <w:t>s</w:t>
      </w:r>
      <w:r w:rsidR="005B42E0" w:rsidRPr="00796E46">
        <w:rPr>
          <w:rStyle w:val="Strong"/>
          <w:rFonts w:asciiTheme="majorHAnsi" w:hAnsiTheme="majorHAnsi"/>
          <w:b w:val="0"/>
          <w:bCs w:val="0"/>
          <w:lang w:val="en-US"/>
        </w:rPr>
        <w:t xml:space="preserve"> used in SFDR </w:t>
      </w:r>
      <w:r w:rsidRPr="00796E46">
        <w:rPr>
          <w:rStyle w:val="Strong"/>
          <w:rFonts w:asciiTheme="majorHAnsi" w:hAnsiTheme="majorHAnsi"/>
          <w:b w:val="0"/>
          <w:bCs w:val="0"/>
          <w:lang w:val="en-US"/>
        </w:rPr>
        <w:t xml:space="preserve">should </w:t>
      </w:r>
      <w:r w:rsidR="005B42E0" w:rsidRPr="00796E46">
        <w:rPr>
          <w:rStyle w:val="Strong"/>
          <w:rFonts w:asciiTheme="majorHAnsi" w:hAnsiTheme="majorHAnsi"/>
          <w:b w:val="0"/>
          <w:bCs w:val="0"/>
          <w:lang w:val="en-US"/>
        </w:rPr>
        <w:t xml:space="preserve">thus </w:t>
      </w:r>
      <w:r w:rsidRPr="00796E46">
        <w:rPr>
          <w:rStyle w:val="Strong"/>
          <w:rFonts w:asciiTheme="majorHAnsi" w:hAnsiTheme="majorHAnsi"/>
          <w:b w:val="0"/>
          <w:bCs w:val="0"/>
          <w:lang w:val="en-US"/>
        </w:rPr>
        <w:t>only be marginally modified and clarified</w:t>
      </w:r>
      <w:r w:rsidR="00056ABA" w:rsidRPr="00796E46">
        <w:rPr>
          <w:rStyle w:val="Strong"/>
          <w:rFonts w:asciiTheme="majorHAnsi" w:hAnsiTheme="majorHAnsi"/>
          <w:b w:val="0"/>
          <w:bCs w:val="0"/>
          <w:lang w:val="en-US"/>
        </w:rPr>
        <w:t>. C</w:t>
      </w:r>
      <w:r w:rsidR="005B42E0" w:rsidRPr="00796E46">
        <w:rPr>
          <w:rStyle w:val="Strong"/>
          <w:rFonts w:asciiTheme="majorHAnsi" w:hAnsiTheme="majorHAnsi"/>
          <w:b w:val="0"/>
          <w:bCs w:val="0"/>
          <w:lang w:val="en-US"/>
        </w:rPr>
        <w:t>reating new concepts would not help</w:t>
      </w:r>
      <w:r w:rsidRPr="00796E46">
        <w:rPr>
          <w:rStyle w:val="Strong"/>
          <w:rFonts w:asciiTheme="majorHAnsi" w:hAnsiTheme="majorHAnsi"/>
          <w:b w:val="0"/>
          <w:bCs w:val="0"/>
          <w:lang w:val="en-US"/>
        </w:rPr>
        <w:t xml:space="preserve">. </w:t>
      </w:r>
    </w:p>
    <w:p w14:paraId="5DF57027" w14:textId="3ADE2E62" w:rsidR="005B3159" w:rsidRPr="00796E46" w:rsidRDefault="005B42E0"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The </w:t>
      </w:r>
      <w:r w:rsidR="00E15F52" w:rsidRPr="00796E46">
        <w:rPr>
          <w:rStyle w:val="Strong"/>
          <w:rFonts w:asciiTheme="majorHAnsi" w:hAnsiTheme="majorHAnsi"/>
          <w:b w:val="0"/>
          <w:bCs w:val="0"/>
          <w:lang w:val="en-US"/>
        </w:rPr>
        <w:t xml:space="preserve">focus of the categorization system should be to ensure that the </w:t>
      </w:r>
      <w:r w:rsidR="005B3159" w:rsidRPr="00796E46">
        <w:rPr>
          <w:rStyle w:val="Strong"/>
          <w:rFonts w:asciiTheme="majorHAnsi" w:hAnsiTheme="majorHAnsi"/>
          <w:b w:val="0"/>
          <w:bCs w:val="0"/>
          <w:lang w:val="en-US"/>
        </w:rPr>
        <w:t xml:space="preserve">information </w:t>
      </w:r>
      <w:r w:rsidR="00E15F52" w:rsidRPr="00796E46">
        <w:rPr>
          <w:rStyle w:val="Strong"/>
          <w:rFonts w:asciiTheme="majorHAnsi" w:hAnsiTheme="majorHAnsi"/>
          <w:b w:val="0"/>
          <w:bCs w:val="0"/>
          <w:lang w:val="en-US"/>
        </w:rPr>
        <w:t>provided</w:t>
      </w:r>
      <w:r w:rsidR="005B3159" w:rsidRPr="00796E46">
        <w:rPr>
          <w:rStyle w:val="Strong"/>
          <w:rFonts w:asciiTheme="majorHAnsi" w:hAnsiTheme="majorHAnsi"/>
          <w:b w:val="0"/>
          <w:bCs w:val="0"/>
          <w:lang w:val="en-US"/>
        </w:rPr>
        <w:t xml:space="preserve"> by Financial Markets Participants </w:t>
      </w:r>
      <w:r w:rsidRPr="00796E46">
        <w:rPr>
          <w:rStyle w:val="Strong"/>
          <w:rFonts w:asciiTheme="majorHAnsi" w:hAnsiTheme="majorHAnsi"/>
          <w:b w:val="0"/>
          <w:bCs w:val="0"/>
          <w:lang w:val="en-US"/>
        </w:rPr>
        <w:t xml:space="preserve">is </w:t>
      </w:r>
      <w:r w:rsidR="00E15F52" w:rsidRPr="00796E46">
        <w:rPr>
          <w:rStyle w:val="Strong"/>
          <w:rFonts w:asciiTheme="majorHAnsi" w:hAnsiTheme="majorHAnsi"/>
          <w:b w:val="0"/>
          <w:bCs w:val="0"/>
          <w:lang w:val="en-US"/>
        </w:rPr>
        <w:t>useful, comprehensible</w:t>
      </w:r>
      <w:r w:rsidR="001501AA" w:rsidRPr="00796E46">
        <w:rPr>
          <w:rStyle w:val="Strong"/>
          <w:rFonts w:asciiTheme="majorHAnsi" w:hAnsiTheme="majorHAnsi"/>
          <w:b w:val="0"/>
          <w:bCs w:val="0"/>
          <w:lang w:val="en-US"/>
        </w:rPr>
        <w:t>,</w:t>
      </w:r>
      <w:r w:rsidR="00E15F52" w:rsidRPr="00796E46">
        <w:rPr>
          <w:rStyle w:val="Strong"/>
          <w:rFonts w:asciiTheme="majorHAnsi" w:hAnsiTheme="majorHAnsi"/>
          <w:b w:val="0"/>
          <w:bCs w:val="0"/>
          <w:lang w:val="en-US"/>
        </w:rPr>
        <w:t xml:space="preserve"> and comparable for</w:t>
      </w:r>
      <w:r w:rsidRPr="00796E46">
        <w:rPr>
          <w:rStyle w:val="Strong"/>
          <w:rFonts w:asciiTheme="majorHAnsi" w:hAnsiTheme="majorHAnsi"/>
          <w:b w:val="0"/>
          <w:bCs w:val="0"/>
          <w:lang w:val="en-US"/>
        </w:rPr>
        <w:t xml:space="preserve"> </w:t>
      </w:r>
      <w:r w:rsidR="00042556" w:rsidRPr="00796E46">
        <w:rPr>
          <w:rStyle w:val="Strong"/>
          <w:rFonts w:asciiTheme="majorHAnsi" w:hAnsiTheme="majorHAnsi"/>
          <w:b w:val="0"/>
          <w:bCs w:val="0"/>
          <w:lang w:val="en-US"/>
        </w:rPr>
        <w:t>r</w:t>
      </w:r>
      <w:r w:rsidRPr="00796E46">
        <w:rPr>
          <w:rStyle w:val="Strong"/>
          <w:rFonts w:asciiTheme="majorHAnsi" w:hAnsiTheme="majorHAnsi"/>
          <w:b w:val="0"/>
          <w:bCs w:val="0"/>
          <w:lang w:val="en-US"/>
        </w:rPr>
        <w:t xml:space="preserve">etail </w:t>
      </w:r>
      <w:r w:rsidR="00042556" w:rsidRPr="00796E46">
        <w:rPr>
          <w:rStyle w:val="Strong"/>
          <w:rFonts w:asciiTheme="majorHAnsi" w:hAnsiTheme="majorHAnsi"/>
          <w:b w:val="0"/>
          <w:bCs w:val="0"/>
          <w:lang w:val="en-US"/>
        </w:rPr>
        <w:t>i</w:t>
      </w:r>
      <w:r w:rsidRPr="00796E46">
        <w:rPr>
          <w:rStyle w:val="Strong"/>
          <w:rFonts w:asciiTheme="majorHAnsi" w:hAnsiTheme="majorHAnsi"/>
          <w:b w:val="0"/>
          <w:bCs w:val="0"/>
          <w:lang w:val="en-US"/>
        </w:rPr>
        <w:t>nvestors</w:t>
      </w:r>
      <w:r w:rsidR="00BC526E" w:rsidRPr="00796E46">
        <w:rPr>
          <w:rStyle w:val="Strong"/>
          <w:rFonts w:asciiTheme="majorHAnsi" w:hAnsiTheme="majorHAnsi"/>
          <w:b w:val="0"/>
          <w:bCs w:val="0"/>
          <w:lang w:val="en-US"/>
        </w:rPr>
        <w:t xml:space="preserve">, who are less well placed than professional investors to navigate the complexities of financial regulation and </w:t>
      </w:r>
      <w:r w:rsidR="00F104C5" w:rsidRPr="00796E46">
        <w:rPr>
          <w:rStyle w:val="Strong"/>
          <w:rFonts w:asciiTheme="majorHAnsi" w:hAnsiTheme="majorHAnsi"/>
          <w:b w:val="0"/>
          <w:bCs w:val="0"/>
          <w:lang w:val="en-US"/>
        </w:rPr>
        <w:t xml:space="preserve">are </w:t>
      </w:r>
      <w:r w:rsidR="00BC526E" w:rsidRPr="00796E46">
        <w:rPr>
          <w:rStyle w:val="Strong"/>
          <w:rFonts w:asciiTheme="majorHAnsi" w:hAnsiTheme="majorHAnsi"/>
          <w:b w:val="0"/>
          <w:bCs w:val="0"/>
          <w:lang w:val="en-US"/>
        </w:rPr>
        <w:t xml:space="preserve">therefore </w:t>
      </w:r>
      <w:r w:rsidR="00F104C5" w:rsidRPr="00796E46">
        <w:rPr>
          <w:rStyle w:val="Strong"/>
          <w:rFonts w:asciiTheme="majorHAnsi" w:hAnsiTheme="majorHAnsi"/>
          <w:b w:val="0"/>
          <w:bCs w:val="0"/>
          <w:lang w:val="en-US"/>
        </w:rPr>
        <w:t xml:space="preserve">in need of a user-friendly and informative </w:t>
      </w:r>
      <w:r w:rsidR="00D5219B" w:rsidRPr="00796E46">
        <w:rPr>
          <w:rStyle w:val="Strong"/>
          <w:rFonts w:asciiTheme="majorHAnsi" w:hAnsiTheme="majorHAnsi"/>
          <w:b w:val="0"/>
          <w:bCs w:val="0"/>
          <w:lang w:val="en-US"/>
        </w:rPr>
        <w:t>categorization</w:t>
      </w:r>
      <w:r w:rsidR="00404C3F" w:rsidRPr="00796E46">
        <w:rPr>
          <w:rStyle w:val="Strong"/>
          <w:rFonts w:asciiTheme="majorHAnsi" w:hAnsiTheme="majorHAnsi"/>
          <w:b w:val="0"/>
          <w:bCs w:val="0"/>
          <w:lang w:val="en-US"/>
        </w:rPr>
        <w:t xml:space="preserve"> system</w:t>
      </w:r>
      <w:r w:rsidRPr="00796E46">
        <w:rPr>
          <w:rStyle w:val="Strong"/>
          <w:rFonts w:asciiTheme="majorHAnsi" w:hAnsiTheme="majorHAnsi"/>
          <w:b w:val="0"/>
          <w:bCs w:val="0"/>
          <w:lang w:val="en-US"/>
        </w:rPr>
        <w:t xml:space="preserve">. </w:t>
      </w:r>
    </w:p>
    <w:p w14:paraId="73CA62DE" w14:textId="77777777" w:rsidR="00144851" w:rsidRPr="00796E46" w:rsidRDefault="005B42E0"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With these elements in mind, w</w:t>
      </w:r>
      <w:r w:rsidR="00FE3095" w:rsidRPr="00796E46">
        <w:rPr>
          <w:rStyle w:val="Strong"/>
          <w:rFonts w:asciiTheme="majorHAnsi" w:hAnsiTheme="majorHAnsi"/>
          <w:b w:val="0"/>
          <w:bCs w:val="0"/>
          <w:lang w:val="en-US"/>
        </w:rPr>
        <w:t>e propose an approach that</w:t>
      </w:r>
      <w:r w:rsidR="00144851" w:rsidRPr="00796E46">
        <w:rPr>
          <w:rStyle w:val="Strong"/>
          <w:rFonts w:asciiTheme="majorHAnsi" w:hAnsiTheme="majorHAnsi"/>
          <w:b w:val="0"/>
          <w:bCs w:val="0"/>
          <w:lang w:val="en-US"/>
        </w:rPr>
        <w:t xml:space="preserve">: </w:t>
      </w:r>
    </w:p>
    <w:p w14:paraId="61EFF7E0" w14:textId="7782726F" w:rsidR="00144851" w:rsidRPr="00796E46" w:rsidRDefault="005B3159"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as in the Approach 2,</w:t>
      </w:r>
      <w:r w:rsidR="00FE3095" w:rsidRPr="00796E46">
        <w:rPr>
          <w:rStyle w:val="Strong"/>
          <w:rFonts w:asciiTheme="majorHAnsi" w:hAnsiTheme="majorHAnsi"/>
          <w:b w:val="0"/>
          <w:bCs w:val="0"/>
          <w:lang w:val="en-US"/>
        </w:rPr>
        <w:t xml:space="preserve"> uses </w:t>
      </w:r>
      <w:r w:rsidRPr="00796E46">
        <w:rPr>
          <w:rStyle w:val="Strong"/>
          <w:rFonts w:asciiTheme="majorHAnsi" w:hAnsiTheme="majorHAnsi"/>
          <w:b w:val="0"/>
          <w:bCs w:val="0"/>
          <w:lang w:val="en-US"/>
        </w:rPr>
        <w:t xml:space="preserve">most of the current </w:t>
      </w:r>
      <w:r w:rsidR="00FE3095" w:rsidRPr="00796E46">
        <w:rPr>
          <w:rStyle w:val="Strong"/>
          <w:rFonts w:asciiTheme="majorHAnsi" w:hAnsiTheme="majorHAnsi"/>
          <w:b w:val="0"/>
          <w:bCs w:val="0"/>
          <w:lang w:val="en-US"/>
        </w:rPr>
        <w:t xml:space="preserve">concepts </w:t>
      </w:r>
      <w:r w:rsidRPr="00796E46">
        <w:rPr>
          <w:rStyle w:val="Strong"/>
          <w:rFonts w:asciiTheme="majorHAnsi" w:hAnsiTheme="majorHAnsi"/>
          <w:b w:val="0"/>
          <w:bCs w:val="0"/>
          <w:lang w:val="en-US"/>
        </w:rPr>
        <w:t>of SFDR (</w:t>
      </w:r>
      <w:r w:rsidR="00404C3F" w:rsidRPr="00796E46">
        <w:rPr>
          <w:rStyle w:val="Strong"/>
          <w:rFonts w:asciiTheme="majorHAnsi" w:hAnsiTheme="majorHAnsi"/>
          <w:b w:val="0"/>
          <w:bCs w:val="0"/>
          <w:lang w:val="en-US"/>
        </w:rPr>
        <w:t>s</w:t>
      </w:r>
      <w:r w:rsidRPr="00796E46">
        <w:rPr>
          <w:rStyle w:val="Strong"/>
          <w:rFonts w:asciiTheme="majorHAnsi" w:hAnsiTheme="majorHAnsi"/>
          <w:b w:val="0"/>
          <w:bCs w:val="0"/>
          <w:lang w:val="en-US"/>
        </w:rPr>
        <w:t xml:space="preserve">ustainable </w:t>
      </w:r>
      <w:r w:rsidR="00404C3F" w:rsidRPr="00796E46">
        <w:rPr>
          <w:rStyle w:val="Strong"/>
          <w:rFonts w:asciiTheme="majorHAnsi" w:hAnsiTheme="majorHAnsi"/>
          <w:b w:val="0"/>
          <w:bCs w:val="0"/>
          <w:lang w:val="en-US"/>
        </w:rPr>
        <w:t>i</w:t>
      </w:r>
      <w:r w:rsidRPr="00796E46">
        <w:rPr>
          <w:rStyle w:val="Strong"/>
          <w:rFonts w:asciiTheme="majorHAnsi" w:hAnsiTheme="majorHAnsi"/>
          <w:b w:val="0"/>
          <w:bCs w:val="0"/>
          <w:lang w:val="en-US"/>
        </w:rPr>
        <w:t xml:space="preserve">nvestments, </w:t>
      </w:r>
      <w:r w:rsidR="00404C3F" w:rsidRPr="00796E46">
        <w:rPr>
          <w:rStyle w:val="Strong"/>
          <w:rFonts w:asciiTheme="majorHAnsi" w:hAnsiTheme="majorHAnsi"/>
          <w:b w:val="0"/>
          <w:bCs w:val="0"/>
          <w:lang w:val="en-US"/>
        </w:rPr>
        <w:t>c</w:t>
      </w:r>
      <w:r w:rsidRPr="00796E46">
        <w:rPr>
          <w:rStyle w:val="Strong"/>
          <w:rFonts w:asciiTheme="majorHAnsi" w:hAnsiTheme="majorHAnsi"/>
          <w:b w:val="0"/>
          <w:bCs w:val="0"/>
          <w:lang w:val="en-US"/>
        </w:rPr>
        <w:t xml:space="preserve">ontribution to a </w:t>
      </w:r>
      <w:r w:rsidR="00404C3F" w:rsidRPr="00796E46">
        <w:rPr>
          <w:rStyle w:val="Strong"/>
          <w:rFonts w:asciiTheme="majorHAnsi" w:hAnsiTheme="majorHAnsi"/>
          <w:b w:val="0"/>
          <w:bCs w:val="0"/>
          <w:lang w:val="en-US"/>
        </w:rPr>
        <w:t>s</w:t>
      </w:r>
      <w:r w:rsidRPr="00796E46">
        <w:rPr>
          <w:rStyle w:val="Strong"/>
          <w:rFonts w:asciiTheme="majorHAnsi" w:hAnsiTheme="majorHAnsi"/>
          <w:b w:val="0"/>
          <w:bCs w:val="0"/>
          <w:lang w:val="en-US"/>
        </w:rPr>
        <w:t xml:space="preserve">ocial or </w:t>
      </w:r>
      <w:r w:rsidR="00404C3F" w:rsidRPr="00796E46">
        <w:rPr>
          <w:rStyle w:val="Strong"/>
          <w:rFonts w:asciiTheme="majorHAnsi" w:hAnsiTheme="majorHAnsi"/>
          <w:b w:val="0"/>
          <w:bCs w:val="0"/>
          <w:lang w:val="en-US"/>
        </w:rPr>
        <w:t>environmental objective</w:t>
      </w:r>
      <w:r w:rsidRPr="00796E46">
        <w:rPr>
          <w:rStyle w:val="Strong"/>
          <w:rFonts w:asciiTheme="majorHAnsi" w:hAnsiTheme="majorHAnsi"/>
          <w:b w:val="0"/>
          <w:bCs w:val="0"/>
          <w:lang w:val="en-US"/>
        </w:rPr>
        <w:t xml:space="preserve">, </w:t>
      </w:r>
      <w:r w:rsidR="006459BD" w:rsidRPr="00796E46">
        <w:rPr>
          <w:rStyle w:val="Strong"/>
          <w:rFonts w:asciiTheme="majorHAnsi" w:hAnsiTheme="majorHAnsi"/>
          <w:b w:val="0"/>
          <w:bCs w:val="0"/>
          <w:lang w:val="en-US"/>
        </w:rPr>
        <w:t>DNSH</w:t>
      </w:r>
      <w:r w:rsidRPr="00796E46">
        <w:rPr>
          <w:rStyle w:val="Strong"/>
          <w:rFonts w:asciiTheme="majorHAnsi" w:hAnsiTheme="majorHAnsi"/>
          <w:b w:val="0"/>
          <w:bCs w:val="0"/>
          <w:lang w:val="en-US"/>
        </w:rPr>
        <w:t xml:space="preserve">, </w:t>
      </w:r>
      <w:r w:rsidR="006459BD" w:rsidRPr="00796E46">
        <w:rPr>
          <w:rStyle w:val="Strong"/>
          <w:rFonts w:asciiTheme="majorHAnsi" w:hAnsiTheme="majorHAnsi"/>
          <w:b w:val="0"/>
          <w:bCs w:val="0"/>
          <w:lang w:val="en-US"/>
        </w:rPr>
        <w:t>PAI</w:t>
      </w:r>
      <w:r w:rsidRPr="00796E46">
        <w:rPr>
          <w:rStyle w:val="Strong"/>
          <w:rFonts w:asciiTheme="majorHAnsi" w:hAnsiTheme="majorHAnsi"/>
          <w:b w:val="0"/>
          <w:bCs w:val="0"/>
          <w:lang w:val="en-US"/>
        </w:rPr>
        <w:t xml:space="preserve">, </w:t>
      </w:r>
      <w:r w:rsidR="006459BD" w:rsidRPr="00796E46">
        <w:rPr>
          <w:rStyle w:val="Strong"/>
          <w:rFonts w:asciiTheme="majorHAnsi" w:hAnsiTheme="majorHAnsi"/>
          <w:b w:val="0"/>
          <w:bCs w:val="0"/>
          <w:lang w:val="en-US"/>
        </w:rPr>
        <w:t>e</w:t>
      </w:r>
      <w:r w:rsidRPr="00796E46">
        <w:rPr>
          <w:rStyle w:val="Strong"/>
          <w:rFonts w:asciiTheme="majorHAnsi" w:hAnsiTheme="majorHAnsi"/>
          <w:b w:val="0"/>
          <w:bCs w:val="0"/>
          <w:lang w:val="en-US"/>
        </w:rPr>
        <w:t>xclusions</w:t>
      </w:r>
      <w:r w:rsidR="00F51474" w:rsidRPr="00796E46">
        <w:rPr>
          <w:rStyle w:val="Strong"/>
          <w:rFonts w:asciiTheme="majorHAnsi" w:hAnsiTheme="majorHAnsi"/>
          <w:b w:val="0"/>
          <w:bCs w:val="0"/>
          <w:lang w:val="en-US"/>
        </w:rPr>
        <w:t>)</w:t>
      </w:r>
      <w:r w:rsidR="00CD6614" w:rsidRPr="00796E46">
        <w:rPr>
          <w:rStyle w:val="Strong"/>
          <w:rFonts w:asciiTheme="majorHAnsi" w:hAnsiTheme="majorHAnsi"/>
          <w:b w:val="0"/>
          <w:bCs w:val="0"/>
          <w:lang w:val="en-US"/>
        </w:rPr>
        <w:t>;</w:t>
      </w:r>
      <w:r w:rsidR="00144851" w:rsidRPr="00796E46">
        <w:rPr>
          <w:rStyle w:val="Strong"/>
          <w:rFonts w:asciiTheme="majorHAnsi" w:hAnsiTheme="majorHAnsi"/>
          <w:b w:val="0"/>
          <w:bCs w:val="0"/>
          <w:lang w:val="en-US"/>
        </w:rPr>
        <w:t xml:space="preserve"> and</w:t>
      </w:r>
    </w:p>
    <w:p w14:paraId="5F19034A" w14:textId="11793322" w:rsidR="00144851" w:rsidRPr="00796E46" w:rsidRDefault="00144851"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a</w:t>
      </w:r>
      <w:r w:rsidR="00F51474" w:rsidRPr="00796E46">
        <w:rPr>
          <w:rStyle w:val="Strong"/>
          <w:rFonts w:asciiTheme="majorHAnsi" w:hAnsiTheme="majorHAnsi"/>
          <w:b w:val="0"/>
          <w:bCs w:val="0"/>
          <w:lang w:val="en-US"/>
        </w:rPr>
        <w:t xml:space="preserve">s in </w:t>
      </w:r>
      <w:r w:rsidR="005B3159" w:rsidRPr="00796E46">
        <w:rPr>
          <w:rStyle w:val="Strong"/>
          <w:rFonts w:asciiTheme="majorHAnsi" w:hAnsiTheme="majorHAnsi"/>
          <w:b w:val="0"/>
          <w:bCs w:val="0"/>
          <w:lang w:val="en-US"/>
        </w:rPr>
        <w:t>Approach 1</w:t>
      </w:r>
      <w:r w:rsidRPr="00796E46">
        <w:rPr>
          <w:rStyle w:val="Strong"/>
          <w:rFonts w:asciiTheme="majorHAnsi" w:hAnsiTheme="majorHAnsi"/>
          <w:b w:val="0"/>
          <w:bCs w:val="0"/>
          <w:lang w:val="en-US"/>
        </w:rPr>
        <w:t>,</w:t>
      </w:r>
      <w:r w:rsidR="005B3159" w:rsidRPr="00796E46">
        <w:rPr>
          <w:rStyle w:val="Strong"/>
          <w:rFonts w:asciiTheme="majorHAnsi" w:hAnsiTheme="majorHAnsi"/>
          <w:b w:val="0"/>
          <w:bCs w:val="0"/>
          <w:lang w:val="en-US"/>
        </w:rPr>
        <w:t xml:space="preserve"> </w:t>
      </w:r>
      <w:r w:rsidR="00F51474" w:rsidRPr="00796E46">
        <w:rPr>
          <w:rStyle w:val="Strong"/>
          <w:rFonts w:asciiTheme="majorHAnsi" w:hAnsiTheme="majorHAnsi"/>
          <w:b w:val="0"/>
          <w:bCs w:val="0"/>
          <w:lang w:val="en-US"/>
        </w:rPr>
        <w:t xml:space="preserve">distinguishes </w:t>
      </w:r>
      <w:r w:rsidR="006459BD" w:rsidRPr="00796E46">
        <w:rPr>
          <w:rStyle w:val="Strong"/>
          <w:rFonts w:asciiTheme="majorHAnsi" w:hAnsiTheme="majorHAnsi"/>
          <w:b w:val="0"/>
          <w:bCs w:val="0"/>
          <w:lang w:val="en-US"/>
        </w:rPr>
        <w:t>f</w:t>
      </w:r>
      <w:r w:rsidR="00F51474" w:rsidRPr="00796E46">
        <w:rPr>
          <w:rStyle w:val="Strong"/>
          <w:rFonts w:asciiTheme="majorHAnsi" w:hAnsiTheme="majorHAnsi"/>
          <w:b w:val="0"/>
          <w:bCs w:val="0"/>
          <w:lang w:val="en-US"/>
        </w:rPr>
        <w:t xml:space="preserve">inancial </w:t>
      </w:r>
      <w:r w:rsidR="006459BD" w:rsidRPr="00796E46">
        <w:rPr>
          <w:rStyle w:val="Strong"/>
          <w:rFonts w:asciiTheme="majorHAnsi" w:hAnsiTheme="majorHAnsi"/>
          <w:b w:val="0"/>
          <w:bCs w:val="0"/>
          <w:lang w:val="en-US"/>
        </w:rPr>
        <w:t>p</w:t>
      </w:r>
      <w:r w:rsidR="00F51474" w:rsidRPr="00796E46">
        <w:rPr>
          <w:rStyle w:val="Strong"/>
          <w:rFonts w:asciiTheme="majorHAnsi" w:hAnsiTheme="majorHAnsi"/>
          <w:b w:val="0"/>
          <w:bCs w:val="0"/>
          <w:lang w:val="en-US"/>
        </w:rPr>
        <w:t xml:space="preserve">roducts according to the </w:t>
      </w:r>
      <w:r w:rsidR="002D2B0C" w:rsidRPr="00796E46">
        <w:rPr>
          <w:rStyle w:val="Strong"/>
          <w:rFonts w:asciiTheme="majorHAnsi" w:hAnsiTheme="majorHAnsi"/>
          <w:b w:val="0"/>
          <w:bCs w:val="0"/>
          <w:lang w:val="en-US"/>
        </w:rPr>
        <w:t xml:space="preserve">extent </w:t>
      </w:r>
      <w:r w:rsidR="00F51474" w:rsidRPr="00796E46">
        <w:rPr>
          <w:rStyle w:val="Strong"/>
          <w:rFonts w:asciiTheme="majorHAnsi" w:hAnsiTheme="majorHAnsi"/>
          <w:b w:val="0"/>
          <w:bCs w:val="0"/>
          <w:lang w:val="en-US"/>
        </w:rPr>
        <w:t xml:space="preserve">with which </w:t>
      </w:r>
      <w:r w:rsidR="006459BD" w:rsidRPr="00796E46">
        <w:rPr>
          <w:rStyle w:val="Strong"/>
          <w:rFonts w:asciiTheme="majorHAnsi" w:hAnsiTheme="majorHAnsi"/>
          <w:b w:val="0"/>
          <w:bCs w:val="0"/>
          <w:lang w:val="en-US"/>
        </w:rPr>
        <w:t>s</w:t>
      </w:r>
      <w:r w:rsidR="00F51474" w:rsidRPr="00796E46">
        <w:rPr>
          <w:rStyle w:val="Strong"/>
          <w:rFonts w:asciiTheme="majorHAnsi" w:hAnsiTheme="majorHAnsi"/>
          <w:b w:val="0"/>
          <w:bCs w:val="0"/>
          <w:lang w:val="en-US"/>
        </w:rPr>
        <w:t xml:space="preserve">ustainability is considered in the </w:t>
      </w:r>
      <w:r w:rsidR="006459BD" w:rsidRPr="00796E46">
        <w:rPr>
          <w:rStyle w:val="Strong"/>
          <w:rFonts w:asciiTheme="majorHAnsi" w:hAnsiTheme="majorHAnsi"/>
          <w:b w:val="0"/>
          <w:bCs w:val="0"/>
          <w:lang w:val="en-US"/>
        </w:rPr>
        <w:t>i</w:t>
      </w:r>
      <w:r w:rsidR="00F51474" w:rsidRPr="00796E46">
        <w:rPr>
          <w:rStyle w:val="Strong"/>
          <w:rFonts w:asciiTheme="majorHAnsi" w:hAnsiTheme="majorHAnsi"/>
          <w:b w:val="0"/>
          <w:bCs w:val="0"/>
          <w:lang w:val="en-US"/>
        </w:rPr>
        <w:t xml:space="preserve">nvestment strategies. </w:t>
      </w:r>
    </w:p>
    <w:p w14:paraId="7C4A1268" w14:textId="2FC2DCD7" w:rsidR="00144851" w:rsidRPr="00796E46" w:rsidRDefault="00144851"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Our proposal however differs from both Approach 1 and 2 in that: </w:t>
      </w:r>
    </w:p>
    <w:p w14:paraId="289E3FD3" w14:textId="3AC1AD0C" w:rsidR="00144851" w:rsidRPr="00796E46" w:rsidRDefault="00CD6614"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c</w:t>
      </w:r>
      <w:r w:rsidR="00144851" w:rsidRPr="00796E46">
        <w:rPr>
          <w:rStyle w:val="Strong"/>
          <w:rFonts w:asciiTheme="majorHAnsi" w:hAnsiTheme="majorHAnsi"/>
          <w:b w:val="0"/>
          <w:bCs w:val="0"/>
          <w:lang w:val="en-US"/>
        </w:rPr>
        <w:t xml:space="preserve">ontrary to Approach 2, it removes the concept of “Article 8” and “Article 9” funds (and more specifically removes the concept underpinning Article 8 (“Promote environmental and social characteristics”) which is deemed too vague and generating a high risk of </w:t>
      </w:r>
      <w:proofErr w:type="gramStart"/>
      <w:r w:rsidR="00144851" w:rsidRPr="00796E46">
        <w:rPr>
          <w:rStyle w:val="Strong"/>
          <w:rFonts w:asciiTheme="majorHAnsi" w:hAnsiTheme="majorHAnsi"/>
          <w:b w:val="0"/>
          <w:bCs w:val="0"/>
          <w:lang w:val="en-US"/>
        </w:rPr>
        <w:t>greenwashing</w:t>
      </w:r>
      <w:r w:rsidR="00AE1313" w:rsidRPr="00796E46">
        <w:rPr>
          <w:rStyle w:val="Strong"/>
          <w:rFonts w:asciiTheme="majorHAnsi" w:hAnsiTheme="majorHAnsi"/>
          <w:b w:val="0"/>
          <w:bCs w:val="0"/>
          <w:lang w:val="en-US"/>
        </w:rPr>
        <w:t>;</w:t>
      </w:r>
      <w:proofErr w:type="gramEnd"/>
    </w:p>
    <w:p w14:paraId="5BBB8D0B" w14:textId="03187761" w:rsidR="00144851" w:rsidRPr="00796E46" w:rsidRDefault="00AE1313"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c</w:t>
      </w:r>
      <w:r w:rsidR="00144851" w:rsidRPr="00796E46">
        <w:rPr>
          <w:rStyle w:val="Strong"/>
          <w:rFonts w:asciiTheme="majorHAnsi" w:hAnsiTheme="majorHAnsi"/>
          <w:b w:val="0"/>
          <w:bCs w:val="0"/>
          <w:lang w:val="en-US"/>
        </w:rPr>
        <w:t>ontrary to Approach 1</w:t>
      </w:r>
      <w:r w:rsidRPr="00796E46">
        <w:rPr>
          <w:rStyle w:val="Strong"/>
          <w:rFonts w:asciiTheme="majorHAnsi" w:hAnsiTheme="majorHAnsi"/>
          <w:b w:val="0"/>
          <w:bCs w:val="0"/>
          <w:lang w:val="en-US"/>
        </w:rPr>
        <w:t>,</w:t>
      </w:r>
      <w:r w:rsidR="00144851" w:rsidRPr="00796E46">
        <w:rPr>
          <w:rStyle w:val="Strong"/>
          <w:rFonts w:asciiTheme="majorHAnsi" w:hAnsiTheme="majorHAnsi"/>
          <w:b w:val="0"/>
          <w:bCs w:val="0"/>
          <w:lang w:val="en-US"/>
        </w:rPr>
        <w:t xml:space="preserve"> does not aim to define categories according to the </w:t>
      </w:r>
      <w:r w:rsidRPr="00796E46">
        <w:rPr>
          <w:rStyle w:val="Strong"/>
          <w:rFonts w:asciiTheme="majorHAnsi" w:hAnsiTheme="majorHAnsi"/>
          <w:b w:val="0"/>
          <w:bCs w:val="0"/>
          <w:lang w:val="en-US"/>
        </w:rPr>
        <w:t>investment</w:t>
      </w:r>
      <w:r w:rsidR="00144851" w:rsidRPr="00796E46">
        <w:rPr>
          <w:rStyle w:val="Strong"/>
          <w:rFonts w:asciiTheme="majorHAnsi" w:hAnsiTheme="majorHAnsi"/>
          <w:b w:val="0"/>
          <w:bCs w:val="0"/>
          <w:lang w:val="en-US"/>
        </w:rPr>
        <w:t xml:space="preserve"> strategies per se, but according to the degree of integration of </w:t>
      </w:r>
      <w:r w:rsidRPr="00796E46">
        <w:rPr>
          <w:rStyle w:val="Strong"/>
          <w:rFonts w:asciiTheme="majorHAnsi" w:hAnsiTheme="majorHAnsi"/>
          <w:b w:val="0"/>
          <w:bCs w:val="0"/>
          <w:lang w:val="en-US"/>
        </w:rPr>
        <w:t>s</w:t>
      </w:r>
      <w:r w:rsidR="00144851" w:rsidRPr="00796E46">
        <w:rPr>
          <w:rStyle w:val="Strong"/>
          <w:rFonts w:asciiTheme="majorHAnsi" w:hAnsiTheme="majorHAnsi"/>
          <w:b w:val="0"/>
          <w:bCs w:val="0"/>
          <w:lang w:val="en-US"/>
        </w:rPr>
        <w:t xml:space="preserve">ustainability considerations in these investment strategies. We believe that the proposed Approach 1 would not increase comparability, as there can be a spectrum of different strategies, which a regulation could never cover comprehensively, and it shouldn’t, as the regulation shouldn’t affect the flexibility of offering many different strategies that investors could ask for. Besides restricting investment strategies, creating product categories </w:t>
      </w:r>
      <w:r w:rsidR="00587B84" w:rsidRPr="00796E46">
        <w:rPr>
          <w:rStyle w:val="Strong"/>
          <w:rFonts w:asciiTheme="majorHAnsi" w:hAnsiTheme="majorHAnsi"/>
          <w:b w:val="0"/>
          <w:bCs w:val="0"/>
          <w:lang w:val="en-US"/>
        </w:rPr>
        <w:t xml:space="preserve">as stated in Approach 1 </w:t>
      </w:r>
      <w:r w:rsidR="00144851" w:rsidRPr="00796E46">
        <w:rPr>
          <w:rStyle w:val="Strong"/>
          <w:rFonts w:asciiTheme="majorHAnsi" w:hAnsiTheme="majorHAnsi"/>
          <w:b w:val="0"/>
          <w:bCs w:val="0"/>
          <w:lang w:val="en-US"/>
        </w:rPr>
        <w:t>(with the associated eligibility criteria and reporting requirements)</w:t>
      </w:r>
      <w:r w:rsidR="00795CCA" w:rsidRPr="00796E46">
        <w:rPr>
          <w:rStyle w:val="Strong"/>
          <w:rFonts w:asciiTheme="majorHAnsi" w:hAnsiTheme="majorHAnsi"/>
          <w:b w:val="0"/>
          <w:bCs w:val="0"/>
          <w:lang w:val="en-US"/>
        </w:rPr>
        <w:t xml:space="preserve"> would</w:t>
      </w:r>
      <w:r w:rsidR="00144851" w:rsidRPr="00796E46">
        <w:rPr>
          <w:rStyle w:val="Strong"/>
          <w:rFonts w:asciiTheme="majorHAnsi" w:hAnsiTheme="majorHAnsi"/>
          <w:b w:val="0"/>
          <w:bCs w:val="0"/>
          <w:lang w:val="en-US"/>
        </w:rPr>
        <w:t xml:space="preserve"> likely add complexity to a regulation which clients and Financial Market Participants alike face difficulty grappling with.</w:t>
      </w:r>
      <w:r w:rsidR="00795CCA" w:rsidRPr="00796E46">
        <w:rPr>
          <w:rStyle w:val="Strong"/>
          <w:rFonts w:asciiTheme="majorHAnsi" w:hAnsiTheme="majorHAnsi"/>
          <w:b w:val="0"/>
          <w:bCs w:val="0"/>
          <w:lang w:val="en-US"/>
        </w:rPr>
        <w:t xml:space="preserve"> </w:t>
      </w:r>
    </w:p>
    <w:p w14:paraId="4C21199D" w14:textId="66908D92" w:rsidR="00884FAC" w:rsidRPr="00796E46" w:rsidRDefault="00144851" w:rsidP="00E57E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Our proposal </w:t>
      </w:r>
      <w:r w:rsidR="00884FAC" w:rsidRPr="00796E46">
        <w:rPr>
          <w:rStyle w:val="Strong"/>
          <w:rFonts w:asciiTheme="majorHAnsi" w:hAnsiTheme="majorHAnsi"/>
          <w:b w:val="0"/>
          <w:bCs w:val="0"/>
          <w:lang w:val="en-US"/>
        </w:rPr>
        <w:t xml:space="preserve">is a simple, clear and comparable </w:t>
      </w:r>
      <w:proofErr w:type="spellStart"/>
      <w:r w:rsidR="00884FAC" w:rsidRPr="00796E46">
        <w:rPr>
          <w:rStyle w:val="Strong"/>
          <w:rFonts w:asciiTheme="majorHAnsi" w:hAnsiTheme="majorHAnsi"/>
          <w:b w:val="0"/>
          <w:bCs w:val="0"/>
          <w:lang w:val="en-US"/>
        </w:rPr>
        <w:t>categorisation</w:t>
      </w:r>
      <w:proofErr w:type="spellEnd"/>
      <w:r w:rsidR="00884FAC" w:rsidRPr="00796E46">
        <w:rPr>
          <w:rStyle w:val="Strong"/>
          <w:rFonts w:asciiTheme="majorHAnsi" w:hAnsiTheme="majorHAnsi"/>
          <w:b w:val="0"/>
          <w:bCs w:val="0"/>
          <w:lang w:val="en-US"/>
        </w:rPr>
        <w:t xml:space="preserve"> system that informs all investors about the sustainability efforts of a financial product. The key principles of our proposal are that all products should be comparable, that the comparison should be easily understood, that it contributes to the original objectives of the SFDR, and that the conceptual framework can stand the time.</w:t>
      </w:r>
    </w:p>
    <w:p w14:paraId="1E665753" w14:textId="66C5CEFD" w:rsidR="00F96B22" w:rsidRPr="00796E46" w:rsidRDefault="00884FAC" w:rsidP="00E57E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We </w:t>
      </w:r>
      <w:r w:rsidR="00144851" w:rsidRPr="00796E46">
        <w:rPr>
          <w:rStyle w:val="Strong"/>
          <w:rFonts w:asciiTheme="majorHAnsi" w:hAnsiTheme="majorHAnsi"/>
          <w:b w:val="0"/>
          <w:bCs w:val="0"/>
          <w:lang w:val="en-US"/>
        </w:rPr>
        <w:t xml:space="preserve">create </w:t>
      </w:r>
      <w:r w:rsidR="005B3159" w:rsidRPr="00796E46">
        <w:rPr>
          <w:rStyle w:val="Strong"/>
          <w:rFonts w:asciiTheme="majorHAnsi" w:hAnsiTheme="majorHAnsi"/>
          <w:b w:val="0"/>
          <w:bCs w:val="0"/>
          <w:lang w:val="en-US"/>
        </w:rPr>
        <w:t>categories</w:t>
      </w:r>
      <w:r w:rsidR="00F51474" w:rsidRPr="00796E46">
        <w:rPr>
          <w:rStyle w:val="Strong"/>
          <w:rFonts w:asciiTheme="majorHAnsi" w:hAnsiTheme="majorHAnsi"/>
          <w:b w:val="0"/>
          <w:bCs w:val="0"/>
          <w:lang w:val="en-US"/>
        </w:rPr>
        <w:t xml:space="preserve"> defined by the </w:t>
      </w:r>
      <w:r w:rsidR="00223F5A" w:rsidRPr="00796E46">
        <w:rPr>
          <w:rStyle w:val="Strong"/>
          <w:rFonts w:asciiTheme="majorHAnsi" w:hAnsiTheme="majorHAnsi"/>
          <w:b w:val="0"/>
          <w:bCs w:val="0"/>
          <w:lang w:val="en-US"/>
        </w:rPr>
        <w:t xml:space="preserve">extent </w:t>
      </w:r>
      <w:r w:rsidR="00144851" w:rsidRPr="00796E46">
        <w:rPr>
          <w:rStyle w:val="Strong"/>
          <w:rFonts w:asciiTheme="majorHAnsi" w:hAnsiTheme="majorHAnsi"/>
          <w:b w:val="0"/>
          <w:bCs w:val="0"/>
          <w:lang w:val="en-US"/>
        </w:rPr>
        <w:t xml:space="preserve">with which </w:t>
      </w:r>
      <w:r w:rsidR="00F51474" w:rsidRPr="00796E46">
        <w:rPr>
          <w:rStyle w:val="Strong"/>
          <w:rFonts w:asciiTheme="majorHAnsi" w:hAnsiTheme="majorHAnsi"/>
          <w:b w:val="0"/>
          <w:bCs w:val="0"/>
          <w:lang w:val="en-US"/>
        </w:rPr>
        <w:t xml:space="preserve">a </w:t>
      </w:r>
      <w:r w:rsidR="00144851" w:rsidRPr="00796E46">
        <w:rPr>
          <w:rStyle w:val="Strong"/>
          <w:rFonts w:asciiTheme="majorHAnsi" w:hAnsiTheme="majorHAnsi"/>
          <w:b w:val="0"/>
          <w:bCs w:val="0"/>
          <w:lang w:val="en-US"/>
        </w:rPr>
        <w:t>F</w:t>
      </w:r>
      <w:r w:rsidR="00F51474" w:rsidRPr="00796E46">
        <w:rPr>
          <w:rStyle w:val="Strong"/>
          <w:rFonts w:asciiTheme="majorHAnsi" w:hAnsiTheme="majorHAnsi"/>
          <w:b w:val="0"/>
          <w:bCs w:val="0"/>
          <w:lang w:val="en-US"/>
        </w:rPr>
        <w:t xml:space="preserve">inancial </w:t>
      </w:r>
      <w:r w:rsidR="00144851" w:rsidRPr="00796E46">
        <w:rPr>
          <w:rStyle w:val="Strong"/>
          <w:rFonts w:asciiTheme="majorHAnsi" w:hAnsiTheme="majorHAnsi"/>
          <w:b w:val="0"/>
          <w:bCs w:val="0"/>
          <w:lang w:val="en-US"/>
        </w:rPr>
        <w:t>P</w:t>
      </w:r>
      <w:r w:rsidR="00F51474" w:rsidRPr="00796E46">
        <w:rPr>
          <w:rStyle w:val="Strong"/>
          <w:rFonts w:asciiTheme="majorHAnsi" w:hAnsiTheme="majorHAnsi"/>
          <w:b w:val="0"/>
          <w:bCs w:val="0"/>
          <w:lang w:val="en-US"/>
        </w:rPr>
        <w:t>roduct considers sustainability</w:t>
      </w:r>
      <w:r w:rsidR="00144851" w:rsidRPr="00796E46">
        <w:rPr>
          <w:rStyle w:val="Strong"/>
          <w:rFonts w:asciiTheme="majorHAnsi" w:hAnsiTheme="majorHAnsi"/>
          <w:b w:val="0"/>
          <w:bCs w:val="0"/>
          <w:lang w:val="en-US"/>
        </w:rPr>
        <w:t xml:space="preserve"> in its investment strategy</w:t>
      </w:r>
      <w:r w:rsidR="00F51474" w:rsidRPr="00796E46">
        <w:rPr>
          <w:rStyle w:val="Strong"/>
          <w:rFonts w:asciiTheme="majorHAnsi" w:hAnsiTheme="majorHAnsi"/>
          <w:b w:val="0"/>
          <w:bCs w:val="0"/>
          <w:lang w:val="en-US"/>
        </w:rPr>
        <w:t>, based on their disclosure of</w:t>
      </w:r>
      <w:r w:rsidR="00F96B22" w:rsidRPr="00796E46">
        <w:rPr>
          <w:rStyle w:val="Strong"/>
          <w:rFonts w:asciiTheme="majorHAnsi" w:hAnsiTheme="majorHAnsi"/>
          <w:b w:val="0"/>
          <w:bCs w:val="0"/>
          <w:lang w:val="en-US"/>
        </w:rPr>
        <w:t>:</w:t>
      </w:r>
    </w:p>
    <w:p w14:paraId="4BF96FB5" w14:textId="21B97117" w:rsidR="00F96B22" w:rsidRPr="00796E46" w:rsidRDefault="00F51474" w:rsidP="00F96B22">
      <w:pPr>
        <w:ind w:firstLine="720"/>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(1) degree of </w:t>
      </w:r>
      <w:r w:rsidR="00F96B22" w:rsidRPr="00796E46">
        <w:rPr>
          <w:rStyle w:val="Strong"/>
          <w:rFonts w:asciiTheme="majorHAnsi" w:hAnsiTheme="majorHAnsi"/>
          <w:b w:val="0"/>
          <w:bCs w:val="0"/>
          <w:lang w:val="en-US"/>
        </w:rPr>
        <w:t>s</w:t>
      </w:r>
      <w:r w:rsidRPr="00796E46">
        <w:rPr>
          <w:rStyle w:val="Strong"/>
          <w:rFonts w:asciiTheme="majorHAnsi" w:hAnsiTheme="majorHAnsi"/>
          <w:b w:val="0"/>
          <w:bCs w:val="0"/>
          <w:lang w:val="en-US"/>
        </w:rPr>
        <w:t xml:space="preserve">ustainable </w:t>
      </w:r>
      <w:r w:rsidR="00F96B22" w:rsidRPr="00796E46">
        <w:rPr>
          <w:rStyle w:val="Strong"/>
          <w:rFonts w:asciiTheme="majorHAnsi" w:hAnsiTheme="majorHAnsi"/>
          <w:b w:val="0"/>
          <w:bCs w:val="0"/>
          <w:lang w:val="en-US"/>
        </w:rPr>
        <w:t xml:space="preserve">investment(s) </w:t>
      </w:r>
      <w:r w:rsidR="00144851" w:rsidRPr="00796E46">
        <w:rPr>
          <w:rStyle w:val="Strong"/>
          <w:rFonts w:asciiTheme="majorHAnsi" w:hAnsiTheme="majorHAnsi"/>
          <w:b w:val="0"/>
          <w:bCs w:val="0"/>
          <w:lang w:val="en-US"/>
        </w:rPr>
        <w:t xml:space="preserve">according to </w:t>
      </w:r>
      <w:r w:rsidRPr="00796E46">
        <w:rPr>
          <w:rStyle w:val="Strong"/>
          <w:rFonts w:asciiTheme="majorHAnsi" w:hAnsiTheme="majorHAnsi"/>
          <w:b w:val="0"/>
          <w:bCs w:val="0"/>
          <w:lang w:val="en-US"/>
        </w:rPr>
        <w:t xml:space="preserve">art </w:t>
      </w:r>
      <w:proofErr w:type="gramStart"/>
      <w:r w:rsidRPr="00796E46">
        <w:rPr>
          <w:rStyle w:val="Strong"/>
          <w:rFonts w:asciiTheme="majorHAnsi" w:hAnsiTheme="majorHAnsi"/>
          <w:b w:val="0"/>
          <w:bCs w:val="0"/>
          <w:lang w:val="en-US"/>
        </w:rPr>
        <w:t>2(17)</w:t>
      </w:r>
      <w:r w:rsidR="00F96B22" w:rsidRPr="00796E46">
        <w:rPr>
          <w:rStyle w:val="Strong"/>
          <w:rFonts w:asciiTheme="majorHAnsi" w:hAnsiTheme="majorHAnsi"/>
          <w:b w:val="0"/>
          <w:bCs w:val="0"/>
          <w:lang w:val="en-US"/>
        </w:rPr>
        <w:t>;</w:t>
      </w:r>
      <w:proofErr w:type="gramEnd"/>
    </w:p>
    <w:p w14:paraId="5F01BFC7" w14:textId="67C0A7EE" w:rsidR="00F96B22" w:rsidRPr="00796E46" w:rsidRDefault="00F51474" w:rsidP="00F96B22">
      <w:pPr>
        <w:ind w:firstLine="720"/>
        <w:jc w:val="both"/>
        <w:rPr>
          <w:rStyle w:val="Strong"/>
          <w:rFonts w:asciiTheme="majorHAnsi" w:hAnsiTheme="majorHAnsi"/>
          <w:b w:val="0"/>
          <w:bCs w:val="0"/>
          <w:lang w:val="en-US"/>
        </w:rPr>
      </w:pPr>
      <w:r w:rsidRPr="00796E46">
        <w:rPr>
          <w:rStyle w:val="Strong"/>
          <w:rFonts w:asciiTheme="majorHAnsi" w:hAnsiTheme="majorHAnsi"/>
          <w:b w:val="0"/>
          <w:bCs w:val="0"/>
          <w:lang w:val="en-US"/>
        </w:rPr>
        <w:lastRenderedPageBreak/>
        <w:t xml:space="preserve">(2) whether the </w:t>
      </w:r>
      <w:r w:rsidR="00056ABA" w:rsidRPr="00796E46">
        <w:rPr>
          <w:rStyle w:val="Strong"/>
          <w:rFonts w:asciiTheme="majorHAnsi" w:hAnsiTheme="majorHAnsi"/>
          <w:b w:val="0"/>
          <w:bCs w:val="0"/>
          <w:lang w:val="en-US"/>
        </w:rPr>
        <w:t>PAIs</w:t>
      </w:r>
      <w:r w:rsidR="00144851" w:rsidRPr="00796E46">
        <w:rPr>
          <w:rStyle w:val="Strong"/>
          <w:rFonts w:asciiTheme="majorHAnsi" w:hAnsiTheme="majorHAnsi"/>
          <w:b w:val="0"/>
          <w:bCs w:val="0"/>
          <w:lang w:val="en-US"/>
        </w:rPr>
        <w:t xml:space="preserve"> filters </w:t>
      </w:r>
      <w:r w:rsidRPr="00796E46">
        <w:rPr>
          <w:rStyle w:val="Strong"/>
          <w:rFonts w:asciiTheme="majorHAnsi" w:hAnsiTheme="majorHAnsi"/>
          <w:b w:val="0"/>
          <w:bCs w:val="0"/>
          <w:lang w:val="en-US"/>
        </w:rPr>
        <w:t xml:space="preserve">are used in the </w:t>
      </w:r>
      <w:r w:rsidR="002E387A" w:rsidRPr="00796E46">
        <w:rPr>
          <w:rStyle w:val="Strong"/>
          <w:rFonts w:asciiTheme="majorHAnsi" w:hAnsiTheme="majorHAnsi"/>
          <w:b w:val="0"/>
          <w:bCs w:val="0"/>
          <w:lang w:val="en-US"/>
        </w:rPr>
        <w:t xml:space="preserve">investment </w:t>
      </w:r>
      <w:r w:rsidRPr="00796E46">
        <w:rPr>
          <w:rStyle w:val="Strong"/>
          <w:rFonts w:asciiTheme="majorHAnsi" w:hAnsiTheme="majorHAnsi"/>
          <w:b w:val="0"/>
          <w:bCs w:val="0"/>
          <w:lang w:val="en-US"/>
        </w:rPr>
        <w:t>selection process</w:t>
      </w:r>
      <w:r w:rsidR="00884FAC" w:rsidRPr="00796E46">
        <w:rPr>
          <w:rStyle w:val="Strong"/>
          <w:rFonts w:asciiTheme="majorHAnsi" w:hAnsiTheme="majorHAnsi"/>
          <w:b w:val="0"/>
          <w:bCs w:val="0"/>
          <w:lang w:val="en-US"/>
        </w:rPr>
        <w:t xml:space="preserve"> and/or the engagement strategy</w:t>
      </w:r>
      <w:r w:rsidR="00F96B22" w:rsidRPr="00796E46">
        <w:rPr>
          <w:rStyle w:val="Strong"/>
          <w:rFonts w:asciiTheme="majorHAnsi" w:hAnsiTheme="majorHAnsi"/>
          <w:b w:val="0"/>
          <w:bCs w:val="0"/>
          <w:lang w:val="en-US"/>
        </w:rPr>
        <w:t>;</w:t>
      </w:r>
      <w:r w:rsidRPr="00796E46">
        <w:rPr>
          <w:rStyle w:val="Strong"/>
          <w:rFonts w:asciiTheme="majorHAnsi" w:hAnsiTheme="majorHAnsi"/>
          <w:b w:val="0"/>
          <w:bCs w:val="0"/>
          <w:lang w:val="en-US"/>
        </w:rPr>
        <w:t xml:space="preserve"> and </w:t>
      </w:r>
    </w:p>
    <w:p w14:paraId="3A6BC5C5" w14:textId="76EE6F5E" w:rsidR="00F96B22" w:rsidRPr="00796E46" w:rsidRDefault="00F51474" w:rsidP="00F96B22">
      <w:pPr>
        <w:ind w:left="720"/>
        <w:jc w:val="both"/>
        <w:rPr>
          <w:rStyle w:val="Strong"/>
          <w:rFonts w:asciiTheme="majorHAnsi" w:hAnsiTheme="majorHAnsi"/>
          <w:b w:val="0"/>
          <w:bCs w:val="0"/>
          <w:lang w:val="en-US"/>
        </w:rPr>
      </w:pPr>
      <w:r w:rsidRPr="00796E46">
        <w:rPr>
          <w:rStyle w:val="Strong"/>
          <w:rFonts w:asciiTheme="majorHAnsi" w:hAnsiTheme="majorHAnsi"/>
          <w:b w:val="0"/>
          <w:bCs w:val="0"/>
          <w:lang w:val="en-US"/>
        </w:rPr>
        <w:t>(3) whether exclusions</w:t>
      </w:r>
      <w:r w:rsidR="00884FAC" w:rsidRPr="00796E46">
        <w:rPr>
          <w:rStyle w:val="Strong"/>
          <w:rFonts w:asciiTheme="majorHAnsi" w:hAnsiTheme="majorHAnsi"/>
          <w:b w:val="0"/>
          <w:bCs w:val="0"/>
          <w:lang w:val="en-US"/>
        </w:rPr>
        <w:t>, especially the exclusion list of the Paris Aligned Benchmarks,</w:t>
      </w:r>
      <w:r w:rsidRPr="00796E46">
        <w:rPr>
          <w:rStyle w:val="Strong"/>
          <w:rFonts w:asciiTheme="majorHAnsi" w:hAnsiTheme="majorHAnsi"/>
          <w:b w:val="0"/>
          <w:bCs w:val="0"/>
          <w:lang w:val="en-US"/>
        </w:rPr>
        <w:t xml:space="preserve"> are </w:t>
      </w:r>
      <w:r w:rsidR="00AD2C6F" w:rsidRPr="00796E46">
        <w:rPr>
          <w:rStyle w:val="Strong"/>
          <w:rFonts w:asciiTheme="majorHAnsi" w:hAnsiTheme="majorHAnsi"/>
          <w:b w:val="0"/>
          <w:bCs w:val="0"/>
          <w:lang w:val="en-US"/>
        </w:rPr>
        <w:t>considered/</w:t>
      </w:r>
      <w:r w:rsidRPr="00796E46">
        <w:rPr>
          <w:rStyle w:val="Strong"/>
          <w:rFonts w:asciiTheme="majorHAnsi" w:hAnsiTheme="majorHAnsi"/>
          <w:b w:val="0"/>
          <w:bCs w:val="0"/>
          <w:lang w:val="en-US"/>
        </w:rPr>
        <w:t xml:space="preserve">applied. </w:t>
      </w:r>
    </w:p>
    <w:p w14:paraId="5E679AFB" w14:textId="7DB240C5" w:rsidR="005B42E0" w:rsidRPr="00796E46" w:rsidRDefault="00F51474"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This could imply 5 categories, from “strong” to “no” explicit consideration of sustainability.</w:t>
      </w:r>
      <w:r w:rsidR="00144851" w:rsidRPr="00796E46">
        <w:rPr>
          <w:rStyle w:val="Strong"/>
          <w:rFonts w:asciiTheme="majorHAnsi" w:hAnsiTheme="majorHAnsi"/>
          <w:b w:val="0"/>
          <w:bCs w:val="0"/>
          <w:lang w:val="en-US"/>
        </w:rPr>
        <w:t xml:space="preserve"> </w:t>
      </w:r>
      <w:r w:rsidR="005B42E0" w:rsidRPr="00796E46">
        <w:rPr>
          <w:rStyle w:val="Strong"/>
          <w:rFonts w:asciiTheme="majorHAnsi" w:hAnsiTheme="majorHAnsi"/>
          <w:b w:val="0"/>
          <w:bCs w:val="0"/>
          <w:lang w:val="en-US"/>
        </w:rPr>
        <w:t xml:space="preserve">The actual level of sustainability would still need to be evaluated by each investor or third parties based on the information made available in the various disclosures, which formats would need to be simplified/ </w:t>
      </w:r>
      <w:commentRangeStart w:id="40"/>
      <w:r w:rsidR="005B42E0" w:rsidRPr="00796E46">
        <w:rPr>
          <w:rStyle w:val="Strong"/>
          <w:rFonts w:asciiTheme="majorHAnsi" w:hAnsiTheme="majorHAnsi"/>
          <w:b w:val="0"/>
          <w:bCs w:val="0"/>
          <w:lang w:val="en-US"/>
        </w:rPr>
        <w:t>clarified</w:t>
      </w:r>
      <w:commentRangeEnd w:id="40"/>
      <w:r w:rsidR="000E4F0E" w:rsidRPr="00796E46">
        <w:rPr>
          <w:rStyle w:val="CommentReference"/>
        </w:rPr>
        <w:commentReference w:id="40"/>
      </w:r>
      <w:r w:rsidR="005B42E0" w:rsidRPr="00796E46">
        <w:rPr>
          <w:rStyle w:val="Strong"/>
          <w:rFonts w:asciiTheme="majorHAnsi" w:hAnsiTheme="majorHAnsi"/>
          <w:b w:val="0"/>
          <w:bCs w:val="0"/>
          <w:lang w:val="en-US"/>
        </w:rPr>
        <w:t xml:space="preserve">. </w:t>
      </w:r>
    </w:p>
    <w:p w14:paraId="2E67D060" w14:textId="77777777" w:rsidR="00D377B3" w:rsidRPr="00796E46" w:rsidRDefault="00D377B3" w:rsidP="00D377B3">
      <w:pPr>
        <w:jc w:val="both"/>
        <w:rPr>
          <w:rStyle w:val="Strong"/>
          <w:rFonts w:asciiTheme="majorHAnsi" w:hAnsiTheme="majorHAnsi"/>
          <w:b w:val="0"/>
          <w:bCs w:val="0"/>
          <w:lang w:val="en-US"/>
        </w:rPr>
      </w:pPr>
    </w:p>
    <w:p w14:paraId="5FB1AF44" w14:textId="4D192069"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1: </w:t>
      </w:r>
    </w:p>
    <w:p w14:paraId="4201D487" w14:textId="7AEF825B"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No exclusions</w:t>
      </w:r>
      <w:r w:rsidR="00D93CE5" w:rsidRPr="00796E46">
        <w:rPr>
          <w:rStyle w:val="Strong"/>
          <w:rFonts w:asciiTheme="majorHAnsi" w:hAnsiTheme="majorHAnsi"/>
          <w:b w:val="0"/>
          <w:bCs w:val="0"/>
          <w:lang w:val="en-US"/>
        </w:rPr>
        <w:t xml:space="preserve"> + </w:t>
      </w:r>
      <w:r w:rsidRPr="00796E46">
        <w:rPr>
          <w:rStyle w:val="Strong"/>
          <w:rFonts w:asciiTheme="majorHAnsi" w:hAnsiTheme="majorHAnsi"/>
          <w:b w:val="0"/>
          <w:bCs w:val="0"/>
          <w:lang w:val="en-US"/>
        </w:rPr>
        <w:t xml:space="preserve">PAIs NOT considered in the selection </w:t>
      </w:r>
      <w:proofErr w:type="gramStart"/>
      <w:r w:rsidRPr="00796E46">
        <w:rPr>
          <w:rStyle w:val="Strong"/>
          <w:rFonts w:asciiTheme="majorHAnsi" w:hAnsiTheme="majorHAnsi"/>
          <w:b w:val="0"/>
          <w:bCs w:val="0"/>
          <w:lang w:val="en-US"/>
        </w:rPr>
        <w:t>process</w:t>
      </w:r>
      <w:proofErr w:type="gramEnd"/>
    </w:p>
    <w:p w14:paraId="4A8EB1A6" w14:textId="77777777" w:rsidR="00D377B3" w:rsidRPr="00796E46" w:rsidRDefault="00D377B3" w:rsidP="00353BA2">
      <w:pPr>
        <w:jc w:val="both"/>
        <w:rPr>
          <w:rStyle w:val="Strong"/>
          <w:rFonts w:asciiTheme="majorHAnsi" w:hAnsiTheme="majorHAnsi"/>
          <w:b w:val="0"/>
          <w:bCs w:val="0"/>
          <w:lang w:val="en-US"/>
        </w:rPr>
      </w:pPr>
    </w:p>
    <w:p w14:paraId="241E6DB7" w14:textId="0BA7DFA0"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2: </w:t>
      </w:r>
    </w:p>
    <w:p w14:paraId="357EFC85" w14:textId="3FF9D39E"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Minimum exclusions</w:t>
      </w:r>
      <w:r w:rsidR="00D93CE5" w:rsidRPr="00796E46">
        <w:rPr>
          <w:rStyle w:val="Strong"/>
          <w:rFonts w:asciiTheme="majorHAnsi" w:hAnsiTheme="majorHAnsi"/>
          <w:b w:val="0"/>
          <w:bCs w:val="0"/>
          <w:lang w:val="en-US"/>
        </w:rPr>
        <w:t xml:space="preserve">* + </w:t>
      </w:r>
      <w:r w:rsidRPr="00796E46">
        <w:rPr>
          <w:rStyle w:val="Strong"/>
          <w:rFonts w:asciiTheme="majorHAnsi" w:hAnsiTheme="majorHAnsi"/>
          <w:b w:val="0"/>
          <w:bCs w:val="0"/>
          <w:lang w:val="en-US"/>
        </w:rPr>
        <w:t xml:space="preserve">PAIs NOT considered in the selection </w:t>
      </w:r>
      <w:proofErr w:type="gramStart"/>
      <w:r w:rsidRPr="00796E46">
        <w:rPr>
          <w:rStyle w:val="Strong"/>
          <w:rFonts w:asciiTheme="majorHAnsi" w:hAnsiTheme="majorHAnsi"/>
          <w:b w:val="0"/>
          <w:bCs w:val="0"/>
          <w:lang w:val="en-US"/>
        </w:rPr>
        <w:t>process</w:t>
      </w:r>
      <w:proofErr w:type="gramEnd"/>
    </w:p>
    <w:p w14:paraId="0D73FB5E" w14:textId="77777777" w:rsidR="00D377B3" w:rsidRPr="00796E46" w:rsidRDefault="00D377B3" w:rsidP="00353BA2">
      <w:pPr>
        <w:jc w:val="both"/>
        <w:rPr>
          <w:rStyle w:val="Strong"/>
          <w:rFonts w:asciiTheme="majorHAnsi" w:hAnsiTheme="majorHAnsi"/>
          <w:b w:val="0"/>
          <w:bCs w:val="0"/>
          <w:lang w:val="en-US"/>
        </w:rPr>
      </w:pPr>
    </w:p>
    <w:p w14:paraId="181F84D1" w14:textId="2B456145"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3: </w:t>
      </w:r>
    </w:p>
    <w:p w14:paraId="1B43129C" w14:textId="4020FD6B"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 Minimum exclusions </w:t>
      </w:r>
      <w:r w:rsidR="00D93CE5"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PAIs CONDISERED in the selection process</w:t>
      </w:r>
    </w:p>
    <w:p w14:paraId="3A9257E7" w14:textId="77777777" w:rsidR="00D377B3" w:rsidRPr="00796E46" w:rsidRDefault="00D377B3" w:rsidP="00353BA2">
      <w:pPr>
        <w:jc w:val="both"/>
        <w:rPr>
          <w:rStyle w:val="Strong"/>
          <w:rFonts w:asciiTheme="majorHAnsi" w:hAnsiTheme="majorHAnsi"/>
          <w:b w:val="0"/>
          <w:bCs w:val="0"/>
          <w:lang w:val="en-US"/>
        </w:rPr>
      </w:pPr>
    </w:p>
    <w:p w14:paraId="0A525BC7" w14:textId="77777777"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4:</w:t>
      </w:r>
    </w:p>
    <w:p w14:paraId="14978E41" w14:textId="07D1CDD4"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 Minimum exclusions </w:t>
      </w:r>
      <w:r w:rsidR="00D93CE5"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PAIs considered in the selection process</w:t>
      </w:r>
      <w:r w:rsidR="00056ABA"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At least 50%*</w:t>
      </w:r>
      <w:r w:rsidR="00D93CE5" w:rsidRPr="00796E46">
        <w:rPr>
          <w:rStyle w:val="Strong"/>
          <w:rFonts w:asciiTheme="majorHAnsi" w:hAnsiTheme="majorHAnsi"/>
          <w:b w:val="0"/>
          <w:bCs w:val="0"/>
          <w:lang w:val="en-US"/>
        </w:rPr>
        <w:t>*</w:t>
      </w:r>
      <w:r w:rsidRPr="00796E46">
        <w:rPr>
          <w:rStyle w:val="Strong"/>
          <w:rFonts w:asciiTheme="majorHAnsi" w:hAnsiTheme="majorHAnsi"/>
          <w:b w:val="0"/>
          <w:bCs w:val="0"/>
          <w:lang w:val="en-US"/>
        </w:rPr>
        <w:t xml:space="preserve"> proportion ‘sustainable investments’ article 2(17) </w:t>
      </w:r>
    </w:p>
    <w:p w14:paraId="345A6145" w14:textId="77777777" w:rsidR="00D377B3" w:rsidRPr="00796E46" w:rsidRDefault="00D377B3" w:rsidP="00353BA2">
      <w:pPr>
        <w:jc w:val="both"/>
        <w:rPr>
          <w:rStyle w:val="Strong"/>
          <w:rFonts w:asciiTheme="majorHAnsi" w:hAnsiTheme="majorHAnsi"/>
          <w:b w:val="0"/>
          <w:bCs w:val="0"/>
          <w:lang w:val="en-US"/>
        </w:rPr>
      </w:pPr>
    </w:p>
    <w:p w14:paraId="55511CFD" w14:textId="77777777" w:rsidR="00D377B3" w:rsidRPr="00796E46" w:rsidRDefault="00D377B3" w:rsidP="00D377B3">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5: </w:t>
      </w:r>
    </w:p>
    <w:p w14:paraId="1E5924F6" w14:textId="0D24EEB9" w:rsidR="00D93CE5" w:rsidRPr="00796E46" w:rsidRDefault="00D377B3"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 Minimum exclusions </w:t>
      </w:r>
      <w:r w:rsidR="00D93CE5"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PAIs considered in the selection process</w:t>
      </w:r>
      <w:r w:rsidR="00D93CE5" w:rsidRPr="00796E46">
        <w:rPr>
          <w:rStyle w:val="Strong"/>
          <w:rFonts w:asciiTheme="majorHAnsi" w:hAnsiTheme="majorHAnsi"/>
          <w:b w:val="0"/>
          <w:bCs w:val="0"/>
          <w:lang w:val="en-US"/>
        </w:rPr>
        <w:t xml:space="preserve"> </w:t>
      </w:r>
      <w:r w:rsidRPr="00796E46">
        <w:rPr>
          <w:rStyle w:val="Strong"/>
          <w:rFonts w:asciiTheme="majorHAnsi" w:hAnsiTheme="majorHAnsi"/>
          <w:b w:val="0"/>
          <w:bCs w:val="0"/>
          <w:lang w:val="en-US"/>
        </w:rPr>
        <w:t>+ At least 90%*</w:t>
      </w:r>
      <w:r w:rsidR="00D93CE5" w:rsidRPr="00796E46">
        <w:rPr>
          <w:rStyle w:val="Strong"/>
          <w:rFonts w:asciiTheme="majorHAnsi" w:hAnsiTheme="majorHAnsi"/>
          <w:b w:val="0"/>
          <w:bCs w:val="0"/>
          <w:lang w:val="en-US"/>
        </w:rPr>
        <w:t>*</w:t>
      </w:r>
      <w:r w:rsidRPr="00796E46">
        <w:rPr>
          <w:rStyle w:val="Strong"/>
          <w:rFonts w:asciiTheme="majorHAnsi" w:hAnsiTheme="majorHAnsi"/>
          <w:b w:val="0"/>
          <w:bCs w:val="0"/>
          <w:lang w:val="en-US"/>
        </w:rPr>
        <w:t xml:space="preserve"> proportion ‘sustainable investments’ article 2(17)</w:t>
      </w:r>
    </w:p>
    <w:p w14:paraId="5698AA38" w14:textId="77777777" w:rsidR="00D93CE5" w:rsidRPr="00796E46" w:rsidRDefault="00D93CE5" w:rsidP="00353BA2">
      <w:pPr>
        <w:jc w:val="both"/>
        <w:rPr>
          <w:rStyle w:val="Strong"/>
          <w:rFonts w:asciiTheme="majorHAnsi" w:hAnsiTheme="majorHAnsi"/>
          <w:b w:val="0"/>
          <w:bCs w:val="0"/>
          <w:lang w:val="en-US"/>
        </w:rPr>
      </w:pPr>
    </w:p>
    <w:p w14:paraId="36D8CABA" w14:textId="5CEBA152" w:rsidR="00D93CE5" w:rsidRPr="00796E46" w:rsidRDefault="00D93CE5" w:rsidP="00353BA2">
      <w:pPr>
        <w:jc w:val="both"/>
        <w:rPr>
          <w:rFonts w:asciiTheme="majorHAnsi" w:hAnsiTheme="majorHAnsi"/>
        </w:rPr>
      </w:pPr>
      <w:r w:rsidRPr="00796E46">
        <w:rPr>
          <w:rStyle w:val="Strong"/>
          <w:rFonts w:asciiTheme="majorHAnsi" w:hAnsiTheme="majorHAnsi"/>
          <w:b w:val="0"/>
          <w:bCs w:val="0"/>
          <w:lang w:val="en-US"/>
        </w:rPr>
        <w:t>* According to the exclusions for the EU Paris-aligned Benchmark (art 12 of EU 2020/1818)</w:t>
      </w:r>
    </w:p>
    <w:p w14:paraId="7CB2F51C" w14:textId="089BE860" w:rsidR="00D93CE5" w:rsidRPr="00796E46" w:rsidRDefault="00D93CE5" w:rsidP="00353BA2">
      <w:pPr>
        <w:jc w:val="both"/>
        <w:rPr>
          <w:rFonts w:eastAsia="Times New Roman"/>
          <w:i/>
          <w:iCs/>
        </w:rPr>
      </w:pPr>
      <w:r w:rsidRPr="00796E46">
        <w:rPr>
          <w:rFonts w:eastAsia="Times New Roman"/>
          <w:i/>
          <w:iCs/>
        </w:rPr>
        <w:t>** The percentage should be calculated based on the current value of all investments, excluding cash.</w:t>
      </w:r>
    </w:p>
    <w:p w14:paraId="76CA98B4" w14:textId="77777777" w:rsidR="00D377B3" w:rsidRPr="00796E46" w:rsidRDefault="00D377B3" w:rsidP="00353BA2">
      <w:pPr>
        <w:jc w:val="both"/>
        <w:rPr>
          <w:rStyle w:val="Strong"/>
          <w:rFonts w:asciiTheme="majorHAnsi" w:hAnsiTheme="majorHAnsi"/>
          <w:b w:val="0"/>
          <w:bCs w:val="0"/>
          <w:lang w:val="en-US"/>
        </w:rPr>
      </w:pPr>
    </w:p>
    <w:p w14:paraId="47B17C0E" w14:textId="287FD157" w:rsidR="005B42E0" w:rsidRPr="00796E46" w:rsidRDefault="005B42E0"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Some of the concepts used in SFDR would need to be fine</w:t>
      </w:r>
      <w:r w:rsidR="00144851" w:rsidRPr="00796E46">
        <w:rPr>
          <w:rStyle w:val="Strong"/>
          <w:rFonts w:asciiTheme="majorHAnsi" w:hAnsiTheme="majorHAnsi"/>
          <w:b w:val="0"/>
          <w:bCs w:val="0"/>
          <w:lang w:val="en-US"/>
        </w:rPr>
        <w:t>-</w:t>
      </w:r>
      <w:r w:rsidRPr="00796E46">
        <w:rPr>
          <w:rStyle w:val="Strong"/>
          <w:rFonts w:asciiTheme="majorHAnsi" w:hAnsiTheme="majorHAnsi"/>
          <w:b w:val="0"/>
          <w:bCs w:val="0"/>
          <w:lang w:val="en-US"/>
        </w:rPr>
        <w:t xml:space="preserve">tuned to serve the above purpose: </w:t>
      </w:r>
    </w:p>
    <w:p w14:paraId="7EF0FC00" w14:textId="10D7C8C3" w:rsidR="005B42E0" w:rsidRPr="00796E46" w:rsidRDefault="0011481D"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t</w:t>
      </w:r>
      <w:r w:rsidR="002E387A" w:rsidRPr="00796E46">
        <w:rPr>
          <w:rStyle w:val="Strong"/>
          <w:rFonts w:asciiTheme="majorHAnsi" w:hAnsiTheme="majorHAnsi"/>
          <w:b w:val="0"/>
          <w:bCs w:val="0"/>
          <w:lang w:val="en-US"/>
        </w:rPr>
        <w:t xml:space="preserve">he definition of </w:t>
      </w:r>
      <w:r w:rsidR="00EE56E5" w:rsidRPr="00796E46">
        <w:rPr>
          <w:rStyle w:val="Strong"/>
          <w:rFonts w:asciiTheme="majorHAnsi" w:hAnsiTheme="majorHAnsi"/>
          <w:b w:val="0"/>
          <w:bCs w:val="0"/>
          <w:lang w:val="en-US"/>
        </w:rPr>
        <w:t>s</w:t>
      </w:r>
      <w:r w:rsidR="005B42E0" w:rsidRPr="00796E46">
        <w:rPr>
          <w:rStyle w:val="Strong"/>
          <w:rFonts w:asciiTheme="majorHAnsi" w:hAnsiTheme="majorHAnsi"/>
          <w:b w:val="0"/>
          <w:bCs w:val="0"/>
          <w:lang w:val="en-US"/>
        </w:rPr>
        <w:t xml:space="preserve">ustainable </w:t>
      </w:r>
      <w:r w:rsidR="00EE56E5" w:rsidRPr="00796E46">
        <w:rPr>
          <w:rStyle w:val="Strong"/>
          <w:rFonts w:asciiTheme="majorHAnsi" w:hAnsiTheme="majorHAnsi"/>
          <w:b w:val="0"/>
          <w:bCs w:val="0"/>
          <w:lang w:val="en-US"/>
        </w:rPr>
        <w:t>i</w:t>
      </w:r>
      <w:r w:rsidR="005B42E0" w:rsidRPr="00796E46">
        <w:rPr>
          <w:rStyle w:val="Strong"/>
          <w:rFonts w:asciiTheme="majorHAnsi" w:hAnsiTheme="majorHAnsi"/>
          <w:b w:val="0"/>
          <w:bCs w:val="0"/>
          <w:lang w:val="en-US"/>
        </w:rPr>
        <w:t>nvestment</w:t>
      </w:r>
      <w:r w:rsidR="002E387A" w:rsidRPr="00796E46">
        <w:rPr>
          <w:rStyle w:val="Strong"/>
          <w:rFonts w:asciiTheme="majorHAnsi" w:hAnsiTheme="majorHAnsi"/>
          <w:b w:val="0"/>
          <w:bCs w:val="0"/>
          <w:lang w:val="en-US"/>
        </w:rPr>
        <w:t xml:space="preserve">s in Article 2(17) would need to </w:t>
      </w:r>
      <w:r w:rsidR="005B42E0" w:rsidRPr="00796E46">
        <w:rPr>
          <w:rStyle w:val="Strong"/>
          <w:rFonts w:asciiTheme="majorHAnsi" w:hAnsiTheme="majorHAnsi"/>
          <w:b w:val="0"/>
          <w:bCs w:val="0"/>
          <w:lang w:val="en-US"/>
        </w:rPr>
        <w:t>highlight</w:t>
      </w:r>
      <w:r w:rsidR="003B222D" w:rsidRPr="00796E46">
        <w:rPr>
          <w:rStyle w:val="Strong"/>
          <w:rFonts w:asciiTheme="majorHAnsi" w:hAnsiTheme="majorHAnsi"/>
          <w:b w:val="0"/>
          <w:bCs w:val="0"/>
          <w:lang w:val="en-US"/>
        </w:rPr>
        <w:t xml:space="preserve"> </w:t>
      </w:r>
      <w:r w:rsidR="005B42E0" w:rsidRPr="00796E46">
        <w:rPr>
          <w:rStyle w:val="Strong"/>
          <w:rFonts w:asciiTheme="majorHAnsi" w:hAnsiTheme="majorHAnsi"/>
          <w:b w:val="0"/>
          <w:bCs w:val="0"/>
          <w:lang w:val="en-US"/>
        </w:rPr>
        <w:t>the need to</w:t>
      </w:r>
      <w:r w:rsidR="002E387A" w:rsidRPr="00796E46">
        <w:rPr>
          <w:rStyle w:val="Strong"/>
          <w:rFonts w:asciiTheme="majorHAnsi" w:hAnsiTheme="majorHAnsi"/>
          <w:b w:val="0"/>
          <w:bCs w:val="0"/>
          <w:lang w:val="en-US"/>
        </w:rPr>
        <w:t xml:space="preserve"> </w:t>
      </w:r>
      <w:r w:rsidR="005B42E0" w:rsidRPr="00796E46">
        <w:rPr>
          <w:rStyle w:val="Strong"/>
          <w:rFonts w:asciiTheme="majorHAnsi" w:hAnsiTheme="majorHAnsi"/>
          <w:b w:val="0"/>
          <w:bCs w:val="0"/>
          <w:lang w:val="en-US"/>
        </w:rPr>
        <w:t>measure</w:t>
      </w:r>
      <w:r w:rsidR="003B222D" w:rsidRPr="00796E46">
        <w:rPr>
          <w:rStyle w:val="Strong"/>
          <w:rFonts w:asciiTheme="majorHAnsi" w:hAnsiTheme="majorHAnsi"/>
          <w:b w:val="0"/>
          <w:bCs w:val="0"/>
          <w:lang w:val="en-US"/>
        </w:rPr>
        <w:t xml:space="preserve"> and monitor</w:t>
      </w:r>
      <w:r w:rsidR="002E387A" w:rsidRPr="00796E46">
        <w:rPr>
          <w:rStyle w:val="Strong"/>
          <w:rFonts w:asciiTheme="majorHAnsi" w:hAnsiTheme="majorHAnsi"/>
          <w:b w:val="0"/>
          <w:bCs w:val="0"/>
          <w:lang w:val="en-US"/>
        </w:rPr>
        <w:t xml:space="preserve"> the achievement of the </w:t>
      </w:r>
      <w:r w:rsidR="00EE56E5" w:rsidRPr="00796E46">
        <w:rPr>
          <w:rStyle w:val="Strong"/>
          <w:rFonts w:asciiTheme="majorHAnsi" w:hAnsiTheme="majorHAnsi"/>
          <w:b w:val="0"/>
          <w:bCs w:val="0"/>
          <w:lang w:val="en-US"/>
        </w:rPr>
        <w:t>s</w:t>
      </w:r>
      <w:r w:rsidR="002E387A" w:rsidRPr="00796E46">
        <w:rPr>
          <w:rStyle w:val="Strong"/>
          <w:rFonts w:asciiTheme="majorHAnsi" w:hAnsiTheme="majorHAnsi"/>
          <w:b w:val="0"/>
          <w:bCs w:val="0"/>
          <w:lang w:val="en-US"/>
        </w:rPr>
        <w:t xml:space="preserve">ustainable objective through </w:t>
      </w:r>
      <w:r w:rsidR="005B42E0" w:rsidRPr="00796E46">
        <w:rPr>
          <w:rStyle w:val="Strong"/>
          <w:rFonts w:asciiTheme="majorHAnsi" w:hAnsiTheme="majorHAnsi"/>
          <w:b w:val="0"/>
          <w:bCs w:val="0"/>
          <w:lang w:val="en-US"/>
        </w:rPr>
        <w:t xml:space="preserve">sustainability </w:t>
      </w:r>
      <w:proofErr w:type="gramStart"/>
      <w:r w:rsidR="005B42E0" w:rsidRPr="00796E46">
        <w:rPr>
          <w:rStyle w:val="Strong"/>
          <w:rFonts w:asciiTheme="majorHAnsi" w:hAnsiTheme="majorHAnsi"/>
          <w:b w:val="0"/>
          <w:bCs w:val="0"/>
          <w:lang w:val="en-US"/>
        </w:rPr>
        <w:t>indicators</w:t>
      </w:r>
      <w:r w:rsidR="00B93ABF" w:rsidRPr="00796E46">
        <w:rPr>
          <w:rStyle w:val="Strong"/>
          <w:rFonts w:asciiTheme="majorHAnsi" w:hAnsiTheme="majorHAnsi"/>
          <w:b w:val="0"/>
          <w:bCs w:val="0"/>
          <w:lang w:val="en-US"/>
        </w:rPr>
        <w:t>;</w:t>
      </w:r>
      <w:proofErr w:type="gramEnd"/>
    </w:p>
    <w:p w14:paraId="745A8C4B" w14:textId="504DECD0" w:rsidR="005B42E0" w:rsidRPr="00796E46" w:rsidRDefault="002E387A" w:rsidP="00353BA2">
      <w:pPr>
        <w:pStyle w:val="ListParagraph"/>
        <w:numPr>
          <w:ilvl w:val="0"/>
          <w:numId w:val="20"/>
        </w:num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DNSH criteria </w:t>
      </w:r>
      <w:r w:rsidR="006B25B0" w:rsidRPr="00796E46">
        <w:rPr>
          <w:rStyle w:val="Strong"/>
          <w:rFonts w:asciiTheme="majorHAnsi" w:hAnsiTheme="majorHAnsi"/>
          <w:b w:val="0"/>
          <w:bCs w:val="0"/>
          <w:lang w:val="en-US"/>
        </w:rPr>
        <w:t xml:space="preserve">must </w:t>
      </w:r>
      <w:r w:rsidRPr="00796E46">
        <w:rPr>
          <w:rStyle w:val="Strong"/>
          <w:rFonts w:asciiTheme="majorHAnsi" w:hAnsiTheme="majorHAnsi"/>
          <w:b w:val="0"/>
          <w:bCs w:val="0"/>
          <w:lang w:val="en-US"/>
        </w:rPr>
        <w:t xml:space="preserve"> be harmonized between the EU Taxonomy and SFDR</w:t>
      </w:r>
      <w:r w:rsidR="00B93ABF" w:rsidRPr="00796E46">
        <w:rPr>
          <w:rStyle w:val="Strong"/>
          <w:rFonts w:asciiTheme="majorHAnsi" w:hAnsiTheme="majorHAnsi"/>
          <w:b w:val="0"/>
          <w:bCs w:val="0"/>
          <w:lang w:val="en-US"/>
        </w:rPr>
        <w:t>.</w:t>
      </w:r>
    </w:p>
    <w:p w14:paraId="28FAAC01" w14:textId="77777777" w:rsidR="00F3684B" w:rsidRPr="00796E46" w:rsidRDefault="00F3684B" w:rsidP="00353BA2">
      <w:pPr>
        <w:jc w:val="both"/>
        <w:rPr>
          <w:rFonts w:asciiTheme="majorHAnsi" w:hAnsiTheme="majorHAnsi"/>
          <w:lang w:val="en-US"/>
        </w:rPr>
      </w:pPr>
    </w:p>
    <w:p w14:paraId="326C2E63" w14:textId="2A176B8B" w:rsidR="000A067E" w:rsidRPr="00796E46" w:rsidRDefault="000A067E" w:rsidP="00353BA2">
      <w:pPr>
        <w:pStyle w:val="Subtitle"/>
        <w:jc w:val="both"/>
        <w:rPr>
          <w:lang w:val="en-US"/>
        </w:rPr>
      </w:pPr>
      <w:r w:rsidRPr="00796E46">
        <w:rPr>
          <w:rStyle w:val="Strong"/>
          <w:rFonts w:asciiTheme="majorHAnsi" w:hAnsiTheme="majorHAnsi"/>
          <w:b w:val="0"/>
          <w:bCs w:val="0"/>
          <w:lang w:val="en-US"/>
        </w:rPr>
        <w:lastRenderedPageBreak/>
        <w:t xml:space="preserve">Questions where this key message can be pasted: </w:t>
      </w:r>
    </w:p>
    <w:p w14:paraId="0A19A655" w14:textId="37CBFE96" w:rsidR="00056ABA" w:rsidRPr="00796E46" w:rsidRDefault="00056ABA" w:rsidP="00056ABA">
      <w:pPr>
        <w:jc w:val="both"/>
        <w:rPr>
          <w:rFonts w:asciiTheme="majorHAnsi" w:hAnsiTheme="majorHAnsi"/>
          <w:lang w:val="en-US"/>
        </w:rPr>
      </w:pPr>
      <w:r w:rsidRPr="00796E46">
        <w:rPr>
          <w:rFonts w:asciiTheme="majorHAnsi" w:hAnsiTheme="majorHAnsi"/>
          <w:b/>
          <w:bCs/>
          <w:lang w:val="en-US"/>
        </w:rPr>
        <w:t>3.2.1 b)</w:t>
      </w:r>
      <w:r w:rsidRPr="00796E46">
        <w:rPr>
          <w:rFonts w:asciiTheme="majorHAnsi" w:hAnsiTheme="majorHAnsi"/>
          <w:lang w:val="en-US"/>
        </w:rPr>
        <w:t xml:space="preserve"> Please see a list of examples of disclosures that could also be required about all financial products for transparency purposes. In your view, should these disclosures be mandatory, and/or should any other information be required about all financial products for transparency purposes?</w:t>
      </w:r>
    </w:p>
    <w:p w14:paraId="06640610" w14:textId="787D287E" w:rsidR="007367E8" w:rsidRPr="00796E46" w:rsidRDefault="007367E8" w:rsidP="00353BA2">
      <w:pPr>
        <w:jc w:val="both"/>
        <w:rPr>
          <w:rFonts w:asciiTheme="majorHAnsi" w:hAnsiTheme="majorHAnsi"/>
          <w:lang w:val="en-US"/>
        </w:rPr>
      </w:pPr>
      <w:r w:rsidRPr="00796E46">
        <w:rPr>
          <w:rFonts w:asciiTheme="majorHAnsi" w:hAnsiTheme="majorHAnsi"/>
          <w:b/>
          <w:bCs/>
          <w:lang w:val="en-US"/>
        </w:rPr>
        <w:t>4.1.2</w:t>
      </w:r>
      <w:r w:rsidRPr="00796E46">
        <w:rPr>
          <w:rFonts w:asciiTheme="majorHAnsi" w:hAnsiTheme="majorHAnsi"/>
          <w:lang w:val="en-US"/>
        </w:rPr>
        <w:t xml:space="preserve"> If a </w:t>
      </w:r>
      <w:proofErr w:type="spellStart"/>
      <w:r w:rsidRPr="00796E46">
        <w:rPr>
          <w:rFonts w:asciiTheme="majorHAnsi" w:hAnsiTheme="majorHAnsi"/>
          <w:lang w:val="en-US"/>
        </w:rPr>
        <w:t>categorisation</w:t>
      </w:r>
      <w:proofErr w:type="spellEnd"/>
      <w:r w:rsidRPr="00796E46">
        <w:rPr>
          <w:rFonts w:asciiTheme="majorHAnsi" w:hAnsiTheme="majorHAnsi"/>
          <w:lang w:val="en-US"/>
        </w:rPr>
        <w:t xml:space="preserve"> system was established, how do you think categories should be designed?</w:t>
      </w:r>
    </w:p>
    <w:p w14:paraId="28FB6E3A" w14:textId="1936D2DE" w:rsidR="000E3BEA" w:rsidRPr="00796E46" w:rsidRDefault="000E3BEA" w:rsidP="00353BA2">
      <w:pPr>
        <w:jc w:val="both"/>
        <w:rPr>
          <w:rFonts w:asciiTheme="majorHAnsi" w:hAnsiTheme="majorHAnsi"/>
        </w:rPr>
      </w:pPr>
      <w:r w:rsidRPr="00796E46">
        <w:rPr>
          <w:rFonts w:asciiTheme="majorHAnsi" w:hAnsiTheme="majorHAnsi"/>
          <w:b/>
          <w:bCs/>
        </w:rPr>
        <w:t>4.1.8</w:t>
      </w:r>
      <w:r w:rsidRPr="00796E46">
        <w:rPr>
          <w:rFonts w:asciiTheme="majorHAnsi" w:hAnsiTheme="majorHAnsi"/>
        </w:rPr>
        <w:t xml:space="preserve">: </w:t>
      </w:r>
      <w:r w:rsidR="000F4567" w:rsidRPr="00796E46">
        <w:rPr>
          <w:rFonts w:asciiTheme="majorHAnsi" w:hAnsiTheme="majorHAnsi"/>
        </w:rPr>
        <w:t xml:space="preserve">(Box: There is another approach) </w:t>
      </w:r>
      <w:r w:rsidRPr="00796E46">
        <w:rPr>
          <w:rFonts w:asciiTheme="majorHAnsi" w:hAnsiTheme="majorHAnsi"/>
        </w:rPr>
        <w:t>Do you think product categories should be mutually exclusive, i.e. financial market participants should choose only one category to which the product belongs to in cases where the product meets the criteria of several categories (independently from subsequent potential verification or supervision of the claim)?</w:t>
      </w:r>
    </w:p>
    <w:p w14:paraId="0394AF2B" w14:textId="5892D36A" w:rsidR="00B41D75" w:rsidRPr="00796E46" w:rsidRDefault="00B41D75" w:rsidP="00B41D75">
      <w:pPr>
        <w:jc w:val="both"/>
        <w:rPr>
          <w:rFonts w:asciiTheme="majorHAnsi" w:hAnsiTheme="majorHAnsi"/>
        </w:rPr>
      </w:pPr>
      <w:r w:rsidRPr="00796E46">
        <w:rPr>
          <w:rFonts w:asciiTheme="majorHAnsi" w:hAnsiTheme="majorHAnsi"/>
          <w:i/>
          <w:iCs/>
        </w:rPr>
        <w:t xml:space="preserve">Shorter version of key message for: </w:t>
      </w:r>
      <w:r w:rsidRPr="00796E46">
        <w:rPr>
          <w:rFonts w:asciiTheme="majorHAnsi" w:hAnsiTheme="majorHAnsi"/>
          <w:b/>
          <w:bCs/>
        </w:rPr>
        <w:t>4.3.1</w:t>
      </w:r>
      <w:r w:rsidRPr="00796E46">
        <w:rPr>
          <w:rFonts w:asciiTheme="majorHAnsi" w:hAnsiTheme="majorHAnsi"/>
        </w:rPr>
        <w:t xml:space="preserve">: The objective of the PRIIPs KID is to provide short and simple information to retail investors. Do you think that if a product categorisation system was established under the SFDR, the category that a particular product falls in should be included in the PRIIPS KID? </w:t>
      </w:r>
    </w:p>
    <w:p w14:paraId="2E1ADCB0" w14:textId="77777777" w:rsidR="0088522D" w:rsidRPr="00796E46" w:rsidRDefault="0088522D" w:rsidP="00FB5919">
      <w:pPr>
        <w:jc w:val="both"/>
        <w:rPr>
          <w:rFonts w:asciiTheme="majorHAnsi" w:hAnsiTheme="majorHAnsi"/>
        </w:rPr>
      </w:pPr>
    </w:p>
    <w:p w14:paraId="72C32B1C" w14:textId="77777777" w:rsidR="003726FB" w:rsidRPr="00796E46" w:rsidRDefault="003726FB" w:rsidP="00353BA2">
      <w:pPr>
        <w:pStyle w:val="Heading1"/>
        <w:jc w:val="both"/>
        <w:rPr>
          <w:rStyle w:val="Strong"/>
          <w:b w:val="0"/>
          <w:bCs w:val="0"/>
          <w:lang w:val="en-US"/>
        </w:rPr>
      </w:pPr>
      <w:bookmarkStart w:id="41" w:name="_Toc152770347"/>
      <w:r w:rsidRPr="00796E46">
        <w:rPr>
          <w:rStyle w:val="Strong"/>
          <w:b w:val="0"/>
          <w:bCs w:val="0"/>
          <w:lang w:val="en-US"/>
        </w:rPr>
        <w:t xml:space="preserve">Limit the use of certain product names to those who meet certain </w:t>
      </w:r>
      <w:proofErr w:type="gramStart"/>
      <w:r w:rsidRPr="00796E46">
        <w:rPr>
          <w:rStyle w:val="Strong"/>
          <w:b w:val="0"/>
          <w:bCs w:val="0"/>
          <w:lang w:val="en-US"/>
        </w:rPr>
        <w:t>criteria</w:t>
      </w:r>
      <w:bookmarkEnd w:id="41"/>
      <w:proofErr w:type="gramEnd"/>
    </w:p>
    <w:p w14:paraId="4201E162" w14:textId="77777777" w:rsidR="003726FB" w:rsidRPr="00796E46" w:rsidRDefault="003726FB" w:rsidP="003726FB">
      <w:pPr>
        <w:jc w:val="both"/>
        <w:rPr>
          <w:rStyle w:val="Strong"/>
          <w:rFonts w:asciiTheme="majorHAnsi" w:hAnsiTheme="majorHAnsi"/>
          <w:b w:val="0"/>
          <w:bCs w:val="0"/>
          <w:lang w:val="en-US"/>
        </w:rPr>
      </w:pPr>
      <w:r w:rsidRPr="00796E46">
        <w:rPr>
          <w:rStyle w:val="Strong"/>
          <w:rFonts w:asciiTheme="majorHAnsi" w:hAnsiTheme="majorHAnsi"/>
          <w:b w:val="0"/>
          <w:bCs w:val="0"/>
          <w:lang w:val="en-US"/>
        </w:rPr>
        <w:t>A simple categorization system would seem to be particularly beneficial for retail investors, generally less capable of understanding product strategies in detail and in need of more simple, understandable language to enable their decision making.</w:t>
      </w:r>
    </w:p>
    <w:p w14:paraId="5D3039C7" w14:textId="77777777" w:rsidR="003726FB" w:rsidRPr="00796E46" w:rsidRDefault="003726FB" w:rsidP="003726FB">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If the Commission does proceed with a categorization system, what is seen as imperative is that a future regulation allows the use of terms such as “ESG”, “Impact” or “Sustainable” in product names only </w:t>
      </w:r>
      <w:proofErr w:type="gramStart"/>
      <w:r w:rsidRPr="00796E46">
        <w:rPr>
          <w:rStyle w:val="Strong"/>
          <w:rFonts w:asciiTheme="majorHAnsi" w:hAnsiTheme="majorHAnsi"/>
          <w:b w:val="0"/>
          <w:bCs w:val="0"/>
          <w:lang w:val="en-US"/>
        </w:rPr>
        <w:t>if and when</w:t>
      </w:r>
      <w:proofErr w:type="gramEnd"/>
      <w:r w:rsidRPr="00796E46">
        <w:rPr>
          <w:rStyle w:val="Strong"/>
          <w:rFonts w:asciiTheme="majorHAnsi" w:hAnsiTheme="majorHAnsi"/>
          <w:b w:val="0"/>
          <w:bCs w:val="0"/>
          <w:lang w:val="en-US"/>
        </w:rPr>
        <w:t xml:space="preserve"> meeting specific criteria and, of course, as demonstrated by the Financial Product periodic reporting.</w:t>
      </w:r>
    </w:p>
    <w:p w14:paraId="1E256495" w14:textId="77777777" w:rsidR="003726FB" w:rsidRPr="00796E46" w:rsidRDefault="003726FB" w:rsidP="003726FB">
      <w:pPr>
        <w:jc w:val="both"/>
        <w:rPr>
          <w:rStyle w:val="Strong"/>
          <w:rFonts w:asciiTheme="majorHAnsi" w:hAnsiTheme="majorHAnsi"/>
          <w:b w:val="0"/>
          <w:bCs w:val="0"/>
        </w:rPr>
      </w:pPr>
    </w:p>
    <w:p w14:paraId="41ADBC90" w14:textId="186CBFE5" w:rsidR="000A067E" w:rsidRPr="00796E46" w:rsidRDefault="000A067E" w:rsidP="003726FB">
      <w:pPr>
        <w:pStyle w:val="Subtitle"/>
        <w:jc w:val="both"/>
        <w:rPr>
          <w:rStyle w:val="Strong"/>
          <w:rFonts w:asciiTheme="majorHAnsi" w:eastAsiaTheme="minorHAnsi" w:hAnsiTheme="majorHAnsi"/>
          <w:b w:val="0"/>
          <w:bCs w:val="0"/>
          <w:color w:val="auto"/>
          <w:spacing w:val="0"/>
          <w:u w:val="none"/>
          <w:lang w:val="en-US"/>
        </w:rPr>
      </w:pPr>
      <w:r w:rsidRPr="00796E46">
        <w:rPr>
          <w:rStyle w:val="Strong"/>
          <w:rFonts w:asciiTheme="majorHAnsi" w:hAnsiTheme="majorHAnsi"/>
          <w:b w:val="0"/>
          <w:bCs w:val="0"/>
          <w:lang w:val="en-US"/>
        </w:rPr>
        <w:t xml:space="preserve">Questions where this key message can be pasted: </w:t>
      </w:r>
    </w:p>
    <w:p w14:paraId="0CE8F18B" w14:textId="1BC7D46A" w:rsidR="003726FB" w:rsidRPr="00796E46" w:rsidRDefault="003726FB" w:rsidP="003726FB">
      <w:pPr>
        <w:jc w:val="both"/>
        <w:rPr>
          <w:rFonts w:asciiTheme="majorHAnsi" w:hAnsiTheme="majorHAnsi"/>
          <w:lang w:val="en-US"/>
        </w:rPr>
      </w:pPr>
      <w:r w:rsidRPr="00796E46">
        <w:rPr>
          <w:rFonts w:asciiTheme="majorHAnsi" w:hAnsiTheme="majorHAnsi"/>
        </w:rPr>
        <w:t xml:space="preserve">4.4.1 </w:t>
      </w:r>
      <w:proofErr w:type="gramStart"/>
      <w:r w:rsidRPr="00796E46">
        <w:rPr>
          <w:rFonts w:asciiTheme="majorHAnsi" w:hAnsiTheme="majorHAnsi"/>
          <w:lang w:val="en-US"/>
        </w:rPr>
        <w:t xml:space="preserve">to </w:t>
      </w:r>
      <w:r w:rsidRPr="00796E46">
        <w:rPr>
          <w:rFonts w:asciiTheme="majorHAnsi" w:hAnsiTheme="majorHAnsi"/>
        </w:rPr>
        <w:t xml:space="preserve"> 4.4.3</w:t>
      </w:r>
      <w:proofErr w:type="gramEnd"/>
      <w:r w:rsidRPr="00796E46">
        <w:rPr>
          <w:rFonts w:asciiTheme="majorHAnsi" w:hAnsiTheme="majorHAnsi"/>
          <w:lang w:val="en-US"/>
        </w:rPr>
        <w:t xml:space="preserve"> Marketing and product names: </w:t>
      </w:r>
    </w:p>
    <w:p w14:paraId="33007123" w14:textId="1B110F5E" w:rsidR="00901D7B" w:rsidRPr="00796E46" w:rsidRDefault="00901D7B" w:rsidP="00353BA2">
      <w:pPr>
        <w:jc w:val="both"/>
        <w:rPr>
          <w:rFonts w:asciiTheme="majorHAnsi" w:hAnsiTheme="majorHAnsi"/>
        </w:rPr>
      </w:pPr>
    </w:p>
    <w:p w14:paraId="782FC7B0" w14:textId="11139195" w:rsidR="00662F73" w:rsidRPr="00796E46" w:rsidRDefault="006803A9" w:rsidP="00D5219B">
      <w:pPr>
        <w:pStyle w:val="Heading1"/>
        <w:rPr>
          <w:rStyle w:val="Strong"/>
          <w:b w:val="0"/>
          <w:bCs w:val="0"/>
        </w:rPr>
      </w:pPr>
      <w:bookmarkStart w:id="42" w:name="_Toc152326351"/>
      <w:bookmarkStart w:id="43" w:name="_Toc152193520"/>
      <w:bookmarkStart w:id="44" w:name="_Toc152770348"/>
      <w:bookmarkEnd w:id="42"/>
      <w:r w:rsidRPr="00796E46">
        <w:t>SFDR needs to better account for FMPs investing in emerging markets</w:t>
      </w:r>
      <w:r w:rsidR="002B3126" w:rsidRPr="00796E46">
        <w:t>. Unless</w:t>
      </w:r>
      <w:r w:rsidR="00606B47" w:rsidRPr="00796E46">
        <w:t xml:space="preserve"> support is provided </w:t>
      </w:r>
      <w:r w:rsidR="002B3126" w:rsidRPr="00796E46">
        <w:t xml:space="preserve">(e.g. to </w:t>
      </w:r>
      <w:r w:rsidR="00395E08" w:rsidRPr="00796E46">
        <w:t>collect certain PAIs</w:t>
      </w:r>
      <w:r w:rsidR="00280939" w:rsidRPr="00796E46">
        <w:t xml:space="preserve"> and further promote proxy data collection</w:t>
      </w:r>
      <w:r w:rsidR="00395E08" w:rsidRPr="00796E46">
        <w:t>) the SFDR will continue</w:t>
      </w:r>
      <w:r w:rsidR="00606B47" w:rsidRPr="00796E46">
        <w:t xml:space="preserve"> restrict</w:t>
      </w:r>
      <w:r w:rsidR="00395E08" w:rsidRPr="00796E46">
        <w:t>ing</w:t>
      </w:r>
      <w:r w:rsidR="00606B47" w:rsidRPr="00796E46">
        <w:t xml:space="preserve"> the flow of investment to these vital parts of </w:t>
      </w:r>
      <w:r w:rsidR="0086504B" w:rsidRPr="00796E46">
        <w:t>the economy.</w:t>
      </w:r>
      <w:r w:rsidR="0033346D" w:rsidRPr="00796E46">
        <w:t xml:space="preserve"> </w:t>
      </w:r>
      <w:r w:rsidR="005631F0" w:rsidRPr="00796E46">
        <w:t>Consider the same for</w:t>
      </w:r>
      <w:r w:rsidR="00A91BBF" w:rsidRPr="00796E46">
        <w:t xml:space="preserve"> Taxonomy Regulation</w:t>
      </w:r>
      <w:r w:rsidR="005631F0" w:rsidRPr="00796E46">
        <w:t>.</w:t>
      </w:r>
      <w:bookmarkEnd w:id="43"/>
      <w:bookmarkEnd w:id="44"/>
    </w:p>
    <w:p w14:paraId="3C05D04F" w14:textId="29D0DD65" w:rsidR="005631F0" w:rsidRPr="00796E46" w:rsidRDefault="00D5219B" w:rsidP="00412327">
      <w:pPr>
        <w:pStyle w:val="Heading2"/>
        <w:ind w:left="720"/>
        <w:rPr>
          <w:rStyle w:val="Strong"/>
          <w:b w:val="0"/>
          <w:bCs w:val="0"/>
        </w:rPr>
      </w:pPr>
      <w:bookmarkStart w:id="45" w:name="_Toc152770349"/>
      <w:r w:rsidRPr="00796E46">
        <w:rPr>
          <w:rStyle w:val="Strong"/>
          <w:b w:val="0"/>
          <w:bCs w:val="0"/>
        </w:rPr>
        <w:t xml:space="preserve">8.1 </w:t>
      </w:r>
      <w:r w:rsidR="00362982" w:rsidRPr="00796E46">
        <w:rPr>
          <w:rStyle w:val="Strong"/>
          <w:b w:val="0"/>
          <w:bCs w:val="0"/>
        </w:rPr>
        <w:t>P</w:t>
      </w:r>
      <w:r w:rsidR="005631F0" w:rsidRPr="00796E46">
        <w:rPr>
          <w:rStyle w:val="Strong"/>
          <w:b w:val="0"/>
          <w:bCs w:val="0"/>
        </w:rPr>
        <w:t xml:space="preserve">AI indicator collection and proxy </w:t>
      </w:r>
      <w:proofErr w:type="gramStart"/>
      <w:r w:rsidR="005631F0" w:rsidRPr="00796E46">
        <w:rPr>
          <w:rStyle w:val="Strong"/>
          <w:b w:val="0"/>
          <w:bCs w:val="0"/>
        </w:rPr>
        <w:t>gathering</w:t>
      </w:r>
      <w:bookmarkEnd w:id="45"/>
      <w:proofErr w:type="gramEnd"/>
    </w:p>
    <w:p w14:paraId="1E3E045B" w14:textId="0AD528ED" w:rsidR="002503AA" w:rsidRPr="00796E46" w:rsidRDefault="0033346D" w:rsidP="00353BA2">
      <w:pPr>
        <w:jc w:val="both"/>
        <w:rPr>
          <w:rStyle w:val="Strong"/>
          <w:rFonts w:asciiTheme="majorHAnsi" w:hAnsiTheme="majorHAnsi"/>
          <w:b w:val="0"/>
          <w:bCs w:val="0"/>
          <w:lang w:val="en-US"/>
        </w:rPr>
      </w:pPr>
      <w:r w:rsidRPr="00796E46">
        <w:rPr>
          <w:rFonts w:asciiTheme="majorHAnsi" w:hAnsiTheme="majorHAnsi"/>
          <w:lang w:val="en-US"/>
        </w:rPr>
        <w:t>The collection of specific Principal Adverse Impact indicators represents a challenge, es</w:t>
      </w:r>
      <w:r w:rsidR="002503AA" w:rsidRPr="00796E46">
        <w:rPr>
          <w:rFonts w:asciiTheme="majorHAnsi" w:hAnsiTheme="majorHAnsi"/>
          <w:lang w:val="en-US"/>
        </w:rPr>
        <w:t xml:space="preserve">pecially </w:t>
      </w:r>
      <w:r w:rsidRPr="00796E46">
        <w:rPr>
          <w:rFonts w:asciiTheme="majorHAnsi" w:hAnsiTheme="majorHAnsi"/>
          <w:lang w:val="en-US"/>
        </w:rPr>
        <w:t xml:space="preserve">when </w:t>
      </w:r>
      <w:r w:rsidR="009A7E26" w:rsidRPr="00796E46">
        <w:rPr>
          <w:rFonts w:asciiTheme="majorHAnsi" w:hAnsiTheme="majorHAnsi"/>
          <w:lang w:val="en-US"/>
        </w:rPr>
        <w:t>i</w:t>
      </w:r>
      <w:r w:rsidRPr="00796E46">
        <w:rPr>
          <w:rFonts w:asciiTheme="majorHAnsi" w:hAnsiTheme="majorHAnsi"/>
          <w:lang w:val="en-US"/>
        </w:rPr>
        <w:t>nvestee companies are Micro and Small Enterprises</w:t>
      </w:r>
      <w:r w:rsidR="002503AA" w:rsidRPr="00796E46">
        <w:rPr>
          <w:rFonts w:asciiTheme="majorHAnsi" w:hAnsiTheme="majorHAnsi"/>
          <w:lang w:val="en-US"/>
        </w:rPr>
        <w:t xml:space="preserve">, </w:t>
      </w:r>
      <w:r w:rsidR="009A7E26" w:rsidRPr="00796E46">
        <w:rPr>
          <w:rFonts w:asciiTheme="majorHAnsi" w:hAnsiTheme="majorHAnsi"/>
          <w:lang w:val="en-US"/>
        </w:rPr>
        <w:t>and/</w:t>
      </w:r>
      <w:r w:rsidRPr="00796E46">
        <w:rPr>
          <w:rFonts w:asciiTheme="majorHAnsi" w:hAnsiTheme="majorHAnsi"/>
          <w:lang w:val="en-US"/>
        </w:rPr>
        <w:t xml:space="preserve">or located in </w:t>
      </w:r>
      <w:r w:rsidR="002503AA" w:rsidRPr="00796E46">
        <w:rPr>
          <w:rFonts w:asciiTheme="majorHAnsi" w:hAnsiTheme="majorHAnsi"/>
          <w:lang w:val="en-US"/>
        </w:rPr>
        <w:t>emerging market</w:t>
      </w:r>
      <w:r w:rsidR="009A7E26" w:rsidRPr="00796E46">
        <w:rPr>
          <w:rFonts w:asciiTheme="majorHAnsi" w:hAnsiTheme="majorHAnsi"/>
          <w:lang w:val="en-US"/>
        </w:rPr>
        <w:t>s</w:t>
      </w:r>
      <w:r w:rsidR="002503AA" w:rsidRPr="00796E46">
        <w:rPr>
          <w:rFonts w:asciiTheme="majorHAnsi" w:hAnsiTheme="majorHAnsi"/>
          <w:lang w:val="en-US"/>
        </w:rPr>
        <w:t xml:space="preserve">, </w:t>
      </w:r>
      <w:r w:rsidRPr="00796E46">
        <w:rPr>
          <w:rFonts w:asciiTheme="majorHAnsi" w:hAnsiTheme="majorHAnsi"/>
          <w:lang w:val="en-US"/>
        </w:rPr>
        <w:t xml:space="preserve">or when we make </w:t>
      </w:r>
      <w:r w:rsidR="002503AA" w:rsidRPr="00796E46">
        <w:rPr>
          <w:rFonts w:asciiTheme="majorHAnsi" w:hAnsiTheme="majorHAnsi"/>
          <w:lang w:val="en-US"/>
        </w:rPr>
        <w:t xml:space="preserve">investments in </w:t>
      </w:r>
      <w:r w:rsidRPr="00796E46">
        <w:rPr>
          <w:rFonts w:asciiTheme="majorHAnsi" w:hAnsiTheme="majorHAnsi"/>
          <w:lang w:val="en-US"/>
        </w:rPr>
        <w:t xml:space="preserve">Financial Products outside the EU. </w:t>
      </w:r>
      <w:r w:rsidR="002503AA" w:rsidRPr="00796E46">
        <w:rPr>
          <w:rFonts w:asciiTheme="majorHAnsi" w:hAnsiTheme="majorHAnsi"/>
          <w:lang w:val="en-US"/>
        </w:rPr>
        <w:t xml:space="preserve"> </w:t>
      </w:r>
      <w:r w:rsidR="00CC1A97" w:rsidRPr="00796E46">
        <w:rPr>
          <w:rFonts w:asciiTheme="majorHAnsi" w:hAnsiTheme="majorHAnsi"/>
          <w:lang w:val="en-US"/>
        </w:rPr>
        <w:t xml:space="preserve">This is hampering necessary investments particularly </w:t>
      </w:r>
      <w:r w:rsidR="00223F5A" w:rsidRPr="00796E46">
        <w:rPr>
          <w:rFonts w:asciiTheme="majorHAnsi" w:hAnsiTheme="majorHAnsi"/>
          <w:lang w:val="en-US"/>
        </w:rPr>
        <w:t xml:space="preserve">in </w:t>
      </w:r>
      <w:r w:rsidR="00CC1A97" w:rsidRPr="00796E46">
        <w:rPr>
          <w:rFonts w:asciiTheme="majorHAnsi" w:hAnsiTheme="majorHAnsi"/>
          <w:lang w:val="en-US"/>
        </w:rPr>
        <w:t>the Global South.</w:t>
      </w:r>
    </w:p>
    <w:p w14:paraId="6BAA288D" w14:textId="77777777" w:rsidR="00A93C15" w:rsidRPr="00796E46" w:rsidRDefault="002503AA" w:rsidP="00353BA2">
      <w:pPr>
        <w:jc w:val="both"/>
        <w:rPr>
          <w:lang w:val="en-US"/>
        </w:rPr>
      </w:pPr>
      <w:r w:rsidRPr="00796E46">
        <w:rPr>
          <w:rFonts w:asciiTheme="majorHAnsi" w:hAnsiTheme="majorHAnsi"/>
          <w:lang w:val="en-US"/>
        </w:rPr>
        <w:t>The best effort approach</w:t>
      </w:r>
      <w:r w:rsidR="0033346D" w:rsidRPr="00796E46">
        <w:rPr>
          <w:rFonts w:asciiTheme="majorHAnsi" w:hAnsiTheme="majorHAnsi"/>
          <w:lang w:val="en-US"/>
        </w:rPr>
        <w:t xml:space="preserve"> included in the current version of SFDR </w:t>
      </w:r>
      <w:r w:rsidRPr="00796E46">
        <w:rPr>
          <w:rFonts w:asciiTheme="majorHAnsi" w:hAnsiTheme="majorHAnsi"/>
          <w:lang w:val="en-US"/>
        </w:rPr>
        <w:t>implies that providers can choose the depth of the</w:t>
      </w:r>
      <w:r w:rsidR="0033346D" w:rsidRPr="00796E46">
        <w:rPr>
          <w:rFonts w:asciiTheme="majorHAnsi" w:hAnsiTheme="majorHAnsi"/>
          <w:lang w:val="en-US"/>
        </w:rPr>
        <w:t>ir</w:t>
      </w:r>
      <w:r w:rsidRPr="00796E46">
        <w:rPr>
          <w:rFonts w:asciiTheme="majorHAnsi" w:hAnsiTheme="majorHAnsi"/>
          <w:lang w:val="en-US"/>
        </w:rPr>
        <w:t xml:space="preserve"> disclosure</w:t>
      </w:r>
      <w:r w:rsidR="0033346D" w:rsidRPr="00796E46">
        <w:rPr>
          <w:rFonts w:asciiTheme="majorHAnsi" w:hAnsiTheme="majorHAnsi"/>
          <w:lang w:val="en-US"/>
        </w:rPr>
        <w:t>s</w:t>
      </w:r>
      <w:r w:rsidRPr="00796E46">
        <w:rPr>
          <w:rFonts w:asciiTheme="majorHAnsi" w:hAnsiTheme="majorHAnsi"/>
          <w:lang w:val="en-US"/>
        </w:rPr>
        <w:t xml:space="preserve"> </w:t>
      </w:r>
      <w:r w:rsidR="0033346D" w:rsidRPr="00796E46">
        <w:rPr>
          <w:rFonts w:asciiTheme="majorHAnsi" w:hAnsiTheme="majorHAnsi"/>
          <w:lang w:val="en-US"/>
        </w:rPr>
        <w:t xml:space="preserve">on the PAI </w:t>
      </w:r>
      <w:proofErr w:type="gramStart"/>
      <w:r w:rsidR="0033346D" w:rsidRPr="00796E46">
        <w:rPr>
          <w:rFonts w:asciiTheme="majorHAnsi" w:hAnsiTheme="majorHAnsi"/>
          <w:lang w:val="en-US"/>
        </w:rPr>
        <w:t>indicators</w:t>
      </w:r>
      <w:proofErr w:type="gramEnd"/>
      <w:r w:rsidR="009A7E26" w:rsidRPr="00796E46">
        <w:rPr>
          <w:rFonts w:asciiTheme="majorHAnsi" w:hAnsiTheme="majorHAnsi"/>
          <w:lang w:val="en-US"/>
        </w:rPr>
        <w:t xml:space="preserve"> and this allows for the necessary </w:t>
      </w:r>
      <w:r w:rsidR="00CC1A97" w:rsidRPr="00796E46">
        <w:rPr>
          <w:rFonts w:asciiTheme="majorHAnsi" w:hAnsiTheme="majorHAnsi"/>
          <w:lang w:val="en-US"/>
        </w:rPr>
        <w:t>proportionality</w:t>
      </w:r>
      <w:r w:rsidR="009A7E26" w:rsidRPr="00796E46">
        <w:rPr>
          <w:rFonts w:asciiTheme="majorHAnsi" w:hAnsiTheme="majorHAnsi"/>
          <w:lang w:val="en-US"/>
        </w:rPr>
        <w:t xml:space="preserve"> of complying to the requirements</w:t>
      </w:r>
      <w:r w:rsidR="0033346D" w:rsidRPr="00796E46">
        <w:rPr>
          <w:rFonts w:asciiTheme="majorHAnsi" w:hAnsiTheme="majorHAnsi"/>
          <w:lang w:val="en-US"/>
        </w:rPr>
        <w:t>. However</w:t>
      </w:r>
      <w:r w:rsidR="009A7E26" w:rsidRPr="00796E46">
        <w:rPr>
          <w:rFonts w:asciiTheme="majorHAnsi" w:hAnsiTheme="majorHAnsi"/>
          <w:lang w:val="en-US"/>
        </w:rPr>
        <w:t>, the regulation should clarify the</w:t>
      </w:r>
      <w:r w:rsidR="0033346D" w:rsidRPr="00796E46">
        <w:rPr>
          <w:rFonts w:asciiTheme="majorHAnsi" w:hAnsiTheme="majorHAnsi"/>
          <w:lang w:val="en-US"/>
        </w:rPr>
        <w:t xml:space="preserve"> </w:t>
      </w:r>
      <w:r w:rsidR="00662F73" w:rsidRPr="00796E46">
        <w:rPr>
          <w:lang w:val="en-US"/>
        </w:rPr>
        <w:t xml:space="preserve">possibility to use </w:t>
      </w:r>
      <w:r w:rsidR="00662F73" w:rsidRPr="00796E46">
        <w:rPr>
          <w:lang w:val="en-US"/>
        </w:rPr>
        <w:lastRenderedPageBreak/>
        <w:t xml:space="preserve">proxies when PAIs are difficult to collect directly from </w:t>
      </w:r>
      <w:r w:rsidR="00CC1A97" w:rsidRPr="00796E46">
        <w:rPr>
          <w:lang w:val="en-US"/>
        </w:rPr>
        <w:t xml:space="preserve">a </w:t>
      </w:r>
      <w:r w:rsidR="00662F73" w:rsidRPr="00796E46">
        <w:rPr>
          <w:lang w:val="en-US"/>
        </w:rPr>
        <w:t>Fund’s investee</w:t>
      </w:r>
      <w:r w:rsidR="0033346D" w:rsidRPr="00796E46">
        <w:rPr>
          <w:lang w:val="en-US"/>
        </w:rPr>
        <w:t xml:space="preserve"> company</w:t>
      </w:r>
      <w:r w:rsidR="009A7E26" w:rsidRPr="00796E46">
        <w:rPr>
          <w:lang w:val="en-US"/>
        </w:rPr>
        <w:t>,</w:t>
      </w:r>
      <w:r w:rsidR="00662F73" w:rsidRPr="00796E46">
        <w:rPr>
          <w:lang w:val="en-US"/>
        </w:rPr>
        <w:t xml:space="preserve"> </w:t>
      </w:r>
      <w:r w:rsidR="0033346D" w:rsidRPr="00796E46">
        <w:rPr>
          <w:lang w:val="en-US"/>
        </w:rPr>
        <w:t xml:space="preserve">as we have seen diverging interpretations on this point from Financial Market Participants.  </w:t>
      </w:r>
    </w:p>
    <w:p w14:paraId="44F08CD3" w14:textId="79E28C47" w:rsidR="007C6DDC" w:rsidRPr="00796E46" w:rsidRDefault="009A7E26" w:rsidP="00353BA2">
      <w:pPr>
        <w:jc w:val="both"/>
        <w:rPr>
          <w:lang w:val="en-US"/>
        </w:rPr>
      </w:pPr>
      <w:r w:rsidRPr="00796E46">
        <w:rPr>
          <w:lang w:val="en-US"/>
        </w:rPr>
        <w:t>S</w:t>
      </w:r>
      <w:r w:rsidR="00416EDC" w:rsidRPr="00796E46">
        <w:rPr>
          <w:lang w:val="en-US"/>
        </w:rPr>
        <w:t xml:space="preserve">upport </w:t>
      </w:r>
      <w:r w:rsidR="00223F5A" w:rsidRPr="00796E46">
        <w:rPr>
          <w:lang w:val="en-US"/>
        </w:rPr>
        <w:t xml:space="preserve">from the EU for </w:t>
      </w:r>
      <w:r w:rsidR="00416EDC" w:rsidRPr="00796E46">
        <w:rPr>
          <w:lang w:val="en-US"/>
        </w:rPr>
        <w:t xml:space="preserve"> Financial Market Participants</w:t>
      </w:r>
      <w:r w:rsidRPr="00796E46">
        <w:rPr>
          <w:lang w:val="en-US"/>
        </w:rPr>
        <w:t xml:space="preserve"> investing in </w:t>
      </w:r>
      <w:r w:rsidR="00223F5A" w:rsidRPr="00796E46">
        <w:rPr>
          <w:lang w:val="en-US"/>
        </w:rPr>
        <w:t xml:space="preserve">the Global South </w:t>
      </w:r>
      <w:r w:rsidRPr="00796E46">
        <w:rPr>
          <w:lang w:val="en-US"/>
        </w:rPr>
        <w:t xml:space="preserve">is called for, </w:t>
      </w:r>
      <w:r w:rsidR="00416EDC" w:rsidRPr="00796E46">
        <w:rPr>
          <w:lang w:val="en-US"/>
        </w:rPr>
        <w:t>to get access to reputable and acceptable proxies at a reasonable cost</w:t>
      </w:r>
      <w:r w:rsidRPr="00796E46">
        <w:rPr>
          <w:lang w:val="en-US"/>
        </w:rPr>
        <w:t>, especially because</w:t>
      </w:r>
      <w:r w:rsidR="00416EDC" w:rsidRPr="00796E46">
        <w:rPr>
          <w:lang w:val="en-US"/>
        </w:rPr>
        <w:t xml:space="preserve"> Financial Market Participants that deploy the most innovative and promising Sustainable Investment strategies </w:t>
      </w:r>
      <w:r w:rsidRPr="00796E46">
        <w:rPr>
          <w:lang w:val="en-US"/>
        </w:rPr>
        <w:t xml:space="preserve">in emerging markets </w:t>
      </w:r>
      <w:r w:rsidR="00416EDC" w:rsidRPr="00796E46">
        <w:rPr>
          <w:lang w:val="en-US"/>
        </w:rPr>
        <w:t xml:space="preserve">often are relatively small compared to the financial market average and each additional cost can be an important drain on relatively limited human or financial resources. </w:t>
      </w:r>
    </w:p>
    <w:p w14:paraId="1254E5A4" w14:textId="0FAD8318" w:rsidR="00CC1A97" w:rsidRPr="00796E46" w:rsidRDefault="000760BD" w:rsidP="00353BA2">
      <w:pPr>
        <w:jc w:val="both"/>
        <w:rPr>
          <w:rStyle w:val="Strong"/>
          <w:b w:val="0"/>
          <w:bCs w:val="0"/>
          <w:lang w:val="en-US"/>
        </w:rPr>
      </w:pPr>
      <w:r w:rsidRPr="00796E46">
        <w:rPr>
          <w:lang w:val="en-US"/>
        </w:rPr>
        <w:t xml:space="preserve">Support from the EU could take the form of 1) the definition by ESMA of a list of </w:t>
      </w:r>
      <w:r w:rsidR="00CC1A97" w:rsidRPr="00796E46">
        <w:rPr>
          <w:lang w:val="en-US"/>
        </w:rPr>
        <w:t>reputable and acceptable proxies</w:t>
      </w:r>
      <w:r w:rsidRPr="00796E46">
        <w:rPr>
          <w:lang w:val="en-US"/>
        </w:rPr>
        <w:t xml:space="preserve">, especially for the estimation of GHG emissions, and 2) the financial support from EU development financial institutions for Financial Market Participants that invest in the Global South and their investee companies to gain access to such reputable and acceptable proxies. </w:t>
      </w:r>
    </w:p>
    <w:p w14:paraId="1E4D705E" w14:textId="0E8AD629" w:rsidR="0086504B" w:rsidRPr="00796E46" w:rsidRDefault="00CC1A97" w:rsidP="00353BA2">
      <w:pPr>
        <w:jc w:val="both"/>
        <w:rPr>
          <w:rStyle w:val="Strong"/>
          <w:rFonts w:asciiTheme="majorHAnsi" w:hAnsiTheme="majorHAnsi"/>
          <w:b w:val="0"/>
          <w:bCs w:val="0"/>
        </w:rPr>
      </w:pPr>
      <w:r w:rsidRPr="00796E46">
        <w:rPr>
          <w:rStyle w:val="Strong"/>
          <w:rFonts w:asciiTheme="majorHAnsi" w:hAnsiTheme="majorHAnsi"/>
          <w:b w:val="0"/>
          <w:bCs w:val="0"/>
          <w:lang w:val="en-US"/>
        </w:rPr>
        <w:t>Alternatively</w:t>
      </w:r>
      <w:r w:rsidR="00416EDC" w:rsidRPr="00796E46">
        <w:rPr>
          <w:rStyle w:val="Strong"/>
          <w:rFonts w:asciiTheme="majorHAnsi" w:hAnsiTheme="majorHAnsi"/>
          <w:b w:val="0"/>
          <w:bCs w:val="0"/>
          <w:lang w:val="en-US"/>
        </w:rPr>
        <w:t xml:space="preserve">, granting a clear exception for Investee companies that are Micro or Small Enterprises (&lt;10M EUR of assets and &lt;50 employees) could be envisaged to avoid putting </w:t>
      </w:r>
      <w:r w:rsidR="0086504B" w:rsidRPr="00796E46">
        <w:rPr>
          <w:rStyle w:val="Strong"/>
          <w:rFonts w:asciiTheme="majorHAnsi" w:hAnsiTheme="majorHAnsi"/>
          <w:b w:val="0"/>
          <w:bCs w:val="0"/>
        </w:rPr>
        <w:t xml:space="preserve">an undue burden on </w:t>
      </w:r>
      <w:r w:rsidR="00416EDC" w:rsidRPr="00796E46">
        <w:rPr>
          <w:rStyle w:val="Strong"/>
          <w:rFonts w:asciiTheme="majorHAnsi" w:hAnsiTheme="majorHAnsi"/>
          <w:b w:val="0"/>
          <w:bCs w:val="0"/>
          <w:lang w:val="en-US"/>
        </w:rPr>
        <w:t xml:space="preserve">these companies </w:t>
      </w:r>
      <w:r w:rsidR="0086504B" w:rsidRPr="00796E46">
        <w:rPr>
          <w:rStyle w:val="Strong"/>
          <w:rFonts w:asciiTheme="majorHAnsi" w:hAnsiTheme="majorHAnsi"/>
          <w:b w:val="0"/>
          <w:bCs w:val="0"/>
        </w:rPr>
        <w:t xml:space="preserve">without delivering meaningful information to stakeholders. </w:t>
      </w:r>
    </w:p>
    <w:p w14:paraId="27B139B9" w14:textId="77777777" w:rsidR="002946E2" w:rsidRPr="00796E46" w:rsidRDefault="002946E2" w:rsidP="002946E2">
      <w:pPr>
        <w:jc w:val="both"/>
        <w:rPr>
          <w:rFonts w:asciiTheme="majorHAnsi" w:hAnsiTheme="majorHAnsi"/>
          <w:lang w:val="en-US"/>
        </w:rPr>
      </w:pPr>
    </w:p>
    <w:p w14:paraId="7FE9F022" w14:textId="77777777" w:rsidR="002946E2" w:rsidRPr="00796E46" w:rsidRDefault="002946E2" w:rsidP="002946E2">
      <w:pPr>
        <w:pStyle w:val="Subtitle"/>
        <w:jc w:val="both"/>
        <w:rPr>
          <w:rStyle w:val="Strong"/>
          <w:rFonts w:asciiTheme="majorHAnsi" w:eastAsiaTheme="minorHAnsi" w:hAnsiTheme="majorHAnsi"/>
          <w:b w:val="0"/>
          <w:bCs w:val="0"/>
          <w:color w:val="auto"/>
          <w:spacing w:val="0"/>
          <w:u w:val="none"/>
          <w:lang w:val="en-US"/>
        </w:rPr>
      </w:pPr>
      <w:r w:rsidRPr="00796E46">
        <w:rPr>
          <w:rStyle w:val="Strong"/>
          <w:rFonts w:asciiTheme="majorHAnsi" w:hAnsiTheme="majorHAnsi"/>
          <w:b w:val="0"/>
          <w:bCs w:val="0"/>
          <w:lang w:val="en-US"/>
        </w:rPr>
        <w:t xml:space="preserve">Questions where this key message can be pasted: </w:t>
      </w:r>
    </w:p>
    <w:p w14:paraId="405B4742" w14:textId="4542173C" w:rsidR="00A93C15" w:rsidRPr="00796E46" w:rsidRDefault="00A93C15" w:rsidP="002946E2">
      <w:pPr>
        <w:jc w:val="both"/>
        <w:rPr>
          <w:rFonts w:asciiTheme="majorHAnsi" w:hAnsiTheme="majorHAnsi"/>
          <w:lang w:val="en-US"/>
        </w:rPr>
      </w:pPr>
      <w:r w:rsidRPr="00796E46">
        <w:rPr>
          <w:rFonts w:asciiTheme="majorHAnsi" w:hAnsiTheme="majorHAnsi"/>
          <w:lang w:val="en-US"/>
        </w:rPr>
        <w:t xml:space="preserve">Box below 1.8 / 1.8.1 and 1.9: Disclosures of PAIs </w:t>
      </w:r>
      <w:r w:rsidRPr="00796E46">
        <w:rPr>
          <w:rFonts w:asciiTheme="majorHAnsi" w:hAnsiTheme="majorHAnsi"/>
          <w:b/>
          <w:bCs/>
          <w:lang w:val="en-US"/>
        </w:rPr>
        <w:t>&gt;&gt;only first two paragraphs</w:t>
      </w:r>
    </w:p>
    <w:p w14:paraId="30CF7C16" w14:textId="2B3F8EF0" w:rsidR="002946E2" w:rsidRPr="00796E46" w:rsidRDefault="002946E2" w:rsidP="002946E2">
      <w:pPr>
        <w:jc w:val="both"/>
        <w:rPr>
          <w:rFonts w:asciiTheme="majorHAnsi" w:hAnsiTheme="majorHAnsi"/>
          <w:lang w:val="en-US"/>
        </w:rPr>
      </w:pPr>
      <w:r w:rsidRPr="00796E46">
        <w:rPr>
          <w:rFonts w:asciiTheme="majorHAnsi" w:hAnsiTheme="majorHAnsi"/>
          <w:lang w:val="en-US"/>
        </w:rPr>
        <w:t>1.12 &gt; 1.12.5: Data estimates</w:t>
      </w:r>
    </w:p>
    <w:p w14:paraId="3F14F251" w14:textId="122AD5EF" w:rsidR="00491350" w:rsidRPr="00796E46" w:rsidRDefault="00491350" w:rsidP="002946E2">
      <w:pPr>
        <w:jc w:val="both"/>
        <w:rPr>
          <w:rFonts w:asciiTheme="majorHAnsi" w:hAnsiTheme="majorHAnsi"/>
          <w:lang w:val="en-US"/>
        </w:rPr>
      </w:pPr>
      <w:r w:rsidRPr="00796E46">
        <w:rPr>
          <w:rFonts w:asciiTheme="majorHAnsi" w:hAnsiTheme="majorHAnsi"/>
          <w:lang w:val="en-US"/>
        </w:rPr>
        <w:t xml:space="preserve">3.2.14: When determining what disclosures should be required at product level, it should be </w:t>
      </w:r>
      <w:proofErr w:type="gramStart"/>
      <w:r w:rsidRPr="00796E46">
        <w:rPr>
          <w:rFonts w:asciiTheme="majorHAnsi" w:hAnsiTheme="majorHAnsi"/>
          <w:lang w:val="en-US"/>
        </w:rPr>
        <w:t>taken into account</w:t>
      </w:r>
      <w:proofErr w:type="gramEnd"/>
      <w:r w:rsidRPr="00796E46">
        <w:rPr>
          <w:rFonts w:asciiTheme="majorHAnsi" w:hAnsiTheme="majorHAnsi"/>
          <w:lang w:val="en-US"/>
        </w:rPr>
        <w:t xml:space="preserve"> whether</w:t>
      </w:r>
      <w:r w:rsidR="00E22535" w:rsidRPr="00796E46">
        <w:rPr>
          <w:rFonts w:asciiTheme="majorHAnsi" w:hAnsiTheme="majorHAnsi"/>
          <w:lang w:val="en-US"/>
        </w:rPr>
        <w:t>…</w:t>
      </w:r>
      <w:r w:rsidRPr="00796E46">
        <w:rPr>
          <w:rFonts w:asciiTheme="majorHAnsi" w:hAnsiTheme="majorHAnsi"/>
          <w:lang w:val="en-US"/>
        </w:rPr>
        <w:t xml:space="preserve"> (box below)</w:t>
      </w:r>
    </w:p>
    <w:p w14:paraId="4DB91F33" w14:textId="77777777" w:rsidR="00DB0608" w:rsidRPr="00796E46" w:rsidRDefault="00DB0608" w:rsidP="00DB0608">
      <w:pPr>
        <w:jc w:val="both"/>
        <w:rPr>
          <w:rFonts w:asciiTheme="majorHAnsi" w:hAnsiTheme="majorHAnsi"/>
          <w:lang w:val="en-US"/>
        </w:rPr>
      </w:pPr>
      <w:r w:rsidRPr="00796E46">
        <w:rPr>
          <w:rFonts w:asciiTheme="majorHAnsi" w:hAnsiTheme="majorHAnsi"/>
          <w:lang w:val="en-US"/>
        </w:rPr>
        <w:t xml:space="preserve">4.2.3: If a </w:t>
      </w:r>
      <w:proofErr w:type="spellStart"/>
      <w:r w:rsidRPr="00796E46">
        <w:rPr>
          <w:rFonts w:asciiTheme="majorHAnsi" w:hAnsiTheme="majorHAnsi"/>
          <w:lang w:val="en-US"/>
        </w:rPr>
        <w:t>categorisation</w:t>
      </w:r>
      <w:proofErr w:type="spellEnd"/>
      <w:r w:rsidRPr="00796E46">
        <w:rPr>
          <w:rFonts w:asciiTheme="majorHAnsi" w:hAnsiTheme="majorHAnsi"/>
          <w:lang w:val="en-US"/>
        </w:rPr>
        <w:t xml:space="preserve"> system was established, to what extent do you agree with the following statement? “When determining the criteria for product categories it should be taken into account: ...”</w:t>
      </w:r>
    </w:p>
    <w:p w14:paraId="0329B141" w14:textId="77777777" w:rsidR="00DB0608" w:rsidRPr="00796E46" w:rsidRDefault="00DB0608" w:rsidP="002946E2">
      <w:pPr>
        <w:jc w:val="both"/>
        <w:rPr>
          <w:rFonts w:asciiTheme="majorHAnsi" w:hAnsiTheme="majorHAnsi"/>
          <w:lang w:val="en-US"/>
        </w:rPr>
      </w:pPr>
    </w:p>
    <w:p w14:paraId="0DA92425" w14:textId="2989F29D" w:rsidR="0033346D" w:rsidRPr="00796E46" w:rsidRDefault="0033346D" w:rsidP="00E57EB3">
      <w:pPr>
        <w:jc w:val="both"/>
        <w:rPr>
          <w:rStyle w:val="Strong"/>
          <w:rFonts w:asciiTheme="majorHAnsi" w:hAnsiTheme="majorHAnsi"/>
          <w:b w:val="0"/>
          <w:bCs w:val="0"/>
        </w:rPr>
      </w:pPr>
    </w:p>
    <w:p w14:paraId="16A074F2" w14:textId="78875127" w:rsidR="0025058C" w:rsidRPr="00796E46" w:rsidRDefault="0025058C">
      <w:pPr>
        <w:rPr>
          <w:rStyle w:val="Strong"/>
          <w:rFonts w:asciiTheme="majorHAnsi" w:hAnsiTheme="majorHAnsi"/>
          <w:b w:val="0"/>
          <w:bCs w:val="0"/>
        </w:rPr>
      </w:pPr>
      <w:r w:rsidRPr="00796E46">
        <w:rPr>
          <w:rStyle w:val="Strong"/>
          <w:rFonts w:asciiTheme="majorHAnsi" w:hAnsiTheme="majorHAnsi"/>
          <w:b w:val="0"/>
          <w:bCs w:val="0"/>
        </w:rPr>
        <w:br w:type="page"/>
      </w:r>
    </w:p>
    <w:p w14:paraId="1AFC0A27" w14:textId="651DD072" w:rsidR="00311CDD" w:rsidRPr="00796E46" w:rsidRDefault="00D5219B" w:rsidP="00412327">
      <w:pPr>
        <w:pStyle w:val="Heading2"/>
        <w:ind w:left="720"/>
        <w:rPr>
          <w:lang w:val="en-US"/>
        </w:rPr>
      </w:pPr>
      <w:bookmarkStart w:id="46" w:name="_Toc152770350"/>
      <w:r w:rsidRPr="00796E46">
        <w:rPr>
          <w:lang w:val="en-US"/>
        </w:rPr>
        <w:lastRenderedPageBreak/>
        <w:t>8.2</w:t>
      </w:r>
      <w:r w:rsidR="00311CDD" w:rsidRPr="00796E46">
        <w:rPr>
          <w:lang w:val="en-US"/>
        </w:rPr>
        <w:t xml:space="preserve">. </w:t>
      </w:r>
      <w:r w:rsidR="00380CBD" w:rsidRPr="00796E46">
        <w:rPr>
          <w:lang w:val="en-US"/>
        </w:rPr>
        <w:t>Amend the Taxonomy Regulation to allow the use of local regulations or international standards when investments are made outside of the EU.</w:t>
      </w:r>
      <w:bookmarkEnd w:id="46"/>
    </w:p>
    <w:p w14:paraId="5C953B47" w14:textId="326C6843" w:rsidR="007C6DDC" w:rsidRPr="00796E46" w:rsidRDefault="007C6DDC"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SFDR allows the recourse to proxy data when the data is not there </w:t>
      </w:r>
      <w:r w:rsidR="00AE1E6C" w:rsidRPr="00796E46">
        <w:rPr>
          <w:rStyle w:val="Strong"/>
          <w:rFonts w:asciiTheme="majorHAnsi" w:hAnsiTheme="majorHAnsi"/>
          <w:b w:val="0"/>
          <w:bCs w:val="0"/>
          <w:lang w:val="en-US"/>
        </w:rPr>
        <w:t>for the reporting on PAIs</w:t>
      </w:r>
      <w:r w:rsidRPr="00796E46">
        <w:rPr>
          <w:rStyle w:val="Strong"/>
          <w:rFonts w:asciiTheme="majorHAnsi" w:hAnsiTheme="majorHAnsi"/>
          <w:b w:val="0"/>
          <w:bCs w:val="0"/>
          <w:lang w:val="en-US"/>
        </w:rPr>
        <w:t xml:space="preserve">, but the Taxonomy Regulation does not always allow the use of local regulations or international standards to meet the DNSH criteria that are linked to European regulations that are not applicable outside of the EU. This means that, for </w:t>
      </w:r>
      <w:proofErr w:type="gramStart"/>
      <w:r w:rsidRPr="00796E46">
        <w:rPr>
          <w:rStyle w:val="Strong"/>
          <w:rFonts w:asciiTheme="majorHAnsi" w:hAnsiTheme="majorHAnsi"/>
          <w:b w:val="0"/>
          <w:bCs w:val="0"/>
          <w:lang w:val="en-US"/>
        </w:rPr>
        <w:t>a number of</w:t>
      </w:r>
      <w:proofErr w:type="gramEnd"/>
      <w:r w:rsidRPr="00796E46">
        <w:rPr>
          <w:rStyle w:val="Strong"/>
          <w:rFonts w:asciiTheme="majorHAnsi" w:hAnsiTheme="majorHAnsi"/>
          <w:b w:val="0"/>
          <w:bCs w:val="0"/>
          <w:lang w:val="en-US"/>
        </w:rPr>
        <w:t xml:space="preserve"> DNSH criteria that refer to EU law, the criteria</w:t>
      </w:r>
      <w:r w:rsidR="00AE1E6C" w:rsidRPr="00796E46">
        <w:rPr>
          <w:rStyle w:val="Strong"/>
          <w:rFonts w:asciiTheme="majorHAnsi" w:hAnsiTheme="majorHAnsi"/>
          <w:b w:val="0"/>
          <w:bCs w:val="0"/>
          <w:lang w:val="en-US"/>
        </w:rPr>
        <w:t xml:space="preserve"> are</w:t>
      </w:r>
      <w:r w:rsidRPr="00796E46">
        <w:rPr>
          <w:rStyle w:val="Strong"/>
          <w:rFonts w:asciiTheme="majorHAnsi" w:hAnsiTheme="majorHAnsi"/>
          <w:b w:val="0"/>
          <w:bCs w:val="0"/>
          <w:lang w:val="en-US"/>
        </w:rPr>
        <w:t xml:space="preserve"> by default unachievable when the investee company is outside of the EU.</w:t>
      </w:r>
    </w:p>
    <w:p w14:paraId="640FE8BC" w14:textId="5AA86265" w:rsidR="007C6DDC" w:rsidRPr="00796E46" w:rsidRDefault="00AE1E6C"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 xml:space="preserve">Although the </w:t>
      </w:r>
      <w:r w:rsidR="007C6DDC" w:rsidRPr="00796E46">
        <w:rPr>
          <w:rStyle w:val="Strong"/>
          <w:rFonts w:asciiTheme="majorHAnsi" w:hAnsiTheme="majorHAnsi"/>
          <w:b w:val="0"/>
          <w:bCs w:val="0"/>
          <w:lang w:val="en-US"/>
        </w:rPr>
        <w:t>Taxonomy Regulation itself refers to international standards where no EU regulation exists or is not applicable or commensurate</w:t>
      </w:r>
      <w:r w:rsidRPr="00796E46">
        <w:rPr>
          <w:rStyle w:val="Strong"/>
          <w:rFonts w:asciiTheme="majorHAnsi" w:hAnsiTheme="majorHAnsi"/>
          <w:b w:val="0"/>
          <w:bCs w:val="0"/>
          <w:lang w:val="en-US"/>
        </w:rPr>
        <w:t>, Taxonomy alignment is a huge barrier when investing in the Global South, because the Taxonomy Regulation doesn’t allow for the same references to be used as the SFDR does.</w:t>
      </w:r>
    </w:p>
    <w:p w14:paraId="51605B3F" w14:textId="7E1004E0" w:rsidR="007C6DDC" w:rsidRPr="00796E46" w:rsidRDefault="007C6DDC" w:rsidP="00353BA2">
      <w:pPr>
        <w:jc w:val="both"/>
        <w:rPr>
          <w:rStyle w:val="Strong"/>
          <w:rFonts w:asciiTheme="majorHAnsi" w:hAnsiTheme="majorHAnsi"/>
          <w:b w:val="0"/>
          <w:bCs w:val="0"/>
          <w:lang w:val="en-US"/>
        </w:rPr>
      </w:pPr>
      <w:r w:rsidRPr="00796E46">
        <w:rPr>
          <w:rStyle w:val="Strong"/>
          <w:rFonts w:asciiTheme="majorHAnsi" w:hAnsiTheme="majorHAnsi"/>
          <w:b w:val="0"/>
          <w:bCs w:val="0"/>
          <w:lang w:val="en-US"/>
        </w:rPr>
        <w:t>The Taxonomy Regulation should thus urgently amend its current EU-centric regulation of DNSH fulfillment and concede that alignment can also be obtained when the F</w:t>
      </w:r>
      <w:r w:rsidR="002503AA" w:rsidRPr="00796E46">
        <w:rPr>
          <w:rStyle w:val="Strong"/>
          <w:rFonts w:asciiTheme="majorHAnsi" w:hAnsiTheme="majorHAnsi"/>
          <w:b w:val="0"/>
          <w:bCs w:val="0"/>
          <w:lang w:val="en-US"/>
        </w:rPr>
        <w:t xml:space="preserve">inancial </w:t>
      </w:r>
      <w:r w:rsidRPr="00796E46">
        <w:rPr>
          <w:rStyle w:val="Strong"/>
          <w:rFonts w:asciiTheme="majorHAnsi" w:hAnsiTheme="majorHAnsi"/>
          <w:b w:val="0"/>
          <w:bCs w:val="0"/>
          <w:lang w:val="en-US"/>
        </w:rPr>
        <w:t>M</w:t>
      </w:r>
      <w:r w:rsidR="002503AA" w:rsidRPr="00796E46">
        <w:rPr>
          <w:rStyle w:val="Strong"/>
          <w:rFonts w:asciiTheme="majorHAnsi" w:hAnsiTheme="majorHAnsi"/>
          <w:b w:val="0"/>
          <w:bCs w:val="0"/>
          <w:lang w:val="en-US"/>
        </w:rPr>
        <w:t xml:space="preserve">arket </w:t>
      </w:r>
      <w:r w:rsidRPr="00796E46">
        <w:rPr>
          <w:rStyle w:val="Strong"/>
          <w:rFonts w:asciiTheme="majorHAnsi" w:hAnsiTheme="majorHAnsi"/>
          <w:b w:val="0"/>
          <w:bCs w:val="0"/>
          <w:lang w:val="en-US"/>
        </w:rPr>
        <w:t>P</w:t>
      </w:r>
      <w:r w:rsidR="002503AA" w:rsidRPr="00796E46">
        <w:rPr>
          <w:rStyle w:val="Strong"/>
          <w:rFonts w:asciiTheme="majorHAnsi" w:hAnsiTheme="majorHAnsi"/>
          <w:b w:val="0"/>
          <w:bCs w:val="0"/>
          <w:lang w:val="en-US"/>
        </w:rPr>
        <w:t>articipant</w:t>
      </w:r>
      <w:r w:rsidRPr="00796E46">
        <w:rPr>
          <w:rStyle w:val="Strong"/>
          <w:rFonts w:asciiTheme="majorHAnsi" w:hAnsiTheme="majorHAnsi"/>
          <w:b w:val="0"/>
          <w:bCs w:val="0"/>
          <w:lang w:val="en-US"/>
        </w:rPr>
        <w:t>s can demonstrate that the investee company is following similar applicable national regulations or international standards</w:t>
      </w:r>
      <w:r w:rsidR="0056439B" w:rsidRPr="00796E46">
        <w:rPr>
          <w:rStyle w:val="Strong"/>
          <w:rFonts w:asciiTheme="majorHAnsi" w:hAnsiTheme="majorHAnsi"/>
          <w:b w:val="0"/>
          <w:bCs w:val="0"/>
          <w:lang w:val="en-US"/>
        </w:rPr>
        <w:t>, such as the IFC Performance Standards.</w:t>
      </w:r>
      <w:r w:rsidR="00AE1E6C" w:rsidRPr="00796E46">
        <w:rPr>
          <w:rStyle w:val="Strong"/>
          <w:rFonts w:asciiTheme="majorHAnsi" w:hAnsiTheme="majorHAnsi"/>
          <w:b w:val="0"/>
          <w:bCs w:val="0"/>
          <w:lang w:val="en-US"/>
        </w:rPr>
        <w:t xml:space="preserve"> The use of proxies that meet international standards in case of investments in the Global South should be similarly allowed under the SFDR and the Taxonomy Regulation.</w:t>
      </w:r>
    </w:p>
    <w:p w14:paraId="579C5612" w14:textId="77777777" w:rsidR="00416EDC" w:rsidRPr="00796E46" w:rsidRDefault="00416EDC" w:rsidP="00353BA2">
      <w:pPr>
        <w:jc w:val="both"/>
        <w:rPr>
          <w:rStyle w:val="Strong"/>
          <w:rFonts w:asciiTheme="majorHAnsi" w:hAnsiTheme="majorHAnsi"/>
          <w:b w:val="0"/>
          <w:bCs w:val="0"/>
          <w:lang w:val="en-US"/>
        </w:rPr>
      </w:pPr>
    </w:p>
    <w:p w14:paraId="6A0D62D8" w14:textId="3BEEA6CA" w:rsidR="000A067E" w:rsidRPr="00796E46" w:rsidRDefault="000A067E" w:rsidP="00353BA2">
      <w:pPr>
        <w:pStyle w:val="Subtitle"/>
        <w:jc w:val="both"/>
        <w:rPr>
          <w:rStyle w:val="Strong"/>
          <w:rFonts w:asciiTheme="majorHAnsi" w:eastAsiaTheme="minorHAnsi" w:hAnsiTheme="majorHAnsi"/>
          <w:b w:val="0"/>
          <w:bCs w:val="0"/>
          <w:color w:val="auto"/>
          <w:spacing w:val="0"/>
          <w:u w:val="none"/>
          <w:lang w:val="en-US"/>
        </w:rPr>
      </w:pPr>
      <w:r w:rsidRPr="00796E46">
        <w:rPr>
          <w:rStyle w:val="Strong"/>
          <w:rFonts w:asciiTheme="majorHAnsi" w:hAnsiTheme="majorHAnsi"/>
          <w:b w:val="0"/>
          <w:bCs w:val="0"/>
          <w:lang w:val="en-US"/>
        </w:rPr>
        <w:t xml:space="preserve">Questions where this key message can be pasted: </w:t>
      </w:r>
    </w:p>
    <w:p w14:paraId="04AB6C36" w14:textId="3F630585" w:rsidR="00A93C15" w:rsidRPr="00796E46" w:rsidRDefault="00A93C15" w:rsidP="00A93C15">
      <w:pPr>
        <w:jc w:val="both"/>
        <w:rPr>
          <w:rFonts w:asciiTheme="majorHAnsi" w:hAnsiTheme="majorHAnsi"/>
          <w:lang w:val="en-US"/>
        </w:rPr>
      </w:pPr>
      <w:r w:rsidRPr="00796E46">
        <w:rPr>
          <w:rFonts w:asciiTheme="majorHAnsi" w:hAnsiTheme="majorHAnsi"/>
          <w:lang w:val="en-US"/>
        </w:rPr>
        <w:t xml:space="preserve">Box below 1.8 / 1.8.1 and 1.9: Disclosures of PAIs </w:t>
      </w:r>
      <w:r w:rsidRPr="00796E46">
        <w:rPr>
          <w:rFonts w:asciiTheme="majorHAnsi" w:hAnsiTheme="majorHAnsi"/>
          <w:b/>
          <w:bCs/>
          <w:lang w:val="en-US"/>
        </w:rPr>
        <w:t>&gt;&gt;only first paragraphs</w:t>
      </w:r>
    </w:p>
    <w:p w14:paraId="219E3AD3" w14:textId="3F2FF711" w:rsidR="002F13F9" w:rsidRPr="00796E46" w:rsidRDefault="002F13F9" w:rsidP="00353BA2">
      <w:pPr>
        <w:jc w:val="both"/>
        <w:rPr>
          <w:rFonts w:asciiTheme="majorHAnsi" w:hAnsiTheme="majorHAnsi"/>
          <w:lang w:val="en-US"/>
        </w:rPr>
      </w:pPr>
      <w:r w:rsidRPr="00796E46">
        <w:rPr>
          <w:rFonts w:asciiTheme="majorHAnsi" w:hAnsiTheme="majorHAnsi"/>
          <w:lang w:val="en-US"/>
        </w:rPr>
        <w:t>1.12 &gt; 1.12.5: Data estimates</w:t>
      </w:r>
    </w:p>
    <w:p w14:paraId="1F4A7434" w14:textId="77777777" w:rsidR="00491350" w:rsidRPr="00796E46" w:rsidRDefault="00491350" w:rsidP="00491350">
      <w:pPr>
        <w:jc w:val="both"/>
        <w:rPr>
          <w:rFonts w:asciiTheme="majorHAnsi" w:hAnsiTheme="majorHAnsi"/>
          <w:lang w:val="en-US"/>
        </w:rPr>
      </w:pPr>
      <w:r w:rsidRPr="00796E46">
        <w:rPr>
          <w:rFonts w:asciiTheme="majorHAnsi" w:hAnsiTheme="majorHAnsi"/>
          <w:lang w:val="en-US"/>
        </w:rPr>
        <w:t xml:space="preserve">3.2.14: When determining what disclosures should be required at product level, it should be taken into account </w:t>
      </w:r>
      <w:proofErr w:type="gramStart"/>
      <w:r w:rsidRPr="00796E46">
        <w:rPr>
          <w:rFonts w:asciiTheme="majorHAnsi" w:hAnsiTheme="majorHAnsi"/>
          <w:lang w:val="en-US"/>
        </w:rPr>
        <w:t>whether..</w:t>
      </w:r>
      <w:proofErr w:type="gramEnd"/>
      <w:r w:rsidRPr="00796E46">
        <w:rPr>
          <w:rFonts w:asciiTheme="majorHAnsi" w:hAnsiTheme="majorHAnsi"/>
          <w:lang w:val="en-US"/>
        </w:rPr>
        <w:t xml:space="preserve"> (box below)</w:t>
      </w:r>
    </w:p>
    <w:p w14:paraId="6B90CB4C" w14:textId="77777777" w:rsidR="00DB0608" w:rsidRDefault="00DB0608" w:rsidP="00DB0608">
      <w:pPr>
        <w:jc w:val="both"/>
        <w:rPr>
          <w:rFonts w:asciiTheme="majorHAnsi" w:hAnsiTheme="majorHAnsi"/>
          <w:lang w:val="en-US"/>
        </w:rPr>
      </w:pPr>
      <w:r w:rsidRPr="00796E46">
        <w:rPr>
          <w:rFonts w:asciiTheme="majorHAnsi" w:hAnsiTheme="majorHAnsi"/>
          <w:lang w:val="en-US"/>
        </w:rPr>
        <w:t xml:space="preserve">4.2.3: If a </w:t>
      </w:r>
      <w:proofErr w:type="spellStart"/>
      <w:r w:rsidRPr="00796E46">
        <w:rPr>
          <w:rFonts w:asciiTheme="majorHAnsi" w:hAnsiTheme="majorHAnsi"/>
          <w:lang w:val="en-US"/>
        </w:rPr>
        <w:t>categorisation</w:t>
      </w:r>
      <w:proofErr w:type="spellEnd"/>
      <w:r w:rsidRPr="00796E46">
        <w:rPr>
          <w:rFonts w:asciiTheme="majorHAnsi" w:hAnsiTheme="majorHAnsi"/>
          <w:lang w:val="en-US"/>
        </w:rPr>
        <w:t xml:space="preserve"> system was established, to what extent do you agree with the following statement? “When determining the criteria for product categories it should be taken into account: ...”</w:t>
      </w:r>
    </w:p>
    <w:p w14:paraId="0D7F8A97" w14:textId="77777777" w:rsidR="00DB0608" w:rsidRDefault="00DB0608" w:rsidP="00353BA2">
      <w:pPr>
        <w:jc w:val="both"/>
        <w:rPr>
          <w:rFonts w:asciiTheme="majorHAnsi" w:hAnsiTheme="majorHAnsi"/>
          <w:lang w:val="en-US"/>
        </w:rPr>
      </w:pPr>
    </w:p>
    <w:p w14:paraId="3A6B4DEF" w14:textId="77777777" w:rsidR="00662F73" w:rsidRPr="007474FB" w:rsidRDefault="00662F73" w:rsidP="00353BA2">
      <w:pPr>
        <w:jc w:val="both"/>
        <w:rPr>
          <w:rStyle w:val="Strong"/>
          <w:rFonts w:asciiTheme="majorHAnsi" w:hAnsiTheme="majorHAnsi"/>
          <w:b w:val="0"/>
          <w:bCs w:val="0"/>
          <w:lang w:val="en-US"/>
        </w:rPr>
      </w:pPr>
    </w:p>
    <w:sectPr w:rsidR="00662F73" w:rsidRPr="007474F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9" w:author="Javoy, Emmanuelle" w:date="2023-12-08T17:02:00Z" w:initials="EJ">
    <w:p w14:paraId="74A4E649" w14:textId="77777777" w:rsidR="00796E46" w:rsidRDefault="000E4F0E" w:rsidP="00796E46">
      <w:pPr>
        <w:pStyle w:val="CommentText"/>
      </w:pPr>
      <w:r>
        <w:rPr>
          <w:rStyle w:val="CommentReference"/>
        </w:rPr>
        <w:annotationRef/>
      </w:r>
      <w:r w:rsidR="00796E46">
        <w:t>This piece of the original message does not fit due to need to replace table by text in the online form.</w:t>
      </w:r>
    </w:p>
    <w:p w14:paraId="75236744" w14:textId="77777777" w:rsidR="00796E46" w:rsidRDefault="00796E46" w:rsidP="00796E46">
      <w:pPr>
        <w:pStyle w:val="CommentText"/>
      </w:pPr>
      <w:r>
        <w:rPr>
          <w:b/>
          <w:bCs/>
        </w:rPr>
        <w:t xml:space="preserve">We strongly support the SFDR objectives of: </w:t>
      </w:r>
    </w:p>
    <w:p w14:paraId="6A3D9981" w14:textId="77777777" w:rsidR="00796E46" w:rsidRDefault="00796E46" w:rsidP="00796E46">
      <w:pPr>
        <w:pStyle w:val="CommentText"/>
      </w:pPr>
      <w:r>
        <w:rPr>
          <w:b/>
          <w:bCs/>
        </w:rPr>
        <w:t>•steering capital flows towards sustainable investments,</w:t>
      </w:r>
    </w:p>
    <w:p w14:paraId="5836E92A" w14:textId="77777777" w:rsidR="00796E46" w:rsidRDefault="00796E46" w:rsidP="00796E46">
      <w:pPr>
        <w:pStyle w:val="CommentText"/>
      </w:pPr>
      <w:r>
        <w:rPr>
          <w:b/>
          <w:bCs/>
        </w:rPr>
        <w:t xml:space="preserve">•mainstreaming sustainability into risk management,  </w:t>
      </w:r>
    </w:p>
    <w:p w14:paraId="1051271B" w14:textId="77777777" w:rsidR="00796E46" w:rsidRDefault="00796E46" w:rsidP="00796E46">
      <w:pPr>
        <w:pStyle w:val="CommentText"/>
      </w:pPr>
      <w:r>
        <w:rPr>
          <w:b/>
          <w:bCs/>
        </w:rPr>
        <w:t xml:space="preserve">•fostering transparency and long-termism </w:t>
      </w:r>
    </w:p>
  </w:comment>
  <w:comment w:id="40" w:author="Javoy, Emmanuelle" w:date="2023-12-08T17:01:00Z" w:initials="EJ">
    <w:p w14:paraId="6CC5C5E3" w14:textId="77777777" w:rsidR="00796E46" w:rsidRDefault="000E4F0E" w:rsidP="00796E46">
      <w:pPr>
        <w:pStyle w:val="CommentText"/>
      </w:pPr>
      <w:r>
        <w:rPr>
          <w:rStyle w:val="CommentReference"/>
        </w:rPr>
        <w:annotationRef/>
      </w:r>
      <w:r w:rsidR="00796E46">
        <w:t xml:space="preserve">The table cannot pasted in the form and was replaced by this format. </w:t>
      </w:r>
    </w:p>
    <w:p w14:paraId="7A459118" w14:textId="77777777" w:rsidR="00796E46" w:rsidRDefault="00796E46" w:rsidP="00796E46">
      <w:pPr>
        <w:pStyle w:val="CommentText"/>
      </w:pPr>
      <w:r>
        <w:t xml:space="preserve">The table can be found online on Triodos website if needed. </w:t>
      </w:r>
    </w:p>
    <w:p w14:paraId="59DC3AD5" w14:textId="77777777" w:rsidR="00796E46" w:rsidRDefault="00796E46" w:rsidP="00796E46">
      <w:pPr>
        <w:pStyle w:val="CommentText"/>
      </w:pPr>
    </w:p>
    <w:p w14:paraId="56240FF7" w14:textId="77777777" w:rsidR="00796E46" w:rsidRDefault="00000000" w:rsidP="00796E46">
      <w:pPr>
        <w:pStyle w:val="CommentText"/>
      </w:pPr>
      <w:hyperlink r:id="rId1" w:history="1">
        <w:r w:rsidR="00796E46" w:rsidRPr="003D058C">
          <w:rPr>
            <w:rStyle w:val="Hyperlink"/>
          </w:rPr>
          <w:t>https://www.triodos-im.com/press-releases/2023/press-release---new-investment-categorisation-system</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51271B" w15:done="0"/>
  <w15:commentEx w15:paraId="56240F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EB98ECB" w16cex:dateUtc="2023-12-08T16:02:00Z"/>
  <w16cex:commentExtensible w16cex:durableId="7A2732D3" w16cex:dateUtc="2023-12-08T1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51271B" w16cid:durableId="7EB98ECB"/>
  <w16cid:commentId w16cid:paraId="56240FF7" w16cid:durableId="7A2732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9A9B2" w14:textId="77777777" w:rsidR="00F42906" w:rsidRDefault="00F42906" w:rsidP="007C6DDC">
      <w:pPr>
        <w:spacing w:after="0" w:line="240" w:lineRule="auto"/>
      </w:pPr>
      <w:r>
        <w:separator/>
      </w:r>
    </w:p>
  </w:endnote>
  <w:endnote w:type="continuationSeparator" w:id="0">
    <w:p w14:paraId="019920F5" w14:textId="77777777" w:rsidR="00F42906" w:rsidRDefault="00F42906" w:rsidP="007C6DDC">
      <w:pPr>
        <w:spacing w:after="0" w:line="240" w:lineRule="auto"/>
      </w:pPr>
      <w:r>
        <w:continuationSeparator/>
      </w:r>
    </w:p>
  </w:endnote>
  <w:endnote w:type="continuationNotice" w:id="1">
    <w:p w14:paraId="7E4A3222" w14:textId="77777777" w:rsidR="00F42906" w:rsidRDefault="00F429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92BFC" w14:textId="77777777" w:rsidR="00F42906" w:rsidRDefault="00F42906" w:rsidP="007C6DDC">
      <w:pPr>
        <w:spacing w:after="0" w:line="240" w:lineRule="auto"/>
      </w:pPr>
      <w:r>
        <w:separator/>
      </w:r>
    </w:p>
  </w:footnote>
  <w:footnote w:type="continuationSeparator" w:id="0">
    <w:p w14:paraId="3F9B748F" w14:textId="77777777" w:rsidR="00F42906" w:rsidRDefault="00F42906" w:rsidP="007C6DDC">
      <w:pPr>
        <w:spacing w:after="0" w:line="240" w:lineRule="auto"/>
      </w:pPr>
      <w:r>
        <w:continuationSeparator/>
      </w:r>
    </w:p>
  </w:footnote>
  <w:footnote w:type="continuationNotice" w:id="1">
    <w:p w14:paraId="5015B7EE" w14:textId="77777777" w:rsidR="00F42906" w:rsidRDefault="00F429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31629"/>
    <w:multiLevelType w:val="hybridMultilevel"/>
    <w:tmpl w:val="BF8E28F8"/>
    <w:lvl w:ilvl="0" w:tplc="D94E3C04">
      <w:numFmt w:val="bullet"/>
      <w:lvlText w:val="-"/>
      <w:lvlJc w:val="left"/>
      <w:pPr>
        <w:ind w:left="720" w:hanging="360"/>
      </w:pPr>
      <w:rPr>
        <w:rFonts w:ascii="Corbel" w:eastAsiaTheme="minorHAnsi" w:hAnsi="Corbel"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93546A9"/>
    <w:multiLevelType w:val="hybridMultilevel"/>
    <w:tmpl w:val="F4D055A4"/>
    <w:lvl w:ilvl="0" w:tplc="54B2BCC2">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9EE700A"/>
    <w:multiLevelType w:val="multilevel"/>
    <w:tmpl w:val="F33AB794"/>
    <w:lvl w:ilvl="0">
      <w:start w:val="1"/>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 w15:restartNumberingAfterBreak="0">
    <w:nsid w:val="1ACC4BE1"/>
    <w:multiLevelType w:val="hybridMultilevel"/>
    <w:tmpl w:val="8444BA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774C22"/>
    <w:multiLevelType w:val="hybridMultilevel"/>
    <w:tmpl w:val="6764C022"/>
    <w:lvl w:ilvl="0" w:tplc="2ED864F4">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37E1D6C"/>
    <w:multiLevelType w:val="hybridMultilevel"/>
    <w:tmpl w:val="F7B0B3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A517483"/>
    <w:multiLevelType w:val="hybridMultilevel"/>
    <w:tmpl w:val="E4B6C616"/>
    <w:lvl w:ilvl="0" w:tplc="D94E3C04">
      <w:numFmt w:val="bullet"/>
      <w:lvlText w:val="-"/>
      <w:lvlJc w:val="left"/>
      <w:pPr>
        <w:ind w:left="720" w:hanging="360"/>
      </w:pPr>
      <w:rPr>
        <w:rFonts w:ascii="Corbel" w:eastAsiaTheme="minorHAnsi" w:hAnsi="Corbe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F0D0EF7"/>
    <w:multiLevelType w:val="hybridMultilevel"/>
    <w:tmpl w:val="22800C78"/>
    <w:lvl w:ilvl="0" w:tplc="0DCCA43A">
      <w:numFmt w:val="decimal"/>
      <w:pStyle w:val="Heading1"/>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7CAC2F21"/>
    <w:multiLevelType w:val="hybridMultilevel"/>
    <w:tmpl w:val="BFD00324"/>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D0320E5"/>
    <w:multiLevelType w:val="hybridMultilevel"/>
    <w:tmpl w:val="6220EB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44712658">
    <w:abstractNumId w:val="5"/>
  </w:num>
  <w:num w:numId="2" w16cid:durableId="1008828007">
    <w:abstractNumId w:val="9"/>
  </w:num>
  <w:num w:numId="3" w16cid:durableId="749543144">
    <w:abstractNumId w:val="7"/>
  </w:num>
  <w:num w:numId="4" w16cid:durableId="633104341">
    <w:abstractNumId w:val="7"/>
    <w:lvlOverride w:ilvl="0">
      <w:startOverride w:val="1"/>
    </w:lvlOverride>
  </w:num>
  <w:num w:numId="5" w16cid:durableId="1124889676">
    <w:abstractNumId w:val="7"/>
    <w:lvlOverride w:ilvl="0">
      <w:startOverride w:val="1"/>
    </w:lvlOverride>
  </w:num>
  <w:num w:numId="6" w16cid:durableId="1435202840">
    <w:abstractNumId w:val="7"/>
  </w:num>
  <w:num w:numId="7" w16cid:durableId="399640092">
    <w:abstractNumId w:val="7"/>
    <w:lvlOverride w:ilvl="0">
      <w:startOverride w:val="1"/>
    </w:lvlOverride>
  </w:num>
  <w:num w:numId="8" w16cid:durableId="370152028">
    <w:abstractNumId w:val="7"/>
  </w:num>
  <w:num w:numId="9" w16cid:durableId="1934584968">
    <w:abstractNumId w:val="7"/>
    <w:lvlOverride w:ilvl="0">
      <w:startOverride w:val="1"/>
    </w:lvlOverride>
  </w:num>
  <w:num w:numId="10" w16cid:durableId="717052348">
    <w:abstractNumId w:val="7"/>
  </w:num>
  <w:num w:numId="11" w16cid:durableId="1725181794">
    <w:abstractNumId w:val="7"/>
    <w:lvlOverride w:ilvl="0">
      <w:startOverride w:val="1"/>
    </w:lvlOverride>
  </w:num>
  <w:num w:numId="12" w16cid:durableId="1900091602">
    <w:abstractNumId w:val="7"/>
  </w:num>
  <w:num w:numId="13" w16cid:durableId="1308243491">
    <w:abstractNumId w:val="7"/>
    <w:lvlOverride w:ilvl="0">
      <w:startOverride w:val="1"/>
    </w:lvlOverride>
  </w:num>
  <w:num w:numId="14" w16cid:durableId="94206525">
    <w:abstractNumId w:val="7"/>
  </w:num>
  <w:num w:numId="15" w16cid:durableId="1881285755">
    <w:abstractNumId w:val="7"/>
  </w:num>
  <w:num w:numId="16" w16cid:durableId="455175334">
    <w:abstractNumId w:val="7"/>
  </w:num>
  <w:num w:numId="17" w16cid:durableId="990910409">
    <w:abstractNumId w:val="7"/>
  </w:num>
  <w:num w:numId="18" w16cid:durableId="679355435">
    <w:abstractNumId w:val="7"/>
  </w:num>
  <w:num w:numId="19" w16cid:durableId="1122531538">
    <w:abstractNumId w:val="6"/>
  </w:num>
  <w:num w:numId="20" w16cid:durableId="1443957130">
    <w:abstractNumId w:val="0"/>
  </w:num>
  <w:num w:numId="21" w16cid:durableId="1798835454">
    <w:abstractNumId w:val="7"/>
    <w:lvlOverride w:ilvl="0">
      <w:startOverride w:val="1"/>
    </w:lvlOverride>
  </w:num>
  <w:num w:numId="22" w16cid:durableId="1353727221">
    <w:abstractNumId w:val="7"/>
  </w:num>
  <w:num w:numId="23" w16cid:durableId="551618854">
    <w:abstractNumId w:val="2"/>
  </w:num>
  <w:num w:numId="24" w16cid:durableId="1986466935">
    <w:abstractNumId w:val="7"/>
  </w:num>
  <w:num w:numId="25" w16cid:durableId="1378168370">
    <w:abstractNumId w:val="7"/>
    <w:lvlOverride w:ilvl="0">
      <w:startOverride w:val="1"/>
    </w:lvlOverride>
  </w:num>
  <w:num w:numId="26" w16cid:durableId="1087074440">
    <w:abstractNumId w:val="7"/>
  </w:num>
  <w:num w:numId="27" w16cid:durableId="1641959419">
    <w:abstractNumId w:val="7"/>
    <w:lvlOverride w:ilvl="0">
      <w:startOverride w:val="1"/>
    </w:lvlOverride>
  </w:num>
  <w:num w:numId="28" w16cid:durableId="596212818">
    <w:abstractNumId w:val="7"/>
  </w:num>
  <w:num w:numId="29" w16cid:durableId="1282614378">
    <w:abstractNumId w:val="7"/>
  </w:num>
  <w:num w:numId="30" w16cid:durableId="1139155036">
    <w:abstractNumId w:val="8"/>
  </w:num>
  <w:num w:numId="31" w16cid:durableId="492986552">
    <w:abstractNumId w:val="3"/>
  </w:num>
  <w:num w:numId="32" w16cid:durableId="27025157">
    <w:abstractNumId w:val="4"/>
  </w:num>
  <w:num w:numId="33" w16cid:durableId="184643158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voy, Emmanuelle">
    <w15:presenceInfo w15:providerId="AD" w15:userId="S::emmanuelle.javoy@symbioticsgroup.com::acc8b830-30b1-4570-8b7a-6044a6d200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C28"/>
    <w:rsid w:val="0000316B"/>
    <w:rsid w:val="000063FD"/>
    <w:rsid w:val="00014DD4"/>
    <w:rsid w:val="00017BC5"/>
    <w:rsid w:val="00021AAC"/>
    <w:rsid w:val="0002440D"/>
    <w:rsid w:val="00042556"/>
    <w:rsid w:val="00042DC8"/>
    <w:rsid w:val="00043D1E"/>
    <w:rsid w:val="00044B98"/>
    <w:rsid w:val="00054F1C"/>
    <w:rsid w:val="00056ABA"/>
    <w:rsid w:val="000603E8"/>
    <w:rsid w:val="000625E4"/>
    <w:rsid w:val="000650D1"/>
    <w:rsid w:val="00075F6D"/>
    <w:rsid w:val="000760BD"/>
    <w:rsid w:val="000769B3"/>
    <w:rsid w:val="000773A9"/>
    <w:rsid w:val="00084BFD"/>
    <w:rsid w:val="000905D8"/>
    <w:rsid w:val="00092BCB"/>
    <w:rsid w:val="000A067E"/>
    <w:rsid w:val="000A4355"/>
    <w:rsid w:val="000B2078"/>
    <w:rsid w:val="000B2E13"/>
    <w:rsid w:val="000B5375"/>
    <w:rsid w:val="000B769B"/>
    <w:rsid w:val="000E26C5"/>
    <w:rsid w:val="000E3BEA"/>
    <w:rsid w:val="000E408F"/>
    <w:rsid w:val="000E4458"/>
    <w:rsid w:val="000E4F0E"/>
    <w:rsid w:val="000F0B94"/>
    <w:rsid w:val="000F4567"/>
    <w:rsid w:val="00103E0A"/>
    <w:rsid w:val="0011481D"/>
    <w:rsid w:val="00121C33"/>
    <w:rsid w:val="00130772"/>
    <w:rsid w:val="00133374"/>
    <w:rsid w:val="00135318"/>
    <w:rsid w:val="00142D21"/>
    <w:rsid w:val="0014479C"/>
    <w:rsid w:val="00144851"/>
    <w:rsid w:val="001501AA"/>
    <w:rsid w:val="00154736"/>
    <w:rsid w:val="0016482E"/>
    <w:rsid w:val="00165A17"/>
    <w:rsid w:val="00173639"/>
    <w:rsid w:val="001763FA"/>
    <w:rsid w:val="0017643D"/>
    <w:rsid w:val="0017665D"/>
    <w:rsid w:val="00176D46"/>
    <w:rsid w:val="00183CC0"/>
    <w:rsid w:val="001844C2"/>
    <w:rsid w:val="00185F74"/>
    <w:rsid w:val="00190647"/>
    <w:rsid w:val="0019479C"/>
    <w:rsid w:val="001969D2"/>
    <w:rsid w:val="001A04E5"/>
    <w:rsid w:val="001A2E25"/>
    <w:rsid w:val="001C17A0"/>
    <w:rsid w:val="001C583C"/>
    <w:rsid w:val="001E67E5"/>
    <w:rsid w:val="001F4994"/>
    <w:rsid w:val="00200E6A"/>
    <w:rsid w:val="0020171F"/>
    <w:rsid w:val="00220643"/>
    <w:rsid w:val="00223BC4"/>
    <w:rsid w:val="00223F5A"/>
    <w:rsid w:val="00236191"/>
    <w:rsid w:val="002379B4"/>
    <w:rsid w:val="0024124D"/>
    <w:rsid w:val="002503AA"/>
    <w:rsid w:val="0025058C"/>
    <w:rsid w:val="002526D1"/>
    <w:rsid w:val="00253E08"/>
    <w:rsid w:val="00254FC6"/>
    <w:rsid w:val="00265F04"/>
    <w:rsid w:val="002679D0"/>
    <w:rsid w:val="002722E5"/>
    <w:rsid w:val="00280939"/>
    <w:rsid w:val="00284FB2"/>
    <w:rsid w:val="00286D80"/>
    <w:rsid w:val="002946E2"/>
    <w:rsid w:val="002A0F93"/>
    <w:rsid w:val="002A3577"/>
    <w:rsid w:val="002B0205"/>
    <w:rsid w:val="002B2367"/>
    <w:rsid w:val="002B3126"/>
    <w:rsid w:val="002B56FF"/>
    <w:rsid w:val="002B64E5"/>
    <w:rsid w:val="002C1269"/>
    <w:rsid w:val="002C2526"/>
    <w:rsid w:val="002D2B0C"/>
    <w:rsid w:val="002D3461"/>
    <w:rsid w:val="002E387A"/>
    <w:rsid w:val="002F137E"/>
    <w:rsid w:val="002F13F9"/>
    <w:rsid w:val="00307951"/>
    <w:rsid w:val="00311CDD"/>
    <w:rsid w:val="00320C0E"/>
    <w:rsid w:val="00322779"/>
    <w:rsid w:val="00325592"/>
    <w:rsid w:val="00331771"/>
    <w:rsid w:val="0033346D"/>
    <w:rsid w:val="00334DF1"/>
    <w:rsid w:val="00340BAD"/>
    <w:rsid w:val="00351108"/>
    <w:rsid w:val="00353BA2"/>
    <w:rsid w:val="00362982"/>
    <w:rsid w:val="003726FB"/>
    <w:rsid w:val="00373CDE"/>
    <w:rsid w:val="00380CBD"/>
    <w:rsid w:val="00387352"/>
    <w:rsid w:val="003908D6"/>
    <w:rsid w:val="00391D4F"/>
    <w:rsid w:val="00395E08"/>
    <w:rsid w:val="003A56FB"/>
    <w:rsid w:val="003B1B15"/>
    <w:rsid w:val="003B222D"/>
    <w:rsid w:val="003C160F"/>
    <w:rsid w:val="003D2BEF"/>
    <w:rsid w:val="00404C3F"/>
    <w:rsid w:val="0040799D"/>
    <w:rsid w:val="00412327"/>
    <w:rsid w:val="00412A5C"/>
    <w:rsid w:val="00416EDC"/>
    <w:rsid w:val="00430F80"/>
    <w:rsid w:val="00431DED"/>
    <w:rsid w:val="00434573"/>
    <w:rsid w:val="00434F07"/>
    <w:rsid w:val="00440A8D"/>
    <w:rsid w:val="004669B9"/>
    <w:rsid w:val="0047452F"/>
    <w:rsid w:val="0048014D"/>
    <w:rsid w:val="00480F09"/>
    <w:rsid w:val="0048167E"/>
    <w:rsid w:val="00482385"/>
    <w:rsid w:val="00491350"/>
    <w:rsid w:val="004B5943"/>
    <w:rsid w:val="004C2E2C"/>
    <w:rsid w:val="004E110F"/>
    <w:rsid w:val="004E2CBB"/>
    <w:rsid w:val="004F2EB9"/>
    <w:rsid w:val="004F4E14"/>
    <w:rsid w:val="004F6E4A"/>
    <w:rsid w:val="00500355"/>
    <w:rsid w:val="00521366"/>
    <w:rsid w:val="00523DF9"/>
    <w:rsid w:val="005244E2"/>
    <w:rsid w:val="005407B9"/>
    <w:rsid w:val="00540DCF"/>
    <w:rsid w:val="00545797"/>
    <w:rsid w:val="00545ED9"/>
    <w:rsid w:val="00546CD1"/>
    <w:rsid w:val="005631F0"/>
    <w:rsid w:val="00563FB2"/>
    <w:rsid w:val="0056439B"/>
    <w:rsid w:val="005661BD"/>
    <w:rsid w:val="00567019"/>
    <w:rsid w:val="00567987"/>
    <w:rsid w:val="00572EBF"/>
    <w:rsid w:val="00585B30"/>
    <w:rsid w:val="00587B84"/>
    <w:rsid w:val="00591B71"/>
    <w:rsid w:val="00592152"/>
    <w:rsid w:val="00593EF9"/>
    <w:rsid w:val="005A04EF"/>
    <w:rsid w:val="005A455C"/>
    <w:rsid w:val="005B3159"/>
    <w:rsid w:val="005B42E0"/>
    <w:rsid w:val="005B5048"/>
    <w:rsid w:val="005C04D3"/>
    <w:rsid w:val="005C0D19"/>
    <w:rsid w:val="005C536A"/>
    <w:rsid w:val="005F406B"/>
    <w:rsid w:val="00603B4A"/>
    <w:rsid w:val="00606B47"/>
    <w:rsid w:val="0061699D"/>
    <w:rsid w:val="00620185"/>
    <w:rsid w:val="0062277A"/>
    <w:rsid w:val="00645962"/>
    <w:rsid w:val="006459BD"/>
    <w:rsid w:val="0065359D"/>
    <w:rsid w:val="00662F73"/>
    <w:rsid w:val="006762E4"/>
    <w:rsid w:val="006803A9"/>
    <w:rsid w:val="006860AE"/>
    <w:rsid w:val="00686FB0"/>
    <w:rsid w:val="006947BB"/>
    <w:rsid w:val="006A5DF2"/>
    <w:rsid w:val="006B25B0"/>
    <w:rsid w:val="006D113A"/>
    <w:rsid w:val="006D1727"/>
    <w:rsid w:val="006F3275"/>
    <w:rsid w:val="006F3C58"/>
    <w:rsid w:val="007046D4"/>
    <w:rsid w:val="00711778"/>
    <w:rsid w:val="00714920"/>
    <w:rsid w:val="0071659A"/>
    <w:rsid w:val="00717018"/>
    <w:rsid w:val="00732D0E"/>
    <w:rsid w:val="007367E8"/>
    <w:rsid w:val="00742194"/>
    <w:rsid w:val="00746089"/>
    <w:rsid w:val="007474FB"/>
    <w:rsid w:val="007803AD"/>
    <w:rsid w:val="0078348F"/>
    <w:rsid w:val="007876B1"/>
    <w:rsid w:val="00794935"/>
    <w:rsid w:val="00795CCA"/>
    <w:rsid w:val="0079608C"/>
    <w:rsid w:val="00796E46"/>
    <w:rsid w:val="007A2277"/>
    <w:rsid w:val="007A6D30"/>
    <w:rsid w:val="007B430A"/>
    <w:rsid w:val="007C1A32"/>
    <w:rsid w:val="007C6DDC"/>
    <w:rsid w:val="007E040A"/>
    <w:rsid w:val="007E45A8"/>
    <w:rsid w:val="007F1A90"/>
    <w:rsid w:val="007F54BC"/>
    <w:rsid w:val="007F56B6"/>
    <w:rsid w:val="007F5872"/>
    <w:rsid w:val="007F6FDD"/>
    <w:rsid w:val="00832C28"/>
    <w:rsid w:val="0084197E"/>
    <w:rsid w:val="008574E9"/>
    <w:rsid w:val="00857990"/>
    <w:rsid w:val="0086504B"/>
    <w:rsid w:val="00866547"/>
    <w:rsid w:val="00884FAC"/>
    <w:rsid w:val="0088522D"/>
    <w:rsid w:val="008865E1"/>
    <w:rsid w:val="00891A40"/>
    <w:rsid w:val="0089271C"/>
    <w:rsid w:val="008C01FF"/>
    <w:rsid w:val="008C4AA0"/>
    <w:rsid w:val="008D5DF6"/>
    <w:rsid w:val="008D7B38"/>
    <w:rsid w:val="008E1652"/>
    <w:rsid w:val="008E3D0A"/>
    <w:rsid w:val="008E7BB4"/>
    <w:rsid w:val="008F3BD8"/>
    <w:rsid w:val="008F48D3"/>
    <w:rsid w:val="0090076A"/>
    <w:rsid w:val="00901D7B"/>
    <w:rsid w:val="009058C7"/>
    <w:rsid w:val="009069F7"/>
    <w:rsid w:val="00912E1E"/>
    <w:rsid w:val="009257E8"/>
    <w:rsid w:val="00954FA4"/>
    <w:rsid w:val="00967833"/>
    <w:rsid w:val="00987EFC"/>
    <w:rsid w:val="00990134"/>
    <w:rsid w:val="009903AB"/>
    <w:rsid w:val="00995C06"/>
    <w:rsid w:val="009973CF"/>
    <w:rsid w:val="009A7E26"/>
    <w:rsid w:val="009C137E"/>
    <w:rsid w:val="009C750C"/>
    <w:rsid w:val="009D4E6A"/>
    <w:rsid w:val="009F2733"/>
    <w:rsid w:val="00A1313B"/>
    <w:rsid w:val="00A76948"/>
    <w:rsid w:val="00A85E48"/>
    <w:rsid w:val="00A91BBF"/>
    <w:rsid w:val="00A93C15"/>
    <w:rsid w:val="00AA274F"/>
    <w:rsid w:val="00AA3825"/>
    <w:rsid w:val="00AA4224"/>
    <w:rsid w:val="00AB05E0"/>
    <w:rsid w:val="00AD2C6F"/>
    <w:rsid w:val="00AD336D"/>
    <w:rsid w:val="00AE1313"/>
    <w:rsid w:val="00AE1852"/>
    <w:rsid w:val="00AE1E6C"/>
    <w:rsid w:val="00B0481C"/>
    <w:rsid w:val="00B05605"/>
    <w:rsid w:val="00B2118A"/>
    <w:rsid w:val="00B25BEE"/>
    <w:rsid w:val="00B25E1B"/>
    <w:rsid w:val="00B30B12"/>
    <w:rsid w:val="00B41D75"/>
    <w:rsid w:val="00B45B48"/>
    <w:rsid w:val="00B4663D"/>
    <w:rsid w:val="00B53413"/>
    <w:rsid w:val="00B7356D"/>
    <w:rsid w:val="00B75751"/>
    <w:rsid w:val="00B82041"/>
    <w:rsid w:val="00B913DD"/>
    <w:rsid w:val="00B93ABF"/>
    <w:rsid w:val="00BC526E"/>
    <w:rsid w:val="00BD3707"/>
    <w:rsid w:val="00BF0954"/>
    <w:rsid w:val="00C07103"/>
    <w:rsid w:val="00C14076"/>
    <w:rsid w:val="00C22651"/>
    <w:rsid w:val="00C266E9"/>
    <w:rsid w:val="00C34A56"/>
    <w:rsid w:val="00C35F59"/>
    <w:rsid w:val="00C37012"/>
    <w:rsid w:val="00C376A0"/>
    <w:rsid w:val="00C53DAA"/>
    <w:rsid w:val="00C54F19"/>
    <w:rsid w:val="00C60560"/>
    <w:rsid w:val="00C67EEA"/>
    <w:rsid w:val="00C75DB0"/>
    <w:rsid w:val="00C876EA"/>
    <w:rsid w:val="00C9116E"/>
    <w:rsid w:val="00C966F4"/>
    <w:rsid w:val="00CA73DD"/>
    <w:rsid w:val="00CC1A97"/>
    <w:rsid w:val="00CC3F30"/>
    <w:rsid w:val="00CD17AB"/>
    <w:rsid w:val="00CD6614"/>
    <w:rsid w:val="00CD7527"/>
    <w:rsid w:val="00CE027B"/>
    <w:rsid w:val="00CE1EA4"/>
    <w:rsid w:val="00CE538A"/>
    <w:rsid w:val="00D01D01"/>
    <w:rsid w:val="00D03280"/>
    <w:rsid w:val="00D121D3"/>
    <w:rsid w:val="00D12586"/>
    <w:rsid w:val="00D14D74"/>
    <w:rsid w:val="00D2331C"/>
    <w:rsid w:val="00D23B1B"/>
    <w:rsid w:val="00D25652"/>
    <w:rsid w:val="00D366B6"/>
    <w:rsid w:val="00D377B3"/>
    <w:rsid w:val="00D41D2F"/>
    <w:rsid w:val="00D45FC8"/>
    <w:rsid w:val="00D5219B"/>
    <w:rsid w:val="00D526D3"/>
    <w:rsid w:val="00D52E8B"/>
    <w:rsid w:val="00D65A9A"/>
    <w:rsid w:val="00D66AE2"/>
    <w:rsid w:val="00D93CE5"/>
    <w:rsid w:val="00D950CA"/>
    <w:rsid w:val="00DA0EA0"/>
    <w:rsid w:val="00DB0608"/>
    <w:rsid w:val="00DB0C9E"/>
    <w:rsid w:val="00DE5FA4"/>
    <w:rsid w:val="00DF03B8"/>
    <w:rsid w:val="00DF588E"/>
    <w:rsid w:val="00E13BC9"/>
    <w:rsid w:val="00E15F52"/>
    <w:rsid w:val="00E22535"/>
    <w:rsid w:val="00E52B01"/>
    <w:rsid w:val="00E53AFF"/>
    <w:rsid w:val="00E57EB3"/>
    <w:rsid w:val="00E808DD"/>
    <w:rsid w:val="00E80A4D"/>
    <w:rsid w:val="00E81A0A"/>
    <w:rsid w:val="00E82F76"/>
    <w:rsid w:val="00E850D8"/>
    <w:rsid w:val="00E9358E"/>
    <w:rsid w:val="00E936D7"/>
    <w:rsid w:val="00E95345"/>
    <w:rsid w:val="00EB5581"/>
    <w:rsid w:val="00EB6B06"/>
    <w:rsid w:val="00EC3391"/>
    <w:rsid w:val="00EE0D3B"/>
    <w:rsid w:val="00EE56E5"/>
    <w:rsid w:val="00EF46D5"/>
    <w:rsid w:val="00F012B9"/>
    <w:rsid w:val="00F104C5"/>
    <w:rsid w:val="00F156E5"/>
    <w:rsid w:val="00F271C2"/>
    <w:rsid w:val="00F3684B"/>
    <w:rsid w:val="00F42906"/>
    <w:rsid w:val="00F50861"/>
    <w:rsid w:val="00F51474"/>
    <w:rsid w:val="00F566A2"/>
    <w:rsid w:val="00F74C37"/>
    <w:rsid w:val="00F769BB"/>
    <w:rsid w:val="00F81A8B"/>
    <w:rsid w:val="00F8665C"/>
    <w:rsid w:val="00F87A27"/>
    <w:rsid w:val="00F92043"/>
    <w:rsid w:val="00F95120"/>
    <w:rsid w:val="00F96B22"/>
    <w:rsid w:val="00FA31DD"/>
    <w:rsid w:val="00FB5919"/>
    <w:rsid w:val="00FB5B89"/>
    <w:rsid w:val="00FC1466"/>
    <w:rsid w:val="00FC2372"/>
    <w:rsid w:val="00FC786D"/>
    <w:rsid w:val="00FE3095"/>
    <w:rsid w:val="00FF7A1B"/>
    <w:rsid w:val="011D6D64"/>
    <w:rsid w:val="0A80F022"/>
    <w:rsid w:val="1998069F"/>
    <w:rsid w:val="25CE7C39"/>
    <w:rsid w:val="2AFE136F"/>
    <w:rsid w:val="2C38486D"/>
    <w:rsid w:val="3F0D562D"/>
    <w:rsid w:val="59D60A61"/>
    <w:rsid w:val="6412D23B"/>
    <w:rsid w:val="6653B27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8CAB6"/>
  <w15:chartTrackingRefBased/>
  <w15:docId w15:val="{86CA230A-FCAF-42C5-98F5-A8EDCBDC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526"/>
  </w:style>
  <w:style w:type="paragraph" w:styleId="Heading1">
    <w:name w:val="heading 1"/>
    <w:basedOn w:val="Normal"/>
    <w:next w:val="Normal"/>
    <w:link w:val="Heading1Char"/>
    <w:uiPriority w:val="9"/>
    <w:qFormat/>
    <w:rsid w:val="00B30B12"/>
    <w:pPr>
      <w:keepNext/>
      <w:keepLines/>
      <w:numPr>
        <w:numId w:val="3"/>
      </w:numPr>
      <w:spacing w:before="240" w:after="120"/>
      <w:outlineLvl w:val="0"/>
    </w:pPr>
    <w:rPr>
      <w:rFonts w:asciiTheme="majorHAnsi" w:eastAsiaTheme="majorEastAsia" w:hAnsiTheme="majorHAnsi" w:cstheme="majorBidi"/>
      <w:color w:val="5F1B1D" w:themeColor="accent1" w:themeShade="BF"/>
      <w:sz w:val="28"/>
      <w:szCs w:val="32"/>
    </w:rPr>
  </w:style>
  <w:style w:type="paragraph" w:styleId="Heading2">
    <w:name w:val="heading 2"/>
    <w:basedOn w:val="Normal"/>
    <w:next w:val="Normal"/>
    <w:link w:val="Heading2Char"/>
    <w:uiPriority w:val="9"/>
    <w:unhideWhenUsed/>
    <w:qFormat/>
    <w:rsid w:val="009C137E"/>
    <w:pPr>
      <w:keepNext/>
      <w:keepLines/>
      <w:spacing w:before="40" w:after="0"/>
      <w:outlineLvl w:val="1"/>
    </w:pPr>
    <w:rPr>
      <w:rFonts w:asciiTheme="majorHAnsi" w:eastAsiaTheme="majorEastAsia" w:hAnsiTheme="majorHAnsi" w:cstheme="majorBidi"/>
      <w:color w:val="5F1B1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12"/>
    <w:rPr>
      <w:rFonts w:asciiTheme="majorHAnsi" w:eastAsiaTheme="majorEastAsia" w:hAnsiTheme="majorHAnsi" w:cstheme="majorBidi"/>
      <w:color w:val="5F1B1D" w:themeColor="accent1" w:themeShade="BF"/>
      <w:sz w:val="28"/>
      <w:szCs w:val="32"/>
    </w:rPr>
  </w:style>
  <w:style w:type="paragraph" w:styleId="Title">
    <w:name w:val="Title"/>
    <w:basedOn w:val="Normal"/>
    <w:next w:val="Normal"/>
    <w:link w:val="TitleChar"/>
    <w:uiPriority w:val="10"/>
    <w:qFormat/>
    <w:rsid w:val="00832C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2C28"/>
    <w:rPr>
      <w:rFonts w:asciiTheme="majorHAnsi" w:eastAsiaTheme="majorEastAsia" w:hAnsiTheme="majorHAnsi" w:cstheme="majorBidi"/>
      <w:spacing w:val="-10"/>
      <w:kern w:val="28"/>
      <w:sz w:val="56"/>
      <w:szCs w:val="56"/>
    </w:rPr>
  </w:style>
  <w:style w:type="character" w:styleId="SubtleReference">
    <w:name w:val="Subtle Reference"/>
    <w:basedOn w:val="DefaultParagraphFont"/>
    <w:uiPriority w:val="31"/>
    <w:qFormat/>
    <w:rsid w:val="00832C28"/>
    <w:rPr>
      <w:smallCaps/>
      <w:color w:val="5A5A5A" w:themeColor="text1" w:themeTint="A5"/>
    </w:rPr>
  </w:style>
  <w:style w:type="character" w:styleId="IntenseReference">
    <w:name w:val="Intense Reference"/>
    <w:basedOn w:val="DefaultParagraphFont"/>
    <w:uiPriority w:val="32"/>
    <w:qFormat/>
    <w:rsid w:val="00832C28"/>
    <w:rPr>
      <w:b/>
      <w:bCs/>
      <w:smallCaps/>
      <w:color w:val="802428" w:themeColor="accent1"/>
      <w:spacing w:val="5"/>
    </w:rPr>
  </w:style>
  <w:style w:type="paragraph" w:styleId="Revision">
    <w:name w:val="Revision"/>
    <w:hidden/>
    <w:uiPriority w:val="99"/>
    <w:semiHidden/>
    <w:rsid w:val="00832C28"/>
    <w:pPr>
      <w:spacing w:after="0" w:line="240" w:lineRule="auto"/>
    </w:pPr>
  </w:style>
  <w:style w:type="paragraph" w:styleId="ListParagraph">
    <w:name w:val="List Paragraph"/>
    <w:basedOn w:val="Normal"/>
    <w:uiPriority w:val="34"/>
    <w:qFormat/>
    <w:rsid w:val="00C67EEA"/>
    <w:pPr>
      <w:ind w:left="720"/>
      <w:contextualSpacing/>
    </w:pPr>
  </w:style>
  <w:style w:type="character" w:styleId="CommentReference">
    <w:name w:val="annotation reference"/>
    <w:basedOn w:val="DefaultParagraphFont"/>
    <w:uiPriority w:val="99"/>
    <w:semiHidden/>
    <w:unhideWhenUsed/>
    <w:rsid w:val="00C67EEA"/>
    <w:rPr>
      <w:sz w:val="16"/>
      <w:szCs w:val="16"/>
    </w:rPr>
  </w:style>
  <w:style w:type="paragraph" w:styleId="CommentText">
    <w:name w:val="annotation text"/>
    <w:basedOn w:val="Normal"/>
    <w:link w:val="CommentTextChar"/>
    <w:uiPriority w:val="99"/>
    <w:unhideWhenUsed/>
    <w:rsid w:val="00C67EEA"/>
    <w:pPr>
      <w:spacing w:line="240" w:lineRule="auto"/>
    </w:pPr>
    <w:rPr>
      <w:sz w:val="20"/>
      <w:szCs w:val="20"/>
    </w:rPr>
  </w:style>
  <w:style w:type="character" w:customStyle="1" w:styleId="CommentTextChar">
    <w:name w:val="Comment Text Char"/>
    <w:basedOn w:val="DefaultParagraphFont"/>
    <w:link w:val="CommentText"/>
    <w:uiPriority w:val="99"/>
    <w:rsid w:val="00C67EEA"/>
    <w:rPr>
      <w:sz w:val="20"/>
      <w:szCs w:val="20"/>
    </w:rPr>
  </w:style>
  <w:style w:type="paragraph" w:styleId="CommentSubject">
    <w:name w:val="annotation subject"/>
    <w:basedOn w:val="CommentText"/>
    <w:next w:val="CommentText"/>
    <w:link w:val="CommentSubjectChar"/>
    <w:uiPriority w:val="99"/>
    <w:semiHidden/>
    <w:unhideWhenUsed/>
    <w:rsid w:val="00C67EEA"/>
    <w:rPr>
      <w:b/>
      <w:bCs/>
    </w:rPr>
  </w:style>
  <w:style w:type="character" w:customStyle="1" w:styleId="CommentSubjectChar">
    <w:name w:val="Comment Subject Char"/>
    <w:basedOn w:val="CommentTextChar"/>
    <w:link w:val="CommentSubject"/>
    <w:uiPriority w:val="99"/>
    <w:semiHidden/>
    <w:rsid w:val="00C67EEA"/>
    <w:rPr>
      <w:b/>
      <w:bCs/>
      <w:sz w:val="20"/>
      <w:szCs w:val="20"/>
    </w:rPr>
  </w:style>
  <w:style w:type="character" w:styleId="Strong">
    <w:name w:val="Strong"/>
    <w:basedOn w:val="DefaultParagraphFont"/>
    <w:uiPriority w:val="22"/>
    <w:qFormat/>
    <w:rsid w:val="00EB6B06"/>
    <w:rPr>
      <w:b/>
      <w:bCs/>
    </w:rPr>
  </w:style>
  <w:style w:type="table" w:styleId="PlainTable5">
    <w:name w:val="Plain Table 5"/>
    <w:basedOn w:val="TableNormal"/>
    <w:uiPriority w:val="45"/>
    <w:rsid w:val="004C2E2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4C2E2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Subtitle">
    <w:name w:val="Subtitle"/>
    <w:basedOn w:val="Normal"/>
    <w:next w:val="Normal"/>
    <w:link w:val="SubtitleChar"/>
    <w:uiPriority w:val="11"/>
    <w:qFormat/>
    <w:rsid w:val="008574E9"/>
    <w:pPr>
      <w:numPr>
        <w:ilvl w:val="1"/>
      </w:numPr>
    </w:pPr>
    <w:rPr>
      <w:rFonts w:eastAsiaTheme="minorEastAsia"/>
      <w:color w:val="5A5A5A" w:themeColor="text1" w:themeTint="A5"/>
      <w:spacing w:val="15"/>
      <w:u w:val="single"/>
    </w:rPr>
  </w:style>
  <w:style w:type="character" w:customStyle="1" w:styleId="SubtitleChar">
    <w:name w:val="Subtitle Char"/>
    <w:basedOn w:val="DefaultParagraphFont"/>
    <w:link w:val="Subtitle"/>
    <w:uiPriority w:val="11"/>
    <w:rsid w:val="008574E9"/>
    <w:rPr>
      <w:rFonts w:eastAsiaTheme="minorEastAsia"/>
      <w:color w:val="5A5A5A" w:themeColor="text1" w:themeTint="A5"/>
      <w:spacing w:val="15"/>
      <w:u w:val="single"/>
    </w:rPr>
  </w:style>
  <w:style w:type="paragraph" w:styleId="TOC1">
    <w:name w:val="toc 1"/>
    <w:basedOn w:val="Normal"/>
    <w:next w:val="Normal"/>
    <w:autoRedefine/>
    <w:uiPriority w:val="39"/>
    <w:unhideWhenUsed/>
    <w:rsid w:val="00353BA2"/>
    <w:pPr>
      <w:tabs>
        <w:tab w:val="left" w:pos="440"/>
        <w:tab w:val="right" w:leader="dot" w:pos="9016"/>
      </w:tabs>
      <w:spacing w:after="100"/>
    </w:pPr>
  </w:style>
  <w:style w:type="character" w:styleId="Hyperlink">
    <w:name w:val="Hyperlink"/>
    <w:basedOn w:val="DefaultParagraphFont"/>
    <w:uiPriority w:val="99"/>
    <w:unhideWhenUsed/>
    <w:rsid w:val="00434573"/>
    <w:rPr>
      <w:color w:val="FF9C00" w:themeColor="hyperlink"/>
      <w:u w:val="single"/>
    </w:rPr>
  </w:style>
  <w:style w:type="character" w:customStyle="1" w:styleId="Heading2Char">
    <w:name w:val="Heading 2 Char"/>
    <w:basedOn w:val="DefaultParagraphFont"/>
    <w:link w:val="Heading2"/>
    <w:uiPriority w:val="9"/>
    <w:rsid w:val="009C137E"/>
    <w:rPr>
      <w:rFonts w:asciiTheme="majorHAnsi" w:eastAsiaTheme="majorEastAsia" w:hAnsiTheme="majorHAnsi" w:cstheme="majorBidi"/>
      <w:color w:val="5F1B1D" w:themeColor="accent1" w:themeShade="BF"/>
      <w:sz w:val="26"/>
      <w:szCs w:val="26"/>
    </w:rPr>
  </w:style>
  <w:style w:type="paragraph" w:styleId="FootnoteText">
    <w:name w:val="footnote text"/>
    <w:basedOn w:val="Normal"/>
    <w:link w:val="FootnoteTextChar"/>
    <w:uiPriority w:val="99"/>
    <w:semiHidden/>
    <w:unhideWhenUsed/>
    <w:rsid w:val="007C6D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6DDC"/>
    <w:rPr>
      <w:sz w:val="20"/>
      <w:szCs w:val="20"/>
    </w:rPr>
  </w:style>
  <w:style w:type="character" w:styleId="FootnoteReference">
    <w:name w:val="footnote reference"/>
    <w:basedOn w:val="DefaultParagraphFont"/>
    <w:uiPriority w:val="99"/>
    <w:semiHidden/>
    <w:unhideWhenUsed/>
    <w:rsid w:val="007C6DDC"/>
    <w:rPr>
      <w:vertAlign w:val="superscript"/>
    </w:rPr>
  </w:style>
  <w:style w:type="table" w:styleId="TableGrid">
    <w:name w:val="Table Grid"/>
    <w:basedOn w:val="TableNormal"/>
    <w:uiPriority w:val="39"/>
    <w:rsid w:val="00D23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C01FF"/>
    <w:pPr>
      <w:numPr>
        <w:numId w:val="0"/>
      </w:numPr>
      <w:outlineLvl w:val="9"/>
    </w:pPr>
    <w:rPr>
      <w:sz w:val="32"/>
      <w:lang w:val="en-US"/>
    </w:rPr>
  </w:style>
  <w:style w:type="character" w:styleId="Mention">
    <w:name w:val="Mention"/>
    <w:basedOn w:val="DefaultParagraphFont"/>
    <w:uiPriority w:val="99"/>
    <w:unhideWhenUsed/>
    <w:rsid w:val="0011481D"/>
    <w:rPr>
      <w:color w:val="2B579A"/>
      <w:shd w:val="clear" w:color="auto" w:fill="E1DFDD"/>
    </w:rPr>
  </w:style>
  <w:style w:type="character" w:styleId="UnresolvedMention">
    <w:name w:val="Unresolved Mention"/>
    <w:basedOn w:val="DefaultParagraphFont"/>
    <w:uiPriority w:val="99"/>
    <w:semiHidden/>
    <w:unhideWhenUsed/>
    <w:rsid w:val="00311CDD"/>
    <w:rPr>
      <w:color w:val="605E5C"/>
      <w:shd w:val="clear" w:color="auto" w:fill="E1DFDD"/>
    </w:rPr>
  </w:style>
  <w:style w:type="paragraph" w:styleId="Header">
    <w:name w:val="header"/>
    <w:basedOn w:val="Normal"/>
    <w:link w:val="HeaderChar"/>
    <w:uiPriority w:val="99"/>
    <w:semiHidden/>
    <w:unhideWhenUsed/>
    <w:rsid w:val="004B59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5943"/>
  </w:style>
  <w:style w:type="paragraph" w:styleId="Footer">
    <w:name w:val="footer"/>
    <w:basedOn w:val="Normal"/>
    <w:link w:val="FooterChar"/>
    <w:uiPriority w:val="99"/>
    <w:semiHidden/>
    <w:unhideWhenUsed/>
    <w:rsid w:val="004B594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B5943"/>
  </w:style>
  <w:style w:type="paragraph" w:styleId="TOC2">
    <w:name w:val="toc 2"/>
    <w:basedOn w:val="Normal"/>
    <w:next w:val="Normal"/>
    <w:autoRedefine/>
    <w:uiPriority w:val="39"/>
    <w:unhideWhenUsed/>
    <w:rsid w:val="0025058C"/>
    <w:pPr>
      <w:spacing w:after="100"/>
      <w:ind w:left="220"/>
    </w:pPr>
  </w:style>
  <w:style w:type="paragraph" w:customStyle="1" w:styleId="oj-ti-art">
    <w:name w:val="oj-ti-art"/>
    <w:basedOn w:val="Normal"/>
    <w:rsid w:val="002526D1"/>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customStyle="1" w:styleId="oj-sti-art">
    <w:name w:val="oj-sti-art"/>
    <w:basedOn w:val="Normal"/>
    <w:rsid w:val="002526D1"/>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customStyle="1" w:styleId="oj-normal">
    <w:name w:val="oj-normal"/>
    <w:basedOn w:val="Normal"/>
    <w:rsid w:val="002526D1"/>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styleId="NoSpacing">
    <w:name w:val="No Spacing"/>
    <w:uiPriority w:val="1"/>
    <w:qFormat/>
    <w:rsid w:val="00B2118A"/>
    <w:pPr>
      <w:spacing w:after="0" w:line="240" w:lineRule="auto"/>
    </w:pPr>
    <w:rPr>
      <w:lang w:val="nl-NL"/>
    </w:rPr>
  </w:style>
  <w:style w:type="character" w:customStyle="1" w:styleId="cf01">
    <w:name w:val="cf01"/>
    <w:basedOn w:val="DefaultParagraphFont"/>
    <w:rsid w:val="00B2118A"/>
    <w:rPr>
      <w:rFonts w:ascii="Segoe UI" w:hAnsi="Segoe UI" w:cs="Segoe UI" w:hint="default"/>
      <w:sz w:val="18"/>
      <w:szCs w:val="18"/>
    </w:rPr>
  </w:style>
  <w:style w:type="character" w:styleId="FollowedHyperlink">
    <w:name w:val="FollowedHyperlink"/>
    <w:basedOn w:val="DefaultParagraphFont"/>
    <w:uiPriority w:val="99"/>
    <w:semiHidden/>
    <w:unhideWhenUsed/>
    <w:rsid w:val="00CC1A97"/>
    <w:rPr>
      <w:color w:val="FF9C00" w:themeColor="followedHyperlink"/>
      <w:u w:val="single"/>
    </w:rPr>
  </w:style>
  <w:style w:type="character" w:customStyle="1" w:styleId="hgkelc">
    <w:name w:val="hgkelc"/>
    <w:basedOn w:val="DefaultParagraphFont"/>
    <w:rsid w:val="000B2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3795">
      <w:bodyDiv w:val="1"/>
      <w:marLeft w:val="0"/>
      <w:marRight w:val="0"/>
      <w:marTop w:val="0"/>
      <w:marBottom w:val="0"/>
      <w:divBdr>
        <w:top w:val="none" w:sz="0" w:space="0" w:color="auto"/>
        <w:left w:val="none" w:sz="0" w:space="0" w:color="auto"/>
        <w:bottom w:val="none" w:sz="0" w:space="0" w:color="auto"/>
        <w:right w:val="none" w:sz="0" w:space="0" w:color="auto"/>
      </w:divBdr>
    </w:div>
    <w:div w:id="312755534">
      <w:bodyDiv w:val="1"/>
      <w:marLeft w:val="0"/>
      <w:marRight w:val="0"/>
      <w:marTop w:val="0"/>
      <w:marBottom w:val="0"/>
      <w:divBdr>
        <w:top w:val="none" w:sz="0" w:space="0" w:color="auto"/>
        <w:left w:val="none" w:sz="0" w:space="0" w:color="auto"/>
        <w:bottom w:val="none" w:sz="0" w:space="0" w:color="auto"/>
        <w:right w:val="none" w:sz="0" w:space="0" w:color="auto"/>
      </w:divBdr>
    </w:div>
    <w:div w:id="424227230">
      <w:bodyDiv w:val="1"/>
      <w:marLeft w:val="0"/>
      <w:marRight w:val="0"/>
      <w:marTop w:val="0"/>
      <w:marBottom w:val="0"/>
      <w:divBdr>
        <w:top w:val="none" w:sz="0" w:space="0" w:color="auto"/>
        <w:left w:val="none" w:sz="0" w:space="0" w:color="auto"/>
        <w:bottom w:val="none" w:sz="0" w:space="0" w:color="auto"/>
        <w:right w:val="none" w:sz="0" w:space="0" w:color="auto"/>
      </w:divBdr>
    </w:div>
    <w:div w:id="1278487167">
      <w:bodyDiv w:val="1"/>
      <w:marLeft w:val="0"/>
      <w:marRight w:val="0"/>
      <w:marTop w:val="0"/>
      <w:marBottom w:val="0"/>
      <w:divBdr>
        <w:top w:val="none" w:sz="0" w:space="0" w:color="auto"/>
        <w:left w:val="none" w:sz="0" w:space="0" w:color="auto"/>
        <w:bottom w:val="none" w:sz="0" w:space="0" w:color="auto"/>
        <w:right w:val="none" w:sz="0" w:space="0" w:color="auto"/>
      </w:divBdr>
      <w:divsChild>
        <w:div w:id="1258520250">
          <w:marLeft w:val="0"/>
          <w:marRight w:val="0"/>
          <w:marTop w:val="0"/>
          <w:marBottom w:val="0"/>
          <w:divBdr>
            <w:top w:val="none" w:sz="0" w:space="0" w:color="auto"/>
            <w:left w:val="none" w:sz="0" w:space="0" w:color="auto"/>
            <w:bottom w:val="none" w:sz="0" w:space="0" w:color="auto"/>
            <w:right w:val="none" w:sz="0" w:space="0" w:color="auto"/>
          </w:divBdr>
        </w:div>
      </w:divsChild>
    </w:div>
    <w:div w:id="1281646632">
      <w:bodyDiv w:val="1"/>
      <w:marLeft w:val="0"/>
      <w:marRight w:val="0"/>
      <w:marTop w:val="0"/>
      <w:marBottom w:val="0"/>
      <w:divBdr>
        <w:top w:val="none" w:sz="0" w:space="0" w:color="auto"/>
        <w:left w:val="none" w:sz="0" w:space="0" w:color="auto"/>
        <w:bottom w:val="none" w:sz="0" w:space="0" w:color="auto"/>
        <w:right w:val="none" w:sz="0" w:space="0" w:color="auto"/>
      </w:divBdr>
    </w:div>
    <w:div w:id="2023776578">
      <w:bodyDiv w:val="1"/>
      <w:marLeft w:val="0"/>
      <w:marRight w:val="0"/>
      <w:marTop w:val="0"/>
      <w:marBottom w:val="0"/>
      <w:divBdr>
        <w:top w:val="none" w:sz="0" w:space="0" w:color="auto"/>
        <w:left w:val="none" w:sz="0" w:space="0" w:color="auto"/>
        <w:bottom w:val="none" w:sz="0" w:space="0" w:color="auto"/>
        <w:right w:val="none" w:sz="0" w:space="0" w:color="auto"/>
      </w:divBdr>
    </w:div>
    <w:div w:id="211158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triodos-im.com/press-releases/2023/press-release---new-investment-categorisation-system"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Symbiotics_Word-Excel_2021">
  <a:themeElements>
    <a:clrScheme name="Symbiotics_Color_Word-Excel">
      <a:dk1>
        <a:sysClr val="windowText" lastClr="000000"/>
      </a:dk1>
      <a:lt1>
        <a:sysClr val="window" lastClr="FFFFFF"/>
      </a:lt1>
      <a:dk2>
        <a:srgbClr val="BEC1C3"/>
      </a:dk2>
      <a:lt2>
        <a:srgbClr val="BEC1C3"/>
      </a:lt2>
      <a:accent1>
        <a:srgbClr val="802428"/>
      </a:accent1>
      <a:accent2>
        <a:srgbClr val="9F652A"/>
      </a:accent2>
      <a:accent3>
        <a:srgbClr val="38583C"/>
      </a:accent3>
      <a:accent4>
        <a:srgbClr val="00629B"/>
      </a:accent4>
      <a:accent5>
        <a:srgbClr val="435263"/>
      </a:accent5>
      <a:accent6>
        <a:srgbClr val="6C345E"/>
      </a:accent6>
      <a:hlink>
        <a:srgbClr val="FF9C00"/>
      </a:hlink>
      <a:folHlink>
        <a:srgbClr val="FF9C00"/>
      </a:folHlink>
    </a:clrScheme>
    <a:fontScheme name="Symbiotics_Fonts">
      <a:majorFont>
        <a:latin typeface="Corbel"/>
        <a:ea typeface=""/>
        <a:cs typeface=""/>
      </a:majorFont>
      <a:minorFont>
        <a:latin typeface="Corbe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924C4AEE9DA4B9EDF7597778D55CB" ma:contentTypeVersion="17" ma:contentTypeDescription="Create a new document." ma:contentTypeScope="" ma:versionID="0a44a839bd619557e0609fea0074210d">
  <xsd:schema xmlns:xsd="http://www.w3.org/2001/XMLSchema" xmlns:xs="http://www.w3.org/2001/XMLSchema" xmlns:p="http://schemas.microsoft.com/office/2006/metadata/properties" xmlns:ns2="2b31c3c7-0b4c-4cd2-b09c-9b7120d95810" xmlns:ns3="4ee98fbe-ccb1-4da8-a59b-4a5f0cb9373e" targetNamespace="http://schemas.microsoft.com/office/2006/metadata/properties" ma:root="true" ma:fieldsID="73345a0038887b17e56aff25ee217075" ns2:_="" ns3:_="">
    <xsd:import namespace="2b31c3c7-0b4c-4cd2-b09c-9b7120d95810"/>
    <xsd:import namespace="4ee98fbe-ccb1-4da8-a59b-4a5f0cb937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31c3c7-0b4c-4cd2-b09c-9b7120d958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1a7cac9-16b2-4e11-ae2a-b863c32e02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e98fbe-ccb1-4da8-a59b-4a5f0cb937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89490c9-8d8c-4af0-8879-cee5cb91076c}" ma:internalName="TaxCatchAll" ma:showField="CatchAllData" ma:web="4ee98fbe-ccb1-4da8-a59b-4a5f0cb937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4FE3B-8C27-4872-9161-8E6C1F512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31c3c7-0b4c-4cd2-b09c-9b7120d95810"/>
    <ds:schemaRef ds:uri="4ee98fbe-ccb1-4da8-a59b-4a5f0cb93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52E12E-54F5-4137-9C94-3F62E7A66623}">
  <ds:schemaRefs>
    <ds:schemaRef ds:uri="http://schemas.microsoft.com/sharepoint/v3/contenttype/forms"/>
  </ds:schemaRefs>
</ds:datastoreItem>
</file>

<file path=customXml/itemProps3.xml><?xml version="1.0" encoding="utf-8"?>
<ds:datastoreItem xmlns:ds="http://schemas.openxmlformats.org/officeDocument/2006/customXml" ds:itemID="{D86078D4-E59C-4BB6-9E09-236AD2AD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5628</Words>
  <Characters>32085</Characters>
  <Application>Microsoft Office Word</Application>
  <DocSecurity>0</DocSecurity>
  <Lines>267</Lines>
  <Paragraphs>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37638</CharactersWithSpaces>
  <SharedDoc>false</SharedDoc>
  <HLinks>
    <vt:vector size="102" baseType="variant">
      <vt:variant>
        <vt:i4>5177426</vt:i4>
      </vt:variant>
      <vt:variant>
        <vt:i4>186</vt:i4>
      </vt:variant>
      <vt:variant>
        <vt:i4>0</vt:i4>
      </vt:variant>
      <vt:variant>
        <vt:i4>5</vt:i4>
      </vt:variant>
      <vt:variant>
        <vt:lpwstr>https://www.eusmecentre.org.cn/wp-content/uploads/2022/12/SME-Definition.pdf</vt:lpwstr>
      </vt:variant>
      <vt:variant>
        <vt:lpwstr/>
      </vt:variant>
      <vt:variant>
        <vt:i4>1179698</vt:i4>
      </vt:variant>
      <vt:variant>
        <vt:i4>92</vt:i4>
      </vt:variant>
      <vt:variant>
        <vt:i4>0</vt:i4>
      </vt:variant>
      <vt:variant>
        <vt:i4>5</vt:i4>
      </vt:variant>
      <vt:variant>
        <vt:lpwstr/>
      </vt:variant>
      <vt:variant>
        <vt:lpwstr>_Toc152326357</vt:lpwstr>
      </vt:variant>
      <vt:variant>
        <vt:i4>1179698</vt:i4>
      </vt:variant>
      <vt:variant>
        <vt:i4>86</vt:i4>
      </vt:variant>
      <vt:variant>
        <vt:i4>0</vt:i4>
      </vt:variant>
      <vt:variant>
        <vt:i4>5</vt:i4>
      </vt:variant>
      <vt:variant>
        <vt:lpwstr/>
      </vt:variant>
      <vt:variant>
        <vt:lpwstr>_Toc152326356</vt:lpwstr>
      </vt:variant>
      <vt:variant>
        <vt:i4>1179698</vt:i4>
      </vt:variant>
      <vt:variant>
        <vt:i4>80</vt:i4>
      </vt:variant>
      <vt:variant>
        <vt:i4>0</vt:i4>
      </vt:variant>
      <vt:variant>
        <vt:i4>5</vt:i4>
      </vt:variant>
      <vt:variant>
        <vt:lpwstr/>
      </vt:variant>
      <vt:variant>
        <vt:lpwstr>_Toc152326355</vt:lpwstr>
      </vt:variant>
      <vt:variant>
        <vt:i4>1179698</vt:i4>
      </vt:variant>
      <vt:variant>
        <vt:i4>74</vt:i4>
      </vt:variant>
      <vt:variant>
        <vt:i4>0</vt:i4>
      </vt:variant>
      <vt:variant>
        <vt:i4>5</vt:i4>
      </vt:variant>
      <vt:variant>
        <vt:lpwstr/>
      </vt:variant>
      <vt:variant>
        <vt:lpwstr>_Toc152326354</vt:lpwstr>
      </vt:variant>
      <vt:variant>
        <vt:i4>1179698</vt:i4>
      </vt:variant>
      <vt:variant>
        <vt:i4>68</vt:i4>
      </vt:variant>
      <vt:variant>
        <vt:i4>0</vt:i4>
      </vt:variant>
      <vt:variant>
        <vt:i4>5</vt:i4>
      </vt:variant>
      <vt:variant>
        <vt:lpwstr/>
      </vt:variant>
      <vt:variant>
        <vt:lpwstr>_Toc152326353</vt:lpwstr>
      </vt:variant>
      <vt:variant>
        <vt:i4>1179698</vt:i4>
      </vt:variant>
      <vt:variant>
        <vt:i4>62</vt:i4>
      </vt:variant>
      <vt:variant>
        <vt:i4>0</vt:i4>
      </vt:variant>
      <vt:variant>
        <vt:i4>5</vt:i4>
      </vt:variant>
      <vt:variant>
        <vt:lpwstr/>
      </vt:variant>
      <vt:variant>
        <vt:lpwstr>_Toc152326352</vt:lpwstr>
      </vt:variant>
      <vt:variant>
        <vt:i4>1179698</vt:i4>
      </vt:variant>
      <vt:variant>
        <vt:i4>56</vt:i4>
      </vt:variant>
      <vt:variant>
        <vt:i4>0</vt:i4>
      </vt:variant>
      <vt:variant>
        <vt:i4>5</vt:i4>
      </vt:variant>
      <vt:variant>
        <vt:lpwstr/>
      </vt:variant>
      <vt:variant>
        <vt:lpwstr>_Toc152326350</vt:lpwstr>
      </vt:variant>
      <vt:variant>
        <vt:i4>1245234</vt:i4>
      </vt:variant>
      <vt:variant>
        <vt:i4>50</vt:i4>
      </vt:variant>
      <vt:variant>
        <vt:i4>0</vt:i4>
      </vt:variant>
      <vt:variant>
        <vt:i4>5</vt:i4>
      </vt:variant>
      <vt:variant>
        <vt:lpwstr/>
      </vt:variant>
      <vt:variant>
        <vt:lpwstr>_Toc152326349</vt:lpwstr>
      </vt:variant>
      <vt:variant>
        <vt:i4>1245234</vt:i4>
      </vt:variant>
      <vt:variant>
        <vt:i4>44</vt:i4>
      </vt:variant>
      <vt:variant>
        <vt:i4>0</vt:i4>
      </vt:variant>
      <vt:variant>
        <vt:i4>5</vt:i4>
      </vt:variant>
      <vt:variant>
        <vt:lpwstr/>
      </vt:variant>
      <vt:variant>
        <vt:lpwstr>_Toc152326348</vt:lpwstr>
      </vt:variant>
      <vt:variant>
        <vt:i4>1245234</vt:i4>
      </vt:variant>
      <vt:variant>
        <vt:i4>38</vt:i4>
      </vt:variant>
      <vt:variant>
        <vt:i4>0</vt:i4>
      </vt:variant>
      <vt:variant>
        <vt:i4>5</vt:i4>
      </vt:variant>
      <vt:variant>
        <vt:lpwstr/>
      </vt:variant>
      <vt:variant>
        <vt:lpwstr>_Toc152326347</vt:lpwstr>
      </vt:variant>
      <vt:variant>
        <vt:i4>1245234</vt:i4>
      </vt:variant>
      <vt:variant>
        <vt:i4>32</vt:i4>
      </vt:variant>
      <vt:variant>
        <vt:i4>0</vt:i4>
      </vt:variant>
      <vt:variant>
        <vt:i4>5</vt:i4>
      </vt:variant>
      <vt:variant>
        <vt:lpwstr/>
      </vt:variant>
      <vt:variant>
        <vt:lpwstr>_Toc152326346</vt:lpwstr>
      </vt:variant>
      <vt:variant>
        <vt:i4>1245234</vt:i4>
      </vt:variant>
      <vt:variant>
        <vt:i4>26</vt:i4>
      </vt:variant>
      <vt:variant>
        <vt:i4>0</vt:i4>
      </vt:variant>
      <vt:variant>
        <vt:i4>5</vt:i4>
      </vt:variant>
      <vt:variant>
        <vt:lpwstr/>
      </vt:variant>
      <vt:variant>
        <vt:lpwstr>_Toc152326345</vt:lpwstr>
      </vt:variant>
      <vt:variant>
        <vt:i4>1245234</vt:i4>
      </vt:variant>
      <vt:variant>
        <vt:i4>20</vt:i4>
      </vt:variant>
      <vt:variant>
        <vt:i4>0</vt:i4>
      </vt:variant>
      <vt:variant>
        <vt:i4>5</vt:i4>
      </vt:variant>
      <vt:variant>
        <vt:lpwstr/>
      </vt:variant>
      <vt:variant>
        <vt:lpwstr>_Toc152326344</vt:lpwstr>
      </vt:variant>
      <vt:variant>
        <vt:i4>1310770</vt:i4>
      </vt:variant>
      <vt:variant>
        <vt:i4>14</vt:i4>
      </vt:variant>
      <vt:variant>
        <vt:i4>0</vt:i4>
      </vt:variant>
      <vt:variant>
        <vt:i4>5</vt:i4>
      </vt:variant>
      <vt:variant>
        <vt:lpwstr/>
      </vt:variant>
      <vt:variant>
        <vt:lpwstr>_Toc152326331</vt:lpwstr>
      </vt:variant>
      <vt:variant>
        <vt:i4>1310770</vt:i4>
      </vt:variant>
      <vt:variant>
        <vt:i4>8</vt:i4>
      </vt:variant>
      <vt:variant>
        <vt:i4>0</vt:i4>
      </vt:variant>
      <vt:variant>
        <vt:i4>5</vt:i4>
      </vt:variant>
      <vt:variant>
        <vt:lpwstr/>
      </vt:variant>
      <vt:variant>
        <vt:lpwstr>_Toc152326330</vt:lpwstr>
      </vt:variant>
      <vt:variant>
        <vt:i4>1376306</vt:i4>
      </vt:variant>
      <vt:variant>
        <vt:i4>2</vt:i4>
      </vt:variant>
      <vt:variant>
        <vt:i4>0</vt:i4>
      </vt:variant>
      <vt:variant>
        <vt:i4>5</vt:i4>
      </vt:variant>
      <vt:variant>
        <vt:lpwstr/>
      </vt:variant>
      <vt:variant>
        <vt:lpwstr>_Toc152326329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Javoy, Emmanuelle</dc:creator>
  <cp:keywords/>
  <dc:description/>
  <cp:lastModifiedBy>Jurgen Hammer - SPTF</cp:lastModifiedBy>
  <cp:revision>2</cp:revision>
  <cp:lastPrinted>2023-12-08T14:40:00Z</cp:lastPrinted>
  <dcterms:created xsi:type="dcterms:W3CDTF">2023-12-13T23:07:00Z</dcterms:created>
  <dcterms:modified xsi:type="dcterms:W3CDTF">2023-12-13T23:07:00Z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987c36c4672d33b254be84e1e304a5a633cfb6776d9694a5b87108e5e9337224</vt:lpwstr>
  </property>
</Properties>
</file>