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0.0.0 -->
  <w:body>
    <w:p w:rsidR="00605E54" w:rsidRPr="00D5133F" w:rsidP="00010C75">
      <w:pPr>
        <w:widowControl/>
        <w:autoSpaceDE/>
        <w:autoSpaceDN/>
        <w:rPr>
          <w:rFonts w:eastAsia="Times New Roman" w:asciiTheme="minorHAnsi" w:hAnsiTheme="minorHAnsi" w:cstheme="minorHAnsi"/>
          <w:b/>
          <w:bCs/>
          <w:u w:val="single"/>
          <w14:ligatures w14:val="standardContextual"/>
        </w:rPr>
      </w:pPr>
      <w:r w:rsidRPr="00D5133F">
        <w:rPr>
          <w:rFonts w:eastAsia="Times New Roman" w:asciiTheme="minorHAnsi" w:hAnsiTheme="minorHAnsi" w:cstheme="minorHAnsi"/>
          <w:b/>
          <w:bCs/>
          <w:u w:val="single"/>
          <w14:ligatures w14:val="standardContextual"/>
        </w:rPr>
        <w:t>General remark concerning the above scoring questions:</w:t>
      </w:r>
    </w:p>
    <w:p w:rsidR="00605E54" w:rsidRPr="00D5133F" w:rsidP="00010C75">
      <w:pPr>
        <w:widowControl/>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 xml:space="preserve">Given that we had to find a </w:t>
      </w:r>
      <w:r w:rsidRPr="00D5133F">
        <w:rPr>
          <w:rFonts w:eastAsia="Times New Roman" w:asciiTheme="minorHAnsi" w:hAnsiTheme="minorHAnsi" w:cstheme="minorHAnsi"/>
          <w14:ligatures w14:val="standardContextual"/>
        </w:rPr>
        <w:t>“</w:t>
      </w:r>
      <w:r w:rsidRPr="00D5133F">
        <w:rPr>
          <w:rFonts w:eastAsia="Times New Roman" w:asciiTheme="minorHAnsi" w:hAnsiTheme="minorHAnsi" w:cstheme="minorHAnsi"/>
          <w14:ligatures w14:val="standardContextual"/>
        </w:rPr>
        <w:t>consensus</w:t>
      </w:r>
      <w:r w:rsidRPr="00D5133F">
        <w:rPr>
          <w:rFonts w:eastAsia="Times New Roman" w:asciiTheme="minorHAnsi" w:hAnsiTheme="minorHAnsi" w:cstheme="minorHAnsi"/>
          <w14:ligatures w14:val="standardContextual"/>
        </w:rPr>
        <w:t>/majority”-answer</w:t>
      </w:r>
      <w:r w:rsidRPr="00D5133F">
        <w:rPr>
          <w:rFonts w:eastAsia="Times New Roman" w:asciiTheme="minorHAnsi" w:hAnsiTheme="minorHAnsi" w:cstheme="minorHAnsi"/>
          <w14:ligatures w14:val="standardContextual"/>
        </w:rPr>
        <w:t xml:space="preserve"> </w:t>
      </w:r>
      <w:r w:rsidRPr="00D5133F">
        <w:rPr>
          <w:rFonts w:eastAsia="Times New Roman" w:asciiTheme="minorHAnsi" w:hAnsiTheme="minorHAnsi" w:cstheme="minorHAnsi"/>
          <w14:ligatures w14:val="standardContextual"/>
        </w:rPr>
        <w:t xml:space="preserve">amongst our members for the above scoring questions, </w:t>
      </w:r>
      <w:r w:rsidRPr="00D5133F">
        <w:rPr>
          <w:rFonts w:eastAsia="Times New Roman" w:asciiTheme="minorHAnsi" w:hAnsiTheme="minorHAnsi" w:cstheme="minorHAnsi"/>
          <w14:ligatures w14:val="standardContextual"/>
        </w:rPr>
        <w:t>we used the following methodology:</w:t>
      </w:r>
    </w:p>
    <w:p w:rsidR="00605E54" w:rsidRPr="00D5133F" w:rsidP="00EB4372">
      <w:pPr>
        <w:pStyle w:val="ListParagraph"/>
        <w:widowControl/>
        <w:numPr>
          <w:ilvl w:val="0"/>
          <w:numId w:val="47"/>
        </w:numPr>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 xml:space="preserve">If </w:t>
      </w:r>
      <w:r w:rsidRPr="00D5133F">
        <w:rPr>
          <w:rFonts w:eastAsia="Times New Roman" w:asciiTheme="minorHAnsi" w:hAnsiTheme="minorHAnsi" w:cstheme="minorHAnsi"/>
          <w14:ligatures w14:val="standardContextual"/>
        </w:rPr>
        <w:t xml:space="preserve">less than </w:t>
      </w:r>
      <w:r w:rsidRPr="00D5133F">
        <w:rPr>
          <w:rFonts w:eastAsia="Times New Roman" w:asciiTheme="minorHAnsi" w:hAnsiTheme="minorHAnsi" w:cstheme="minorHAnsi"/>
          <w14:ligatures w14:val="standardContextual"/>
        </w:rPr>
        <w:t>ha</w:t>
      </w:r>
      <w:r w:rsidRPr="00D5133F">
        <w:rPr>
          <w:rFonts w:eastAsia="Times New Roman" w:asciiTheme="minorHAnsi" w:hAnsiTheme="minorHAnsi" w:cstheme="minorHAnsi"/>
          <w14:ligatures w14:val="standardContextual"/>
        </w:rPr>
        <w:t>lf</w:t>
      </w:r>
      <w:r w:rsidRPr="00D5133F">
        <w:rPr>
          <w:rFonts w:eastAsia="Times New Roman" w:asciiTheme="minorHAnsi" w:hAnsiTheme="minorHAnsi" w:cstheme="minorHAnsi"/>
          <w14:ligatures w14:val="standardContextual"/>
        </w:rPr>
        <w:t xml:space="preserve"> of the </w:t>
      </w:r>
      <w:r w:rsidRPr="00D5133F">
        <w:rPr>
          <w:rFonts w:eastAsia="Times New Roman" w:asciiTheme="minorHAnsi" w:hAnsiTheme="minorHAnsi" w:cstheme="minorHAnsi"/>
          <w14:ligatures w14:val="standardContextual"/>
        </w:rPr>
        <w:t xml:space="preserve">participants answered a </w:t>
      </w:r>
      <w:r w:rsidRPr="00D5133F">
        <w:rPr>
          <w:rFonts w:eastAsia="Times New Roman" w:asciiTheme="minorHAnsi" w:hAnsiTheme="minorHAnsi" w:cstheme="minorHAnsi"/>
          <w14:ligatures w14:val="standardContextual"/>
        </w:rPr>
        <w:t>question,</w:t>
      </w:r>
      <w:r w:rsidRPr="00D5133F">
        <w:rPr>
          <w:rFonts w:eastAsia="Times New Roman" w:asciiTheme="minorHAnsi" w:hAnsiTheme="minorHAnsi" w:cstheme="minorHAnsi"/>
          <w14:ligatures w14:val="standardContextual"/>
        </w:rPr>
        <w:t xml:space="preserve"> then </w:t>
      </w:r>
      <w:r w:rsidRPr="00D5133F">
        <w:rPr>
          <w:rFonts w:eastAsia="Times New Roman" w:asciiTheme="minorHAnsi" w:hAnsiTheme="minorHAnsi" w:cstheme="minorHAnsi"/>
          <w14:ligatures w14:val="standardContextual"/>
        </w:rPr>
        <w:t xml:space="preserve">we </w:t>
      </w:r>
      <w:r w:rsidRPr="00D5133F">
        <w:rPr>
          <w:rFonts w:eastAsia="Times New Roman" w:asciiTheme="minorHAnsi" w:hAnsiTheme="minorHAnsi" w:cstheme="minorHAnsi"/>
          <w14:ligatures w14:val="standardContextual"/>
        </w:rPr>
        <w:t xml:space="preserve">answered with a </w:t>
      </w:r>
      <w:r w:rsidRPr="00D5133F">
        <w:rPr>
          <w:rFonts w:eastAsia="Times New Roman" w:asciiTheme="minorHAnsi" w:hAnsiTheme="minorHAnsi" w:cstheme="minorHAnsi"/>
          <w14:ligatures w14:val="standardContextual"/>
        </w:rPr>
        <w:t>blan</w:t>
      </w:r>
      <w:r w:rsidRPr="00D5133F">
        <w:rPr>
          <w:rFonts w:eastAsia="Times New Roman" w:asciiTheme="minorHAnsi" w:hAnsiTheme="minorHAnsi" w:cstheme="minorHAnsi"/>
          <w14:ligatures w14:val="standardContextual"/>
        </w:rPr>
        <w:t>k</w:t>
      </w:r>
      <w:r w:rsidRPr="00D5133F">
        <w:rPr>
          <w:rFonts w:eastAsia="Times New Roman" w:asciiTheme="minorHAnsi" w:hAnsiTheme="minorHAnsi" w:cstheme="minorHAnsi"/>
          <w14:ligatures w14:val="standardContextual"/>
        </w:rPr>
        <w:t>.</w:t>
      </w:r>
    </w:p>
    <w:p w:rsidR="00605E54" w:rsidRPr="00D5133F" w:rsidP="00EB4372">
      <w:pPr>
        <w:pStyle w:val="ListParagraph"/>
        <w:widowControl/>
        <w:numPr>
          <w:ilvl w:val="0"/>
          <w:numId w:val="47"/>
        </w:numPr>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 xml:space="preserve">If </w:t>
      </w:r>
      <w:r w:rsidRPr="00D5133F">
        <w:rPr>
          <w:rFonts w:eastAsia="Times New Roman" w:asciiTheme="minorHAnsi" w:hAnsiTheme="minorHAnsi" w:cstheme="minorHAnsi"/>
          <w14:ligatures w14:val="standardContextual"/>
        </w:rPr>
        <w:t xml:space="preserve">at least half of the participants answered a question, </w:t>
      </w:r>
      <w:r w:rsidRPr="00D5133F">
        <w:rPr>
          <w:rFonts w:eastAsia="Times New Roman" w:asciiTheme="minorHAnsi" w:hAnsiTheme="minorHAnsi" w:cstheme="minorHAnsi"/>
          <w14:ligatures w14:val="standardContextual"/>
        </w:rPr>
        <w:t xml:space="preserve">then </w:t>
      </w:r>
      <w:r w:rsidRPr="00D5133F">
        <w:rPr>
          <w:rFonts w:eastAsia="Times New Roman" w:asciiTheme="minorHAnsi" w:hAnsiTheme="minorHAnsi" w:cstheme="minorHAnsi"/>
          <w14:ligatures w14:val="standardContextual"/>
        </w:rPr>
        <w:t>we tried to come up with a “consensus/majority”-answer</w:t>
      </w:r>
      <w:r w:rsidRPr="00D5133F">
        <w:rPr>
          <w:rFonts w:eastAsia="Times New Roman" w:asciiTheme="minorHAnsi" w:hAnsiTheme="minorHAnsi" w:cstheme="minorHAnsi"/>
          <w14:ligatures w14:val="standardContextual"/>
        </w:rPr>
        <w:t xml:space="preserve"> via the following process</w:t>
      </w:r>
      <w:r w:rsidRPr="00D5133F">
        <w:rPr>
          <w:rFonts w:eastAsia="Times New Roman" w:asciiTheme="minorHAnsi" w:hAnsiTheme="minorHAnsi" w:cstheme="minorHAnsi"/>
          <w14:ligatures w14:val="standardContextual"/>
        </w:rPr>
        <w:t>:</w:t>
      </w:r>
    </w:p>
    <w:p w:rsidR="00605E54" w:rsidRPr="00D5133F" w:rsidP="00A04D88">
      <w:pPr>
        <w:pStyle w:val="ListParagraph"/>
        <w:widowControl/>
        <w:numPr>
          <w:ilvl w:val="1"/>
          <w:numId w:val="47"/>
        </w:numPr>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 xml:space="preserve">If all the answers deviated no more than </w:t>
      </w:r>
      <w:r w:rsidRPr="00D5133F">
        <w:rPr>
          <w:rFonts w:eastAsia="Times New Roman" w:asciiTheme="minorHAnsi" w:hAnsiTheme="minorHAnsi" w:cstheme="minorHAnsi"/>
          <w14:ligatures w14:val="standardContextual"/>
        </w:rPr>
        <w:t>two</w:t>
      </w:r>
      <w:r w:rsidRPr="00D5133F">
        <w:rPr>
          <w:rFonts w:eastAsia="Times New Roman" w:asciiTheme="minorHAnsi" w:hAnsiTheme="minorHAnsi" w:cstheme="minorHAnsi"/>
          <w14:ligatures w14:val="standardContextual"/>
        </w:rPr>
        <w:t xml:space="preserve"> point</w:t>
      </w:r>
      <w:r w:rsidRPr="00D5133F">
        <w:rPr>
          <w:rFonts w:eastAsia="Times New Roman" w:asciiTheme="minorHAnsi" w:hAnsiTheme="minorHAnsi" w:cstheme="minorHAnsi"/>
          <w14:ligatures w14:val="standardContextual"/>
        </w:rPr>
        <w:t>s</w:t>
      </w:r>
      <w:r w:rsidRPr="00D5133F">
        <w:rPr>
          <w:rFonts w:eastAsia="Times New Roman" w:asciiTheme="minorHAnsi" w:hAnsiTheme="minorHAnsi" w:cstheme="minorHAnsi"/>
          <w14:ligatures w14:val="standardContextual"/>
        </w:rPr>
        <w:t xml:space="preserve">, </w:t>
      </w:r>
      <w:r w:rsidRPr="00D5133F">
        <w:rPr>
          <w:rFonts w:eastAsia="Times New Roman" w:asciiTheme="minorHAnsi" w:hAnsiTheme="minorHAnsi" w:cstheme="minorHAnsi"/>
          <w14:ligatures w14:val="standardContextual"/>
        </w:rPr>
        <w:t xml:space="preserve">then </w:t>
      </w:r>
      <w:r w:rsidRPr="00D5133F">
        <w:rPr>
          <w:rFonts w:eastAsia="Times New Roman" w:asciiTheme="minorHAnsi" w:hAnsiTheme="minorHAnsi" w:cstheme="minorHAnsi"/>
          <w14:ligatures w14:val="standardContextual"/>
        </w:rPr>
        <w:t xml:space="preserve">we </w:t>
      </w:r>
      <w:r w:rsidRPr="00D5133F">
        <w:rPr>
          <w:rFonts w:eastAsia="Times New Roman" w:asciiTheme="minorHAnsi" w:hAnsiTheme="minorHAnsi" w:cstheme="minorHAnsi"/>
          <w14:ligatures w14:val="standardContextual"/>
        </w:rPr>
        <w:t xml:space="preserve">calculated </w:t>
      </w:r>
      <w:r w:rsidRPr="00D5133F">
        <w:rPr>
          <w:rFonts w:eastAsia="Times New Roman" w:asciiTheme="minorHAnsi" w:hAnsiTheme="minorHAnsi" w:cstheme="minorHAnsi"/>
          <w14:ligatures w14:val="standardContextual"/>
        </w:rPr>
        <w:t xml:space="preserve">the </w:t>
      </w:r>
      <w:r w:rsidRPr="00D5133F">
        <w:rPr>
          <w:rFonts w:eastAsia="Times New Roman" w:asciiTheme="minorHAnsi" w:hAnsiTheme="minorHAnsi" w:cstheme="minorHAnsi"/>
          <w14:ligatures w14:val="standardContextual"/>
        </w:rPr>
        <w:t>average.</w:t>
      </w:r>
    </w:p>
    <w:p w:rsidR="00605E54" w:rsidRPr="00D5133F" w:rsidP="00A04D88">
      <w:pPr>
        <w:pStyle w:val="ListParagraph"/>
        <w:widowControl/>
        <w:numPr>
          <w:ilvl w:val="1"/>
          <w:numId w:val="47"/>
        </w:numPr>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 xml:space="preserve">If all the answers deviated more than two points, </w:t>
      </w:r>
      <w:r w:rsidRPr="00D5133F">
        <w:rPr>
          <w:rFonts w:eastAsia="Times New Roman" w:asciiTheme="minorHAnsi" w:hAnsiTheme="minorHAnsi" w:cstheme="minorHAnsi"/>
          <w14:ligatures w14:val="standardContextual"/>
        </w:rPr>
        <w:t xml:space="preserve">then </w:t>
      </w:r>
      <w:r w:rsidRPr="00D5133F">
        <w:rPr>
          <w:rFonts w:eastAsia="Times New Roman" w:asciiTheme="minorHAnsi" w:hAnsiTheme="minorHAnsi" w:cstheme="minorHAnsi"/>
          <w14:ligatures w14:val="standardContextual"/>
        </w:rPr>
        <w:t xml:space="preserve">we deleted </w:t>
      </w:r>
      <w:r w:rsidRPr="00D5133F">
        <w:rPr>
          <w:rFonts w:eastAsia="Times New Roman" w:asciiTheme="minorHAnsi" w:hAnsiTheme="minorHAnsi" w:cstheme="minorHAnsi"/>
          <w14:ligatures w14:val="standardContextual"/>
        </w:rPr>
        <w:t>an equivalent number of left and right outliers and calculated the average.</w:t>
      </w:r>
    </w:p>
    <w:p w:rsidR="00605E54" w:rsidRPr="00D5133F" w:rsidP="00A04D88">
      <w:pPr>
        <w:pStyle w:val="ListParagraph"/>
        <w:widowControl/>
        <w:numPr>
          <w:ilvl w:val="1"/>
          <w:numId w:val="47"/>
        </w:numPr>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If it was clear that we had two camps</w:t>
      </w:r>
      <w:r w:rsidRPr="00D5133F">
        <w:rPr>
          <w:rFonts w:eastAsia="Times New Roman" w:asciiTheme="minorHAnsi" w:hAnsiTheme="minorHAnsi" w:cstheme="minorHAnsi"/>
          <w14:ligatures w14:val="standardContextual"/>
        </w:rPr>
        <w:t xml:space="preserve"> (a double top distribution)</w:t>
      </w:r>
      <w:r w:rsidRPr="00D5133F">
        <w:rPr>
          <w:rFonts w:eastAsia="Times New Roman" w:asciiTheme="minorHAnsi" w:hAnsiTheme="minorHAnsi" w:cstheme="minorHAnsi"/>
          <w14:ligatures w14:val="standardContextual"/>
        </w:rPr>
        <w:t xml:space="preserve">, </w:t>
      </w:r>
      <w:r w:rsidRPr="00D5133F">
        <w:rPr>
          <w:rFonts w:eastAsia="Times New Roman" w:asciiTheme="minorHAnsi" w:hAnsiTheme="minorHAnsi" w:cstheme="minorHAnsi"/>
          <w14:ligatures w14:val="standardContextual"/>
        </w:rPr>
        <w:t>then we answered with a blank</w:t>
      </w:r>
      <w:r w:rsidRPr="00D5133F">
        <w:rPr>
          <w:rFonts w:eastAsia="Times New Roman" w:asciiTheme="minorHAnsi" w:hAnsiTheme="minorHAnsi" w:cstheme="minorHAnsi"/>
          <w14:ligatures w14:val="standardContextual"/>
        </w:rPr>
        <w:t>.</w:t>
      </w:r>
    </w:p>
    <w:p w:rsidR="00605E54" w:rsidRPr="00D5133F" w:rsidP="00010C75">
      <w:pPr>
        <w:widowControl/>
        <w:autoSpaceDE/>
        <w:autoSpaceDN/>
        <w:rPr>
          <w:rFonts w:eastAsia="Times New Roman" w:asciiTheme="minorHAnsi" w:hAnsiTheme="minorHAnsi" w:cstheme="minorHAnsi"/>
          <w14:ligatures w14:val="standardContextual"/>
        </w:rPr>
      </w:pPr>
    </w:p>
    <w:p w:rsidR="00605E54" w:rsidRPr="00D5133F" w:rsidP="00010C75">
      <w:pPr>
        <w:widowControl/>
        <w:autoSpaceDE/>
        <w:autoSpaceDN/>
        <w:rPr>
          <w:rFonts w:eastAsia="Times New Roman" w:asciiTheme="minorHAnsi" w:hAnsiTheme="minorHAnsi" w:cstheme="minorHAnsi"/>
          <w14:ligatures w14:val="standardContextual"/>
        </w:rPr>
      </w:pPr>
    </w:p>
    <w:p w:rsidR="00605E54" w:rsidRPr="00D5133F" w:rsidP="00010C75">
      <w:pPr>
        <w:widowControl/>
        <w:autoSpaceDE/>
        <w:autoSpaceDN/>
        <w:rPr>
          <w:rFonts w:eastAsia="Times New Roman" w:asciiTheme="minorHAnsi" w:hAnsiTheme="minorHAnsi" w:cstheme="minorHAnsi"/>
          <w:b/>
          <w:bCs/>
          <w:u w:val="single"/>
          <w14:ligatures w14:val="standardContextual"/>
        </w:rPr>
      </w:pPr>
      <w:r w:rsidRPr="00D5133F">
        <w:rPr>
          <w:rFonts w:eastAsia="Times New Roman" w:asciiTheme="minorHAnsi" w:hAnsiTheme="minorHAnsi" w:cstheme="minorHAnsi"/>
          <w:b/>
          <w:bCs/>
          <w:u w:val="single"/>
          <w14:ligatures w14:val="standardContextual"/>
        </w:rPr>
        <w:t>Belgian market actors high level feedback on SFDR Review: Introduction</w:t>
      </w:r>
    </w:p>
    <w:p w:rsidR="00605E54" w:rsidRPr="00D5133F" w:rsidP="00010C75">
      <w:pPr>
        <w:widowControl/>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 xml:space="preserve">Based upon this EC-consultation paper, we came to the observation that there are currently two strands in the </w:t>
      </w:r>
      <w:r w:rsidRPr="00D5133F">
        <w:rPr>
          <w:rFonts w:eastAsia="Times New Roman" w:asciiTheme="minorHAnsi" w:hAnsiTheme="minorHAnsi" w:cstheme="minorHAnsi"/>
          <w14:ligatures w14:val="standardContextual"/>
        </w:rPr>
        <w:t>industry regarding the direction of the SFDR-review. Yet, both strands have many points in common, it’s only regarding the way forward for the product categorization system that the main differences can be found.</w:t>
      </w:r>
    </w:p>
    <w:p w:rsidR="00605E54" w:rsidRPr="00D5133F" w:rsidP="00010C75">
      <w:pPr>
        <w:widowControl/>
        <w:autoSpaceDE/>
        <w:autoSpaceDN/>
        <w:rPr>
          <w:rFonts w:eastAsia="Times New Roman" w:asciiTheme="minorHAnsi" w:hAnsiTheme="minorHAnsi" w:cstheme="minorHAnsi"/>
          <w14:ligatures w14:val="standardContextual"/>
        </w:rPr>
      </w:pPr>
      <w:r w:rsidRPr="00D5133F">
        <w:rPr>
          <w:rFonts w:eastAsia="Times New Roman" w:asciiTheme="minorHAnsi" w:hAnsiTheme="minorHAnsi" w:cstheme="minorHAnsi"/>
          <w14:ligatures w14:val="standardContextual"/>
        </w:rPr>
        <w:t>On the one hand, there are asset managers who want to stay as close as possible to the current SFDR article 8/9 products. On the other hand, there are asset managers that want to take the opportunity to work out a new SFDR product categorization, and even labeling -, system.</w:t>
      </w:r>
    </w:p>
    <w:p w:rsidR="00605E54" w:rsidRPr="00D5133F" w:rsidP="00010C75">
      <w:pPr>
        <w:widowControl/>
        <w:autoSpaceDE/>
        <w:autoSpaceDN/>
        <w:rPr>
          <w:rFonts w:eastAsia="Times New Roman" w:asciiTheme="minorHAnsi" w:hAnsiTheme="minorHAnsi" w:cstheme="minorHAnsi"/>
          <w14:ligatures w14:val="standardContextual"/>
        </w:rPr>
      </w:pPr>
    </w:p>
    <w:p w:rsidR="00605E54" w:rsidRPr="00D5133F" w:rsidP="00010C75">
      <w:pPr>
        <w:widowControl/>
        <w:autoSpaceDE/>
        <w:autoSpaceDN/>
        <w:rPr>
          <w:rFonts w:eastAsia="Times New Roman" w:asciiTheme="minorHAnsi" w:hAnsiTheme="minorHAnsi" w:cstheme="minorHAnsi"/>
          <w14:ligatures w14:val="standardContextual"/>
        </w:rPr>
      </w:pPr>
    </w:p>
    <w:p w:rsidR="00605E54" w:rsidRPr="00D5133F" w:rsidP="00010C75">
      <w:pPr>
        <w:widowControl/>
        <w:autoSpaceDE/>
        <w:autoSpaceDN/>
        <w:rPr>
          <w:rFonts w:eastAsia="Times New Roman" w:asciiTheme="minorHAnsi" w:hAnsiTheme="minorHAnsi" w:cstheme="minorHAnsi"/>
          <w:b/>
          <w:bCs/>
          <w:u w:val="single"/>
          <w14:ligatures w14:val="standardContextual"/>
        </w:rPr>
      </w:pPr>
      <w:r w:rsidRPr="00D5133F">
        <w:rPr>
          <w:rFonts w:eastAsia="Times New Roman" w:asciiTheme="minorHAnsi" w:hAnsiTheme="minorHAnsi" w:cstheme="minorHAnsi"/>
          <w:b/>
          <w:bCs/>
          <w:u w:val="single"/>
          <w14:ligatures w14:val="standardContextual"/>
        </w:rPr>
        <w:t>Common points of both positions</w:t>
      </w:r>
    </w:p>
    <w:p w:rsidR="00605E54" w:rsidRPr="00D5133F" w:rsidP="00010C75">
      <w:pPr>
        <w:widowControl/>
        <w:autoSpaceDE/>
        <w:rPr>
          <w:rFonts w:ascii="Calibri" w:eastAsia="Times New Roman" w:hAnsi="Calibri" w:cs="Calibri"/>
          <w14:ligatures w14:val="standardContextual"/>
        </w:rPr>
      </w:pPr>
      <w:r w:rsidRPr="00D5133F">
        <w:rPr>
          <w:rFonts w:ascii="Calibri" w:eastAsia="Times New Roman" w:hAnsi="Calibri" w:cs="Calibri"/>
          <w14:ligatures w14:val="standardContextual"/>
        </w:rPr>
        <w:t>The aim of the SFDR is to provide more clarity and transparency on sustainability in the financial market for the end investor on the one hand, and for the other stakeholders in the financial market on the other. In order to achieve this aim, the SFDR foresees disclosure requirements both on entity and on product level.</w:t>
      </w:r>
    </w:p>
    <w:p w:rsidR="00605E54" w:rsidRPr="00D5133F" w:rsidP="00010C75">
      <w:pPr>
        <w:widowControl/>
        <w:autoSpaceDE/>
        <w:rPr>
          <w:rFonts w:ascii="Calibri" w:eastAsia="Times New Roman" w:hAnsi="Calibri" w:cs="Calibri"/>
          <w14:ligatures w14:val="standardContextual"/>
        </w:rPr>
      </w:pPr>
      <w:r w:rsidRPr="00D5133F">
        <w:rPr>
          <w:rFonts w:ascii="Calibri" w:eastAsia="Times New Roman" w:hAnsi="Calibri" w:cs="Calibri"/>
          <w14:ligatures w14:val="standardContextual"/>
        </w:rPr>
        <w:t>Taking into account all the disclosure requirements (both on entity, as on product level) and their volume, the end investor is inundated with a multitude of information at different levels which could have the unintended effect that end customers don’t understand the most important ESG characteristics of the investment products.</w:t>
      </w:r>
    </w:p>
    <w:p w:rsidR="00605E54" w:rsidRPr="00D5133F" w:rsidP="00010C75">
      <w:pPr>
        <w:widowControl/>
        <w:autoSpaceDE/>
        <w:rPr>
          <w:rFonts w:ascii="Calibri" w:eastAsia="Times New Roman" w:hAnsi="Calibri" w:cs="Calibri"/>
          <w:highlight w:val="yellow"/>
          <w14:ligatures w14:val="standardContextual"/>
        </w:rPr>
      </w:pPr>
      <w:r w:rsidRPr="00D5133F">
        <w:rPr>
          <w:rFonts w:asciiTheme="minorHAnsi" w:hAnsiTheme="minorHAnsi" w:cstheme="minorHAnsi"/>
          <w:sz w:val="23"/>
          <w:szCs w:val="23"/>
        </w:rPr>
        <w:t>Moreover, some concepts introduced in the regulation seem not to be clearly defined, which may lead to different interpretations between FMPs and to unlevel playing field across jurisdictions depending on each NCA’s interpretation, hence harming the cross border distribution of funds.</w:t>
      </w:r>
    </w:p>
    <w:p w:rsidR="00605E54" w:rsidRPr="00D5133F" w:rsidP="00010C75">
      <w:pPr>
        <w:widowControl/>
        <w:autoSpaceDE/>
        <w:rPr>
          <w:rFonts w:ascii="Calibri" w:eastAsia="Times New Roman" w:hAnsi="Calibri" w:cs="Calibri"/>
          <w:highlight w:val="yellow"/>
          <w14:ligatures w14:val="standardContextual"/>
        </w:rPr>
      </w:pPr>
    </w:p>
    <w:p w:rsidR="00605E54" w:rsidRPr="002B4B56" w:rsidP="00010C75">
      <w:pPr>
        <w:widowControl/>
        <w:autoSpaceDE/>
        <w:rPr>
          <w:rFonts w:ascii="Calibri" w:eastAsia="Times New Roman" w:hAnsi="Calibri" w:cs="Calibri"/>
          <w14:ligatures w14:val="standardContextual"/>
        </w:rPr>
      </w:pPr>
      <w:r w:rsidRPr="00D5133F">
        <w:rPr>
          <w:rFonts w:ascii="Calibri" w:eastAsia="Times New Roman" w:hAnsi="Calibri" w:cs="Calibri"/>
          <w14:ligatures w14:val="standardContextual"/>
        </w:rPr>
        <w:t xml:space="preserve">Therefore we strongly suggest to subject the SFDR to a review. This review </w:t>
      </w:r>
      <w:r w:rsidRPr="002B4B56">
        <w:rPr>
          <w:rFonts w:ascii="Calibri" w:eastAsia="Times New Roman" w:hAnsi="Calibri" w:cs="Calibri"/>
          <w14:ligatures w14:val="standardContextual"/>
        </w:rPr>
        <w:t>should, aside from our answers on the question-specific concerns, generally consider the following main principles at all times:</w:t>
      </w:r>
    </w:p>
    <w:p w:rsidR="00605E54" w:rsidRPr="002B4B56" w:rsidP="00010C75">
      <w:pPr>
        <w:pStyle w:val="ListParagraph"/>
        <w:widowControl/>
        <w:numPr>
          <w:ilvl w:val="0"/>
          <w:numId w:val="45"/>
        </w:numPr>
        <w:autoSpaceDE/>
        <w:rPr>
          <w:rFonts w:ascii="Calibri" w:eastAsia="Times New Roman" w:hAnsi="Calibri" w:cs="Calibri"/>
          <w14:ligatures w14:val="standardContextual"/>
        </w:rPr>
      </w:pPr>
      <w:r w:rsidRPr="002B4B56">
        <w:rPr>
          <w:rFonts w:ascii="Calibri" w:eastAsia="Times New Roman" w:hAnsi="Calibri" w:cs="Calibri"/>
          <w14:ligatures w14:val="standardContextual"/>
        </w:rPr>
        <w:t>Provid</w:t>
      </w:r>
      <w:r w:rsidRPr="002B4B56">
        <w:rPr>
          <w:rFonts w:ascii="Calibri" w:eastAsia="Times New Roman" w:hAnsi="Calibri" w:cs="Calibri"/>
          <w:b/>
          <w:bCs/>
          <w14:ligatures w14:val="standardContextual"/>
        </w:rPr>
        <w:t>e more simple and clear disclosures</w:t>
      </w:r>
      <w:r w:rsidRPr="002B4B56">
        <w:rPr>
          <w:rFonts w:ascii="Calibri" w:eastAsia="Times New Roman" w:hAnsi="Calibri" w:cs="Calibri"/>
          <w14:ligatures w14:val="standardContextual"/>
        </w:rPr>
        <w:t xml:space="preserve"> to the end-investors. This might lead to less and more simple documentation, focusing on the understandability for the end-investor.</w:t>
      </w:r>
      <w:r w:rsidRPr="002B4B56">
        <w:rPr>
          <w:rFonts w:ascii="Calibri" w:eastAsia="Times New Roman" w:hAnsi="Calibri" w:cs="Calibri"/>
          <w14:ligatures w14:val="standardContextual"/>
        </w:rPr>
        <w:br/>
        <w:t>In short, s</w:t>
      </w:r>
      <w:r w:rsidRPr="002B4B56">
        <w:rPr>
          <w:rFonts w:eastAsia="Times New Roman" w:asciiTheme="minorHAnsi" w:hAnsiTheme="minorHAnsi" w:cstheme="minorHAnsi"/>
          <w14:ligatures w14:val="standardContextual"/>
        </w:rPr>
        <w:t>implify, and ensure consistency and credibility in the regulatory framework for sustainable finance in which the end-customer should be placed at the center of the sustainable finance regulatory framework</w:t>
      </w:r>
      <w:r w:rsidRPr="002B4B56">
        <w:rPr>
          <w:rFonts w:ascii="Calibri" w:eastAsia="Times New Roman" w:hAnsi="Calibri" w:cs="Calibri"/>
          <w14:ligatures w14:val="standardContextual"/>
        </w:rPr>
        <w:t>;</w:t>
      </w:r>
    </w:p>
    <w:p w:rsidR="00605E54" w:rsidRPr="00D5133F" w:rsidP="00010C75">
      <w:pPr>
        <w:pStyle w:val="ListParagraph"/>
        <w:widowControl/>
        <w:numPr>
          <w:ilvl w:val="0"/>
          <w:numId w:val="45"/>
        </w:numPr>
        <w:autoSpaceDE/>
        <w:rPr>
          <w:rFonts w:ascii="Calibri" w:eastAsia="Times New Roman" w:hAnsi="Calibri" w:cs="Calibri"/>
          <w14:ligatures w14:val="standardContextual"/>
        </w:rPr>
      </w:pPr>
      <w:r w:rsidRPr="002B4B56">
        <w:rPr>
          <w:rFonts w:ascii="Calibri" w:eastAsia="Times New Roman" w:hAnsi="Calibri" w:cs="Calibri"/>
          <w14:ligatures w14:val="standardContextual"/>
        </w:rPr>
        <w:t xml:space="preserve">Introduce a </w:t>
      </w:r>
      <w:r w:rsidRPr="002B4B56">
        <w:rPr>
          <w:rFonts w:ascii="Calibri" w:eastAsia="Times New Roman" w:hAnsi="Calibri" w:cs="Calibri"/>
          <w:b/>
          <w:bCs/>
          <w14:ligatures w14:val="standardContextual"/>
        </w:rPr>
        <w:t>more harmonized approach</w:t>
      </w:r>
      <w:r w:rsidRPr="002B4B56">
        <w:rPr>
          <w:rFonts w:ascii="Calibri" w:eastAsia="Times New Roman" w:hAnsi="Calibri" w:cs="Calibri"/>
          <w14:ligatures w14:val="standardContextual"/>
        </w:rPr>
        <w:t xml:space="preserve"> across the European Union in relation to the </w:t>
      </w:r>
      <w:r w:rsidRPr="002B4B56">
        <w:rPr>
          <w:rFonts w:ascii="Calibri" w:eastAsia="Times New Roman" w:hAnsi="Calibri" w:cs="Calibri"/>
          <w:b/>
          <w:bCs/>
          <w14:ligatures w14:val="standardContextual"/>
        </w:rPr>
        <w:t>requirements of the disclosure-templates</w:t>
      </w:r>
      <w:r w:rsidRPr="002B4B56">
        <w:rPr>
          <w:rFonts w:ascii="Calibri" w:eastAsia="Times New Roman" w:hAnsi="Calibri" w:cs="Calibri"/>
          <w14:ligatures w14:val="standardContextual"/>
        </w:rPr>
        <w:t>, and this specifically for the content and the information to be provided via these templates.</w:t>
      </w:r>
      <w:r w:rsidRPr="002B4B56">
        <w:rPr>
          <w:rFonts w:ascii="Calibri" w:eastAsia="Times New Roman" w:hAnsi="Calibri" w:cs="Calibri"/>
          <w14:ligatures w14:val="standardContextual"/>
        </w:rPr>
        <w:br/>
        <w:t xml:space="preserve">There should be consistent, clear and harmonized guidance on how to interpretate and fill in the questions and concepts as introduced by the SFDR today. </w:t>
      </w:r>
      <w:r w:rsidRPr="002B4B56">
        <w:rPr>
          <w:rFonts w:ascii="Calibri" w:eastAsia="Times New Roman" w:hAnsi="Calibri" w:cs="Calibri"/>
          <w:b/>
          <w:bCs/>
          <w14:ligatures w14:val="standardContextual"/>
        </w:rPr>
        <w:t>Harmonized, consistent and clear guidance</w:t>
      </w:r>
      <w:r w:rsidRPr="002B4B56">
        <w:rPr>
          <w:rFonts w:ascii="Calibri" w:eastAsia="Times New Roman" w:hAnsi="Calibri" w:cs="Calibri"/>
          <w14:ligatures w14:val="standardContextual"/>
        </w:rPr>
        <w:t xml:space="preserve"> inform the end-investor in the most efficient and transparent way, as it will </w:t>
      </w:r>
      <w:r w:rsidRPr="00DA66C6">
        <w:rPr>
          <w:rFonts w:ascii="Calibri" w:eastAsia="Times New Roman" w:hAnsi="Calibri" w:cs="Calibri"/>
          <w14:ligatures w14:val="standardContextual"/>
        </w:rPr>
        <w:t>also avoid green washing and achi</w:t>
      </w:r>
      <w:r w:rsidRPr="00DA66C6">
        <w:rPr>
          <w:rFonts w:ascii="Calibri" w:eastAsia="Times New Roman" w:hAnsi="Calibri" w:cs="Calibri"/>
          <w14:ligatures w14:val="standardContextual"/>
        </w:rPr>
        <w:t>eve a level playing field.</w:t>
      </w:r>
      <w:r w:rsidRPr="00DA66C6">
        <w:rPr>
          <w:rFonts w:ascii="Calibri" w:eastAsia="Times New Roman" w:hAnsi="Calibri" w:cs="Calibri"/>
          <w14:ligatures w14:val="standardContextual"/>
        </w:rPr>
        <w:br/>
        <w:t xml:space="preserve">We suggest to simplify the reporting requirements by using </w:t>
      </w:r>
      <w:r w:rsidRPr="00DA66C6">
        <w:rPr>
          <w:rFonts w:ascii="Calibri" w:eastAsia="Times New Roman" w:hAnsi="Calibri" w:cs="Calibri"/>
          <w:b/>
          <w:bCs/>
          <w14:ligatures w14:val="standardContextual"/>
        </w:rPr>
        <w:t xml:space="preserve">a single template for </w:t>
      </w:r>
      <w:r w:rsidRPr="00DA66C6">
        <w:rPr>
          <w:rFonts w:ascii="Calibri" w:eastAsia="Times New Roman" w:hAnsi="Calibri" w:cs="Calibri"/>
          <w:b/>
          <w:bCs/>
          <w:u w:val="single"/>
          <w14:ligatures w14:val="standardContextual"/>
        </w:rPr>
        <w:t>all</w:t>
      </w:r>
      <w:r w:rsidRPr="00DA66C6">
        <w:rPr>
          <w:rFonts w:ascii="Calibri" w:eastAsia="Times New Roman" w:hAnsi="Calibri" w:cs="Calibri"/>
          <w:b/>
          <w:bCs/>
          <w14:ligatures w14:val="standardContextual"/>
        </w:rPr>
        <w:t xml:space="preserve"> financial products for both pre-contractual and periodic information</w:t>
      </w:r>
      <w:r w:rsidRPr="00DA66C6">
        <w:rPr>
          <w:rFonts w:ascii="Calibri" w:eastAsia="Times New Roman" w:hAnsi="Calibri" w:cs="Calibri"/>
          <w14:ligatures w14:val="standardContextual"/>
        </w:rPr>
        <w:t xml:space="preserve"> (instead of different </w:t>
      </w:r>
      <w:r w:rsidRPr="00E41BE8">
        <w:rPr>
          <w:rFonts w:ascii="Calibri" w:eastAsia="Times New Roman" w:hAnsi="Calibri" w:cs="Calibri"/>
          <w14:ligatures w14:val="standardContextual"/>
        </w:rPr>
        <w:t xml:space="preserve">templates based on the category of financial </w:t>
      </w:r>
      <w:r w:rsidRPr="00180A38">
        <w:rPr>
          <w:rFonts w:ascii="Calibri" w:eastAsia="Times New Roman" w:hAnsi="Calibri" w:cs="Calibri"/>
          <w14:ligatures w14:val="standardContextual"/>
        </w:rPr>
        <w:t xml:space="preserve">product). Pre-contractual information should be a maximum of 3 pages </w:t>
      </w:r>
      <w:r w:rsidRPr="00180A38">
        <w:rPr>
          <w:rFonts w:ascii="Calibri" w:eastAsia="Times New Roman" w:hAnsi="Calibri" w:cs="Calibri"/>
          <w14:ligatures w14:val="standardContextual"/>
        </w:rPr>
        <w:t xml:space="preserve">and should </w:t>
      </w:r>
      <w:r w:rsidRPr="00180A38">
        <w:rPr>
          <w:rFonts w:ascii="Calibri" w:eastAsia="Times New Roman" w:hAnsi="Calibri" w:cs="Calibri"/>
          <w14:ligatures w14:val="standardContextual"/>
        </w:rPr>
        <w:t xml:space="preserve">ideally </w:t>
      </w:r>
      <w:r w:rsidRPr="00180A38">
        <w:rPr>
          <w:rFonts w:ascii="Calibri" w:eastAsia="Times New Roman" w:hAnsi="Calibri" w:cs="Calibri"/>
          <w14:ligatures w14:val="standardContextual"/>
        </w:rPr>
        <w:t xml:space="preserve">be </w:t>
      </w:r>
      <w:r w:rsidRPr="00180A38">
        <w:rPr>
          <w:rFonts w:ascii="Calibri" w:eastAsia="Times New Roman" w:hAnsi="Calibri" w:cs="Calibri"/>
          <w14:ligatures w14:val="standardContextual"/>
        </w:rPr>
        <w:t>integrated in a section of the</w:t>
      </w:r>
      <w:r w:rsidRPr="00180A38">
        <w:rPr>
          <w:rFonts w:ascii="Calibri" w:eastAsia="Times New Roman" w:hAnsi="Calibri" w:cs="Calibri"/>
          <w14:ligatures w14:val="standardContextual"/>
        </w:rPr>
        <w:t xml:space="preserve"> current KID</w:t>
      </w:r>
      <w:r w:rsidRPr="00180A38">
        <w:rPr>
          <w:rFonts w:ascii="Calibri" w:eastAsia="Times New Roman" w:hAnsi="Calibri" w:cs="Calibri"/>
          <w14:ligatures w14:val="standardContextual"/>
        </w:rPr>
        <w:t>. T</w:t>
      </w:r>
      <w:r w:rsidRPr="00180A38">
        <w:rPr>
          <w:rFonts w:ascii="Calibri" w:eastAsia="Times New Roman" w:hAnsi="Calibri" w:cs="Calibri"/>
          <w14:ligatures w14:val="standardContextual"/>
        </w:rPr>
        <w:t xml:space="preserve">he </w:t>
      </w:r>
      <w:r w:rsidRPr="00180A38">
        <w:rPr>
          <w:rFonts w:ascii="Calibri" w:eastAsia="Times New Roman" w:hAnsi="Calibri" w:cs="Calibri"/>
          <w14:ligatures w14:val="standardContextual"/>
        </w:rPr>
        <w:t xml:space="preserve">current </w:t>
      </w:r>
      <w:r w:rsidRPr="00180A38">
        <w:rPr>
          <w:rFonts w:ascii="Calibri" w:eastAsia="Times New Roman" w:hAnsi="Calibri" w:cs="Calibri"/>
          <w14:ligatures w14:val="standardContextual"/>
        </w:rPr>
        <w:t xml:space="preserve">pre-contractual document as such should only be </w:t>
      </w:r>
      <w:r w:rsidRPr="00180A38">
        <w:rPr>
          <w:rFonts w:ascii="Calibri" w:eastAsia="Times New Roman" w:hAnsi="Calibri" w:cs="Calibri"/>
          <w14:ligatures w14:val="standardContextual"/>
        </w:rPr>
        <w:t>made available to</w:t>
      </w:r>
      <w:r w:rsidRPr="00180A38">
        <w:rPr>
          <w:rFonts w:ascii="Calibri" w:eastAsia="Times New Roman" w:hAnsi="Calibri" w:cs="Calibri"/>
          <w14:ligatures w14:val="standardContextual"/>
        </w:rPr>
        <w:t xml:space="preserve"> professional investors</w:t>
      </w:r>
      <w:r w:rsidRPr="00180A38">
        <w:rPr>
          <w:rFonts w:ascii="Calibri" w:eastAsia="Times New Roman" w:hAnsi="Calibri" w:cs="Calibri"/>
          <w14:ligatures w14:val="standardContextual"/>
        </w:rPr>
        <w:t xml:space="preserve"> upon request of these investors</w:t>
      </w:r>
      <w:r w:rsidRPr="00180A38">
        <w:rPr>
          <w:rFonts w:ascii="Calibri" w:eastAsia="Times New Roman" w:hAnsi="Calibri" w:cs="Calibri"/>
          <w14:ligatures w14:val="standardContextual"/>
        </w:rPr>
        <w:t xml:space="preserve"> (so there will be </w:t>
      </w:r>
      <w:r w:rsidRPr="00180A38">
        <w:rPr>
          <w:rFonts w:ascii="Calibri" w:eastAsia="Times New Roman" w:hAnsi="Calibri" w:cs="Calibri"/>
          <w14:ligatures w14:val="standardContextual"/>
        </w:rPr>
        <w:t xml:space="preserve">only </w:t>
      </w:r>
      <w:r w:rsidRPr="00180A38">
        <w:rPr>
          <w:rFonts w:ascii="Calibri" w:eastAsia="Times New Roman" w:hAnsi="Calibri" w:cs="Calibri"/>
          <w14:ligatures w14:val="standardContextual"/>
        </w:rPr>
        <w:t xml:space="preserve">one pre-contractual </w:t>
      </w:r>
      <w:r w:rsidRPr="00180A38">
        <w:rPr>
          <w:rFonts w:ascii="Calibri" w:eastAsia="Times New Roman" w:hAnsi="Calibri" w:cs="Calibri"/>
          <w14:ligatures w14:val="standardContextual"/>
        </w:rPr>
        <w:t>document, and it will be for professional investors only)</w:t>
      </w:r>
      <w:r w:rsidRPr="00180A38">
        <w:rPr>
          <w:rFonts w:ascii="Calibri" w:eastAsia="Times New Roman" w:hAnsi="Calibri" w:cs="Calibri"/>
          <w14:ligatures w14:val="standardContextual"/>
        </w:rPr>
        <w:t>. This</w:t>
      </w:r>
      <w:r w:rsidRPr="00180A38">
        <w:rPr>
          <w:rFonts w:ascii="Calibri" w:eastAsia="Times New Roman" w:hAnsi="Calibri" w:cs="Calibri"/>
          <w14:ligatures w14:val="standardContextual"/>
        </w:rPr>
        <w:t xml:space="preserve"> summarized</w:t>
      </w:r>
      <w:r w:rsidRPr="00180A38">
        <w:rPr>
          <w:rFonts w:ascii="Calibri" w:eastAsia="Times New Roman" w:hAnsi="Calibri" w:cs="Calibri"/>
          <w14:ligatures w14:val="standardContextual"/>
        </w:rPr>
        <w:t xml:space="preserve"> </w:t>
      </w:r>
      <w:r w:rsidRPr="00180A38">
        <w:rPr>
          <w:rFonts w:ascii="Calibri" w:eastAsia="Times New Roman" w:hAnsi="Calibri" w:cs="Calibri"/>
          <w14:ligatures w14:val="standardContextual"/>
        </w:rPr>
        <w:t>information</w:t>
      </w:r>
      <w:r w:rsidRPr="00180A38">
        <w:rPr>
          <w:rFonts w:ascii="Calibri" w:eastAsia="Times New Roman" w:hAnsi="Calibri" w:cs="Calibri"/>
          <w14:ligatures w14:val="standardContextual"/>
        </w:rPr>
        <w:t xml:space="preserve"> should be compulsorily given to customers at the time of subscription (</w:t>
      </w:r>
      <w:r w:rsidRPr="00180A38">
        <w:rPr>
          <w:rFonts w:ascii="Calibri" w:eastAsia="Times New Roman" w:hAnsi="Calibri" w:cs="Calibri"/>
          <w14:ligatures w14:val="standardContextual"/>
        </w:rPr>
        <w:t>cf.</w:t>
      </w:r>
      <w:r w:rsidRPr="00180A38">
        <w:rPr>
          <w:rFonts w:ascii="Calibri" w:eastAsia="Times New Roman" w:hAnsi="Calibri" w:cs="Calibri"/>
          <w14:ligatures w14:val="standardContextual"/>
        </w:rPr>
        <w:t xml:space="preserve"> the </w:t>
      </w:r>
      <w:r w:rsidRPr="003049FF">
        <w:rPr>
          <w:rFonts w:ascii="Calibri" w:eastAsia="Times New Roman" w:hAnsi="Calibri" w:cs="Calibri"/>
          <w14:ligatures w14:val="standardContextual"/>
        </w:rPr>
        <w:t>KID) and published on the website.</w:t>
      </w:r>
      <w:r w:rsidRPr="003049FF">
        <w:rPr>
          <w:rFonts w:ascii="Calibri" w:eastAsia="Times New Roman" w:hAnsi="Calibri" w:cs="Calibri"/>
          <w14:ligatures w14:val="standardContextual"/>
        </w:rPr>
        <w:br/>
        <w:t xml:space="preserve">SFDR article 10 </w:t>
      </w:r>
      <w:r w:rsidRPr="003049FF">
        <w:rPr>
          <w:rFonts w:ascii="Calibri" w:eastAsia="Times New Roman" w:hAnsi="Calibri" w:cs="Calibri"/>
          <w14:ligatures w14:val="standardContextual"/>
        </w:rPr>
        <w:t xml:space="preserve">can </w:t>
      </w:r>
      <w:r w:rsidRPr="003049FF">
        <w:rPr>
          <w:rFonts w:ascii="Calibri" w:eastAsia="Times New Roman" w:hAnsi="Calibri" w:cs="Calibri"/>
          <w14:ligatures w14:val="standardContextual"/>
        </w:rPr>
        <w:t>be maintained, yet it should also be simplified. This simplification can be obtained via:</w:t>
      </w:r>
    </w:p>
    <w:p w:rsidR="00605E54" w:rsidRPr="00605E54" w:rsidP="00010C75">
      <w:pPr>
        <w:pStyle w:val="ListParagraph"/>
        <w:widowControl/>
        <w:numPr>
          <w:ilvl w:val="1"/>
          <w:numId w:val="45"/>
        </w:numPr>
        <w:autoSpaceDE/>
        <w:rPr>
          <w:rFonts w:ascii="Calibri" w:eastAsia="Times New Roman" w:hAnsi="Calibri" w:cs="Calibri"/>
          <w14:ligatures w14:val="standardContextual"/>
        </w:rPr>
      </w:pPr>
      <w:r w:rsidRPr="00D5133F">
        <w:rPr>
          <w:rFonts w:ascii="Calibri" w:eastAsia="Times New Roman" w:hAnsi="Calibri" w:cs="Calibri"/>
          <w14:ligatures w14:val="standardContextual"/>
        </w:rPr>
        <w:t xml:space="preserve">The introduction of the </w:t>
      </w:r>
      <w:r w:rsidRPr="00D5133F">
        <w:rPr>
          <w:rFonts w:ascii="Calibri" w:eastAsia="Times New Roman" w:hAnsi="Calibri" w:cs="Calibri"/>
          <w14:ligatures w14:val="standardContextual"/>
        </w:rPr>
        <w:t xml:space="preserve">requirement that only information which is not mentioned in other documents (such as pre-contractual documents, KID, prospectus, …), should be disclosed on the website of </w:t>
      </w:r>
      <w:r w:rsidRPr="00605E54">
        <w:rPr>
          <w:rFonts w:ascii="Calibri" w:eastAsia="Times New Roman" w:hAnsi="Calibri" w:cs="Calibri"/>
          <w14:ligatures w14:val="standardContextual"/>
        </w:rPr>
        <w:t>the asset manager;</w:t>
      </w:r>
    </w:p>
    <w:p w:rsidR="00605E54" w:rsidRPr="00605E54" w:rsidP="00010C75">
      <w:pPr>
        <w:pStyle w:val="ListParagraph"/>
        <w:widowControl/>
        <w:numPr>
          <w:ilvl w:val="1"/>
          <w:numId w:val="45"/>
        </w:numPr>
        <w:autoSpaceDE/>
        <w:rPr>
          <w:rFonts w:ascii="Calibri" w:eastAsia="Times New Roman" w:hAnsi="Calibri" w:cs="Calibri"/>
          <w14:ligatures w14:val="standardContextual"/>
        </w:rPr>
      </w:pPr>
      <w:r w:rsidRPr="00605E54">
        <w:rPr>
          <w:rFonts w:ascii="Calibri" w:eastAsia="Times New Roman" w:hAnsi="Calibri" w:cs="Calibri"/>
          <w14:ligatures w14:val="standardContextual"/>
        </w:rPr>
        <w:t xml:space="preserve">This disclosure should </w:t>
      </w:r>
      <w:r w:rsidRPr="00605E54">
        <w:rPr>
          <w:rFonts w:ascii="Calibri" w:eastAsia="Times New Roman" w:hAnsi="Calibri" w:cs="Calibri"/>
          <w14:ligatures w14:val="standardContextual"/>
        </w:rPr>
        <w:t xml:space="preserve">ideally </w:t>
      </w:r>
      <w:r w:rsidRPr="00605E54">
        <w:rPr>
          <w:rFonts w:ascii="Calibri" w:eastAsia="Times New Roman" w:hAnsi="Calibri" w:cs="Calibri"/>
          <w14:ligatures w14:val="standardContextual"/>
        </w:rPr>
        <w:t>be no more than one page;</w:t>
      </w:r>
    </w:p>
    <w:p w:rsidR="00605E54" w:rsidRPr="00605E54" w:rsidP="00443B0D">
      <w:pPr>
        <w:pStyle w:val="ListParagraph"/>
        <w:widowControl/>
        <w:numPr>
          <w:ilvl w:val="1"/>
          <w:numId w:val="45"/>
        </w:numPr>
        <w:autoSpaceDE/>
        <w:rPr>
          <w:rFonts w:ascii="Calibri" w:eastAsia="Times New Roman" w:hAnsi="Calibri" w:cs="Calibri"/>
          <w14:ligatures w14:val="standardContextual"/>
        </w:rPr>
      </w:pPr>
      <w:r w:rsidRPr="00605E54">
        <w:rPr>
          <w:rFonts w:ascii="Calibri" w:eastAsia="Times New Roman" w:hAnsi="Calibri" w:cs="Calibri"/>
          <w14:ligatures w14:val="standardContextual"/>
        </w:rPr>
        <w:t xml:space="preserve">This disclosure should </w:t>
      </w:r>
      <w:r w:rsidRPr="00605E54">
        <w:rPr>
          <w:rFonts w:ascii="Calibri" w:eastAsia="Times New Roman" w:hAnsi="Calibri" w:cs="Calibri"/>
          <w:u w:val="single"/>
          <w14:ligatures w14:val="standardContextual"/>
        </w:rPr>
        <w:t>only</w:t>
      </w:r>
      <w:r w:rsidRPr="00605E54">
        <w:rPr>
          <w:rFonts w:ascii="Calibri" w:eastAsia="Times New Roman" w:hAnsi="Calibri" w:cs="Calibri"/>
          <w14:ligatures w14:val="standardContextual"/>
        </w:rPr>
        <w:t xml:space="preserve"> </w:t>
      </w:r>
      <w:r w:rsidRPr="00605E54">
        <w:rPr>
          <w:rFonts w:ascii="Calibri" w:eastAsia="Times New Roman" w:hAnsi="Calibri" w:cs="Calibri"/>
          <w14:ligatures w14:val="standardContextual"/>
        </w:rPr>
        <w:t>cover entity level reporting.</w:t>
      </w:r>
    </w:p>
    <w:p w:rsidR="00605E54" w:rsidRPr="00605E54" w:rsidP="00010C75">
      <w:pPr>
        <w:pStyle w:val="ListParagraph"/>
        <w:widowControl/>
        <w:numPr>
          <w:ilvl w:val="0"/>
          <w:numId w:val="45"/>
        </w:numPr>
        <w:autoSpaceDE/>
        <w:rPr>
          <w:rFonts w:ascii="Calibri" w:eastAsia="Times New Roman" w:hAnsi="Calibri" w:cs="Calibri"/>
          <w14:ligatures w14:val="standardContextual"/>
        </w:rPr>
      </w:pPr>
      <w:r w:rsidRPr="00605E54">
        <w:rPr>
          <w:rFonts w:ascii="Calibri" w:eastAsia="Times New Roman" w:hAnsi="Calibri" w:cs="Calibri"/>
          <w14:ligatures w14:val="standardContextual"/>
        </w:rPr>
        <w:t xml:space="preserve">Aim to </w:t>
      </w:r>
      <w:r w:rsidRPr="00605E54">
        <w:rPr>
          <w:rFonts w:ascii="Calibri" w:eastAsia="Times New Roman" w:hAnsi="Calibri" w:cs="Calibri"/>
          <w:b/>
          <w:bCs/>
          <w14:ligatures w14:val="standardContextual"/>
        </w:rPr>
        <w:t>avoid overlap</w:t>
      </w:r>
      <w:r w:rsidRPr="00605E54">
        <w:rPr>
          <w:rFonts w:ascii="Calibri" w:eastAsia="Times New Roman" w:hAnsi="Calibri" w:cs="Calibri"/>
          <w14:ligatures w14:val="standardContextual"/>
        </w:rPr>
        <w:t xml:space="preserve"> as much as possible, on two levels:</w:t>
      </w:r>
    </w:p>
    <w:p w:rsidR="00605E54" w:rsidP="00804CDC">
      <w:pPr>
        <w:pStyle w:val="ListParagraph"/>
        <w:widowControl/>
        <w:numPr>
          <w:ilvl w:val="1"/>
          <w:numId w:val="45"/>
        </w:numPr>
        <w:autoSpaceDE/>
        <w:rPr>
          <w:rFonts w:ascii="Calibri" w:eastAsia="Times New Roman" w:hAnsi="Calibri" w:cs="Calibri"/>
          <w14:ligatures w14:val="standardContextual"/>
        </w:rPr>
      </w:pPr>
      <w:r w:rsidRPr="00605E54">
        <w:rPr>
          <w:rFonts w:ascii="Calibri" w:eastAsia="Times New Roman" w:hAnsi="Calibri" w:cs="Calibri"/>
          <w14:ligatures w14:val="standardContextual"/>
        </w:rPr>
        <w:t xml:space="preserve">On the one hand: to avoid </w:t>
      </w:r>
      <w:r w:rsidRPr="00605E54">
        <w:rPr>
          <w:rFonts w:ascii="Calibri" w:eastAsia="Times New Roman" w:hAnsi="Calibri" w:cs="Calibri"/>
          <w:b/>
          <w:bCs/>
          <w14:ligatures w14:val="standardContextual"/>
        </w:rPr>
        <w:t>overlap within the SFDR disclosures</w:t>
      </w:r>
      <w:r w:rsidRPr="00605E54">
        <w:rPr>
          <w:rFonts w:ascii="Calibri" w:eastAsia="Times New Roman" w:hAnsi="Calibri" w:cs="Calibri"/>
          <w14:ligatures w14:val="standardContextual"/>
        </w:rPr>
        <w:t>.</w:t>
      </w:r>
      <w:r w:rsidRPr="00605E54">
        <w:rPr>
          <w:rFonts w:ascii="Calibri" w:eastAsia="Times New Roman" w:hAnsi="Calibri" w:cs="Calibri"/>
          <w14:ligatures w14:val="standardContextual"/>
        </w:rPr>
        <w:br/>
        <w:t>For example, the website disclosures (conform art. 10 SFDR): most of the information in the website disclosures is also in the pre</w:t>
      </w:r>
      <w:r w:rsidRPr="00D5133F">
        <w:rPr>
          <w:rFonts w:ascii="Calibri" w:eastAsia="Times New Roman" w:hAnsi="Calibri" w:cs="Calibri"/>
          <w14:ligatures w14:val="standardContextual"/>
        </w:rPr>
        <w:t xml:space="preserve">-contractual information. Removing this disclosure requirement reduces the information overload to the end investor, resulting in a more clear, straight forward and consistent provision of </w:t>
      </w:r>
      <w:r w:rsidRPr="003049FF">
        <w:rPr>
          <w:rFonts w:ascii="Calibri" w:eastAsia="Times New Roman" w:hAnsi="Calibri" w:cs="Calibri"/>
          <w14:ligatures w14:val="standardContextual"/>
        </w:rPr>
        <w:t>information to the end investor;</w:t>
      </w:r>
    </w:p>
    <w:p w:rsidR="00605E54" w:rsidRPr="00187C49" w:rsidP="00804CDC">
      <w:pPr>
        <w:pStyle w:val="ListParagraph"/>
        <w:widowControl/>
        <w:numPr>
          <w:ilvl w:val="1"/>
          <w:numId w:val="45"/>
        </w:numPr>
        <w:autoSpaceDE/>
        <w:rPr>
          <w:rFonts w:ascii="Calibri" w:eastAsia="Times New Roman" w:hAnsi="Calibri" w:cs="Calibri"/>
          <w14:ligatures w14:val="standardContextual"/>
        </w:rPr>
      </w:pPr>
      <w:r w:rsidRPr="00804CDC">
        <w:rPr>
          <w:rFonts w:ascii="Calibri" w:eastAsia="Times New Roman" w:hAnsi="Calibri" w:cs="Calibri"/>
          <w14:ligatures w14:val="standardContextual"/>
        </w:rPr>
        <w:t>On the other hand</w:t>
      </w:r>
      <w:r w:rsidRPr="00187C49">
        <w:rPr>
          <w:rFonts w:ascii="Calibri" w:eastAsia="Times New Roman" w:hAnsi="Calibri" w:cs="Calibri"/>
          <w14:ligatures w14:val="standardContextual"/>
        </w:rPr>
        <w:t xml:space="preserve">: to avoid </w:t>
      </w:r>
      <w:r w:rsidRPr="00187C49">
        <w:rPr>
          <w:rFonts w:ascii="Calibri" w:eastAsia="Times New Roman" w:hAnsi="Calibri" w:cs="Calibri"/>
          <w:b/>
          <w:bCs/>
          <w14:ligatures w14:val="standardContextual"/>
        </w:rPr>
        <w:t>overlap with the other sustainable finance regulations</w:t>
      </w:r>
      <w:r w:rsidRPr="00187C49">
        <w:rPr>
          <w:rFonts w:ascii="Calibri" w:eastAsia="Times New Roman" w:hAnsi="Calibri" w:cs="Calibri"/>
          <w14:ligatures w14:val="standardContextual"/>
        </w:rPr>
        <w:t>.</w:t>
      </w:r>
      <w:r w:rsidRPr="00187C49">
        <w:rPr>
          <w:rFonts w:ascii="Calibri" w:eastAsia="Times New Roman" w:hAnsi="Calibri" w:cs="Calibri"/>
          <w14:ligatures w14:val="standardContextual"/>
        </w:rPr>
        <w:br/>
        <w:t xml:space="preserve">For example, the PAI statement on entity level and the CSRD reporting </w:t>
      </w:r>
      <w:r w:rsidRPr="00187C49">
        <w:rPr>
          <w:rFonts w:ascii="Calibri" w:eastAsia="Times New Roman" w:hAnsi="Calibri" w:cs="Calibri"/>
          <w14:ligatures w14:val="standardContextual"/>
        </w:rPr>
        <w:t>requirements</w:t>
      </w:r>
      <w:r w:rsidRPr="00187C49">
        <w:rPr>
          <w:rFonts w:ascii="Calibri" w:eastAsia="Times New Roman" w:hAnsi="Calibri" w:cs="Calibri"/>
          <w14:ligatures w14:val="standardContextual"/>
        </w:rPr>
        <w:t>.</w:t>
      </w:r>
      <w:r w:rsidRPr="00187C49">
        <w:rPr>
          <w:rFonts w:ascii="Calibri" w:eastAsia="Times New Roman" w:hAnsi="Calibri" w:cs="Calibri"/>
          <w14:ligatures w14:val="standardContextual"/>
        </w:rPr>
        <w:br/>
      </w:r>
      <w:r w:rsidRPr="00187C49">
        <w:rPr>
          <w:rFonts w:ascii="Calibri" w:eastAsia="Times New Roman" w:hAnsi="Calibri" w:cs="Calibri"/>
          <w14:ligatures w14:val="standardContextual"/>
        </w:rPr>
        <w:t xml:space="preserve">In order to suit both </w:t>
      </w:r>
      <w:r w:rsidRPr="00187C49">
        <w:rPr>
          <w:rFonts w:ascii="Calibri" w:eastAsia="Times New Roman" w:hAnsi="Calibri" w:cs="Calibri"/>
          <w14:ligatures w14:val="standardContextual"/>
        </w:rPr>
        <w:t>tendencies</w:t>
      </w:r>
      <w:r w:rsidRPr="00187C49">
        <w:rPr>
          <w:rFonts w:ascii="Calibri" w:eastAsia="Times New Roman" w:hAnsi="Calibri" w:cs="Calibri"/>
          <w14:ligatures w14:val="standardContextual"/>
        </w:rPr>
        <w:t xml:space="preserve"> in the market, leave the choice to the FMP to report the entity level disclosures under SFDR or under CSRD.</w:t>
      </w:r>
      <w:r w:rsidRPr="00187C49">
        <w:rPr>
          <w:rFonts w:ascii="Calibri" w:eastAsia="Times New Roman" w:hAnsi="Calibri" w:cs="Calibri"/>
          <w14:ligatures w14:val="standardContextual"/>
        </w:rPr>
        <w:t xml:space="preserve"> Of course, </w:t>
      </w:r>
      <w:r w:rsidRPr="00187C49">
        <w:rPr>
          <w:rFonts w:asciiTheme="minorHAnsi" w:hAnsiTheme="minorHAnsi" w:cstheme="minorHAnsi"/>
          <w:sz w:val="23"/>
          <w:szCs w:val="23"/>
        </w:rPr>
        <w:t xml:space="preserve">knowing that CSRD reporting regime should cover all information to be disclosed under </w:t>
      </w:r>
      <w:r w:rsidRPr="00187C49">
        <w:rPr>
          <w:rFonts w:asciiTheme="minorHAnsi" w:hAnsiTheme="minorHAnsi" w:cstheme="minorHAnsi"/>
          <w:sz w:val="23"/>
          <w:szCs w:val="23"/>
        </w:rPr>
        <w:t>SFDR a</w:t>
      </w:r>
      <w:r w:rsidRPr="00187C49">
        <w:rPr>
          <w:rFonts w:asciiTheme="minorHAnsi" w:hAnsiTheme="minorHAnsi" w:cstheme="minorHAnsi"/>
          <w:sz w:val="23"/>
          <w:szCs w:val="23"/>
        </w:rPr>
        <w:t>rt</w:t>
      </w:r>
      <w:r w:rsidRPr="00187C49">
        <w:rPr>
          <w:rFonts w:asciiTheme="minorHAnsi" w:hAnsiTheme="minorHAnsi" w:cstheme="minorHAnsi"/>
          <w:sz w:val="23"/>
          <w:szCs w:val="23"/>
        </w:rPr>
        <w:t>icles</w:t>
      </w:r>
      <w:r w:rsidRPr="00187C49">
        <w:rPr>
          <w:rFonts w:asciiTheme="minorHAnsi" w:hAnsiTheme="minorHAnsi" w:cstheme="minorHAnsi"/>
          <w:sz w:val="23"/>
          <w:szCs w:val="23"/>
        </w:rPr>
        <w:t xml:space="preserve"> 3, 4(2)(b) and 5 with consistent requirements for all companies and sectors, there is a clear need to streamline the entity level disclosure requirements of the SFDR and the CSRD. For ex</w:t>
      </w:r>
      <w:r w:rsidRPr="00187C49">
        <w:rPr>
          <w:rFonts w:asciiTheme="minorHAnsi" w:hAnsiTheme="minorHAnsi" w:cstheme="minorHAnsi"/>
          <w:sz w:val="23"/>
          <w:szCs w:val="23"/>
        </w:rPr>
        <w:t>a</w:t>
      </w:r>
      <w:r w:rsidRPr="00187C49">
        <w:rPr>
          <w:rFonts w:asciiTheme="minorHAnsi" w:hAnsiTheme="minorHAnsi" w:cstheme="minorHAnsi"/>
          <w:sz w:val="23"/>
          <w:szCs w:val="23"/>
        </w:rPr>
        <w:t xml:space="preserve">mple, the possibility to consolidate all subsidiaries into </w:t>
      </w:r>
      <w:r w:rsidRPr="00187C49">
        <w:rPr>
          <w:rFonts w:asciiTheme="minorHAnsi" w:hAnsiTheme="minorHAnsi" w:cstheme="minorHAnsi"/>
          <w:sz w:val="23"/>
          <w:szCs w:val="23"/>
        </w:rPr>
        <w:t>a single PAI statement.</w:t>
      </w:r>
      <w:r w:rsidRPr="00187C49">
        <w:rPr>
          <w:rFonts w:asciiTheme="minorHAnsi" w:hAnsiTheme="minorHAnsi" w:cstheme="minorHAnsi"/>
          <w:sz w:val="23"/>
          <w:szCs w:val="23"/>
        </w:rPr>
        <w:br/>
      </w:r>
      <w:r w:rsidRPr="00187C49">
        <w:rPr>
          <w:rFonts w:ascii="Calibri" w:hAnsi="Calibri" w:cs="Calibri"/>
          <w:lang w:eastAsia="ja-JP"/>
        </w:rPr>
        <w:t xml:space="preserve">In any case, a clear separation between entity-level and product-level disclosures is needed. It is important for these disclosures to remain independent </w:t>
      </w:r>
      <w:r w:rsidRPr="00187C49">
        <w:rPr>
          <w:rFonts w:ascii="Calibri" w:hAnsi="Calibri" w:cs="Calibri"/>
          <w:lang w:eastAsia="ja-JP"/>
        </w:rPr>
        <w:t>of</w:t>
      </w:r>
      <w:r w:rsidRPr="00187C49">
        <w:rPr>
          <w:rFonts w:ascii="Calibri" w:hAnsi="Calibri" w:cs="Calibri"/>
          <w:lang w:eastAsia="ja-JP"/>
        </w:rPr>
        <w:t xml:space="preserve"> each other.</w:t>
      </w:r>
    </w:p>
    <w:p w:rsidR="00605E54" w:rsidRPr="00727D9F" w:rsidP="00727D9F">
      <w:pPr>
        <w:widowControl/>
        <w:autoSpaceDE/>
        <w:ind w:left="709" w:firstLine="11"/>
        <w:rPr>
          <w:rFonts w:ascii="Calibri" w:eastAsia="Times New Roman" w:hAnsi="Calibri" w:cs="Calibri"/>
          <w14:ligatures w14:val="standardContextual"/>
        </w:rPr>
      </w:pPr>
      <w:r w:rsidRPr="00727D9F">
        <w:rPr>
          <w:rFonts w:ascii="Calibri" w:eastAsia="Times New Roman" w:hAnsi="Calibri" w:cs="Calibri"/>
          <w14:ligatures w14:val="standardContextual"/>
        </w:rPr>
        <w:t>In short, foresee a harmonization within the SFDR regulatory framework as well as between other European sustainable finance regulations/frameworks.</w:t>
      </w:r>
    </w:p>
    <w:p w:rsidR="00605E54" w:rsidRPr="00187C49" w:rsidP="00010C75">
      <w:pPr>
        <w:pStyle w:val="ListParagraph"/>
        <w:widowControl/>
        <w:numPr>
          <w:ilvl w:val="0"/>
          <w:numId w:val="45"/>
        </w:numPr>
        <w:autoSpaceDE/>
        <w:rPr>
          <w:rFonts w:ascii="Calibri" w:eastAsia="Times New Roman" w:hAnsi="Calibri" w:cs="Calibri"/>
          <w14:ligatures w14:val="standardContextual"/>
        </w:rPr>
      </w:pPr>
      <w:r w:rsidRPr="00F902E5">
        <w:rPr>
          <w:rFonts w:ascii="Calibri" w:eastAsia="Times New Roman" w:hAnsi="Calibri" w:cs="Calibri"/>
          <w14:ligatures w14:val="standardContextual"/>
        </w:rPr>
        <w:t xml:space="preserve">Develop </w:t>
      </w:r>
      <w:r w:rsidRPr="00F902E5">
        <w:rPr>
          <w:rFonts w:ascii="Calibri" w:eastAsia="Times New Roman" w:hAnsi="Calibri" w:cs="Calibri"/>
          <w:b/>
          <w:bCs/>
          <w14:ligatures w14:val="standardContextual"/>
        </w:rPr>
        <w:t xml:space="preserve">no additional/new conditions for financial </w:t>
      </w:r>
      <w:r w:rsidRPr="00FC58C1">
        <w:rPr>
          <w:rFonts w:ascii="Calibri" w:eastAsia="Times New Roman" w:hAnsi="Calibri" w:cs="Calibri"/>
          <w14:ligatures w14:val="standardContextual"/>
        </w:rPr>
        <w:t xml:space="preserve">products </w:t>
      </w:r>
      <w:r w:rsidRPr="00FC58C1">
        <w:rPr>
          <w:rFonts w:ascii="Calibri" w:eastAsia="Times New Roman" w:hAnsi="Calibri" w:cs="Calibri"/>
          <w14:ligatures w14:val="standardContextual"/>
        </w:rPr>
        <w:t>without E/S commitments (or non-sustainable products)</w:t>
      </w:r>
      <w:r w:rsidRPr="00F902E5">
        <w:rPr>
          <w:rFonts w:ascii="Calibri" w:eastAsia="Times New Roman" w:hAnsi="Calibri" w:cs="Calibri"/>
          <w14:ligatures w14:val="standardContextual"/>
        </w:rPr>
        <w:t>.</w:t>
      </w:r>
      <w:r w:rsidRPr="00F902E5">
        <w:rPr>
          <w:rFonts w:ascii="Calibri" w:eastAsia="Times New Roman" w:hAnsi="Calibri" w:cs="Calibri"/>
          <w14:ligatures w14:val="standardContextual"/>
        </w:rPr>
        <w:br/>
        <w:t xml:space="preserve">The risk of an overload of information to the </w:t>
      </w:r>
      <w:r w:rsidRPr="00F902E5">
        <w:rPr>
          <w:rFonts w:ascii="Calibri" w:eastAsia="Times New Roman" w:hAnsi="Calibri" w:cs="Calibri"/>
          <w14:ligatures w14:val="standardContextual"/>
        </w:rPr>
        <w:t>end-investor should be avoided at all times. Disclosing too much information in an insufficiently clear manner and/or based upon insufficiently clear distinctions between various financial products could result in insufficient and unclear information about these products on the market. If the end investor no longer has a clear overview, then wrong interpretations and conclusions will be made. This also involves a reputational risk for the FMPs. Therefore, a classification system that is not sufficiently cle</w:t>
      </w:r>
      <w:r w:rsidRPr="00F902E5">
        <w:rPr>
          <w:rFonts w:ascii="Calibri" w:eastAsia="Times New Roman" w:hAnsi="Calibri" w:cs="Calibri"/>
          <w14:ligatures w14:val="standardContextual"/>
        </w:rPr>
        <w:t>ar and not properly defined might result into incorrect expectations of the end-investor.</w:t>
      </w:r>
      <w:r w:rsidRPr="00F902E5">
        <w:rPr>
          <w:rFonts w:ascii="Calibri" w:eastAsia="Times New Roman" w:hAnsi="Calibri" w:cs="Calibri"/>
          <w14:ligatures w14:val="standardContextual"/>
        </w:rPr>
        <w:br/>
        <w:t xml:space="preserve">Taking the above into </w:t>
      </w:r>
      <w:r w:rsidRPr="00187C49">
        <w:rPr>
          <w:rFonts w:ascii="Calibri" w:eastAsia="Times New Roman" w:hAnsi="Calibri" w:cs="Calibri"/>
          <w14:ligatures w14:val="standardContextual"/>
        </w:rPr>
        <w:t xml:space="preserve">account, </w:t>
      </w:r>
      <w:r w:rsidRPr="00187C49">
        <w:rPr>
          <w:rFonts w:ascii="Calibri" w:eastAsia="Times New Roman" w:hAnsi="Calibri" w:cs="Calibri"/>
          <w14:ligatures w14:val="standardContextual"/>
        </w:rPr>
        <w:t xml:space="preserve">the majority of the actors on the Belgian market </w:t>
      </w:r>
      <w:r w:rsidRPr="00187C49">
        <w:rPr>
          <w:rFonts w:ascii="Calibri" w:eastAsia="Times New Roman" w:hAnsi="Calibri" w:cs="Calibri"/>
          <w14:ligatures w14:val="standardContextual"/>
        </w:rPr>
        <w:t xml:space="preserve">are </w:t>
      </w:r>
      <w:r w:rsidRPr="00187C49">
        <w:rPr>
          <w:rFonts w:ascii="Calibri" w:eastAsia="Times New Roman" w:hAnsi="Calibri" w:cs="Calibri"/>
          <w:b/>
          <w:bCs/>
          <w14:ligatures w14:val="standardContextual"/>
        </w:rPr>
        <w:t>not in favor of expanding the scope of the SFDR disclosure requirements to all financial products</w:t>
      </w:r>
      <w:r w:rsidRPr="00187C49">
        <w:rPr>
          <w:rFonts w:ascii="Calibri" w:eastAsia="Times New Roman" w:hAnsi="Calibri" w:cs="Calibri"/>
          <w14:ligatures w14:val="standardContextual"/>
        </w:rPr>
        <w:t xml:space="preserve"> (i.e. including non-sustainable financial products).</w:t>
      </w:r>
      <w:r w:rsidRPr="00187C49">
        <w:rPr>
          <w:rFonts w:ascii="Calibri" w:eastAsia="Times New Roman" w:hAnsi="Calibri" w:cs="Calibri"/>
          <w14:ligatures w14:val="standardContextual"/>
        </w:rPr>
        <w:t xml:space="preserve"> </w:t>
      </w:r>
      <w:r w:rsidRPr="00187C49">
        <w:rPr>
          <w:rFonts w:ascii="Calibri" w:eastAsia="Times New Roman" w:hAnsi="Calibri" w:cs="Calibri"/>
          <w14:ligatures w14:val="standardContextual"/>
        </w:rPr>
        <w:t xml:space="preserve">This extension of the scope will not add </w:t>
      </w:r>
      <w:r w:rsidRPr="00187C49">
        <w:rPr>
          <w:rFonts w:ascii="Calibri" w:eastAsia="Times New Roman" w:hAnsi="Calibri" w:cs="Calibri"/>
          <w14:ligatures w14:val="standardContextual"/>
        </w:rPr>
        <w:t>any value to the disclosure requirements in place today. Even more so, this could result in an unclear distinction between sustainable and unsusta</w:t>
      </w:r>
      <w:r w:rsidRPr="00187C49">
        <w:rPr>
          <w:rFonts w:ascii="Calibri" w:eastAsia="Times New Roman" w:hAnsi="Calibri" w:cs="Calibri"/>
          <w14:ligatures w14:val="standardContextual"/>
        </w:rPr>
        <w:t xml:space="preserve">inable financial products for the end-investor. If too much sustainability related information is provided to the end-investor (whether the product is sustainable or not), the impression may arise that non-sustainable products are sustainable (increasing the risk of greenwashing). In addition, end investors without any interest in sustainability will not be triggered to invest in sustainable products by the additional disclosure requirements for all financial products. The expanding of the scope would lead </w:t>
      </w:r>
      <w:r w:rsidRPr="00187C49">
        <w:rPr>
          <w:rFonts w:ascii="Calibri" w:eastAsia="Times New Roman" w:hAnsi="Calibri" w:cs="Calibri"/>
          <w14:ligatures w14:val="standardContextual"/>
        </w:rPr>
        <w:t>into an overload of information.</w:t>
      </w:r>
      <w:r w:rsidRPr="00187C49">
        <w:rPr>
          <w:rFonts w:ascii="Calibri" w:eastAsia="Times New Roman" w:hAnsi="Calibri" w:cs="Calibri"/>
          <w14:ligatures w14:val="standardContextual"/>
        </w:rPr>
        <w:br/>
        <w:t>In this context, we would like to highlight there is a clear distinction in terms of sustainable and non-sustainable products today and that a minimum level of sustainability-related information already must be included in the documentation for the non-sustainable products today, namely:</w:t>
      </w:r>
    </w:p>
    <w:p w:rsidR="00605E54" w:rsidRPr="00187C49" w:rsidP="00010C75">
      <w:pPr>
        <w:pStyle w:val="ListParagraph"/>
        <w:widowControl/>
        <w:numPr>
          <w:ilvl w:val="1"/>
          <w:numId w:val="45"/>
        </w:numPr>
        <w:autoSpaceDE/>
        <w:rPr>
          <w:rFonts w:ascii="Calibri" w:eastAsia="Times New Roman" w:hAnsi="Calibri" w:cs="Calibri"/>
          <w14:ligatures w14:val="standardContextual"/>
        </w:rPr>
      </w:pPr>
      <w:r w:rsidRPr="00187C49">
        <w:rPr>
          <w:rFonts w:ascii="Calibri" w:eastAsia="Times New Roman" w:hAnsi="Calibri" w:cs="Calibri"/>
          <w14:ligatures w14:val="standardContextual"/>
        </w:rPr>
        <w:t>PAI - disclosures on product level (in both the precontractual and periodic information), indicating whether or not sustainability risks are taken into account;</w:t>
      </w:r>
    </w:p>
    <w:p w:rsidR="00605E54" w:rsidRPr="00187C49" w:rsidP="00010C75">
      <w:pPr>
        <w:pStyle w:val="ListParagraph"/>
        <w:widowControl/>
        <w:numPr>
          <w:ilvl w:val="1"/>
          <w:numId w:val="45"/>
        </w:numPr>
        <w:autoSpaceDE/>
        <w:rPr>
          <w:rFonts w:ascii="Calibri" w:eastAsia="Times New Roman" w:hAnsi="Calibri" w:cs="Calibri"/>
          <w14:ligatures w14:val="standardContextual"/>
        </w:rPr>
      </w:pPr>
      <w:r w:rsidRPr="00187C49">
        <w:rPr>
          <w:rFonts w:ascii="Calibri" w:eastAsia="Times New Roman" w:hAnsi="Calibri" w:cs="Calibri"/>
          <w14:ligatures w14:val="standardContextual"/>
        </w:rPr>
        <w:t>Transparency about the integration of sustainability risks in the management of the financial product;</w:t>
      </w:r>
    </w:p>
    <w:p w:rsidR="00605E54" w:rsidRPr="00187C49" w:rsidP="00010C75">
      <w:pPr>
        <w:pStyle w:val="ListParagraph"/>
        <w:widowControl/>
        <w:numPr>
          <w:ilvl w:val="1"/>
          <w:numId w:val="45"/>
        </w:numPr>
        <w:autoSpaceDE/>
        <w:rPr>
          <w:rFonts w:ascii="Calibri" w:eastAsia="Times New Roman" w:hAnsi="Calibri" w:cs="Calibri"/>
          <w14:ligatures w14:val="standardContextual"/>
        </w:rPr>
      </w:pPr>
      <w:r w:rsidRPr="00187C49">
        <w:rPr>
          <w:rFonts w:ascii="Calibri" w:eastAsia="Times New Roman" w:hAnsi="Calibri" w:cs="Calibri"/>
          <w14:ligatures w14:val="standardContextual"/>
        </w:rPr>
        <w:t>Sustainability risks as part of the risk profile of the financial product; and</w:t>
      </w:r>
    </w:p>
    <w:p w:rsidR="00605E54" w:rsidRPr="00187C49" w:rsidP="00010C75">
      <w:pPr>
        <w:pStyle w:val="ListParagraph"/>
        <w:widowControl/>
        <w:numPr>
          <w:ilvl w:val="1"/>
          <w:numId w:val="45"/>
        </w:numPr>
        <w:autoSpaceDE/>
        <w:rPr>
          <w:rFonts w:ascii="Calibri" w:eastAsia="Times New Roman" w:hAnsi="Calibri" w:cs="Calibri"/>
          <w14:ligatures w14:val="standardContextual"/>
        </w:rPr>
      </w:pPr>
      <w:r w:rsidRPr="00187C49">
        <w:rPr>
          <w:rFonts w:ascii="Calibri" w:eastAsia="Times New Roman" w:hAnsi="Calibri" w:cs="Calibri"/>
          <w14:ligatures w14:val="standardContextual"/>
        </w:rPr>
        <w:t>Taxonomy disclosure (in both the precontractual and periodic information).</w:t>
      </w:r>
    </w:p>
    <w:p w:rsidR="00605E54" w:rsidRPr="00187C49" w:rsidP="00010C75">
      <w:pPr>
        <w:pStyle w:val="ListParagraph"/>
        <w:widowControl/>
        <w:numPr>
          <w:ilvl w:val="0"/>
          <w:numId w:val="45"/>
        </w:numPr>
        <w:autoSpaceDE/>
        <w:rPr>
          <w:rFonts w:ascii="Calibri" w:eastAsia="Times New Roman" w:hAnsi="Calibri" w:cs="Calibri"/>
          <w14:ligatures w14:val="standardContextual"/>
        </w:rPr>
      </w:pPr>
      <w:r w:rsidRPr="00187C49">
        <w:rPr>
          <w:rFonts w:eastAsia="Times New Roman" w:asciiTheme="minorHAnsi" w:hAnsiTheme="minorHAnsi" w:cstheme="minorHAnsi"/>
          <w:b/>
          <w:bCs/>
          <w14:ligatures w14:val="standardContextual"/>
        </w:rPr>
        <w:t>Incorporate</w:t>
      </w:r>
      <w:r w:rsidRPr="00187C49">
        <w:rPr>
          <w:rFonts w:eastAsia="Times New Roman" w:asciiTheme="minorHAnsi" w:hAnsiTheme="minorHAnsi" w:cstheme="minorHAnsi"/>
          <w14:ligatures w14:val="standardContextual"/>
        </w:rPr>
        <w:t xml:space="preserve"> the </w:t>
      </w:r>
      <w:r w:rsidRPr="00187C49">
        <w:rPr>
          <w:rFonts w:eastAsia="Times New Roman" w:asciiTheme="minorHAnsi" w:hAnsiTheme="minorHAnsi" w:cstheme="minorHAnsi"/>
          <w:b/>
          <w:bCs/>
          <w14:ligatures w14:val="standardContextual"/>
        </w:rPr>
        <w:t>transition concept</w:t>
      </w:r>
      <w:r w:rsidRPr="00187C49">
        <w:rPr>
          <w:rFonts w:eastAsia="Times New Roman" w:asciiTheme="minorHAnsi" w:hAnsiTheme="minorHAnsi" w:cstheme="minorHAnsi"/>
          <w14:ligatures w14:val="standardContextual"/>
        </w:rPr>
        <w:t xml:space="preserve"> clearly into the SFDR framework</w:t>
      </w:r>
      <w:r w:rsidRPr="00187C49">
        <w:rPr>
          <w:rFonts w:eastAsia="Times New Roman" w:asciiTheme="minorHAnsi" w:hAnsiTheme="minorHAnsi" w:cstheme="minorHAnsi"/>
          <w14:ligatures w14:val="standardContextual"/>
        </w:rPr>
        <w:t xml:space="preserve"> as financing the transition is key to achieve the target of sustainable development</w:t>
      </w:r>
      <w:r w:rsidRPr="00187C49">
        <w:rPr>
          <w:rFonts w:eastAsia="Times New Roman" w:asciiTheme="minorHAnsi" w:hAnsiTheme="minorHAnsi" w:cstheme="minorHAnsi"/>
          <w14:ligatures w14:val="standardContextual"/>
        </w:rPr>
        <w:t>;</w:t>
      </w:r>
    </w:p>
    <w:p w:rsidR="00605E54" w:rsidRPr="00187C49" w:rsidP="00010C75">
      <w:pPr>
        <w:pStyle w:val="ListParagraph"/>
        <w:widowControl/>
        <w:numPr>
          <w:ilvl w:val="0"/>
          <w:numId w:val="45"/>
        </w:numPr>
        <w:autoSpaceDE/>
        <w:autoSpaceDN/>
        <w:rPr>
          <w:rFonts w:eastAsia="Times New Roman" w:asciiTheme="minorHAnsi" w:hAnsiTheme="minorHAnsi" w:cstheme="minorHAnsi"/>
          <w14:ligatures w14:val="standardContextual"/>
        </w:rPr>
      </w:pPr>
      <w:r w:rsidRPr="00187C49">
        <w:rPr>
          <w:rFonts w:ascii="Calibri" w:eastAsia="Times New Roman" w:hAnsi="Calibri" w:cs="Calibri"/>
          <w:b/>
          <w:bCs/>
          <w14:ligatures w14:val="standardContextual"/>
        </w:rPr>
        <w:t>Agree on a high level of flexibility in ESG methodologies and eligible asset categories</w:t>
      </w:r>
      <w:r w:rsidRPr="00187C49">
        <w:rPr>
          <w:rFonts w:ascii="Calibri" w:eastAsia="Times New Roman" w:hAnsi="Calibri" w:cs="Calibri"/>
          <w14:ligatures w14:val="standardContextual"/>
        </w:rPr>
        <w:t xml:space="preserve"> in order to be able to create and introduce </w:t>
      </w:r>
      <w:r w:rsidRPr="00187C49">
        <w:rPr>
          <w:rFonts w:ascii="Calibri" w:eastAsia="Times New Roman" w:hAnsi="Calibri" w:cs="Calibri"/>
          <w14:ligatures w14:val="standardContextual"/>
        </w:rPr>
        <w:t xml:space="preserve">a wide variety of </w:t>
      </w:r>
      <w:r w:rsidRPr="00187C49">
        <w:rPr>
          <w:rFonts w:ascii="Calibri" w:eastAsia="Times New Roman" w:hAnsi="Calibri" w:cs="Calibri"/>
          <w14:ligatures w14:val="standardContextual"/>
        </w:rPr>
        <w:t>sustainable products on the financial market.</w:t>
      </w:r>
      <w:r w:rsidRPr="00187C49">
        <w:rPr>
          <w:rFonts w:ascii="Calibri" w:eastAsia="Times New Roman" w:hAnsi="Calibri" w:cs="Calibri"/>
          <w14:ligatures w14:val="standardContextual"/>
        </w:rPr>
        <w:br/>
        <w:t>In other words, allow sufficient room for all type of financial products to be able to get classified as sustainable products according to SFDR.</w:t>
      </w:r>
    </w:p>
    <w:p w:rsidR="00605E54" w:rsidRPr="00187C49" w:rsidP="00010C75">
      <w:pPr>
        <w:pStyle w:val="ListParagraph"/>
        <w:widowControl/>
        <w:numPr>
          <w:ilvl w:val="0"/>
          <w:numId w:val="45"/>
        </w:numPr>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b/>
          <w:bCs/>
          <w14:ligatures w14:val="standardContextual"/>
        </w:rPr>
        <w:t>Focus</w:t>
      </w:r>
      <w:r w:rsidRPr="00187C49">
        <w:rPr>
          <w:rFonts w:eastAsia="Times New Roman" w:asciiTheme="minorHAnsi" w:hAnsiTheme="minorHAnsi" w:cstheme="minorHAnsi"/>
          <w14:ligatures w14:val="standardContextual"/>
        </w:rPr>
        <w:t xml:space="preserve"> the sustainable finance regulation </w:t>
      </w:r>
      <w:r w:rsidRPr="00187C49">
        <w:rPr>
          <w:rFonts w:eastAsia="Times New Roman" w:asciiTheme="minorHAnsi" w:hAnsiTheme="minorHAnsi" w:cstheme="minorHAnsi"/>
          <w:b/>
          <w:bCs/>
          <w14:ligatures w14:val="standardContextual"/>
        </w:rPr>
        <w:t>on the strategies and ambition level of financial products</w:t>
      </w:r>
      <w:r w:rsidRPr="00187C49">
        <w:rPr>
          <w:rFonts w:eastAsia="Times New Roman" w:asciiTheme="minorHAnsi" w:hAnsiTheme="minorHAnsi" w:cstheme="minorHAnsi"/>
          <w14:ligatures w14:val="standardContextual"/>
        </w:rPr>
        <w:t>;</w:t>
      </w:r>
    </w:p>
    <w:p w:rsidR="00605E54" w:rsidRPr="00187C49" w:rsidP="00010C75">
      <w:pPr>
        <w:pStyle w:val="ListParagraph"/>
        <w:widowControl/>
        <w:numPr>
          <w:ilvl w:val="0"/>
          <w:numId w:val="45"/>
        </w:numPr>
        <w:autoSpaceDE/>
        <w:rPr>
          <w:rFonts w:ascii="Calibri" w:eastAsia="Times New Roman" w:hAnsi="Calibri" w:cs="Calibri"/>
          <w14:ligatures w14:val="standardContextual"/>
        </w:rPr>
      </w:pPr>
      <w:r w:rsidRPr="00187C49">
        <w:rPr>
          <w:rFonts w:ascii="Calibri" w:eastAsia="Times New Roman" w:hAnsi="Calibri" w:cs="Calibri"/>
          <w14:ligatures w14:val="standardContextual"/>
        </w:rPr>
        <w:t xml:space="preserve">Combining the two above principles, we suggest that </w:t>
      </w:r>
      <w:r w:rsidRPr="00187C49">
        <w:rPr>
          <w:rFonts w:ascii="Calibri" w:eastAsia="Times New Roman" w:hAnsi="Calibri" w:cs="Calibri"/>
          <w:b/>
          <w:bCs/>
          <w14:ligatures w14:val="standardContextual"/>
        </w:rPr>
        <w:t>if certain binding minimum requirements would need to be introduced</w:t>
      </w:r>
      <w:r w:rsidRPr="00187C49">
        <w:rPr>
          <w:rFonts w:ascii="Calibri" w:eastAsia="Times New Roman" w:hAnsi="Calibri" w:cs="Calibri"/>
          <w14:ligatures w14:val="standardContextual"/>
        </w:rPr>
        <w:t>, that</w:t>
      </w:r>
      <w:r w:rsidRPr="00187C49">
        <w:rPr>
          <w:rFonts w:ascii="Calibri" w:eastAsia="Times New Roman" w:hAnsi="Calibri" w:cs="Calibri"/>
          <w14:ligatures w14:val="standardContextual"/>
        </w:rPr>
        <w:t xml:space="preserve"> these </w:t>
      </w:r>
      <w:r w:rsidRPr="00187C49">
        <w:rPr>
          <w:rFonts w:ascii="Calibri" w:eastAsia="Times New Roman" w:hAnsi="Calibri" w:cs="Calibri"/>
          <w:b/>
          <w:bCs/>
          <w14:ligatures w14:val="standardContextual"/>
        </w:rPr>
        <w:t xml:space="preserve">should be linked to the </w:t>
      </w:r>
      <w:r w:rsidRPr="00187C49">
        <w:rPr>
          <w:rFonts w:ascii="Calibri" w:eastAsia="Times New Roman" w:hAnsi="Calibri" w:cs="Calibri"/>
          <w:b/>
          <w:bCs/>
          <w14:ligatures w14:val="standardContextual"/>
        </w:rPr>
        <w:t>ambition</w:t>
      </w:r>
      <w:r w:rsidRPr="00187C49">
        <w:rPr>
          <w:rFonts w:ascii="Calibri" w:eastAsia="Times New Roman" w:hAnsi="Calibri" w:cs="Calibri"/>
          <w:b/>
          <w:bCs/>
          <w14:ligatures w14:val="standardContextual"/>
        </w:rPr>
        <w:t xml:space="preserve"> level of the </w:t>
      </w:r>
      <w:r w:rsidRPr="00187C49">
        <w:rPr>
          <w:rFonts w:ascii="Calibri" w:eastAsia="Times New Roman" w:hAnsi="Calibri" w:cs="Calibri"/>
          <w:b/>
          <w:bCs/>
          <w14:ligatures w14:val="standardContextual"/>
        </w:rPr>
        <w:t>financial</w:t>
      </w:r>
      <w:r w:rsidRPr="00187C49">
        <w:rPr>
          <w:rFonts w:ascii="Calibri" w:eastAsia="Times New Roman" w:hAnsi="Calibri" w:cs="Calibri"/>
          <w:b/>
          <w:bCs/>
          <w14:ligatures w14:val="standardContextual"/>
        </w:rPr>
        <w:t xml:space="preserve"> product</w:t>
      </w:r>
      <w:r w:rsidRPr="00187C49">
        <w:rPr>
          <w:rFonts w:ascii="Calibri" w:eastAsia="Times New Roman" w:hAnsi="Calibri" w:cs="Calibri"/>
          <w14:ligatures w14:val="standardContextual"/>
        </w:rPr>
        <w:t>. These binding minimum requirements can be differentiated between different types of financials products as well as between asset managers. This is linked to ESMA's consultation on fund names as fund names should clearly reflect the ambition and intentionality of the financial product.</w:t>
      </w:r>
    </w:p>
    <w:p w:rsidR="00605E54" w:rsidRPr="00187C49" w:rsidP="00192E75">
      <w:pPr>
        <w:widowControl/>
        <w:autoSpaceDE/>
        <w:rPr>
          <w:rFonts w:ascii="Calibri" w:eastAsia="Times New Roman" w:hAnsi="Calibri" w:cs="Calibri"/>
          <w14:ligatures w14:val="standardContextual"/>
        </w:rPr>
      </w:pPr>
    </w:p>
    <w:p w:rsidR="00605E54" w:rsidRPr="00187C49" w:rsidP="00192E75">
      <w:pPr>
        <w:widowControl/>
        <w:autoSpaceDE/>
        <w:rPr>
          <w:rFonts w:ascii="Calibri" w:eastAsia="Times New Roman" w:hAnsi="Calibri" w:cs="Calibri"/>
          <w14:ligatures w14:val="standardContextual"/>
        </w:rPr>
      </w:pPr>
      <w:r w:rsidRPr="00187C49">
        <w:rPr>
          <w:rFonts w:ascii="Calibri" w:eastAsia="Times New Roman" w:hAnsi="Calibri" w:cs="Calibri"/>
          <w14:ligatures w14:val="standardContextual"/>
        </w:rPr>
        <w:t>As referred to in the introduction we see two possible ways forward to implement these principles.</w:t>
      </w:r>
    </w:p>
    <w:p w:rsidR="00605E54" w:rsidRPr="00187C49" w:rsidP="00010C75">
      <w:pPr>
        <w:widowControl/>
        <w:autoSpaceDE/>
        <w:rPr>
          <w:rFonts w:ascii="Calibri" w:eastAsia="Times New Roman" w:hAnsi="Calibri" w:cs="Calibri"/>
          <w14:ligatures w14:val="standardContextual"/>
        </w:rPr>
      </w:pPr>
    </w:p>
    <w:p w:rsidR="00605E54" w:rsidRPr="00187C49" w:rsidP="00010C75">
      <w:pPr>
        <w:widowControl/>
        <w:autoSpaceDE/>
        <w:rPr>
          <w:rFonts w:ascii="Calibri" w:eastAsia="Times New Roman" w:hAnsi="Calibri" w:cs="Calibri"/>
          <w14:ligatures w14:val="standardContextual"/>
        </w:rPr>
      </w:pPr>
    </w:p>
    <w:p w:rsidR="00605E54" w:rsidRPr="00187C49" w:rsidP="00010C75">
      <w:pPr>
        <w:widowControl/>
        <w:autoSpaceDE/>
        <w:rPr>
          <w:rFonts w:ascii="Calibri" w:eastAsia="Times New Roman" w:hAnsi="Calibri" w:cs="Calibri"/>
          <w:b/>
          <w:bCs/>
          <w:u w:val="single"/>
          <w14:ligatures w14:val="standardContextual"/>
        </w:rPr>
      </w:pPr>
      <w:r w:rsidRPr="00187C49">
        <w:rPr>
          <w:rFonts w:ascii="Calibri" w:eastAsia="Times New Roman" w:hAnsi="Calibri" w:cs="Calibri"/>
          <w:b/>
          <w:bCs/>
          <w:u w:val="single"/>
          <w14:ligatures w14:val="standardContextual"/>
        </w:rPr>
        <w:t xml:space="preserve">Position 1: </w:t>
      </w:r>
      <w:r w:rsidRPr="00187C49">
        <w:rPr>
          <w:rFonts w:eastAsia="Times New Roman" w:asciiTheme="minorHAnsi" w:hAnsiTheme="minorHAnsi" w:cstheme="minorHAnsi"/>
          <w:b/>
          <w:bCs/>
          <w:u w:val="single"/>
          <w14:ligatures w14:val="standardContextual"/>
        </w:rPr>
        <w:t xml:space="preserve">stay as close as possible to the current SFDR article 8/9 </w:t>
      </w:r>
      <w:r w:rsidRPr="00187C49">
        <w:rPr>
          <w:rFonts w:eastAsia="Times New Roman" w:asciiTheme="minorHAnsi" w:hAnsiTheme="minorHAnsi" w:cstheme="minorHAnsi"/>
          <w:b/>
          <w:bCs/>
          <w:u w:val="single"/>
          <w14:ligatures w14:val="standardContextual"/>
        </w:rPr>
        <w:t>products</w:t>
      </w:r>
    </w:p>
    <w:p w:rsidR="00605E54" w:rsidRPr="00187C49" w:rsidP="00010C75">
      <w:pPr>
        <w:rPr>
          <w:rFonts w:ascii="Calibri" w:eastAsia="Times New Roman" w:hAnsi="Calibri" w:cs="Calibri"/>
          <w14:ligatures w14:val="standardContextual"/>
        </w:rPr>
      </w:pPr>
      <w:r w:rsidRPr="00187C49">
        <w:rPr>
          <w:rFonts w:ascii="Calibri" w:eastAsia="Times New Roman" w:hAnsi="Calibri" w:cs="Calibri"/>
          <w14:ligatures w14:val="standardContextual"/>
        </w:rPr>
        <w:t xml:space="preserve">Concerning the introduction of a categorization system, asset managers in favor of this position want to stress that </w:t>
      </w:r>
      <w:r w:rsidRPr="00187C49">
        <w:rPr>
          <w:rFonts w:ascii="Calibri" w:eastAsia="Times New Roman" w:hAnsi="Calibri" w:cs="Calibri"/>
          <w:b/>
          <w:bCs/>
          <w14:ligatures w14:val="standardContextual"/>
        </w:rPr>
        <w:t>a new categorization system will have an impact on the current SFDR regulation</w:t>
      </w:r>
      <w:r w:rsidRPr="00187C49">
        <w:rPr>
          <w:rFonts w:ascii="Calibri" w:eastAsia="Times New Roman" w:hAnsi="Calibri" w:cs="Calibri"/>
          <w14:ligatures w14:val="standardContextual"/>
        </w:rPr>
        <w:t>.</w:t>
      </w:r>
      <w:r w:rsidRPr="00187C49">
        <w:rPr>
          <w:rFonts w:ascii="Calibri" w:eastAsia="Times New Roman" w:hAnsi="Calibri" w:cs="Calibri"/>
          <w14:ligatures w14:val="standardContextual"/>
        </w:rPr>
        <w:br/>
        <w:t>The financial sector is still implementing the SFDR disclosure requirements. The SFDR regulation has not yet been able to prove its full usefulness given the ongoing implementation and recent disclosures and reports. Therefore, these asset managers strongly oppose the introduction of a new categorization system, and suggest staying with the current SFDR article 8/9 products.</w:t>
      </w:r>
    </w:p>
    <w:p w:rsidR="00605E54" w:rsidRPr="00187C49" w:rsidP="00010C75">
      <w:pPr>
        <w:rPr>
          <w:rFonts w:ascii="Calibri" w:eastAsia="Times New Roman" w:hAnsi="Calibri" w:cs="Calibri"/>
          <w14:ligatures w14:val="standardContextual"/>
        </w:rPr>
      </w:pPr>
    </w:p>
    <w:p w:rsidR="00605E54" w:rsidRPr="00187C49" w:rsidP="00010C75">
      <w:pPr>
        <w:rPr>
          <w:rFonts w:ascii="Calibri" w:eastAsia="Times New Roman" w:hAnsi="Calibri" w:cs="Calibri"/>
          <w:lang w:val="en-GB"/>
          <w14:ligatures w14:val="standardContextual"/>
        </w:rPr>
      </w:pPr>
      <w:r w:rsidRPr="00187C49">
        <w:rPr>
          <w:rFonts w:ascii="Calibri" w:eastAsia="Times New Roman" w:hAnsi="Calibri" w:cs="Calibri"/>
          <w14:ligatures w14:val="standardContextual"/>
        </w:rPr>
        <w:t>Furthermore, implementing a new categorization system might decrease the much needed level of flexibility to create as many sustainable products on the financial market as possible.</w:t>
      </w:r>
      <w:r w:rsidRPr="00187C49">
        <w:rPr>
          <w:rFonts w:ascii="Calibri" w:eastAsia="Times New Roman" w:hAnsi="Calibri" w:cs="Calibri"/>
          <w14:ligatures w14:val="standardContextual"/>
        </w:rPr>
        <w:br/>
        <w:t>In this regard, it should also be noted that other similar initiatives are already in place: the ESMA consultation on the fund names and the EU Taxonomy. An additional product categorization system could lead to more complexity and unclarity.</w:t>
      </w:r>
    </w:p>
    <w:p w:rsidR="00605E54" w:rsidRPr="00187C49" w:rsidP="00010C75">
      <w:pPr>
        <w:widowControl/>
        <w:autoSpaceDE/>
        <w:rPr>
          <w:rFonts w:ascii="Calibri" w:eastAsia="Times New Roman" w:hAnsi="Calibri" w:cs="Calibri"/>
          <w14:ligatures w14:val="standardContextual"/>
        </w:rPr>
      </w:pPr>
    </w:p>
    <w:p w:rsidR="00605E54" w:rsidRPr="00187C49" w:rsidP="00010C75">
      <w:pPr>
        <w:widowControl/>
        <w:autoSpaceDE/>
        <w:rPr>
          <w:rFonts w:ascii="Calibri" w:eastAsia="Times New Roman" w:hAnsi="Calibri" w:cs="Calibri"/>
          <w14:ligatures w14:val="standardContextual"/>
        </w:rPr>
      </w:pPr>
      <w:r w:rsidRPr="00187C49">
        <w:rPr>
          <w:rFonts w:ascii="Calibri" w:eastAsia="Times New Roman" w:hAnsi="Calibri" w:cs="Calibri"/>
          <w14:ligatures w14:val="standardContextual"/>
        </w:rPr>
        <w:t>If a new categorization system was to be implemented, asset managers in favor of sticking to the current SFDR article 8/9 products would like to highlight that the FMP’s should retain sufficient flexibility in applying their own ESG methodologies. If not, a risk concentration in investments could occur impacting the risk and return characteristics of the investment product of the clients.</w:t>
      </w:r>
    </w:p>
    <w:p w:rsidR="00605E54" w:rsidRPr="00187C49" w:rsidP="00010C75">
      <w:pPr>
        <w:widowControl/>
        <w:autoSpaceDE/>
        <w:rPr>
          <w:rFonts w:ascii="Calibri" w:eastAsia="Times New Roman" w:hAnsi="Calibri" w:cs="Calibri"/>
          <w14:ligatures w14:val="standardContextual"/>
        </w:rPr>
      </w:pPr>
    </w:p>
    <w:p w:rsidR="00605E54" w:rsidRPr="00187C49" w:rsidP="00010C75">
      <w:pPr>
        <w:widowControl/>
        <w:autoSpaceDE/>
        <w:rPr>
          <w:rFonts w:ascii="Calibri" w:eastAsia="Times New Roman" w:hAnsi="Calibri" w:cs="Calibri"/>
          <w14:ligatures w14:val="standardContextual"/>
        </w:rPr>
      </w:pPr>
    </w:p>
    <w:p w:rsidR="00605E54" w:rsidRPr="00187C49" w:rsidP="00010C75">
      <w:pPr>
        <w:widowControl/>
        <w:autoSpaceDE/>
        <w:autoSpaceDN/>
        <w:rPr>
          <w:rFonts w:eastAsia="Times New Roman" w:asciiTheme="minorHAnsi" w:hAnsiTheme="minorHAnsi" w:cstheme="minorHAnsi"/>
          <w:b/>
          <w:bCs/>
          <w:u w:val="single"/>
          <w14:ligatures w14:val="standardContextual"/>
        </w:rPr>
      </w:pPr>
      <w:r w:rsidRPr="00187C49">
        <w:rPr>
          <w:rFonts w:eastAsia="Times New Roman" w:asciiTheme="minorHAnsi" w:hAnsiTheme="minorHAnsi" w:cstheme="minorHAnsi"/>
          <w:b/>
          <w:bCs/>
          <w:u w:val="single"/>
          <w14:ligatures w14:val="standardContextual"/>
        </w:rPr>
        <w:t>Position 2: work out a new SFDR product categorization</w:t>
      </w:r>
    </w:p>
    <w:p w:rsidR="00605E54" w:rsidRPr="00187C49" w:rsidP="00010C75">
      <w:pPr>
        <w:widowControl/>
        <w:autoSpaceDE/>
        <w:autoSpaceDN/>
        <w:rPr>
          <w:rFonts w:eastAsia="Times New Roman" w:asciiTheme="minorHAnsi" w:hAnsiTheme="minorHAnsi" w:cstheme="minorHAnsi"/>
          <w14:ligatures w14:val="standardContextual"/>
        </w:rPr>
      </w:pPr>
      <w:r w:rsidRPr="00187C49">
        <w:rPr>
          <w:rFonts w:ascii="Calibri" w:eastAsia="Times New Roman" w:hAnsi="Calibri" w:cs="Calibri"/>
          <w14:ligatures w14:val="standardContextual"/>
        </w:rPr>
        <w:t xml:space="preserve">Concerning the introduction of a categorization system, asset managers in favor of this position want </w:t>
      </w:r>
      <w:r w:rsidRPr="00187C49">
        <w:rPr>
          <w:rFonts w:eastAsia="Times New Roman" w:asciiTheme="minorHAnsi" w:hAnsiTheme="minorHAnsi" w:cstheme="minorHAnsi"/>
          <w14:ligatures w14:val="standardContextual"/>
        </w:rPr>
        <w:t>SFDR to evolve from a transparency regime to one that includes minimum investment requirements which would result in clear product categories that can be linked/aligned to the MIF/IDD (insurance MIF) questions. These minimum requirements would be applicable to all sustainable strategies.</w:t>
      </w:r>
      <w:r w:rsidRPr="00187C49">
        <w:rPr>
          <w:rFonts w:eastAsia="Times New Roman" w:asciiTheme="minorHAnsi" w:hAnsiTheme="minorHAnsi" w:cstheme="minorHAnsi"/>
          <w14:ligatures w14:val="standardContextual"/>
        </w:rPr>
        <w:br/>
        <w:t>Concretely, these minimum requirements should be:</w:t>
      </w:r>
    </w:p>
    <w:p w:rsidR="00605E54" w:rsidRPr="00187C49" w:rsidP="00010C75">
      <w:pPr>
        <w:pStyle w:val="ListParagraph"/>
        <w:widowControl/>
        <w:numPr>
          <w:ilvl w:val="0"/>
          <w:numId w:val="42"/>
        </w:numPr>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The financial product must demonstrate that it has a binding and measurable target that is significantly higher or very significantly higher than the target of its benchmark or investment universe, or demonstrate that significant targets or very significant targets have been set (i.e. absolute thresholds).</w:t>
      </w:r>
      <w:r w:rsidRPr="00187C49">
        <w:rPr>
          <w:rFonts w:eastAsia="Times New Roman" w:asciiTheme="minorHAnsi" w:hAnsiTheme="minorHAnsi" w:cstheme="minorHAnsi"/>
          <w14:ligatures w14:val="standardContextual"/>
        </w:rPr>
        <w:br/>
        <w:t>In this regard, article 2.17 of the SFDR (“sustainable investment” applied at issuer level) should be replaced by a concept built on binding and measurable targets at financial product level (“sustainable investment” could still be an indicator, but then this concept should be better defined);</w:t>
      </w:r>
    </w:p>
    <w:p w:rsidR="00605E54" w:rsidRPr="00187C49" w:rsidP="00010C75">
      <w:pPr>
        <w:pStyle w:val="ListParagraph"/>
        <w:widowControl/>
        <w:numPr>
          <w:ilvl w:val="0"/>
          <w:numId w:val="42"/>
        </w:numPr>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The financial product must demonstrate that all mandatory PAIs are taken into account in its investment process; and</w:t>
      </w:r>
    </w:p>
    <w:p w:rsidR="00605E54" w:rsidRPr="00187C49" w:rsidP="00010C75">
      <w:pPr>
        <w:pStyle w:val="ListParagraph"/>
        <w:widowControl/>
        <w:numPr>
          <w:ilvl w:val="0"/>
          <w:numId w:val="42"/>
        </w:numPr>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The financial product must apply CTB-like exclusions.</w:t>
      </w:r>
    </w:p>
    <w:p w:rsidR="00605E54" w:rsidRPr="00187C49" w:rsidP="00010C75">
      <w:pPr>
        <w:widowControl/>
        <w:autoSpaceDE/>
        <w:autoSpaceDN/>
        <w:rPr>
          <w:rFonts w:eastAsia="Times New Roman" w:asciiTheme="minorHAnsi" w:hAnsiTheme="minorHAnsi" w:cstheme="minorHAnsi"/>
          <w14:ligatures w14:val="standardContextual"/>
        </w:rPr>
      </w:pPr>
    </w:p>
    <w:p w:rsidR="00605E54" w:rsidRPr="00187C49" w:rsidP="00010C75">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Furthermore, the European regulator should apply the equivalence principle to national labels and strategies equivalent to the PAB/CTB-criteria.</w:t>
      </w:r>
    </w:p>
    <w:p w:rsidR="00605E54" w:rsidRPr="00187C49" w:rsidP="00010C75">
      <w:pPr>
        <w:widowControl/>
        <w:autoSpaceDE/>
        <w:autoSpaceDN/>
        <w:rPr>
          <w:rFonts w:eastAsia="Times New Roman" w:asciiTheme="minorHAnsi" w:hAnsiTheme="minorHAnsi" w:cstheme="minorHAnsi"/>
          <w14:ligatures w14:val="standardContextual"/>
        </w:rPr>
      </w:pPr>
    </w:p>
    <w:p w:rsidR="00605E54" w:rsidRPr="00187C49" w:rsidP="00010C75">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In practice, this position could be concretized as follows, with a focus on the product’ strategy and corresponding to the categories A, B and D of question 4.1.4 but with better definitions/concepts</w:t>
      </w:r>
      <w:r w:rsidRPr="00187C49">
        <w:rPr>
          <w:rFonts w:eastAsia="Times New Roman" w:asciiTheme="minorHAnsi" w:hAnsiTheme="minorHAnsi" w:cstheme="minorHAnsi"/>
          <w14:ligatures w14:val="standardContextual"/>
        </w:rPr>
        <w:t>.</w:t>
      </w:r>
    </w:p>
    <w:p w:rsidR="00605E54" w:rsidRPr="00187C49" w:rsidP="00010C75">
      <w:pPr>
        <w:widowControl/>
        <w:autoSpaceDE/>
        <w:autoSpaceDN/>
        <w:rPr>
          <w:rFonts w:eastAsia="Times New Roman" w:asciiTheme="minorHAnsi" w:hAnsiTheme="minorHAnsi" w:cstheme="minorHAnsi"/>
          <w:highlight w:val="yellow"/>
          <w14:ligatures w14:val="standardContextual"/>
        </w:rPr>
      </w:pPr>
    </w:p>
    <w:p w:rsidR="00605E54" w:rsidRPr="00187C49" w:rsidP="00577DA4">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CATEGORY A:</w:t>
      </w:r>
      <w:r w:rsidRPr="00187C49">
        <w:rPr>
          <w:rFonts w:eastAsia="Times New Roman" w:asciiTheme="minorHAnsi" w:hAnsiTheme="minorHAnsi" w:cstheme="minorHAnsi"/>
          <w14:ligatures w14:val="standardContextual"/>
        </w:rPr>
        <w:br/>
      </w:r>
      <w:r w:rsidRPr="00187C49">
        <w:rPr>
          <w:rFonts w:eastAsia="Times New Roman" w:asciiTheme="minorHAnsi" w:hAnsiTheme="minorHAnsi" w:cstheme="minorHAnsi"/>
          <w14:ligatures w14:val="standardContextual"/>
        </w:rPr>
        <w:t xml:space="preserve">Financial products with a </w:t>
      </w:r>
      <w:r w:rsidRPr="00187C49">
        <w:rPr>
          <w:rFonts w:eastAsia="Times New Roman" w:asciiTheme="minorHAnsi" w:hAnsiTheme="minorHAnsi" w:cstheme="minorHAnsi"/>
          <w14:ligatures w14:val="standardContextual"/>
        </w:rPr>
        <w:t>“Generic focus on Environmental and/or Social objective”: products which can state and demonstrate the presence of binding environmental and/or social factors at the heart of the investment process, applicable to the whole investment portfolio</w:t>
      </w:r>
      <w:r w:rsidRPr="00187C49">
        <w:rPr>
          <w:rFonts w:eastAsia="Times New Roman" w:asciiTheme="minorHAnsi" w:hAnsiTheme="minorHAnsi" w:cstheme="minorHAnsi"/>
          <w14:ligatures w14:val="standardContextual"/>
        </w:rPr>
        <w:t>.</w:t>
      </w:r>
    </w:p>
    <w:p w:rsidR="00605E54" w:rsidRPr="00187C49" w:rsidP="00577DA4">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The financial product would be required to have one or more relevant KPI indicators relevant to the environmental and/or social objective(s) pursued that is binding on the investment portfolio (ex: PAI indicator(s) or another KPI indicator(s) of its choice)</w:t>
      </w:r>
      <w:r w:rsidRPr="00187C49">
        <w:rPr>
          <w:rFonts w:eastAsia="Times New Roman" w:asciiTheme="minorHAnsi" w:hAnsiTheme="minorHAnsi" w:cstheme="minorHAnsi"/>
          <w14:ligatures w14:val="standardContextual"/>
        </w:rPr>
        <w:t>.</w:t>
      </w:r>
    </w:p>
    <w:p w:rsidR="00605E54" w:rsidRPr="00187C49" w:rsidP="00577DA4">
      <w:pPr>
        <w:widowControl/>
        <w:autoSpaceDE/>
        <w:autoSpaceDN/>
        <w:rPr>
          <w:rFonts w:eastAsia="Times New Roman" w:asciiTheme="minorHAnsi" w:hAnsiTheme="minorHAnsi" w:cstheme="minorHAnsi"/>
          <w14:ligatures w14:val="standardContextual"/>
        </w:rPr>
      </w:pPr>
    </w:p>
    <w:p w:rsidR="00605E54" w:rsidRPr="00187C49" w:rsidP="00577DA4">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CATEGORY B:</w:t>
      </w:r>
      <w:r w:rsidRPr="00187C49">
        <w:rPr>
          <w:rFonts w:eastAsia="Times New Roman" w:asciiTheme="minorHAnsi" w:hAnsiTheme="minorHAnsi" w:cstheme="minorHAnsi"/>
          <w14:ligatures w14:val="standardContextual"/>
        </w:rPr>
        <w:br/>
      </w:r>
      <w:r w:rsidRPr="00187C49">
        <w:rPr>
          <w:rFonts w:eastAsia="Times New Roman" w:asciiTheme="minorHAnsi" w:hAnsiTheme="minorHAnsi" w:cstheme="minorHAnsi"/>
          <w14:ligatures w14:val="standardContextual"/>
        </w:rPr>
        <w:t>Financial products with a “Contribution” strategy: the objective is measured at “activity” or “project level”</w:t>
      </w:r>
      <w:r w:rsidRPr="00187C49">
        <w:rPr>
          <w:rFonts w:eastAsia="Times New Roman" w:asciiTheme="minorHAnsi" w:hAnsiTheme="minorHAnsi" w:cstheme="minorHAnsi"/>
          <w14:ligatures w14:val="standardContextual"/>
        </w:rPr>
        <w:t>.</w:t>
      </w:r>
    </w:p>
    <w:p w:rsidR="00605E54" w:rsidRPr="00187C49" w:rsidP="00577DA4">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This approach typically refers to Environmental products with an EU Taxonomy alignment or products investing in green bonds, green infrastructure, green equity, impact investing funds relating to Environment. This approach also typically refers to Social products investing in social bonds or impact investing funds relating to Social, etc. This approach also refers to products that offer targeted and measurable solutions to sustainability matters</w:t>
      </w:r>
      <w:r w:rsidRPr="00187C49">
        <w:rPr>
          <w:rFonts w:eastAsia="Times New Roman" w:asciiTheme="minorHAnsi" w:hAnsiTheme="minorHAnsi" w:cstheme="minorHAnsi"/>
          <w14:ligatures w14:val="standardContextual"/>
        </w:rPr>
        <w:t>.</w:t>
      </w:r>
    </w:p>
    <w:p w:rsidR="00605E54" w:rsidRPr="00187C49" w:rsidP="00577DA4">
      <w:pPr>
        <w:widowControl/>
        <w:autoSpaceDE/>
        <w:autoSpaceDN/>
        <w:rPr>
          <w:rFonts w:eastAsia="Times New Roman" w:asciiTheme="minorHAnsi" w:hAnsiTheme="minorHAnsi" w:cstheme="minorHAnsi"/>
          <w14:ligatures w14:val="standardContextual"/>
        </w:rPr>
      </w:pPr>
    </w:p>
    <w:p w:rsidR="00605E54" w:rsidRPr="00187C49" w:rsidP="00577DA4">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CATEGORY D:</w:t>
      </w:r>
      <w:r w:rsidRPr="00187C49">
        <w:rPr>
          <w:rFonts w:eastAsia="Times New Roman" w:asciiTheme="minorHAnsi" w:hAnsiTheme="minorHAnsi" w:cstheme="minorHAnsi"/>
          <w14:ligatures w14:val="standardContextual"/>
        </w:rPr>
        <w:br/>
      </w:r>
      <w:r w:rsidRPr="00187C49">
        <w:rPr>
          <w:rFonts w:eastAsia="Times New Roman" w:asciiTheme="minorHAnsi" w:hAnsiTheme="minorHAnsi" w:cstheme="minorHAnsi"/>
          <w14:ligatures w14:val="standardContextual"/>
        </w:rPr>
        <w:t>Financial products with a “Transition” strategy: the objective is measured at the “product” level through the commitment of the investment fund, but not necessary at underlying level (i.e. not on line-by-line basis)</w:t>
      </w:r>
      <w:r w:rsidRPr="00187C49">
        <w:rPr>
          <w:rFonts w:eastAsia="Times New Roman" w:asciiTheme="minorHAnsi" w:hAnsiTheme="minorHAnsi" w:cstheme="minorHAnsi"/>
          <w14:ligatures w14:val="standardContextual"/>
        </w:rPr>
        <w:t>.</w:t>
      </w:r>
    </w:p>
    <w:p w:rsidR="00605E54" w:rsidRPr="00187C49" w:rsidP="00577DA4">
      <w:pPr>
        <w:widowControl/>
        <w:autoSpaceDE/>
        <w:autoSpaceDN/>
        <w:rPr>
          <w:rFonts w:eastAsia="Times New Roman" w:asciiTheme="minorHAnsi" w:hAnsiTheme="minorHAnsi" w:cstheme="minorHAnsi"/>
          <w14:ligatures w14:val="standardContextual"/>
        </w:rPr>
      </w:pPr>
      <w:r w:rsidRPr="00187C49">
        <w:rPr>
          <w:rFonts w:eastAsia="Times New Roman" w:asciiTheme="minorHAnsi" w:hAnsiTheme="minorHAnsi" w:cstheme="minorHAnsi"/>
          <w14:ligatures w14:val="standardContextual"/>
        </w:rPr>
        <w:t>This approach typically refers to Environmental products like to Net Zero aligned funds, transition-linked-bonds, sustainability-linked-bonds, PAB, CTB, etc</w:t>
      </w:r>
      <w:r w:rsidRPr="00187C49">
        <w:rPr>
          <w:rFonts w:eastAsia="Times New Roman" w:asciiTheme="minorHAnsi" w:hAnsiTheme="minorHAnsi" w:cstheme="minorHAnsi"/>
          <w14:ligatures w14:val="standardContextual"/>
        </w:rPr>
        <w:t>.</w:t>
      </w:r>
    </w:p>
    <w:p w:rsidR="00605E54" w:rsidRPr="00921D21" w:rsidP="00010C75">
      <w:pPr>
        <w:widowControl/>
        <w:autoSpaceDE/>
        <w:autoSpaceDN/>
        <w:rPr>
          <w:rFonts w:eastAsia="Times New Roman" w:asciiTheme="minorHAnsi" w:hAnsiTheme="minorHAnsi" w:cstheme="minorHAnsi"/>
          <w14:ligatures w14:val="standardContextual"/>
        </w:rPr>
      </w:pPr>
    </w:p>
    <w:tbl>
      <w:tblPr>
        <w:tblStyle w:val="TableGrid"/>
        <w:tblW w:w="0" w:type="auto"/>
        <w:tblLook w:val="04A0"/>
      </w:tblPr>
      <w:tblGrid>
        <w:gridCol w:w="8794"/>
        <w:gridCol w:w="222"/>
      </w:tblGrid>
      <w:tr w:rsidTr="00567CB0">
        <w:tblPrEx>
          <w:tblW w:w="0" w:type="auto"/>
          <w:tblLook w:val="04A0"/>
        </w:tblPrEx>
        <w:tc>
          <w:tcPr>
            <w:tcW w:w="8794" w:type="dxa"/>
          </w:tcPr>
          <w:p w:rsidR="00605E54" w:rsidRPr="00921D21" w:rsidP="004C3CB1">
            <w:pPr>
              <w:widowControl/>
              <w:autoSpaceDE/>
              <w:autoSpaceDN/>
              <w:rPr>
                <w:rFonts w:ascii="Calibri" w:eastAsia="Times New Roman" w:hAnsi="Calibri" w:cs="Calibri"/>
                <w14:ligatures w14:val="standardContextual"/>
              </w:rPr>
            </w:pPr>
            <w:r w:rsidRPr="00921D21">
              <w:rPr>
                <w:noProof/>
                <w:color w:val="1F497D"/>
                <w:lang w:val="fr-BE"/>
              </w:rPr>
              <w:drawing>
                <wp:inline distT="0" distB="0" distL="0" distR="0">
                  <wp:extent cx="5731510" cy="1442085"/>
                  <wp:effectExtent l="0" t="0" r="2540" b="5715"/>
                  <wp:docPr id="1356854818" name="Picture 1" descr="A blue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854818" name="Picture 1" descr="A blue and white diagram&#10;&#10;Description automatically generated"/>
                          <pic:cNvPicPr>
                            <a:picLocks noChangeAspect="1" noChangeArrowheads="1"/>
                          </pic:cNvPicPr>
                        </pic:nvPicPr>
                        <pic:blipFill>
                          <a:blip xmlns:r="http://schemas.openxmlformats.org/officeDocument/2006/relationships" r:embed="rId8" r:link="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5731510" cy="1442085"/>
                          </a:xfrm>
                          <a:prstGeom prst="rect">
                            <a:avLst/>
                          </a:prstGeom>
                          <a:noFill/>
                          <a:ln>
                            <a:noFill/>
                          </a:ln>
                        </pic:spPr>
                      </pic:pic>
                    </a:graphicData>
                  </a:graphic>
                </wp:inline>
              </w:drawing>
            </w:r>
          </w:p>
          <w:p w:rsidR="00605E54" w:rsidRPr="00921D21" w:rsidP="004C3CB1">
            <w:pPr>
              <w:widowControl/>
              <w:autoSpaceDE/>
              <w:autoSpaceDN/>
              <w:rPr>
                <w:rFonts w:ascii="Calibri" w:eastAsia="Times New Roman" w:hAnsi="Calibri" w:cs="Calibri"/>
                <w:i/>
                <w:iCs/>
                <w14:ligatures w14:val="standardContextual"/>
              </w:rPr>
            </w:pPr>
          </w:p>
          <w:p w:rsidR="00605E54" w:rsidRPr="00921D21" w:rsidP="004C3CB1">
            <w:pPr>
              <w:widowControl/>
              <w:autoSpaceDE/>
              <w:autoSpaceDN/>
              <w:rPr>
                <w:rFonts w:ascii="Calibri" w:eastAsia="Times New Roman" w:hAnsi="Calibri" w:cs="Calibri"/>
                <w:i/>
                <w:iCs/>
                <w14:ligatures w14:val="standardContextual"/>
              </w:rPr>
            </w:pPr>
            <w:r w:rsidRPr="00921D21">
              <w:rPr>
                <w:rFonts w:ascii="Calibri" w:eastAsia="Times New Roman" w:hAnsi="Calibri" w:cs="Calibri"/>
                <w:i/>
                <w:iCs/>
                <w14:ligatures w14:val="standardContextual"/>
              </w:rPr>
              <w:t>This diagram could be linked as follows to the existing SFDR article 6, 8 and 9 products:</w:t>
            </w:r>
          </w:p>
          <w:p w:rsidR="00605E54" w:rsidRPr="00921D21" w:rsidP="004C3CB1">
            <w:pPr>
              <w:widowControl/>
              <w:autoSpaceDE/>
              <w:autoSpaceDN/>
              <w:rPr>
                <w:rFonts w:ascii="Calibri" w:eastAsia="Times New Roman" w:hAnsi="Calibri" w:cs="Calibri"/>
                <w:i/>
                <w:iCs/>
                <w14:ligatures w14:val="standardContextual"/>
              </w:rPr>
            </w:pPr>
            <w:r w:rsidRPr="00921D21">
              <w:rPr>
                <w:noProof/>
                <w:color w:val="1F497D"/>
                <w:lang w:val="fr-BE"/>
              </w:rPr>
              <w:drawing>
                <wp:inline distT="0" distB="0" distL="0" distR="0">
                  <wp:extent cx="4400550" cy="2171700"/>
                  <wp:effectExtent l="0" t="0" r="0" b="0"/>
                  <wp:docPr id="1075322833"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322833" name="Picture 2" descr="A screenshot of a computer screen&#10;&#10;Description automatically generated"/>
                          <pic:cNvPicPr>
                            <a:picLocks noChangeAspect="1" noChangeArrowheads="1"/>
                          </pic:cNvPicPr>
                        </pic:nvPicPr>
                        <pic:blipFill rotWithShape="1">
                          <a:blip xmlns:r="http://schemas.openxmlformats.org/officeDocument/2006/relationships" r:embed="rId10" r:link="rId11">
                            <a:extLst>
                              <a:ext xmlns:a="http://schemas.openxmlformats.org/drawingml/2006/main" uri="{28A0092B-C50C-407E-A947-70E740481C1C}">
                                <a14:useLocalDpi xmlns:a14="http://schemas.microsoft.com/office/drawing/2010/main" val="0"/>
                              </a:ext>
                            </a:extLst>
                          </a:blip>
                          <a:srcRect l="11664" t="9881"/>
                          <a:stretch>
                            <a:fillRect/>
                          </a:stretch>
                        </pic:blipFill>
                        <pic:spPr bwMode="auto">
                          <a:xfrm>
                            <a:off x="0" y="0"/>
                            <a:ext cx="4400550" cy="217170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p>
          <w:p w:rsidR="00605E54" w:rsidRPr="00921D21" w:rsidP="004C3CB1">
            <w:pPr>
              <w:widowControl/>
              <w:autoSpaceDE/>
              <w:autoSpaceDN/>
              <w:rPr>
                <w:rFonts w:ascii="Calibri" w:eastAsia="Times New Roman" w:hAnsi="Calibri" w:cs="Calibri"/>
                <w:i/>
                <w:iCs/>
                <w14:ligatures w14:val="standardContextual"/>
              </w:rPr>
            </w:pPr>
          </w:p>
          <w:p w:rsidR="00605E54" w:rsidRPr="00921D21" w:rsidP="004C3CB1">
            <w:pPr>
              <w:widowControl/>
              <w:autoSpaceDE/>
              <w:autoSpaceDN/>
              <w:rPr>
                <w:rFonts w:ascii="Calibri" w:eastAsia="Times New Roman" w:hAnsi="Calibri" w:cs="Calibri"/>
                <w:i/>
                <w:iCs/>
                <w14:ligatures w14:val="standardContextual"/>
              </w:rPr>
            </w:pPr>
            <w:r w:rsidRPr="00921D21">
              <w:rPr>
                <w:rFonts w:ascii="Calibri" w:eastAsia="Times New Roman" w:hAnsi="Calibri" w:cs="Calibri"/>
                <w:i/>
                <w:iCs/>
                <w14:ligatures w14:val="standardContextual"/>
              </w:rPr>
              <w:t xml:space="preserve">Next, SFDR can be linked to </w:t>
            </w:r>
            <w:r w:rsidRPr="00921D21">
              <w:rPr>
                <w:rFonts w:ascii="Calibri" w:eastAsia="Times New Roman" w:hAnsi="Calibri" w:cs="Calibri"/>
                <w:i/>
                <w:iCs/>
                <w14:ligatures w14:val="standardContextual"/>
              </w:rPr>
              <w:t>MiFID/IDD sustainability preferences via the following questions:</w:t>
            </w:r>
          </w:p>
          <w:p w:rsidR="00605E54" w:rsidRPr="00921D21" w:rsidP="004C3CB1">
            <w:pPr>
              <w:pStyle w:val="ListParagraph"/>
              <w:widowControl/>
              <w:numPr>
                <w:ilvl w:val="0"/>
                <w:numId w:val="43"/>
              </w:numPr>
              <w:autoSpaceDE/>
              <w:autoSpaceDN/>
              <w:rPr>
                <w:rFonts w:ascii="Calibri" w:eastAsia="Times New Roman" w:hAnsi="Calibri" w:cs="Calibri"/>
                <w:i/>
                <w:iCs/>
                <w14:ligatures w14:val="standardContextual"/>
              </w:rPr>
            </w:pPr>
            <w:r w:rsidRPr="00921D21">
              <w:rPr>
                <w:rFonts w:ascii="Calibri" w:eastAsia="Times New Roman" w:hAnsi="Calibri" w:cs="Calibri"/>
                <w:i/>
                <w:iCs/>
                <w14:ligatures w14:val="standardContextual"/>
              </w:rPr>
              <w:t>Does the client have ESG preferences?</w:t>
            </w:r>
          </w:p>
          <w:p w:rsidR="00605E54" w:rsidRPr="00921D21" w:rsidP="004C3CB1">
            <w:pPr>
              <w:pStyle w:val="ListParagraph"/>
              <w:widowControl/>
              <w:numPr>
                <w:ilvl w:val="0"/>
                <w:numId w:val="43"/>
              </w:numPr>
              <w:autoSpaceDE/>
              <w:autoSpaceDN/>
              <w:rPr>
                <w:rFonts w:ascii="Calibri" w:eastAsia="Times New Roman" w:hAnsi="Calibri" w:cs="Calibri"/>
                <w:i/>
                <w:iCs/>
                <w14:ligatures w14:val="standardContextual"/>
              </w:rPr>
            </w:pPr>
            <w:r w:rsidRPr="00921D21">
              <w:rPr>
                <w:rFonts w:ascii="Calibri" w:eastAsia="Times New Roman" w:hAnsi="Calibri" w:cs="Calibri"/>
                <w:i/>
                <w:iCs/>
                <w14:ligatures w14:val="standardContextual"/>
              </w:rPr>
              <w:t>Which strategy does the client want to invest in?</w:t>
            </w:r>
            <w:r w:rsidRPr="00921D21">
              <w:rPr>
                <w:rFonts w:ascii="Calibri" w:eastAsia="Times New Roman" w:hAnsi="Calibri" w:cs="Calibri"/>
                <w:i/>
                <w:iCs/>
                <w14:ligatures w14:val="standardContextual"/>
              </w:rPr>
              <w:br/>
              <w:t>“Generic focus on Environmental and/or social objectives”? and/or “Transition” and/or “Impact and contribution”?</w:t>
            </w:r>
          </w:p>
          <w:p w:rsidR="00605E54" w:rsidRPr="00921D21" w:rsidP="004C3CB1">
            <w:pPr>
              <w:pStyle w:val="ListParagraph"/>
              <w:widowControl/>
              <w:numPr>
                <w:ilvl w:val="0"/>
                <w:numId w:val="43"/>
              </w:numPr>
              <w:autoSpaceDE/>
              <w:autoSpaceDN/>
              <w:rPr>
                <w:rFonts w:ascii="Calibri" w:eastAsia="Times New Roman" w:hAnsi="Calibri" w:cs="Calibri"/>
                <w:i/>
                <w:iCs/>
                <w14:ligatures w14:val="standardContextual"/>
              </w:rPr>
            </w:pPr>
            <w:r w:rsidRPr="00921D21">
              <w:rPr>
                <w:rFonts w:ascii="Calibri" w:eastAsia="Times New Roman" w:hAnsi="Calibri" w:cs="Calibri"/>
                <w:i/>
                <w:iCs/>
                <w14:ligatures w14:val="standardContextual"/>
              </w:rPr>
              <w:t>What level of ambition does the client expect from the product: strong commitment or very strong commitment?</w:t>
            </w:r>
          </w:p>
        </w:tc>
        <w:tc>
          <w:tcPr>
            <w:tcW w:w="222" w:type="dxa"/>
          </w:tcPr>
          <w:p w:rsidR="00605E54" w:rsidRPr="00567CB0" w:rsidP="004C3CB1">
            <w:pPr>
              <w:widowControl/>
              <w:autoSpaceDE/>
              <w:autoSpaceDN/>
              <w:rPr>
                <w:noProof/>
                <w:color w:val="1F497D"/>
              </w:rPr>
            </w:pPr>
          </w:p>
        </w:tc>
      </w:tr>
    </w:tbl>
    <w:p w:rsidR="00605E54" w:rsidRPr="00010C75" w:rsidP="0003463A">
      <w:pPr>
        <w:widowControl/>
        <w:autoSpaceDE/>
        <w:autoSpaceDN/>
        <w:rPr>
          <w:rFonts w:ascii="Calibri" w:eastAsia="Times New Roman" w:hAnsi="Calibri" w:cs="Calibri"/>
          <w:highlight w:val="yellow"/>
          <w14:ligatures w14:val="standardContextual"/>
        </w:rPr>
      </w:pPr>
    </w:p>
    <w:sectPr>
      <w:footerReference w:type="default" r:id="rId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5E54">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6836410</wp:posOffset>
              </wp:positionH>
              <wp:positionV relativeFrom="page">
                <wp:posOffset>10366375</wp:posOffset>
              </wp:positionV>
              <wp:extent cx="304800" cy="194310"/>
              <wp:effectExtent l="0" t="0" r="0" b="0"/>
              <wp:wrapNone/>
              <wp:docPr id="408956816" name="Text Box 40895681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04800" cy="19431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05E54">
                          <w:pPr>
                            <w:spacing w:before="10"/>
                            <w:ind w:left="60"/>
                            <w:rPr>
                              <w:rFonts w:ascii="Times New Roman"/>
                              <w:sz w:val="24"/>
                            </w:rPr>
                          </w:pPr>
                          <w:r>
                            <w:fldChar w:fldCharType="begin"/>
                          </w:r>
                          <w:r>
                            <w:rPr>
                              <w:rFonts w:ascii="Times New Roman"/>
                              <w:sz w:val="24"/>
                            </w:rPr>
                            <w:instrText xml:space="preserve"> PAGE </w:instrText>
                          </w:r>
                          <w:r>
                            <w:fldChar w:fldCharType="separate"/>
                          </w:r>
                          <w:r>
                            <w:rPr>
                              <w:rFonts w:ascii="Times New Roman"/>
                              <w:sz w:val="24"/>
                            </w:rPr>
                            <w:t>5</w:t>
                          </w:r>
                          <w: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8956816" o:spid="_x0000_s2049" type="#_x0000_t202" style="height:15.3pt;margin-left:538.3pt;margin-top:816.25pt;mso-height-percent:0;mso-height-relative:page;mso-position-horizontal-relative:page;mso-position-vertical-relative:page;mso-width-percent:0;mso-width-relative:page;mso-wrap-distance-bottom:0;mso-wrap-distance-left:9pt;mso-wrap-distance-right:9pt;mso-wrap-distance-top:0;position:absolute;width:24pt;z-index:-251658240" filled="f" fillcolor="this" stroked="f">
              <v:textbox inset="0,0,0,0">
                <w:txbxContent>
                  <w:p w:rsidR="003D0732">
                    <w:pPr>
                      <w:spacing w:before="10"/>
                      <w:ind w:left="60"/>
                      <w:rPr>
                        <w:rFonts w:ascii="Times New Roman"/>
                        <w:sz w:val="24"/>
                      </w:rPr>
                    </w:pPr>
                    <w:r>
                      <w:fldChar w:fldCharType="begin"/>
                    </w:r>
                    <w:r>
                      <w:rPr>
                        <w:rFonts w:ascii="Times New Roman"/>
                        <w:sz w:val="24"/>
                      </w:rPr>
                      <w:instrText xml:space="preserve"> PAGE </w:instrText>
                    </w:r>
                    <w:r>
                      <w:fldChar w:fldCharType="separate"/>
                    </w:r>
                    <w:r>
                      <w:rPr>
                        <w:rFonts w:ascii="Times New Roman"/>
                        <w:sz w:val="24"/>
                      </w:rP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9pt;mso-wrap-style:square;visibility:visible;width:9pt" o:bullet="t">
        <v:imagedata r:id="rId1" o:title=""/>
      </v:shape>
    </w:pict>
  </w:numPicBullet>
  <w:abstractNum w:abstractNumId="0">
    <w:nsid w:val="03975479"/>
    <w:multiLevelType w:val="hybridMultilevel"/>
    <w:tmpl w:val="B6D2435C"/>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1">
    <w:nsid w:val="040565DE"/>
    <w:multiLevelType w:val="hybridMultilevel"/>
    <w:tmpl w:val="83083A02"/>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
    <w:nsid w:val="0B741417"/>
    <w:multiLevelType w:val="hybridMultilevel"/>
    <w:tmpl w:val="E20EE9BE"/>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2" w:hanging="226"/>
      </w:pPr>
      <w:rPr>
        <w:rFonts w:hint="default"/>
        <w:lang w:val="en-US" w:eastAsia="en-US" w:bidi="ar-SA"/>
      </w:rPr>
    </w:lvl>
    <w:lvl w:ilvl="2">
      <w:start w:val="0"/>
      <w:numFmt w:val="bullet"/>
      <w:lvlText w:val="•"/>
      <w:lvlJc w:val="left"/>
      <w:pPr>
        <w:ind w:left="2845" w:hanging="226"/>
      </w:pPr>
      <w:rPr>
        <w:rFonts w:hint="default"/>
        <w:lang w:val="en-US" w:eastAsia="en-US" w:bidi="ar-SA"/>
      </w:rPr>
    </w:lvl>
    <w:lvl w:ilvl="3">
      <w:start w:val="0"/>
      <w:numFmt w:val="bullet"/>
      <w:lvlText w:val="•"/>
      <w:lvlJc w:val="left"/>
      <w:pPr>
        <w:ind w:left="3777" w:hanging="226"/>
      </w:pPr>
      <w:rPr>
        <w:rFonts w:hint="default"/>
        <w:lang w:val="en-US" w:eastAsia="en-US" w:bidi="ar-SA"/>
      </w:rPr>
    </w:lvl>
    <w:lvl w:ilvl="4">
      <w:start w:val="0"/>
      <w:numFmt w:val="bullet"/>
      <w:lvlText w:val="•"/>
      <w:lvlJc w:val="left"/>
      <w:pPr>
        <w:ind w:left="4710" w:hanging="226"/>
      </w:pPr>
      <w:rPr>
        <w:rFonts w:hint="default"/>
        <w:lang w:val="en-US" w:eastAsia="en-US" w:bidi="ar-SA"/>
      </w:rPr>
    </w:lvl>
    <w:lvl w:ilvl="5">
      <w:start w:val="0"/>
      <w:numFmt w:val="bullet"/>
      <w:lvlText w:val="•"/>
      <w:lvlJc w:val="left"/>
      <w:pPr>
        <w:ind w:left="5642" w:hanging="226"/>
      </w:pPr>
      <w:rPr>
        <w:rFonts w:hint="default"/>
        <w:lang w:val="en-US" w:eastAsia="en-US" w:bidi="ar-SA"/>
      </w:rPr>
    </w:lvl>
    <w:lvl w:ilvl="6">
      <w:start w:val="0"/>
      <w:numFmt w:val="bullet"/>
      <w:lvlText w:val="•"/>
      <w:lvlJc w:val="left"/>
      <w:pPr>
        <w:ind w:left="6575" w:hanging="226"/>
      </w:pPr>
      <w:rPr>
        <w:rFonts w:hint="default"/>
        <w:lang w:val="en-US" w:eastAsia="en-US" w:bidi="ar-SA"/>
      </w:rPr>
    </w:lvl>
    <w:lvl w:ilvl="7">
      <w:start w:val="0"/>
      <w:numFmt w:val="bullet"/>
      <w:lvlText w:val="•"/>
      <w:lvlJc w:val="left"/>
      <w:pPr>
        <w:ind w:left="7507" w:hanging="226"/>
      </w:pPr>
      <w:rPr>
        <w:rFonts w:hint="default"/>
        <w:lang w:val="en-US" w:eastAsia="en-US" w:bidi="ar-SA"/>
      </w:rPr>
    </w:lvl>
    <w:lvl w:ilvl="8">
      <w:start w:val="0"/>
      <w:numFmt w:val="bullet"/>
      <w:lvlText w:val="•"/>
      <w:lvlJc w:val="left"/>
      <w:pPr>
        <w:ind w:left="8440" w:hanging="226"/>
      </w:pPr>
      <w:rPr>
        <w:rFonts w:hint="default"/>
        <w:lang w:val="en-US" w:eastAsia="en-US" w:bidi="ar-SA"/>
      </w:rPr>
    </w:lvl>
  </w:abstractNum>
  <w:abstractNum w:abstractNumId="3">
    <w:nsid w:val="0E1A1F10"/>
    <w:multiLevelType w:val="hybridMultilevel"/>
    <w:tmpl w:val="AA1A3274"/>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4">
    <w:nsid w:val="0F236BD5"/>
    <w:multiLevelType w:val="hybridMultilevel"/>
    <w:tmpl w:val="292835B0"/>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5">
    <w:nsid w:val="0FBA10C4"/>
    <w:multiLevelType w:val="hybridMultilevel"/>
    <w:tmpl w:val="B8B48596"/>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6">
    <w:nsid w:val="10891665"/>
    <w:multiLevelType w:val="multilevel"/>
    <w:tmpl w:val="D012FD66"/>
    <w:lvl w:ilvl="0">
      <w:start w:val="4"/>
      <w:numFmt w:val="decimal"/>
      <w:lvlText w:val="%1."/>
      <w:lvlJc w:val="left"/>
      <w:pPr>
        <w:ind w:left="115" w:hanging="384"/>
      </w:pPr>
      <w:rPr>
        <w:rFonts w:ascii="Arial" w:eastAsia="Arial" w:hAnsi="Arial" w:cs="Arial" w:hint="default"/>
        <w:b/>
        <w:bCs/>
        <w:color w:val="006699"/>
        <w:w w:val="101"/>
        <w:sz w:val="34"/>
        <w:szCs w:val="34"/>
        <w:lang w:val="en-US" w:eastAsia="en-US" w:bidi="ar-SA"/>
      </w:rPr>
    </w:lvl>
    <w:lvl w:ilvl="1">
      <w:start w:val="1"/>
      <w:numFmt w:val="decimal"/>
      <w:lvlText w:val="%1.%2"/>
      <w:lvlJc w:val="left"/>
      <w:pPr>
        <w:ind w:left="565" w:hanging="451"/>
      </w:pPr>
      <w:rPr>
        <w:rFonts w:ascii="Arial" w:eastAsia="Arial" w:hAnsi="Arial" w:cs="Arial" w:hint="default"/>
        <w:b/>
        <w:bCs/>
        <w:color w:val="006699"/>
        <w:w w:val="99"/>
        <w:sz w:val="27"/>
        <w:szCs w:val="27"/>
        <w:lang w:val="en-US" w:eastAsia="en-US" w:bidi="ar-SA"/>
      </w:rPr>
    </w:lvl>
    <w:lvl w:ilvl="2">
      <w:start w:val="0"/>
      <w:numFmt w:val="bullet"/>
      <w:lvlText w:val="•"/>
      <w:lvlJc w:val="left"/>
      <w:pPr>
        <w:ind w:left="760" w:hanging="451"/>
      </w:pPr>
      <w:rPr>
        <w:rFonts w:hint="default"/>
        <w:lang w:val="en-US" w:eastAsia="en-US" w:bidi="ar-SA"/>
      </w:rPr>
    </w:lvl>
    <w:lvl w:ilvl="3">
      <w:start w:val="0"/>
      <w:numFmt w:val="bullet"/>
      <w:lvlText w:val="•"/>
      <w:lvlJc w:val="left"/>
      <w:pPr>
        <w:ind w:left="1948" w:hanging="451"/>
      </w:pPr>
      <w:rPr>
        <w:rFonts w:hint="default"/>
        <w:lang w:val="en-US" w:eastAsia="en-US" w:bidi="ar-SA"/>
      </w:rPr>
    </w:lvl>
    <w:lvl w:ilvl="4">
      <w:start w:val="0"/>
      <w:numFmt w:val="bullet"/>
      <w:lvlText w:val="•"/>
      <w:lvlJc w:val="left"/>
      <w:pPr>
        <w:ind w:left="3136" w:hanging="451"/>
      </w:pPr>
      <w:rPr>
        <w:rFonts w:hint="default"/>
        <w:lang w:val="en-US" w:eastAsia="en-US" w:bidi="ar-SA"/>
      </w:rPr>
    </w:lvl>
    <w:lvl w:ilvl="5">
      <w:start w:val="0"/>
      <w:numFmt w:val="bullet"/>
      <w:lvlText w:val="•"/>
      <w:lvlJc w:val="left"/>
      <w:pPr>
        <w:ind w:left="4324" w:hanging="451"/>
      </w:pPr>
      <w:rPr>
        <w:rFonts w:hint="default"/>
        <w:lang w:val="en-US" w:eastAsia="en-US" w:bidi="ar-SA"/>
      </w:rPr>
    </w:lvl>
    <w:lvl w:ilvl="6">
      <w:start w:val="0"/>
      <w:numFmt w:val="bullet"/>
      <w:lvlText w:val="•"/>
      <w:lvlJc w:val="left"/>
      <w:pPr>
        <w:ind w:left="5512" w:hanging="451"/>
      </w:pPr>
      <w:rPr>
        <w:rFonts w:hint="default"/>
        <w:lang w:val="en-US" w:eastAsia="en-US" w:bidi="ar-SA"/>
      </w:rPr>
    </w:lvl>
    <w:lvl w:ilvl="7">
      <w:start w:val="0"/>
      <w:numFmt w:val="bullet"/>
      <w:lvlText w:val="•"/>
      <w:lvlJc w:val="left"/>
      <w:pPr>
        <w:ind w:left="6701" w:hanging="451"/>
      </w:pPr>
      <w:rPr>
        <w:rFonts w:hint="default"/>
        <w:lang w:val="en-US" w:eastAsia="en-US" w:bidi="ar-SA"/>
      </w:rPr>
    </w:lvl>
    <w:lvl w:ilvl="8">
      <w:start w:val="0"/>
      <w:numFmt w:val="bullet"/>
      <w:lvlText w:val="•"/>
      <w:lvlJc w:val="left"/>
      <w:pPr>
        <w:ind w:left="7889" w:hanging="451"/>
      </w:pPr>
      <w:rPr>
        <w:rFonts w:hint="default"/>
        <w:lang w:val="en-US" w:eastAsia="en-US" w:bidi="ar-SA"/>
      </w:rPr>
    </w:lvl>
  </w:abstractNum>
  <w:abstractNum w:abstractNumId="7">
    <w:nsid w:val="12F45A22"/>
    <w:multiLevelType w:val="hybridMultilevel"/>
    <w:tmpl w:val="1D54949A"/>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8">
    <w:nsid w:val="148036DE"/>
    <w:multiLevelType w:val="hybridMultilevel"/>
    <w:tmpl w:val="3E7EBA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4913B90"/>
    <w:multiLevelType w:val="hybridMultilevel"/>
    <w:tmpl w:val="87B6E58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56C01D5"/>
    <w:multiLevelType w:val="hybridMultilevel"/>
    <w:tmpl w:val="6382DB0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BC75FE"/>
    <w:multiLevelType w:val="hybridMultilevel"/>
    <w:tmpl w:val="B11032EA"/>
    <w:lvl w:ilvl="0">
      <w:start w:val="0"/>
      <w:numFmt w:val="bullet"/>
      <w:lvlText w:val="*"/>
      <w:lvlJc w:val="left"/>
      <w:pPr>
        <w:ind w:left="880" w:hanging="120"/>
      </w:pPr>
      <w:rPr>
        <w:rFonts w:ascii="Arial" w:eastAsia="Arial" w:hAnsi="Arial" w:cs="Arial" w:hint="default"/>
        <w:b/>
        <w:bCs/>
        <w:color w:val="FF0000"/>
        <w:w w:val="102"/>
        <w:position w:val="4"/>
        <w:sz w:val="19"/>
        <w:szCs w:val="19"/>
        <w:lang w:val="en-US" w:eastAsia="en-US" w:bidi="ar-SA"/>
      </w:rPr>
    </w:lvl>
    <w:lvl w:ilvl="1">
      <w:start w:val="0"/>
      <w:numFmt w:val="bullet"/>
      <w:lvlText w:val="•"/>
      <w:lvlJc w:val="left"/>
      <w:pPr>
        <w:ind w:left="880" w:hanging="120"/>
      </w:pPr>
      <w:rPr>
        <w:rFonts w:hint="default"/>
        <w:lang w:val="en-US" w:eastAsia="en-US" w:bidi="ar-SA"/>
      </w:rPr>
    </w:lvl>
    <w:lvl w:ilvl="2">
      <w:start w:val="0"/>
      <w:numFmt w:val="bullet"/>
      <w:lvlText w:val="•"/>
      <w:lvlJc w:val="left"/>
      <w:pPr>
        <w:ind w:left="1942" w:hanging="120"/>
      </w:pPr>
      <w:rPr>
        <w:rFonts w:hint="default"/>
        <w:lang w:val="en-US" w:eastAsia="en-US" w:bidi="ar-SA"/>
      </w:rPr>
    </w:lvl>
    <w:lvl w:ilvl="3">
      <w:start w:val="0"/>
      <w:numFmt w:val="bullet"/>
      <w:lvlText w:val="•"/>
      <w:lvlJc w:val="left"/>
      <w:pPr>
        <w:ind w:left="3005" w:hanging="120"/>
      </w:pPr>
      <w:rPr>
        <w:rFonts w:hint="default"/>
        <w:lang w:val="en-US" w:eastAsia="en-US" w:bidi="ar-SA"/>
      </w:rPr>
    </w:lvl>
    <w:lvl w:ilvl="4">
      <w:start w:val="0"/>
      <w:numFmt w:val="bullet"/>
      <w:lvlText w:val="•"/>
      <w:lvlJc w:val="left"/>
      <w:pPr>
        <w:ind w:left="4068" w:hanging="120"/>
      </w:pPr>
      <w:rPr>
        <w:rFonts w:hint="default"/>
        <w:lang w:val="en-US" w:eastAsia="en-US" w:bidi="ar-SA"/>
      </w:rPr>
    </w:lvl>
    <w:lvl w:ilvl="5">
      <w:start w:val="0"/>
      <w:numFmt w:val="bullet"/>
      <w:lvlText w:val="•"/>
      <w:lvlJc w:val="left"/>
      <w:pPr>
        <w:ind w:left="5131" w:hanging="120"/>
      </w:pPr>
      <w:rPr>
        <w:rFonts w:hint="default"/>
        <w:lang w:val="en-US" w:eastAsia="en-US" w:bidi="ar-SA"/>
      </w:rPr>
    </w:lvl>
    <w:lvl w:ilvl="6">
      <w:start w:val="0"/>
      <w:numFmt w:val="bullet"/>
      <w:lvlText w:val="•"/>
      <w:lvlJc w:val="left"/>
      <w:pPr>
        <w:ind w:left="6194" w:hanging="120"/>
      </w:pPr>
      <w:rPr>
        <w:rFonts w:hint="default"/>
        <w:lang w:val="en-US" w:eastAsia="en-US" w:bidi="ar-SA"/>
      </w:rPr>
    </w:lvl>
    <w:lvl w:ilvl="7">
      <w:start w:val="0"/>
      <w:numFmt w:val="bullet"/>
      <w:lvlText w:val="•"/>
      <w:lvlJc w:val="left"/>
      <w:pPr>
        <w:ind w:left="7257" w:hanging="120"/>
      </w:pPr>
      <w:rPr>
        <w:rFonts w:hint="default"/>
        <w:lang w:val="en-US" w:eastAsia="en-US" w:bidi="ar-SA"/>
      </w:rPr>
    </w:lvl>
    <w:lvl w:ilvl="8">
      <w:start w:val="0"/>
      <w:numFmt w:val="bullet"/>
      <w:lvlText w:val="•"/>
      <w:lvlJc w:val="left"/>
      <w:pPr>
        <w:ind w:left="8319" w:hanging="120"/>
      </w:pPr>
      <w:rPr>
        <w:rFonts w:hint="default"/>
        <w:lang w:val="en-US" w:eastAsia="en-US" w:bidi="ar-SA"/>
      </w:rPr>
    </w:lvl>
  </w:abstractNum>
  <w:abstractNum w:abstractNumId="12">
    <w:nsid w:val="1A8F2309"/>
    <w:multiLevelType w:val="hybridMultilevel"/>
    <w:tmpl w:val="8E340AFA"/>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13">
    <w:nsid w:val="1C774AC6"/>
    <w:multiLevelType w:val="hybridMultilevel"/>
    <w:tmpl w:val="BB3C9B98"/>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14">
    <w:nsid w:val="1CD83EA6"/>
    <w:multiLevelType w:val="hybridMultilevel"/>
    <w:tmpl w:val="D9181D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0"/>
      <w:numFmt w:val="bullet"/>
      <w:lvlText w:val="•"/>
      <w:lvlJc w:val="left"/>
      <w:pPr>
        <w:ind w:left="2520" w:hanging="720"/>
      </w:pPr>
      <w:rPr>
        <w:rFonts w:ascii="Calibri" w:eastAsia="Times New Roman" w:hAnsi="Calibri" w:cs="Calibr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1CE81572"/>
    <w:multiLevelType w:val="hybridMultilevel"/>
    <w:tmpl w:val="11E6F38C"/>
    <w:lvl w:ilvl="0">
      <w:start w:val="5000"/>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1F066675"/>
    <w:multiLevelType w:val="multilevel"/>
    <w:tmpl w:val="DA72DDF8"/>
    <w:lvl w:ilvl="0">
      <w:start w:val="3"/>
      <w:numFmt w:val="decimal"/>
      <w:lvlText w:val="%1"/>
      <w:lvlJc w:val="left"/>
      <w:pPr>
        <w:ind w:left="565" w:hanging="451"/>
      </w:pPr>
      <w:rPr>
        <w:rFonts w:hint="default"/>
        <w:lang w:val="en-US" w:eastAsia="en-US" w:bidi="ar-SA"/>
      </w:rPr>
    </w:lvl>
    <w:lvl w:ilvl="1">
      <w:start w:val="1"/>
      <w:numFmt w:val="decimal"/>
      <w:lvlText w:val="%1.%2"/>
      <w:lvlJc w:val="left"/>
      <w:pPr>
        <w:ind w:left="565" w:hanging="451"/>
      </w:pPr>
      <w:rPr>
        <w:rFonts w:ascii="Arial" w:eastAsia="Arial" w:hAnsi="Arial" w:cs="Arial" w:hint="default"/>
        <w:b/>
        <w:bCs/>
        <w:color w:val="006699"/>
        <w:w w:val="99"/>
        <w:sz w:val="27"/>
        <w:szCs w:val="27"/>
        <w:lang w:val="en-US" w:eastAsia="en-US" w:bidi="ar-SA"/>
      </w:rPr>
    </w:lvl>
    <w:lvl w:ilvl="2">
      <w:start w:val="1"/>
      <w:numFmt w:val="decimal"/>
      <w:lvlText w:val="%3"/>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3">
      <w:start w:val="0"/>
      <w:numFmt w:val="bullet"/>
      <w:lvlText w:val="•"/>
      <w:lvlJc w:val="left"/>
      <w:pPr>
        <w:ind w:left="2150" w:hanging="226"/>
      </w:pPr>
      <w:rPr>
        <w:rFonts w:hint="default"/>
        <w:lang w:val="en-US" w:eastAsia="en-US" w:bidi="ar-SA"/>
      </w:rPr>
    </w:lvl>
    <w:lvl w:ilvl="4">
      <w:start w:val="0"/>
      <w:numFmt w:val="bullet"/>
      <w:lvlText w:val="•"/>
      <w:lvlJc w:val="left"/>
      <w:pPr>
        <w:ind w:left="3321" w:hanging="226"/>
      </w:pPr>
      <w:rPr>
        <w:rFonts w:hint="default"/>
        <w:lang w:val="en-US" w:eastAsia="en-US" w:bidi="ar-SA"/>
      </w:rPr>
    </w:lvl>
    <w:lvl w:ilvl="5">
      <w:start w:val="0"/>
      <w:numFmt w:val="bullet"/>
      <w:lvlText w:val="•"/>
      <w:lvlJc w:val="left"/>
      <w:pPr>
        <w:ind w:left="4492" w:hanging="226"/>
      </w:pPr>
      <w:rPr>
        <w:rFonts w:hint="default"/>
        <w:lang w:val="en-US" w:eastAsia="en-US" w:bidi="ar-SA"/>
      </w:rPr>
    </w:lvl>
    <w:lvl w:ilvl="6">
      <w:start w:val="0"/>
      <w:numFmt w:val="bullet"/>
      <w:lvlText w:val="•"/>
      <w:lvlJc w:val="left"/>
      <w:pPr>
        <w:ind w:left="5662" w:hanging="226"/>
      </w:pPr>
      <w:rPr>
        <w:rFonts w:hint="default"/>
        <w:lang w:val="en-US" w:eastAsia="en-US" w:bidi="ar-SA"/>
      </w:rPr>
    </w:lvl>
    <w:lvl w:ilvl="7">
      <w:start w:val="0"/>
      <w:numFmt w:val="bullet"/>
      <w:lvlText w:val="•"/>
      <w:lvlJc w:val="left"/>
      <w:pPr>
        <w:ind w:left="6833" w:hanging="226"/>
      </w:pPr>
      <w:rPr>
        <w:rFonts w:hint="default"/>
        <w:lang w:val="en-US" w:eastAsia="en-US" w:bidi="ar-SA"/>
      </w:rPr>
    </w:lvl>
    <w:lvl w:ilvl="8">
      <w:start w:val="0"/>
      <w:numFmt w:val="bullet"/>
      <w:lvlText w:val="•"/>
      <w:lvlJc w:val="left"/>
      <w:pPr>
        <w:ind w:left="8004" w:hanging="226"/>
      </w:pPr>
      <w:rPr>
        <w:rFonts w:hint="default"/>
        <w:lang w:val="en-US" w:eastAsia="en-US" w:bidi="ar-SA"/>
      </w:rPr>
    </w:lvl>
  </w:abstractNum>
  <w:abstractNum w:abstractNumId="17">
    <w:nsid w:val="22041B82"/>
    <w:multiLevelType w:val="hybridMultilevel"/>
    <w:tmpl w:val="F07A11DE"/>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18">
    <w:nsid w:val="22EC7F92"/>
    <w:multiLevelType w:val="hybridMultilevel"/>
    <w:tmpl w:val="C1DA53CC"/>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19">
    <w:nsid w:val="28E22A9B"/>
    <w:multiLevelType w:val="hybridMultilevel"/>
    <w:tmpl w:val="80E09DF6"/>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0">
    <w:nsid w:val="2B19074F"/>
    <w:multiLevelType w:val="hybridMultilevel"/>
    <w:tmpl w:val="23388DD8"/>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2" w:hanging="226"/>
      </w:pPr>
      <w:rPr>
        <w:rFonts w:hint="default"/>
        <w:lang w:val="en-US" w:eastAsia="en-US" w:bidi="ar-SA"/>
      </w:rPr>
    </w:lvl>
    <w:lvl w:ilvl="2">
      <w:start w:val="0"/>
      <w:numFmt w:val="bullet"/>
      <w:lvlText w:val="•"/>
      <w:lvlJc w:val="left"/>
      <w:pPr>
        <w:ind w:left="2845" w:hanging="226"/>
      </w:pPr>
      <w:rPr>
        <w:rFonts w:hint="default"/>
        <w:lang w:val="en-US" w:eastAsia="en-US" w:bidi="ar-SA"/>
      </w:rPr>
    </w:lvl>
    <w:lvl w:ilvl="3">
      <w:start w:val="0"/>
      <w:numFmt w:val="bullet"/>
      <w:lvlText w:val="•"/>
      <w:lvlJc w:val="left"/>
      <w:pPr>
        <w:ind w:left="3777" w:hanging="226"/>
      </w:pPr>
      <w:rPr>
        <w:rFonts w:hint="default"/>
        <w:lang w:val="en-US" w:eastAsia="en-US" w:bidi="ar-SA"/>
      </w:rPr>
    </w:lvl>
    <w:lvl w:ilvl="4">
      <w:start w:val="0"/>
      <w:numFmt w:val="bullet"/>
      <w:lvlText w:val="•"/>
      <w:lvlJc w:val="left"/>
      <w:pPr>
        <w:ind w:left="4710" w:hanging="226"/>
      </w:pPr>
      <w:rPr>
        <w:rFonts w:hint="default"/>
        <w:lang w:val="en-US" w:eastAsia="en-US" w:bidi="ar-SA"/>
      </w:rPr>
    </w:lvl>
    <w:lvl w:ilvl="5">
      <w:start w:val="0"/>
      <w:numFmt w:val="bullet"/>
      <w:lvlText w:val="•"/>
      <w:lvlJc w:val="left"/>
      <w:pPr>
        <w:ind w:left="5642" w:hanging="226"/>
      </w:pPr>
      <w:rPr>
        <w:rFonts w:hint="default"/>
        <w:lang w:val="en-US" w:eastAsia="en-US" w:bidi="ar-SA"/>
      </w:rPr>
    </w:lvl>
    <w:lvl w:ilvl="6">
      <w:start w:val="0"/>
      <w:numFmt w:val="bullet"/>
      <w:lvlText w:val="•"/>
      <w:lvlJc w:val="left"/>
      <w:pPr>
        <w:ind w:left="6575" w:hanging="226"/>
      </w:pPr>
      <w:rPr>
        <w:rFonts w:hint="default"/>
        <w:lang w:val="en-US" w:eastAsia="en-US" w:bidi="ar-SA"/>
      </w:rPr>
    </w:lvl>
    <w:lvl w:ilvl="7">
      <w:start w:val="0"/>
      <w:numFmt w:val="bullet"/>
      <w:lvlText w:val="•"/>
      <w:lvlJc w:val="left"/>
      <w:pPr>
        <w:ind w:left="7507" w:hanging="226"/>
      </w:pPr>
      <w:rPr>
        <w:rFonts w:hint="default"/>
        <w:lang w:val="en-US" w:eastAsia="en-US" w:bidi="ar-SA"/>
      </w:rPr>
    </w:lvl>
    <w:lvl w:ilvl="8">
      <w:start w:val="0"/>
      <w:numFmt w:val="bullet"/>
      <w:lvlText w:val="•"/>
      <w:lvlJc w:val="left"/>
      <w:pPr>
        <w:ind w:left="8440" w:hanging="226"/>
      </w:pPr>
      <w:rPr>
        <w:rFonts w:hint="default"/>
        <w:lang w:val="en-US" w:eastAsia="en-US" w:bidi="ar-SA"/>
      </w:rPr>
    </w:lvl>
  </w:abstractNum>
  <w:abstractNum w:abstractNumId="21">
    <w:nsid w:val="2CCB2629"/>
    <w:multiLevelType w:val="hybridMultilevel"/>
    <w:tmpl w:val="63A65EF4"/>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2">
    <w:nsid w:val="2D3B59A1"/>
    <w:multiLevelType w:val="hybridMultilevel"/>
    <w:tmpl w:val="64AA34D6"/>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3">
    <w:nsid w:val="2FA57FA5"/>
    <w:multiLevelType w:val="hybridMultilevel"/>
    <w:tmpl w:val="3FF04C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3448727D"/>
    <w:multiLevelType w:val="hybridMultilevel"/>
    <w:tmpl w:val="F61E8898"/>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5">
    <w:nsid w:val="363D7DD7"/>
    <w:multiLevelType w:val="hybridMultilevel"/>
    <w:tmpl w:val="0C58EBCA"/>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6">
    <w:nsid w:val="392D3D18"/>
    <w:multiLevelType w:val="hybridMultilevel"/>
    <w:tmpl w:val="85406752"/>
    <w:lvl w:ilvl="0">
      <w:start w:val="2"/>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0"/>
      <w:numFmt w:val="bullet"/>
      <w:lvlText w:val="•"/>
      <w:lvlJc w:val="left"/>
      <w:pPr>
        <w:ind w:left="2520" w:hanging="720"/>
      </w:pPr>
      <w:rPr>
        <w:rFonts w:ascii="Calibri" w:eastAsia="Times New Roman" w:hAnsi="Calibri" w:cs="Calibr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398B57D3"/>
    <w:multiLevelType w:val="hybridMultilevel"/>
    <w:tmpl w:val="F2322B06"/>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8">
    <w:nsid w:val="3E07497B"/>
    <w:multiLevelType w:val="hybridMultilevel"/>
    <w:tmpl w:val="6CB6DAB6"/>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29">
    <w:nsid w:val="3E7552FF"/>
    <w:multiLevelType w:val="hybridMultilevel"/>
    <w:tmpl w:val="AE847522"/>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30">
    <w:nsid w:val="3F124A31"/>
    <w:multiLevelType w:val="hybridMultilevel"/>
    <w:tmpl w:val="0EE496A2"/>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31">
    <w:nsid w:val="424F07EF"/>
    <w:multiLevelType w:val="hybridMultilevel"/>
    <w:tmpl w:val="3174B488"/>
    <w:lvl w:ilvl="0">
      <w:start w:val="1"/>
      <w:numFmt w:val="decimal"/>
      <w:lvlText w:val="%1"/>
      <w:lvlJc w:val="left"/>
      <w:pPr>
        <w:ind w:left="266" w:hanging="118"/>
      </w:pPr>
      <w:rPr>
        <w:rFonts w:ascii="Microsoft Sans Serif" w:eastAsia="Microsoft Sans Serif" w:hAnsi="Microsoft Sans Serif" w:cs="Microsoft Sans Serif" w:hint="default"/>
        <w:color w:val="666666"/>
        <w:w w:val="104"/>
        <w:position w:val="7"/>
        <w:sz w:val="12"/>
        <w:szCs w:val="12"/>
        <w:lang w:val="en-US" w:eastAsia="en-US" w:bidi="ar-SA"/>
      </w:rPr>
    </w:lvl>
    <w:lvl w:ilvl="1">
      <w:start w:val="0"/>
      <w:numFmt w:val="bullet"/>
      <w:lvlText w:val="•"/>
      <w:lvlJc w:val="left"/>
      <w:pPr>
        <w:ind w:left="760" w:hanging="118"/>
      </w:pPr>
      <w:rPr>
        <w:rFonts w:hint="default"/>
        <w:lang w:val="en-US" w:eastAsia="en-US" w:bidi="ar-SA"/>
      </w:rPr>
    </w:lvl>
    <w:lvl w:ilvl="2">
      <w:start w:val="0"/>
      <w:numFmt w:val="bullet"/>
      <w:lvlText w:val="•"/>
      <w:lvlJc w:val="left"/>
      <w:pPr>
        <w:ind w:left="1820" w:hanging="118"/>
      </w:pPr>
      <w:rPr>
        <w:rFonts w:hint="default"/>
        <w:lang w:val="en-US" w:eastAsia="en-US" w:bidi="ar-SA"/>
      </w:rPr>
    </w:lvl>
    <w:lvl w:ilvl="3">
      <w:start w:val="0"/>
      <w:numFmt w:val="bullet"/>
      <w:lvlText w:val="•"/>
      <w:lvlJc w:val="left"/>
      <w:pPr>
        <w:ind w:left="2881" w:hanging="118"/>
      </w:pPr>
      <w:rPr>
        <w:rFonts w:hint="default"/>
        <w:lang w:val="en-US" w:eastAsia="en-US" w:bidi="ar-SA"/>
      </w:rPr>
    </w:lvl>
    <w:lvl w:ilvl="4">
      <w:start w:val="0"/>
      <w:numFmt w:val="bullet"/>
      <w:lvlText w:val="•"/>
      <w:lvlJc w:val="left"/>
      <w:pPr>
        <w:ind w:left="3941" w:hanging="118"/>
      </w:pPr>
      <w:rPr>
        <w:rFonts w:hint="default"/>
        <w:lang w:val="en-US" w:eastAsia="en-US" w:bidi="ar-SA"/>
      </w:rPr>
    </w:lvl>
    <w:lvl w:ilvl="5">
      <w:start w:val="0"/>
      <w:numFmt w:val="bullet"/>
      <w:lvlText w:val="•"/>
      <w:lvlJc w:val="left"/>
      <w:pPr>
        <w:ind w:left="5002" w:hanging="118"/>
      </w:pPr>
      <w:rPr>
        <w:rFonts w:hint="default"/>
        <w:lang w:val="en-US" w:eastAsia="en-US" w:bidi="ar-SA"/>
      </w:rPr>
    </w:lvl>
    <w:lvl w:ilvl="6">
      <w:start w:val="0"/>
      <w:numFmt w:val="bullet"/>
      <w:lvlText w:val="•"/>
      <w:lvlJc w:val="left"/>
      <w:pPr>
        <w:ind w:left="6063" w:hanging="118"/>
      </w:pPr>
      <w:rPr>
        <w:rFonts w:hint="default"/>
        <w:lang w:val="en-US" w:eastAsia="en-US" w:bidi="ar-SA"/>
      </w:rPr>
    </w:lvl>
    <w:lvl w:ilvl="7">
      <w:start w:val="0"/>
      <w:numFmt w:val="bullet"/>
      <w:lvlText w:val="•"/>
      <w:lvlJc w:val="left"/>
      <w:pPr>
        <w:ind w:left="7123" w:hanging="118"/>
      </w:pPr>
      <w:rPr>
        <w:rFonts w:hint="default"/>
        <w:lang w:val="en-US" w:eastAsia="en-US" w:bidi="ar-SA"/>
      </w:rPr>
    </w:lvl>
    <w:lvl w:ilvl="8">
      <w:start w:val="0"/>
      <w:numFmt w:val="bullet"/>
      <w:lvlText w:val="•"/>
      <w:lvlJc w:val="left"/>
      <w:pPr>
        <w:ind w:left="8184" w:hanging="118"/>
      </w:pPr>
      <w:rPr>
        <w:rFonts w:hint="default"/>
        <w:lang w:val="en-US" w:eastAsia="en-US" w:bidi="ar-SA"/>
      </w:rPr>
    </w:lvl>
  </w:abstractNum>
  <w:abstractNum w:abstractNumId="32">
    <w:nsid w:val="45B8718D"/>
    <w:multiLevelType w:val="hybridMultilevel"/>
    <w:tmpl w:val="04A21490"/>
    <w:lvl w:ilvl="0">
      <w:start w:val="4"/>
      <w:numFmt w:val="decimal"/>
      <w:lvlText w:val="%1"/>
      <w:lvlJc w:val="left"/>
      <w:pPr>
        <w:ind w:left="110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2028" w:hanging="226"/>
      </w:pPr>
      <w:rPr>
        <w:rFonts w:hint="default"/>
        <w:lang w:val="en-US" w:eastAsia="en-US" w:bidi="ar-SA"/>
      </w:rPr>
    </w:lvl>
    <w:lvl w:ilvl="2">
      <w:start w:val="0"/>
      <w:numFmt w:val="bullet"/>
      <w:lvlText w:val="•"/>
      <w:lvlJc w:val="left"/>
      <w:pPr>
        <w:ind w:left="2957" w:hanging="226"/>
      </w:pPr>
      <w:rPr>
        <w:rFonts w:hint="default"/>
        <w:lang w:val="en-US" w:eastAsia="en-US" w:bidi="ar-SA"/>
      </w:rPr>
    </w:lvl>
    <w:lvl w:ilvl="3">
      <w:start w:val="0"/>
      <w:numFmt w:val="bullet"/>
      <w:lvlText w:val="•"/>
      <w:lvlJc w:val="left"/>
      <w:pPr>
        <w:ind w:left="3885" w:hanging="226"/>
      </w:pPr>
      <w:rPr>
        <w:rFonts w:hint="default"/>
        <w:lang w:val="en-US" w:eastAsia="en-US" w:bidi="ar-SA"/>
      </w:rPr>
    </w:lvl>
    <w:lvl w:ilvl="4">
      <w:start w:val="0"/>
      <w:numFmt w:val="bullet"/>
      <w:lvlText w:val="•"/>
      <w:lvlJc w:val="left"/>
      <w:pPr>
        <w:ind w:left="4814" w:hanging="226"/>
      </w:pPr>
      <w:rPr>
        <w:rFonts w:hint="default"/>
        <w:lang w:val="en-US" w:eastAsia="en-US" w:bidi="ar-SA"/>
      </w:rPr>
    </w:lvl>
    <w:lvl w:ilvl="5">
      <w:start w:val="0"/>
      <w:numFmt w:val="bullet"/>
      <w:lvlText w:val="•"/>
      <w:lvlJc w:val="left"/>
      <w:pPr>
        <w:ind w:left="5742" w:hanging="226"/>
      </w:pPr>
      <w:rPr>
        <w:rFonts w:hint="default"/>
        <w:lang w:val="en-US" w:eastAsia="en-US" w:bidi="ar-SA"/>
      </w:rPr>
    </w:lvl>
    <w:lvl w:ilvl="6">
      <w:start w:val="0"/>
      <w:numFmt w:val="bullet"/>
      <w:lvlText w:val="•"/>
      <w:lvlJc w:val="left"/>
      <w:pPr>
        <w:ind w:left="6671" w:hanging="226"/>
      </w:pPr>
      <w:rPr>
        <w:rFonts w:hint="default"/>
        <w:lang w:val="en-US" w:eastAsia="en-US" w:bidi="ar-SA"/>
      </w:rPr>
    </w:lvl>
    <w:lvl w:ilvl="7">
      <w:start w:val="0"/>
      <w:numFmt w:val="bullet"/>
      <w:lvlText w:val="•"/>
      <w:lvlJc w:val="left"/>
      <w:pPr>
        <w:ind w:left="7599" w:hanging="226"/>
      </w:pPr>
      <w:rPr>
        <w:rFonts w:hint="default"/>
        <w:lang w:val="en-US" w:eastAsia="en-US" w:bidi="ar-SA"/>
      </w:rPr>
    </w:lvl>
    <w:lvl w:ilvl="8">
      <w:start w:val="0"/>
      <w:numFmt w:val="bullet"/>
      <w:lvlText w:val="•"/>
      <w:lvlJc w:val="left"/>
      <w:pPr>
        <w:ind w:left="8528" w:hanging="226"/>
      </w:pPr>
      <w:rPr>
        <w:rFonts w:hint="default"/>
        <w:lang w:val="en-US" w:eastAsia="en-US" w:bidi="ar-SA"/>
      </w:rPr>
    </w:lvl>
  </w:abstractNum>
  <w:abstractNum w:abstractNumId="33">
    <w:nsid w:val="48ED6825"/>
    <w:multiLevelType w:val="hybridMultilevel"/>
    <w:tmpl w:val="3430A532"/>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34">
    <w:nsid w:val="4D4F267F"/>
    <w:multiLevelType w:val="hybridMultilevel"/>
    <w:tmpl w:val="32C6422E"/>
    <w:lvl w:ilvl="0">
      <w:start w:val="3"/>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35">
    <w:nsid w:val="55CF3A59"/>
    <w:multiLevelType w:val="hybridMultilevel"/>
    <w:tmpl w:val="4088EF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nsid w:val="58073A4A"/>
    <w:multiLevelType w:val="hybridMultilevel"/>
    <w:tmpl w:val="E034A7D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nsid w:val="61356C9B"/>
    <w:multiLevelType w:val="hybridMultilevel"/>
    <w:tmpl w:val="9698DFEC"/>
    <w:lvl w:ilvl="0">
      <w:start w:val="1"/>
      <w:numFmt w:val="decimal"/>
      <w:lvlText w:val="%1"/>
      <w:lvlJc w:val="left"/>
      <w:pPr>
        <w:ind w:left="110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2028" w:hanging="226"/>
      </w:pPr>
      <w:rPr>
        <w:rFonts w:hint="default"/>
        <w:lang w:val="en-US" w:eastAsia="en-US" w:bidi="ar-SA"/>
      </w:rPr>
    </w:lvl>
    <w:lvl w:ilvl="2">
      <w:start w:val="0"/>
      <w:numFmt w:val="bullet"/>
      <w:lvlText w:val="•"/>
      <w:lvlJc w:val="left"/>
      <w:pPr>
        <w:ind w:left="2957" w:hanging="226"/>
      </w:pPr>
      <w:rPr>
        <w:rFonts w:hint="default"/>
        <w:lang w:val="en-US" w:eastAsia="en-US" w:bidi="ar-SA"/>
      </w:rPr>
    </w:lvl>
    <w:lvl w:ilvl="3">
      <w:start w:val="0"/>
      <w:numFmt w:val="bullet"/>
      <w:lvlText w:val="•"/>
      <w:lvlJc w:val="left"/>
      <w:pPr>
        <w:ind w:left="3885" w:hanging="226"/>
      </w:pPr>
      <w:rPr>
        <w:rFonts w:hint="default"/>
        <w:lang w:val="en-US" w:eastAsia="en-US" w:bidi="ar-SA"/>
      </w:rPr>
    </w:lvl>
    <w:lvl w:ilvl="4">
      <w:start w:val="0"/>
      <w:numFmt w:val="bullet"/>
      <w:lvlText w:val="•"/>
      <w:lvlJc w:val="left"/>
      <w:pPr>
        <w:ind w:left="4814" w:hanging="226"/>
      </w:pPr>
      <w:rPr>
        <w:rFonts w:hint="default"/>
        <w:lang w:val="en-US" w:eastAsia="en-US" w:bidi="ar-SA"/>
      </w:rPr>
    </w:lvl>
    <w:lvl w:ilvl="5">
      <w:start w:val="0"/>
      <w:numFmt w:val="bullet"/>
      <w:lvlText w:val="•"/>
      <w:lvlJc w:val="left"/>
      <w:pPr>
        <w:ind w:left="5742" w:hanging="226"/>
      </w:pPr>
      <w:rPr>
        <w:rFonts w:hint="default"/>
        <w:lang w:val="en-US" w:eastAsia="en-US" w:bidi="ar-SA"/>
      </w:rPr>
    </w:lvl>
    <w:lvl w:ilvl="6">
      <w:start w:val="0"/>
      <w:numFmt w:val="bullet"/>
      <w:lvlText w:val="•"/>
      <w:lvlJc w:val="left"/>
      <w:pPr>
        <w:ind w:left="6671" w:hanging="226"/>
      </w:pPr>
      <w:rPr>
        <w:rFonts w:hint="default"/>
        <w:lang w:val="en-US" w:eastAsia="en-US" w:bidi="ar-SA"/>
      </w:rPr>
    </w:lvl>
    <w:lvl w:ilvl="7">
      <w:start w:val="0"/>
      <w:numFmt w:val="bullet"/>
      <w:lvlText w:val="•"/>
      <w:lvlJc w:val="left"/>
      <w:pPr>
        <w:ind w:left="7599" w:hanging="226"/>
      </w:pPr>
      <w:rPr>
        <w:rFonts w:hint="default"/>
        <w:lang w:val="en-US" w:eastAsia="en-US" w:bidi="ar-SA"/>
      </w:rPr>
    </w:lvl>
    <w:lvl w:ilvl="8">
      <w:start w:val="0"/>
      <w:numFmt w:val="bullet"/>
      <w:lvlText w:val="•"/>
      <w:lvlJc w:val="left"/>
      <w:pPr>
        <w:ind w:left="8528" w:hanging="226"/>
      </w:pPr>
      <w:rPr>
        <w:rFonts w:hint="default"/>
        <w:lang w:val="en-US" w:eastAsia="en-US" w:bidi="ar-SA"/>
      </w:rPr>
    </w:lvl>
  </w:abstractNum>
  <w:abstractNum w:abstractNumId="38">
    <w:nsid w:val="6752779E"/>
    <w:multiLevelType w:val="hybridMultilevel"/>
    <w:tmpl w:val="D916C0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67642F75"/>
    <w:multiLevelType w:val="hybridMultilevel"/>
    <w:tmpl w:val="B3D0A4FC"/>
    <w:lvl w:ilvl="0">
      <w:start w:val="1"/>
      <w:numFmt w:val="bullet"/>
      <w:lvlText w:val=""/>
      <w:lvlPicBulletId w:val="0"/>
      <w:lvlJc w:val="left"/>
      <w:pPr>
        <w:tabs>
          <w:tab w:val="num" w:pos="720"/>
        </w:tabs>
        <w:ind w:left="720" w:hanging="360"/>
      </w:pPr>
      <w:rPr>
        <w:rFonts w:ascii="Symbol" w:hAnsi="Symbol" w:hint="default"/>
      </w:rPr>
    </w:lvl>
    <w:lvl w:ilvl="1" w:tentative="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
      <w:lvlJc w:val="left"/>
      <w:pPr>
        <w:tabs>
          <w:tab w:val="num" w:pos="3600"/>
        </w:tabs>
        <w:ind w:left="3600" w:hanging="360"/>
      </w:pPr>
      <w:rPr>
        <w:rFonts w:ascii="Symbol" w:hAnsi="Symbol" w:hint="default"/>
      </w:rPr>
    </w:lvl>
    <w:lvl w:ilvl="5" w:tentative="1">
      <w:start w:val="1"/>
      <w:numFmt w:val="bullet"/>
      <w:lvlText w:val=""/>
      <w:lvlJc w:val="left"/>
      <w:pPr>
        <w:tabs>
          <w:tab w:val="num" w:pos="4320"/>
        </w:tabs>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
      <w:lvlJc w:val="left"/>
      <w:pPr>
        <w:tabs>
          <w:tab w:val="num" w:pos="5760"/>
        </w:tabs>
        <w:ind w:left="5760" w:hanging="360"/>
      </w:pPr>
      <w:rPr>
        <w:rFonts w:ascii="Symbol" w:hAnsi="Symbol" w:hint="default"/>
      </w:rPr>
    </w:lvl>
    <w:lvl w:ilvl="8" w:tentative="1">
      <w:start w:val="1"/>
      <w:numFmt w:val="bullet"/>
      <w:lvlText w:val=""/>
      <w:lvlJc w:val="left"/>
      <w:pPr>
        <w:tabs>
          <w:tab w:val="num" w:pos="6480"/>
        </w:tabs>
        <w:ind w:left="6480" w:hanging="360"/>
      </w:pPr>
      <w:rPr>
        <w:rFonts w:ascii="Symbol" w:hAnsi="Symbol" w:hint="default"/>
      </w:rPr>
    </w:lvl>
  </w:abstractNum>
  <w:abstractNum w:abstractNumId="40">
    <w:nsid w:val="6C4F5D5B"/>
    <w:multiLevelType w:val="hybridMultilevel"/>
    <w:tmpl w:val="4EB25246"/>
    <w:lvl w:ilvl="0">
      <w:start w:val="1"/>
      <w:numFmt w:val="lowerLetter"/>
      <w:lvlText w:val="%1)"/>
      <w:lvlJc w:val="left"/>
      <w:pPr>
        <w:ind w:left="430" w:hanging="316"/>
      </w:pPr>
      <w:rPr>
        <w:rFonts w:ascii="Arial" w:eastAsia="Arial" w:hAnsi="Arial" w:cs="Arial" w:hint="default"/>
        <w:b/>
        <w:bCs/>
        <w:w w:val="99"/>
        <w:sz w:val="27"/>
        <w:szCs w:val="27"/>
        <w:lang w:val="en-US" w:eastAsia="en-US" w:bidi="ar-SA"/>
      </w:rPr>
    </w:lvl>
    <w:lvl w:ilvl="1">
      <w:start w:val="1"/>
      <w:numFmt w:val="decimal"/>
      <w:lvlText w:val="%2"/>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2">
      <w:start w:val="0"/>
      <w:numFmt w:val="bullet"/>
      <w:lvlText w:val="•"/>
      <w:lvlJc w:val="left"/>
      <w:pPr>
        <w:ind w:left="2020" w:hanging="226"/>
      </w:pPr>
      <w:rPr>
        <w:rFonts w:hint="default"/>
        <w:lang w:val="en-US" w:eastAsia="en-US" w:bidi="ar-SA"/>
      </w:rPr>
    </w:lvl>
    <w:lvl w:ilvl="3">
      <w:start w:val="0"/>
      <w:numFmt w:val="bullet"/>
      <w:lvlText w:val="•"/>
      <w:lvlJc w:val="left"/>
      <w:pPr>
        <w:ind w:left="3061" w:hanging="226"/>
      </w:pPr>
      <w:rPr>
        <w:rFonts w:hint="default"/>
        <w:lang w:val="en-US" w:eastAsia="en-US" w:bidi="ar-SA"/>
      </w:rPr>
    </w:lvl>
    <w:lvl w:ilvl="4">
      <w:start w:val="0"/>
      <w:numFmt w:val="bullet"/>
      <w:lvlText w:val="•"/>
      <w:lvlJc w:val="left"/>
      <w:pPr>
        <w:ind w:left="4101" w:hanging="226"/>
      </w:pPr>
      <w:rPr>
        <w:rFonts w:hint="default"/>
        <w:lang w:val="en-US" w:eastAsia="en-US" w:bidi="ar-SA"/>
      </w:rPr>
    </w:lvl>
    <w:lvl w:ilvl="5">
      <w:start w:val="0"/>
      <w:numFmt w:val="bullet"/>
      <w:lvlText w:val="•"/>
      <w:lvlJc w:val="left"/>
      <w:pPr>
        <w:ind w:left="5142" w:hanging="226"/>
      </w:pPr>
      <w:rPr>
        <w:rFonts w:hint="default"/>
        <w:lang w:val="en-US" w:eastAsia="en-US" w:bidi="ar-SA"/>
      </w:rPr>
    </w:lvl>
    <w:lvl w:ilvl="6">
      <w:start w:val="0"/>
      <w:numFmt w:val="bullet"/>
      <w:lvlText w:val="•"/>
      <w:lvlJc w:val="left"/>
      <w:pPr>
        <w:ind w:left="6183" w:hanging="226"/>
      </w:pPr>
      <w:rPr>
        <w:rFonts w:hint="default"/>
        <w:lang w:val="en-US" w:eastAsia="en-US" w:bidi="ar-SA"/>
      </w:rPr>
    </w:lvl>
    <w:lvl w:ilvl="7">
      <w:start w:val="0"/>
      <w:numFmt w:val="bullet"/>
      <w:lvlText w:val="•"/>
      <w:lvlJc w:val="left"/>
      <w:pPr>
        <w:ind w:left="7223" w:hanging="226"/>
      </w:pPr>
      <w:rPr>
        <w:rFonts w:hint="default"/>
        <w:lang w:val="en-US" w:eastAsia="en-US" w:bidi="ar-SA"/>
      </w:rPr>
    </w:lvl>
    <w:lvl w:ilvl="8">
      <w:start w:val="0"/>
      <w:numFmt w:val="bullet"/>
      <w:lvlText w:val="•"/>
      <w:lvlJc w:val="left"/>
      <w:pPr>
        <w:ind w:left="8264" w:hanging="226"/>
      </w:pPr>
      <w:rPr>
        <w:rFonts w:hint="default"/>
        <w:lang w:val="en-US" w:eastAsia="en-US" w:bidi="ar-SA"/>
      </w:rPr>
    </w:lvl>
  </w:abstractNum>
  <w:abstractNum w:abstractNumId="41">
    <w:nsid w:val="6D7D273F"/>
    <w:multiLevelType w:val="hybridMultilevel"/>
    <w:tmpl w:val="B3429338"/>
    <w:lvl w:ilvl="0">
      <w:start w:val="4"/>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42">
    <w:nsid w:val="73A71305"/>
    <w:multiLevelType w:val="hybridMultilevel"/>
    <w:tmpl w:val="BC8832B0"/>
    <w:lvl w:ilvl="0">
      <w:start w:val="1"/>
      <w:numFmt w:val="decimal"/>
      <w:lvlText w:val="%1."/>
      <w:lvlJc w:val="left"/>
      <w:pPr>
        <w:ind w:left="835" w:hanging="264"/>
      </w:pPr>
      <w:rPr>
        <w:rFonts w:ascii="Microsoft Sans Serif" w:eastAsia="Microsoft Sans Serif" w:hAnsi="Microsoft Sans Serif" w:cs="Microsoft Sans Serif" w:hint="default"/>
        <w:w w:val="99"/>
        <w:sz w:val="19"/>
        <w:szCs w:val="19"/>
        <w:lang w:val="en-US" w:eastAsia="en-US" w:bidi="ar-SA"/>
      </w:rPr>
    </w:lvl>
    <w:lvl w:ilvl="1">
      <w:start w:val="0"/>
      <w:numFmt w:val="bullet"/>
      <w:lvlText w:val="•"/>
      <w:lvlJc w:val="left"/>
      <w:pPr>
        <w:ind w:left="1800" w:hanging="264"/>
      </w:pPr>
      <w:rPr>
        <w:rFonts w:hint="default"/>
        <w:lang w:val="en-US" w:eastAsia="en-US" w:bidi="ar-SA"/>
      </w:rPr>
    </w:lvl>
    <w:lvl w:ilvl="2">
      <w:start w:val="0"/>
      <w:numFmt w:val="bullet"/>
      <w:lvlText w:val="•"/>
      <w:lvlJc w:val="left"/>
      <w:pPr>
        <w:ind w:left="2761" w:hanging="264"/>
      </w:pPr>
      <w:rPr>
        <w:rFonts w:hint="default"/>
        <w:lang w:val="en-US" w:eastAsia="en-US" w:bidi="ar-SA"/>
      </w:rPr>
    </w:lvl>
    <w:lvl w:ilvl="3">
      <w:start w:val="0"/>
      <w:numFmt w:val="bullet"/>
      <w:lvlText w:val="•"/>
      <w:lvlJc w:val="left"/>
      <w:pPr>
        <w:ind w:left="3721" w:hanging="264"/>
      </w:pPr>
      <w:rPr>
        <w:rFonts w:hint="default"/>
        <w:lang w:val="en-US" w:eastAsia="en-US" w:bidi="ar-SA"/>
      </w:rPr>
    </w:lvl>
    <w:lvl w:ilvl="4">
      <w:start w:val="0"/>
      <w:numFmt w:val="bullet"/>
      <w:lvlText w:val="•"/>
      <w:lvlJc w:val="left"/>
      <w:pPr>
        <w:ind w:left="4682" w:hanging="264"/>
      </w:pPr>
      <w:rPr>
        <w:rFonts w:hint="default"/>
        <w:lang w:val="en-US" w:eastAsia="en-US" w:bidi="ar-SA"/>
      </w:rPr>
    </w:lvl>
    <w:lvl w:ilvl="5">
      <w:start w:val="0"/>
      <w:numFmt w:val="bullet"/>
      <w:lvlText w:val="•"/>
      <w:lvlJc w:val="left"/>
      <w:pPr>
        <w:ind w:left="5642" w:hanging="264"/>
      </w:pPr>
      <w:rPr>
        <w:rFonts w:hint="default"/>
        <w:lang w:val="en-US" w:eastAsia="en-US" w:bidi="ar-SA"/>
      </w:rPr>
    </w:lvl>
    <w:lvl w:ilvl="6">
      <w:start w:val="0"/>
      <w:numFmt w:val="bullet"/>
      <w:lvlText w:val="•"/>
      <w:lvlJc w:val="left"/>
      <w:pPr>
        <w:ind w:left="6603" w:hanging="264"/>
      </w:pPr>
      <w:rPr>
        <w:rFonts w:hint="default"/>
        <w:lang w:val="en-US" w:eastAsia="en-US" w:bidi="ar-SA"/>
      </w:rPr>
    </w:lvl>
    <w:lvl w:ilvl="7">
      <w:start w:val="0"/>
      <w:numFmt w:val="bullet"/>
      <w:lvlText w:val="•"/>
      <w:lvlJc w:val="left"/>
      <w:pPr>
        <w:ind w:left="7563" w:hanging="264"/>
      </w:pPr>
      <w:rPr>
        <w:rFonts w:hint="default"/>
        <w:lang w:val="en-US" w:eastAsia="en-US" w:bidi="ar-SA"/>
      </w:rPr>
    </w:lvl>
    <w:lvl w:ilvl="8">
      <w:start w:val="0"/>
      <w:numFmt w:val="bullet"/>
      <w:lvlText w:val="•"/>
      <w:lvlJc w:val="left"/>
      <w:pPr>
        <w:ind w:left="8524" w:hanging="264"/>
      </w:pPr>
      <w:rPr>
        <w:rFonts w:hint="default"/>
        <w:lang w:val="en-US" w:eastAsia="en-US" w:bidi="ar-SA"/>
      </w:rPr>
    </w:lvl>
  </w:abstractNum>
  <w:abstractNum w:abstractNumId="43">
    <w:nsid w:val="790F13F1"/>
    <w:multiLevelType w:val="hybridMultilevel"/>
    <w:tmpl w:val="7C2AE9A6"/>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44">
    <w:nsid w:val="79E47815"/>
    <w:multiLevelType w:val="hybridMultilevel"/>
    <w:tmpl w:val="0C22F186"/>
    <w:lvl w:ilvl="0">
      <w:start w:val="1"/>
      <w:numFmt w:val="decimal"/>
      <w:lvlText w:val="%1"/>
      <w:lvlJc w:val="left"/>
      <w:pPr>
        <w:ind w:left="985" w:hanging="226"/>
      </w:pPr>
      <w:rPr>
        <w:rFonts w:ascii="Microsoft Sans Serif" w:eastAsia="Microsoft Sans Serif" w:hAnsi="Microsoft Sans Serif" w:cs="Microsoft Sans Serif" w:hint="default"/>
        <w:w w:val="99"/>
        <w:sz w:val="27"/>
        <w:szCs w:val="27"/>
        <w:lang w:val="en-US" w:eastAsia="en-US" w:bidi="ar-SA"/>
      </w:rPr>
    </w:lvl>
    <w:lvl w:ilvl="1">
      <w:start w:val="0"/>
      <w:numFmt w:val="bullet"/>
      <w:lvlText w:val="•"/>
      <w:lvlJc w:val="left"/>
      <w:pPr>
        <w:ind w:left="1916" w:hanging="226"/>
      </w:pPr>
      <w:rPr>
        <w:rFonts w:hint="default"/>
        <w:lang w:val="en-US" w:eastAsia="en-US" w:bidi="ar-SA"/>
      </w:rPr>
    </w:lvl>
    <w:lvl w:ilvl="2">
      <w:start w:val="0"/>
      <w:numFmt w:val="bullet"/>
      <w:lvlText w:val="•"/>
      <w:lvlJc w:val="left"/>
      <w:pPr>
        <w:ind w:left="2853" w:hanging="226"/>
      </w:pPr>
      <w:rPr>
        <w:rFonts w:hint="default"/>
        <w:lang w:val="en-US" w:eastAsia="en-US" w:bidi="ar-SA"/>
      </w:rPr>
    </w:lvl>
    <w:lvl w:ilvl="3">
      <w:start w:val="0"/>
      <w:numFmt w:val="bullet"/>
      <w:lvlText w:val="•"/>
      <w:lvlJc w:val="left"/>
      <w:pPr>
        <w:ind w:left="3789" w:hanging="226"/>
      </w:pPr>
      <w:rPr>
        <w:rFonts w:hint="default"/>
        <w:lang w:val="en-US" w:eastAsia="en-US" w:bidi="ar-SA"/>
      </w:rPr>
    </w:lvl>
    <w:lvl w:ilvl="4">
      <w:start w:val="0"/>
      <w:numFmt w:val="bullet"/>
      <w:lvlText w:val="•"/>
      <w:lvlJc w:val="left"/>
      <w:pPr>
        <w:ind w:left="4726" w:hanging="226"/>
      </w:pPr>
      <w:rPr>
        <w:rFonts w:hint="default"/>
        <w:lang w:val="en-US" w:eastAsia="en-US" w:bidi="ar-SA"/>
      </w:rPr>
    </w:lvl>
    <w:lvl w:ilvl="5">
      <w:start w:val="0"/>
      <w:numFmt w:val="bullet"/>
      <w:lvlText w:val="•"/>
      <w:lvlJc w:val="left"/>
      <w:pPr>
        <w:ind w:left="5662" w:hanging="226"/>
      </w:pPr>
      <w:rPr>
        <w:rFonts w:hint="default"/>
        <w:lang w:val="en-US" w:eastAsia="en-US" w:bidi="ar-SA"/>
      </w:rPr>
    </w:lvl>
    <w:lvl w:ilvl="6">
      <w:start w:val="0"/>
      <w:numFmt w:val="bullet"/>
      <w:lvlText w:val="•"/>
      <w:lvlJc w:val="left"/>
      <w:pPr>
        <w:ind w:left="6599" w:hanging="226"/>
      </w:pPr>
      <w:rPr>
        <w:rFonts w:hint="default"/>
        <w:lang w:val="en-US" w:eastAsia="en-US" w:bidi="ar-SA"/>
      </w:rPr>
    </w:lvl>
    <w:lvl w:ilvl="7">
      <w:start w:val="0"/>
      <w:numFmt w:val="bullet"/>
      <w:lvlText w:val="•"/>
      <w:lvlJc w:val="left"/>
      <w:pPr>
        <w:ind w:left="7535" w:hanging="226"/>
      </w:pPr>
      <w:rPr>
        <w:rFonts w:hint="default"/>
        <w:lang w:val="en-US" w:eastAsia="en-US" w:bidi="ar-SA"/>
      </w:rPr>
    </w:lvl>
    <w:lvl w:ilvl="8">
      <w:start w:val="0"/>
      <w:numFmt w:val="bullet"/>
      <w:lvlText w:val="•"/>
      <w:lvlJc w:val="left"/>
      <w:pPr>
        <w:ind w:left="8472" w:hanging="226"/>
      </w:pPr>
      <w:rPr>
        <w:rFonts w:hint="default"/>
        <w:lang w:val="en-US" w:eastAsia="en-US" w:bidi="ar-SA"/>
      </w:rPr>
    </w:lvl>
  </w:abstractNum>
  <w:abstractNum w:abstractNumId="45">
    <w:nsid w:val="7E281C8E"/>
    <w:multiLevelType w:val="hybridMultilevel"/>
    <w:tmpl w:val="6B0E6BC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6">
    <w:nsid w:val="7FE303DF"/>
    <w:multiLevelType w:val="hybridMultilevel"/>
    <w:tmpl w:val="745A2F2E"/>
    <w:lvl w:ilvl="0">
      <w:start w:va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3"/>
  </w:num>
  <w:num w:numId="4">
    <w:abstractNumId w:val="18"/>
  </w:num>
  <w:num w:numId="5">
    <w:abstractNumId w:val="6"/>
  </w:num>
  <w:num w:numId="6">
    <w:abstractNumId w:val="20"/>
  </w:num>
  <w:num w:numId="7">
    <w:abstractNumId w:val="2"/>
  </w:num>
  <w:num w:numId="8">
    <w:abstractNumId w:val="1"/>
  </w:num>
  <w:num w:numId="9">
    <w:abstractNumId w:val="12"/>
  </w:num>
  <w:num w:numId="10">
    <w:abstractNumId w:val="33"/>
  </w:num>
  <w:num w:numId="11">
    <w:abstractNumId w:val="44"/>
  </w:num>
  <w:num w:numId="12">
    <w:abstractNumId w:val="21"/>
  </w:num>
  <w:num w:numId="13">
    <w:abstractNumId w:val="7"/>
  </w:num>
  <w:num w:numId="14">
    <w:abstractNumId w:val="24"/>
  </w:num>
  <w:num w:numId="15">
    <w:abstractNumId w:val="22"/>
  </w:num>
  <w:num w:numId="16">
    <w:abstractNumId w:val="25"/>
  </w:num>
  <w:num w:numId="17">
    <w:abstractNumId w:val="41"/>
  </w:num>
  <w:num w:numId="18">
    <w:abstractNumId w:val="30"/>
  </w:num>
  <w:num w:numId="19">
    <w:abstractNumId w:val="19"/>
  </w:num>
  <w:num w:numId="20">
    <w:abstractNumId w:val="4"/>
  </w:num>
  <w:num w:numId="21">
    <w:abstractNumId w:val="16"/>
  </w:num>
  <w:num w:numId="22">
    <w:abstractNumId w:val="31"/>
  </w:num>
  <w:num w:numId="23">
    <w:abstractNumId w:val="34"/>
  </w:num>
  <w:num w:numId="24">
    <w:abstractNumId w:val="13"/>
  </w:num>
  <w:num w:numId="25">
    <w:abstractNumId w:val="0"/>
  </w:num>
  <w:num w:numId="26">
    <w:abstractNumId w:val="5"/>
  </w:num>
  <w:num w:numId="27">
    <w:abstractNumId w:val="40"/>
  </w:num>
  <w:num w:numId="28">
    <w:abstractNumId w:val="29"/>
  </w:num>
  <w:num w:numId="29">
    <w:abstractNumId w:val="43"/>
  </w:num>
  <w:num w:numId="30">
    <w:abstractNumId w:val="28"/>
  </w:num>
  <w:num w:numId="31">
    <w:abstractNumId w:val="27"/>
  </w:num>
  <w:num w:numId="32">
    <w:abstractNumId w:val="32"/>
  </w:num>
  <w:num w:numId="33">
    <w:abstractNumId w:val="11"/>
  </w:num>
  <w:num w:numId="34">
    <w:abstractNumId w:val="42"/>
  </w:num>
  <w:num w:numId="35">
    <w:abstractNumId w:val="39"/>
  </w:num>
  <w:num w:numId="36">
    <w:abstractNumId w:val="15"/>
  </w:num>
  <w:num w:numId="37">
    <w:abstractNumId w:val="38"/>
  </w:num>
  <w:num w:numId="38">
    <w:abstractNumId w:val="45"/>
  </w:num>
  <w:num w:numId="39">
    <w:abstractNumId w:val="35"/>
  </w:num>
  <w:num w:numId="40">
    <w:abstractNumId w:val="23"/>
  </w:num>
  <w:num w:numId="41">
    <w:abstractNumId w:val="8"/>
  </w:num>
  <w:num w:numId="42">
    <w:abstractNumId w:val="36"/>
  </w:num>
  <w:num w:numId="43">
    <w:abstractNumId w:val="9"/>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4"/>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Microsoft Sans Serif" w:eastAsia="Microsoft Sans Serif" w:hAnsi="Microsoft Sans Serif" w:cs="Microsoft Sans Serif"/>
    </w:rPr>
  </w:style>
  <w:style w:type="paragraph" w:styleId="Heading1">
    <w:name w:val="heading 1"/>
    <w:basedOn w:val="Normal"/>
    <w:uiPriority w:val="9"/>
    <w:qFormat/>
    <w:pPr>
      <w:ind w:left="115"/>
      <w:outlineLvl w:val="0"/>
    </w:pPr>
    <w:rPr>
      <w:rFonts w:ascii="Arial" w:eastAsia="Arial" w:hAnsi="Arial" w:cs="Arial"/>
      <w:b/>
      <w:bCs/>
      <w:sz w:val="34"/>
      <w:szCs w:val="34"/>
    </w:rPr>
  </w:style>
  <w:style w:type="paragraph" w:styleId="Heading2">
    <w:name w:val="heading 2"/>
    <w:basedOn w:val="Normal"/>
    <w:uiPriority w:val="9"/>
    <w:unhideWhenUsed/>
    <w:qFormat/>
    <w:pPr>
      <w:ind w:left="115"/>
      <w:outlineLvl w:val="1"/>
    </w:pPr>
    <w:rPr>
      <w:rFonts w:ascii="Arial" w:eastAsia="Arial"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spacing w:before="298"/>
      <w:ind w:left="160" w:right="644"/>
    </w:pPr>
    <w:rPr>
      <w:rFonts w:ascii="Arial" w:eastAsia="Arial" w:hAnsi="Arial" w:cs="Arial"/>
      <w:b/>
      <w:bCs/>
      <w:sz w:val="45"/>
      <w:szCs w:val="45"/>
    </w:rPr>
  </w:style>
  <w:style w:type="paragraph" w:styleId="ListParagraph">
    <w:name w:val="List Paragraph"/>
    <w:basedOn w:val="Normal"/>
    <w:uiPriority w:val="34"/>
    <w:qFormat/>
    <w:pPr>
      <w:ind w:left="985" w:hanging="226"/>
    </w:pPr>
  </w:style>
  <w:style w:type="paragraph" w:customStyle="1" w:styleId="TableParagraph">
    <w:name w:val="Table Paragraph"/>
    <w:basedOn w:val="Normal"/>
    <w:uiPriority w:val="1"/>
    <w:qFormat/>
  </w:style>
  <w:style w:type="paragraph" w:styleId="Revision">
    <w:name w:val="Revision"/>
    <w:hidden/>
    <w:uiPriority w:val="99"/>
    <w:semiHidden/>
    <w:rsid w:val="00037B89"/>
    <w:pPr>
      <w:widowControl/>
      <w:autoSpaceDE/>
      <w:autoSpaceDN/>
    </w:pPr>
    <w:rPr>
      <w:rFonts w:ascii="Microsoft Sans Serif" w:eastAsia="Microsoft Sans Serif" w:hAnsi="Microsoft Sans Serif" w:cs="Microsoft Sans Serif"/>
    </w:rPr>
  </w:style>
  <w:style w:type="paragraph" w:styleId="Header">
    <w:name w:val="header"/>
    <w:basedOn w:val="Normal"/>
    <w:link w:val="HeaderChar"/>
    <w:uiPriority w:val="99"/>
    <w:unhideWhenUsed/>
    <w:rsid w:val="009802BF"/>
    <w:pPr>
      <w:tabs>
        <w:tab w:val="center" w:pos="4513"/>
        <w:tab w:val="right" w:pos="9026"/>
      </w:tabs>
    </w:pPr>
  </w:style>
  <w:style w:type="character" w:customStyle="1" w:styleId="HeaderChar">
    <w:name w:val="Header Char"/>
    <w:basedOn w:val="DefaultParagraphFont"/>
    <w:link w:val="Header"/>
    <w:uiPriority w:val="99"/>
    <w:rsid w:val="009802BF"/>
    <w:rPr>
      <w:rFonts w:ascii="Microsoft Sans Serif" w:eastAsia="Microsoft Sans Serif" w:hAnsi="Microsoft Sans Serif" w:cs="Microsoft Sans Serif"/>
    </w:rPr>
  </w:style>
  <w:style w:type="paragraph" w:styleId="Footer">
    <w:name w:val="footer"/>
    <w:basedOn w:val="Normal"/>
    <w:link w:val="FooterChar"/>
    <w:uiPriority w:val="99"/>
    <w:unhideWhenUsed/>
    <w:rsid w:val="009802BF"/>
    <w:pPr>
      <w:tabs>
        <w:tab w:val="center" w:pos="4513"/>
        <w:tab w:val="right" w:pos="9026"/>
      </w:tabs>
    </w:pPr>
  </w:style>
  <w:style w:type="character" w:customStyle="1" w:styleId="FooterChar">
    <w:name w:val="Footer Char"/>
    <w:basedOn w:val="DefaultParagraphFont"/>
    <w:link w:val="Footer"/>
    <w:uiPriority w:val="99"/>
    <w:rsid w:val="009802BF"/>
    <w:rPr>
      <w:rFonts w:ascii="Microsoft Sans Serif" w:eastAsia="Microsoft Sans Serif" w:hAnsi="Microsoft Sans Serif" w:cs="Microsoft Sans Serif"/>
    </w:rPr>
  </w:style>
  <w:style w:type="character" w:styleId="CommentReference">
    <w:name w:val="annotation reference"/>
    <w:basedOn w:val="DefaultParagraphFont"/>
    <w:uiPriority w:val="99"/>
    <w:semiHidden/>
    <w:unhideWhenUsed/>
    <w:rsid w:val="00FB37CC"/>
    <w:rPr>
      <w:sz w:val="16"/>
      <w:szCs w:val="16"/>
    </w:rPr>
  </w:style>
  <w:style w:type="paragraph" w:styleId="CommentText">
    <w:name w:val="annotation text"/>
    <w:basedOn w:val="Normal"/>
    <w:link w:val="CommentTextChar"/>
    <w:uiPriority w:val="99"/>
    <w:unhideWhenUsed/>
    <w:rsid w:val="00FB37CC"/>
    <w:rPr>
      <w:sz w:val="20"/>
      <w:szCs w:val="20"/>
    </w:rPr>
  </w:style>
  <w:style w:type="character" w:customStyle="1" w:styleId="CommentTextChar">
    <w:name w:val="Comment Text Char"/>
    <w:basedOn w:val="DefaultParagraphFont"/>
    <w:link w:val="CommentText"/>
    <w:uiPriority w:val="99"/>
    <w:rsid w:val="00FB37CC"/>
    <w:rPr>
      <w:rFonts w:ascii="Microsoft Sans Serif" w:eastAsia="Microsoft Sans Serif" w:hAnsi="Microsoft Sans Serif" w:cs="Microsoft Sans Serif"/>
      <w:sz w:val="20"/>
      <w:szCs w:val="20"/>
    </w:rPr>
  </w:style>
  <w:style w:type="paragraph" w:styleId="CommentSubject">
    <w:name w:val="annotation subject"/>
    <w:basedOn w:val="CommentText"/>
    <w:next w:val="CommentText"/>
    <w:link w:val="CommentSubjectChar"/>
    <w:uiPriority w:val="99"/>
    <w:semiHidden/>
    <w:unhideWhenUsed/>
    <w:rsid w:val="00FB37CC"/>
    <w:rPr>
      <w:b/>
      <w:bCs/>
    </w:rPr>
  </w:style>
  <w:style w:type="character" w:customStyle="1" w:styleId="CommentSubjectChar">
    <w:name w:val="Comment Subject Char"/>
    <w:basedOn w:val="CommentTextChar"/>
    <w:link w:val="CommentSubject"/>
    <w:uiPriority w:val="99"/>
    <w:semiHidden/>
    <w:rsid w:val="00FB37CC"/>
    <w:rPr>
      <w:rFonts w:ascii="Microsoft Sans Serif" w:eastAsia="Microsoft Sans Serif" w:hAnsi="Microsoft Sans Serif" w:cs="Microsoft Sans Serif"/>
      <w:b/>
      <w:bCs/>
      <w:sz w:val="20"/>
      <w:szCs w:val="20"/>
    </w:rPr>
  </w:style>
  <w:style w:type="character" w:customStyle="1" w:styleId="UnresolvedMention1">
    <w:name w:val="Unresolved Mention1"/>
    <w:basedOn w:val="DefaultParagraphFont"/>
    <w:uiPriority w:val="99"/>
    <w:unhideWhenUsed/>
    <w:rsid w:val="00284D48"/>
    <w:rPr>
      <w:color w:val="605E5C"/>
      <w:shd w:val="clear" w:color="auto" w:fill="E1DFDD"/>
    </w:rPr>
  </w:style>
  <w:style w:type="character" w:customStyle="1" w:styleId="Mention1">
    <w:name w:val="Mention1"/>
    <w:basedOn w:val="DefaultParagraphFont"/>
    <w:uiPriority w:val="99"/>
    <w:unhideWhenUsed/>
    <w:rsid w:val="00284D48"/>
    <w:rPr>
      <w:color w:val="2B579A"/>
      <w:shd w:val="clear" w:color="auto" w:fill="E1DFDD"/>
    </w:rPr>
  </w:style>
  <w:style w:type="table" w:styleId="TableGrid">
    <w:name w:val="Table Grid"/>
    <w:basedOn w:val="TableNormal"/>
    <w:uiPriority w:val="39"/>
    <w:rsid w:val="00722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1438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png" /><Relationship Id="rId11" Type="http://schemas.openxmlformats.org/officeDocument/2006/relationships/image" Target="cid:image011.png@01DA0425.0B14BB20" TargetMode="Externa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image" Target="cid:image008.png@01DA0425.0B14BB20" TargetMode="External" /></Relationships>
</file>

<file path=word/_rels/numbering.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Note" ma:contentTypeID="0x010100B4E40CD25AD5274DB7E81FF0364FBB8D0020F1E7A0BEAD674C8A7634D3606634EE" ma:contentTypeVersion="331" ma:contentTypeDescription="Create a new document." ma:contentTypeScope="" ma:versionID="ec323aabcccb31e6e48849401ee68122">
  <xsd:schema xmlns:xsd="http://www.w3.org/2001/XMLSchema" xmlns:xs="http://www.w3.org/2001/XMLSchema" xmlns:p="http://schemas.microsoft.com/office/2006/metadata/properties" xmlns:ns2="1db0cbf4-83cc-494f-b6b6-1904e10b356b" xmlns:ns3="99d59dcc-c856-4946-9478-59bf7c88ef96" targetNamespace="http://schemas.microsoft.com/office/2006/metadata/properties" ma:root="true" ma:fieldsID="539ce725c860a1444b74097d16efccb0" ns2:_="" ns3:_="">
    <xsd:import namespace="1db0cbf4-83cc-494f-b6b6-1904e10b356b"/>
    <xsd:import namespace="99d59dcc-c856-4946-9478-59bf7c88ef96"/>
    <xsd:element name="properties">
      <xsd:complexType>
        <xsd:sequence>
          <xsd:element name="documentManagement">
            <xsd:complexType>
              <xsd:all>
                <xsd:element ref="ns2:Feb_Language" minOccurs="0"/>
                <xsd:element ref="ns2:Association" minOccurs="0"/>
                <xsd:element ref="ns2:LineOfActivity" minOccurs="0"/>
                <xsd:element ref="ns2:OrganizationalUnit" minOccurs="0"/>
                <xsd:element ref="ns2:Contact" minOccurs="0"/>
                <xsd:element ref="ns3:PublicationDate" minOccurs="0"/>
                <xsd:element ref="ns3:Feb_Status"/>
                <xsd:element ref="ns2:MeetingDate" minOccurs="0"/>
                <xsd:element ref="ns3:Number" minOccurs="0"/>
                <xsd:element ref="ns2:feb_DocumentID"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b0cbf4-83cc-494f-b6b6-1904e10b356b" elementFormDefault="qualified">
    <xsd:import namespace="http://schemas.microsoft.com/office/2006/documentManagement/types"/>
    <xsd:import namespace="http://schemas.microsoft.com/office/infopath/2007/PartnerControls"/>
    <xsd:element name="Feb_Language" ma:index="2" nillable="true" ma:displayName="Language" ma:default="EN" ma:description="" ma:format="Dropdown" ma:internalName="Feb_Language" ma:readOnly="false">
      <xsd:simpleType>
        <xsd:restriction base="dms:Choice">
          <xsd:enumeration value="NL"/>
          <xsd:enumeration value="FR"/>
          <xsd:enumeration value="EN"/>
          <xsd:enumeration value="Other"/>
          <xsd:enumeration value="Mixed"/>
        </xsd:restriction>
      </xsd:simpleType>
    </xsd:element>
    <xsd:element name="Association" ma:index="3" nillable="true" ma:displayName="Association" ma:default="Febelfin" ma:format="Dropdown" ma:internalName="Association" ma:readOnly="false">
      <xsd:simpleType>
        <xsd:restriction base="dms:Choice">
          <xsd:enumeration value="Febelfin"/>
          <xsd:enumeration value="ABB-BVB"/>
          <xsd:enumeration value="UPC-BVK"/>
          <xsd:enumeration value="BEAMA"/>
          <xsd:enumeration value="ABMB-BVBL"/>
          <xsd:enumeration value="BLV-ABL"/>
          <xsd:enumeration value="Febelfin Academy"/>
        </xsd:restriction>
      </xsd:simpleType>
    </xsd:element>
    <xsd:element name="LineOfActivity" ma:index="4" nillable="true" ma:displayName="Hub" ma:format="Dropdown" ma:internalName="LineOfActivity" ma:readOnly="false">
      <xsd:simpleType>
        <xsd:restriction base="dms:Choice">
          <xsd:enumeration value="Retail Banking"/>
          <xsd:enumeration value="Corporate Banking &amp; Leasing"/>
          <xsd:enumeration value="Payments &amp; Operations"/>
          <xsd:enumeration value="Asset Management &amp; Private Banking"/>
          <xsd:enumeration value="Financial Markets &amp; Infrastructure"/>
          <xsd:enumeration value="Regulatory Affairs"/>
          <xsd:enumeration value="Tax Affairs"/>
          <xsd:enumeration value="Economic Affairs"/>
          <xsd:enumeration value="Social Affairs"/>
          <xsd:enumeration value="Learning &amp; Development"/>
          <xsd:enumeration value="Strategic Affairs"/>
          <xsd:enumeration value="Sustainable Finance"/>
          <xsd:enumeration value="European Affairs"/>
          <xsd:enumeration value="Corporate Affairs"/>
          <xsd:enumeration value="Marketing &amp; Communication"/>
        </xsd:restriction>
      </xsd:simpleType>
    </xsd:element>
    <xsd:element name="OrganizationalUnit" ma:index="5" nillable="true" ma:displayName="Organisational Unit" ma:internalName="OrganizationalUnit" ma:readOnly="false">
      <xsd:simpleType>
        <xsd:restriction base="dms:Text">
          <xsd:maxLength value="255"/>
        </xsd:restriction>
      </xsd:simpleType>
    </xsd:element>
    <xsd:element name="Contact" ma:index="6" nillable="true" ma:displayName="Contact" ma:list="UserInfo" ma:SearchPeopleOnly="false" ma:internalName="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etingDate" ma:index="9" nillable="true" ma:displayName="Meeting Date" ma:default="" ma:description="" ma:format="DateOnly" ma:internalName="MeetingDate" ma:readOnly="false">
      <xsd:simpleType>
        <xsd:restriction base="dms:DateTime"/>
      </xsd:simpleType>
    </xsd:element>
    <xsd:element name="feb_DocumentID" ma:index="11" nillable="true" ma:displayName="Document ID" ma:internalName="feb_DocumentID" ma:readOnly="false">
      <xsd:simpleType>
        <xsd:restriction base="dms:Text">
          <xsd:maxLength value="255"/>
        </xsd:restriction>
      </xsd:simpleType>
    </xsd:element>
    <xsd:element name="TaxCatchAll" ma:index="19" nillable="true" ma:displayName="Taxonomy Catch All Column" ma:hidden="true" ma:list="{1328127c-a592-4a64-80c5-0e4bbff310a8}" ma:internalName="TaxCatchAll" ma:showField="CatchAllData" ma:web="1db0cbf4-83cc-494f-b6b6-1904e10b35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d59dcc-c856-4946-9478-59bf7c88ef96" elementFormDefault="qualified">
    <xsd:import namespace="http://schemas.microsoft.com/office/2006/documentManagement/types"/>
    <xsd:import namespace="http://schemas.microsoft.com/office/infopath/2007/PartnerControls"/>
    <xsd:element name="PublicationDate" ma:index="7" nillable="true" ma:displayName="Publication Date" ma:format="DateOnly" ma:internalName="PublicationDate" ma:readOnly="false">
      <xsd:simpleType>
        <xsd:restriction base="dms:DateTime"/>
      </xsd:simpleType>
    </xsd:element>
    <xsd:element name="Feb_Status" ma:index="8" ma:displayName="Status" ma:default="Internal Draft" ma:format="Dropdown" ma:internalName="Feb_Status" ma:readOnly="false">
      <xsd:simpleType>
        <xsd:restriction base="dms:Choice">
          <xsd:enumeration value="Internal Draft"/>
          <xsd:enumeration value="Public Draft"/>
          <xsd:enumeration value="Final"/>
        </xsd:restriction>
      </xsd:simpleType>
    </xsd:element>
    <xsd:element name="Number" ma:index="10" nillable="true" ma:displayName="Number" ma:internalName="Number" ma:readOnly="false">
      <xsd:simpleType>
        <xsd:restriction base="dms:Text">
          <xsd:maxLength value="255"/>
        </xsd:restriction>
      </xsd:simpleType>
    </xsd:element>
    <xsd:element name="lcf76f155ced4ddcb4097134ff3c332f" ma:index="18"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ociation xmlns="1db0cbf4-83cc-494f-b6b6-1904e10b356b">BEAMA</Association>
    <feb_DocumentID xmlns="1db0cbf4-83cc-494f-b6b6-1904e10b356b">FEB526997</feb_DocumentID>
    <Feb_Language xmlns="1db0cbf4-83cc-494f-b6b6-1904e10b356b">EN</Feb_Language>
    <LineOfActivity xmlns="1db0cbf4-83cc-494f-b6b6-1904e10b356b">Asset Management &amp; Private Banking</LineOfActivity>
    <OrganizationalUnit xmlns="1db0cbf4-83cc-494f-b6b6-1904e10b356b">BEAMA - WG Sustainable Finance (collective portfolio management)</OrganizationalUnit>
    <MeetingDate xmlns="1db0cbf4-83cc-494f-b6b6-1904e10b356b" xsi:nil="true"/>
    <Contact xmlns="1db0cbf4-83cc-494f-b6b6-1904e10b356b">
      <UserInfo>
        <DisplayName>Andy Vangenck</DisplayName>
        <AccountId>20</AccountId>
        <AccountType/>
      </UserInfo>
    </Contact>
    <Number xmlns="99d59dcc-c856-4946-9478-59bf7c88ef96" xsi:nil="true"/>
    <PublicationDate xmlns="99d59dcc-c856-4946-9478-59bf7c88ef96" xsi:nil="true"/>
    <Feb_Status xmlns="99d59dcc-c856-4946-9478-59bf7c88ef96">Final</Feb_Status>
    <TaxCatchAll xmlns="1db0cbf4-83cc-494f-b6b6-1904e10b356b" xsi:nil="true"/>
    <lcf76f155ced4ddcb4097134ff3c332f xmlns="99d59dcc-c856-4946-9478-59bf7c88ef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300DE-90CF-4BD8-9574-9B9DE59B0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b0cbf4-83cc-494f-b6b6-1904e10b356b"/>
    <ds:schemaRef ds:uri="99d59dcc-c856-4946-9478-59bf7c88e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3D0CAC-053D-45EF-840F-33134D29F5BC}">
  <ds:schemaRefs>
    <ds:schemaRef ds:uri="http://schemas.microsoft.com/office/2006/metadata/properties"/>
    <ds:schemaRef ds:uri="http://schemas.microsoft.com/office/infopath/2007/PartnerControls"/>
    <ds:schemaRef ds:uri="1db0cbf4-83cc-494f-b6b6-1904e10b356b"/>
    <ds:schemaRef ds:uri="99d59dcc-c856-4946-9478-59bf7c88ef96"/>
  </ds:schemaRefs>
</ds:datastoreItem>
</file>

<file path=customXml/itemProps3.xml><?xml version="1.0" encoding="utf-8"?>
<ds:datastoreItem xmlns:ds="http://schemas.openxmlformats.org/officeDocument/2006/customXml" ds:itemID="{A1D9A00B-92D0-40C2-AC86-C5AF4BF73541}">
  <ds:schemaRefs>
    <ds:schemaRef ds:uri="http://schemas.microsoft.com/sharepoint/v3/contenttype/forms"/>
  </ds:schemaRefs>
</ds:datastoreItem>
</file>

<file path=customXml/itemProps4.xml><?xml version="1.0" encoding="utf-8"?>
<ds:datastoreItem xmlns:ds="http://schemas.openxmlformats.org/officeDocument/2006/customXml" ds:itemID="{375431D3-23C5-4552-AADF-682D1C395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Agenda 3 - EC Targeted consultation on the implementation of SFDR - BEAMA response 20231204</vt:lpstr>
    </vt:vector>
  </TitlesOfParts>
  <Company/>
  <LinksUpToDate>false</LinksUpToDate>
  <CharactersWithSpaces>14895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 Targeted consultation on the implementation of SFDR - BEAMA response (high level section) 20231214</dc:title>
  <dc:subject>e733bb06-ba02-4550-b02f-4f5de0666e73</dc:subject>
  <dc:creator>De Merlier Marie-Julie</dc:creator>
  <cp:keywords>654471, HORIZON-MSCA-DN-2023-NEW-Evaluators-Availability</cp:keywords>
  <cp:lastModifiedBy>Andy Vangenck</cp:lastModifiedBy>
  <cp:revision>20</cp:revision>
  <dcterms:created xsi:type="dcterms:W3CDTF">2023-12-06T17:04:00Z</dcterms:created>
  <dcterms:modified xsi:type="dcterms:W3CDTF">2023-12-14T09:21:00Z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ociation">
    <vt:lpwstr>Belgian Asset Managers Association vzw/asbl</vt:lpwstr>
  </property>
  <property fmtid="{D5CDD505-2E9C-101B-9397-08002B2CF9AE}" pid="3" name="Contact">
    <vt:lpwstr>Andy.Vangenck@febelfin.be</vt:lpwstr>
  </property>
  <property fmtid="{D5CDD505-2E9C-101B-9397-08002B2CF9AE}" pid="4" name="Contact2">
    <vt:lpwstr>Andy.Vangenck@febelfin.be</vt:lpwstr>
  </property>
  <property fmtid="{D5CDD505-2E9C-101B-9397-08002B2CF9AE}" pid="5" name="ContentTypeId">
    <vt:lpwstr>0x010100B4E40CD25AD5274DB7E81FF0364FBB8D0020F1E7A0BEAD674C8A7634D3606634EE</vt:lpwstr>
  </property>
  <property fmtid="{D5CDD505-2E9C-101B-9397-08002B2CF9AE}" pid="6" name="Created">
    <vt:filetime>2023-09-14T00:00:00Z</vt:filetime>
  </property>
  <property fmtid="{D5CDD505-2E9C-101B-9397-08002B2CF9AE}" pid="7" name="DocumentID">
    <vt:lpwstr>FEB526997</vt:lpwstr>
  </property>
  <property fmtid="{D5CDD505-2E9C-101B-9397-08002B2CF9AE}" pid="8" name="Language">
    <vt:lpwstr>EN</vt:lpwstr>
  </property>
  <property fmtid="{D5CDD505-2E9C-101B-9397-08002B2CF9AE}" pid="9" name="LastSaved">
    <vt:filetime>2023-09-19T00:00:00Z</vt:filetime>
  </property>
  <property fmtid="{D5CDD505-2E9C-101B-9397-08002B2CF9AE}" pid="10" name="LineOfActivity">
    <vt:lpwstr>Asset Management &amp; Private Banking</vt:lpwstr>
  </property>
  <property fmtid="{D5CDD505-2E9C-101B-9397-08002B2CF9AE}" pid="11" name="MediaServiceImageTags">
    <vt:lpwstr/>
  </property>
  <property fmtid="{D5CDD505-2E9C-101B-9397-08002B2CF9AE}" pid="12" name="MeetingDate">
    <vt:filetime>2023-11-29T23:00:00Z</vt:filetime>
  </property>
  <property fmtid="{D5CDD505-2E9C-101B-9397-08002B2CF9AE}" pid="13" name="MSIP_Label_31598e80-c4b0-45ea-92db-0f710f24d13e_ActionId">
    <vt:lpwstr>0377cc85-e1df-4384-bcb2-bcd4f1915faa</vt:lpwstr>
  </property>
  <property fmtid="{D5CDD505-2E9C-101B-9397-08002B2CF9AE}" pid="14" name="MSIP_Label_31598e80-c4b0-45ea-92db-0f710f24d13e_ContentBits">
    <vt:lpwstr>1</vt:lpwstr>
  </property>
  <property fmtid="{D5CDD505-2E9C-101B-9397-08002B2CF9AE}" pid="15" name="MSIP_Label_31598e80-c4b0-45ea-92db-0f710f24d13e_Enabled">
    <vt:lpwstr>true</vt:lpwstr>
  </property>
  <property fmtid="{D5CDD505-2E9C-101B-9397-08002B2CF9AE}" pid="16" name="MSIP_Label_31598e80-c4b0-45ea-92db-0f710f24d13e_Method">
    <vt:lpwstr>Privileged</vt:lpwstr>
  </property>
  <property fmtid="{D5CDD505-2E9C-101B-9397-08002B2CF9AE}" pid="17" name="MSIP_Label_31598e80-c4b0-45ea-92db-0f710f24d13e_Name">
    <vt:lpwstr>31598e80-c4b0-45ea-92db-0f710f24d13e</vt:lpwstr>
  </property>
  <property fmtid="{D5CDD505-2E9C-101B-9397-08002B2CF9AE}" pid="18" name="MSIP_Label_31598e80-c4b0-45ea-92db-0f710f24d13e_SetDate">
    <vt:lpwstr>2023-10-10T06:12:45Z</vt:lpwstr>
  </property>
  <property fmtid="{D5CDD505-2E9C-101B-9397-08002B2CF9AE}" pid="19" name="MSIP_Label_31598e80-c4b0-45ea-92db-0f710f24d13e_SiteId">
    <vt:lpwstr>64af2aee-7d6c-49ac-a409-192d3fee73b8</vt:lpwstr>
  </property>
  <property fmtid="{D5CDD505-2E9C-101B-9397-08002B2CF9AE}" pid="20" name="MSIP_Label_6ac45191-74e4-40a9-a4c5-ab5c9391e33a_ActionId">
    <vt:lpwstr>63c960c6-db02-4999-929e-595b6c70040b</vt:lpwstr>
  </property>
  <property fmtid="{D5CDD505-2E9C-101B-9397-08002B2CF9AE}" pid="21" name="MSIP_Label_6ac45191-74e4-40a9-a4c5-ab5c9391e33a_ContentBits">
    <vt:lpwstr>0</vt:lpwstr>
  </property>
  <property fmtid="{D5CDD505-2E9C-101B-9397-08002B2CF9AE}" pid="22" name="MSIP_Label_6ac45191-74e4-40a9-a4c5-ab5c9391e33a_Enabled">
    <vt:lpwstr>true</vt:lpwstr>
  </property>
  <property fmtid="{D5CDD505-2E9C-101B-9397-08002B2CF9AE}" pid="23" name="MSIP_Label_6ac45191-74e4-40a9-a4c5-ab5c9391e33a_Method">
    <vt:lpwstr>Standard</vt:lpwstr>
  </property>
  <property fmtid="{D5CDD505-2E9C-101B-9397-08002B2CF9AE}" pid="24" name="MSIP_Label_6ac45191-74e4-40a9-a4c5-ab5c9391e33a_Name">
    <vt:lpwstr>Internal Data</vt:lpwstr>
  </property>
  <property fmtid="{D5CDD505-2E9C-101B-9397-08002B2CF9AE}" pid="25" name="MSIP_Label_6ac45191-74e4-40a9-a4c5-ab5c9391e33a_SetDate">
    <vt:lpwstr>2023-12-05T07:13:52Z</vt:lpwstr>
  </property>
  <property fmtid="{D5CDD505-2E9C-101B-9397-08002B2CF9AE}" pid="26" name="MSIP_Label_6ac45191-74e4-40a9-a4c5-ab5c9391e33a_SiteId">
    <vt:lpwstr>a5c34232-eadc-4609-bff3-dd6fcdae3fe2</vt:lpwstr>
  </property>
  <property fmtid="{D5CDD505-2E9C-101B-9397-08002B2CF9AE}" pid="27" name="OrganizationalUnit">
    <vt:lpwstr>BEAMA - WG Sustainable Finance (collective portfolio management)</vt:lpwstr>
  </property>
</Properties>
</file>