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03870290"/>
        <w:docPartObj>
          <w:docPartGallery w:val="Cover Pages"/>
          <w:docPartUnique/>
        </w:docPartObj>
      </w:sdtPr>
      <w:sdtEndPr/>
      <w:sdtContent>
        <w:p w14:paraId="1D9E7028" w14:textId="77777777" w:rsidR="00F037AC" w:rsidRPr="00C8760C" w:rsidRDefault="00F037AC">
          <w:r w:rsidRPr="00C8760C">
            <w:rPr>
              <w:noProof/>
            </w:rPr>
            <mc:AlternateContent>
              <mc:Choice Requires="wpg">
                <w:drawing>
                  <wp:anchor distT="0" distB="0" distL="114300" distR="114300" simplePos="0" relativeHeight="251659264" behindDoc="1" locked="0" layoutInCell="1" allowOverlap="1" wp14:anchorId="688332BA" wp14:editId="0C3E0B93">
                    <wp:simplePos x="0" y="0"/>
                    <wp:positionH relativeFrom="page">
                      <wp:align>center</wp:align>
                    </wp:positionH>
                    <wp:positionV relativeFrom="page">
                      <wp:align>center</wp:align>
                    </wp:positionV>
                    <wp:extent cx="6864824" cy="9123528"/>
                    <wp:effectExtent l="0" t="0" r="0" b="0"/>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rgbClr val="30AA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30AA8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F9D1F7" w14:textId="77777777" w:rsidR="00F037AC" w:rsidRPr="00F037AC" w:rsidRDefault="00F037AC">
                                  <w:pPr>
                                    <w:pStyle w:val="NoSpacing"/>
                                    <w:spacing w:before="120"/>
                                    <w:jc w:val="center"/>
                                    <w:rPr>
                                      <w:color w:val="FFFFFF" w:themeColor="background1"/>
                                    </w:rPr>
                                  </w:pPr>
                                </w:p>
                                <w:p w14:paraId="2FF8CD7E" w14:textId="77777777" w:rsidR="00F037AC" w:rsidRPr="00F037AC" w:rsidRDefault="00F037AC" w:rsidP="00D773E7">
                                  <w:pPr>
                                    <w:pStyle w:val="NoSpacing"/>
                                    <w:spacing w:before="120"/>
                                    <w:jc w:val="right"/>
                                    <w:rPr>
                                      <w:color w:val="FFFFFF" w:themeColor="background1"/>
                                    </w:rPr>
                                  </w:pPr>
                                  <w:r w:rsidRPr="00F037AC">
                                    <w:rPr>
                                      <w:color w:val="FFFFFF" w:themeColor="background1"/>
                                    </w:rPr>
                                    <w:t>  </w:t>
                                  </w:r>
                                  <w:r w:rsidRPr="00F037AC">
                                    <w:rPr>
                                      <w:noProof/>
                                      <w:color w:val="FFFFFF" w:themeColor="background1"/>
                                    </w:rPr>
                                    <w:drawing>
                                      <wp:inline distT="0" distB="0" distL="0" distR="0" wp14:anchorId="3C292EC8" wp14:editId="12F48906">
                                        <wp:extent cx="2542703" cy="699635"/>
                                        <wp:effectExtent l="0" t="0" r="0" b="5715"/>
                                        <wp:docPr id="10" name="Graphic 209">
                                          <a:extLst xmlns:a="http://schemas.openxmlformats.org/drawingml/2006/main">
                                            <a:ext uri="{FF2B5EF4-FFF2-40B4-BE49-F238E27FC236}">
                                              <a16:creationId xmlns:a16="http://schemas.microsoft.com/office/drawing/2014/main" id="{7E26C99B-3E18-4015-9244-331C69F039AB}"/>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 name="Graphic 209">
                                                  <a:extLst>
                                                    <a:ext uri="{FF2B5EF4-FFF2-40B4-BE49-F238E27FC236}">
                                                      <a16:creationId xmlns:a16="http://schemas.microsoft.com/office/drawing/2014/main" id="{7E26C99B-3E18-4015-9244-331C69F039AB}"/>
                                                    </a:ext>
                                                  </a:extLst>
                                                </pic:cNvPr>
                                                <pic:cNvPicPr>
                                                  <a:picLocks/>
                                                </pic:cNvPicPr>
                                              </pic:nvPicPr>
                                              <pic:blipFill>
                                                <a:blip r:embed="rId8">
                                                  <a:extLst>
                                                    <a:ext uri="{96DAC541-7B7A-43D3-8B79-37D633B846F1}">
                                                      <asvg:svgBlip xmlns:asvg="http://schemas.microsoft.com/office/drawing/2016/SVG/main" r:embed="rId9"/>
                                                    </a:ext>
                                                  </a:extLst>
                                                </a:blip>
                                                <a:stretch>
                                                  <a:fillRect/>
                                                </a:stretch>
                                              </pic:blipFill>
                                              <pic:spPr>
                                                <a:xfrm>
                                                  <a:off x="0" y="0"/>
                                                  <a:ext cx="2542703" cy="699635"/>
                                                </a:xfrm>
                                                <a:prstGeom prst="rect">
                                                  <a:avLst/>
                                                </a:prstGeom>
                                              </pic:spPr>
                                            </pic:pic>
                                          </a:graphicData>
                                        </a:graphic>
                                      </wp:inline>
                                    </w:drawing>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61853D" w14:textId="77777777" w:rsidR="00815F5A" w:rsidRPr="00150BBA" w:rsidRDefault="00150BBA">
                                  <w:pPr>
                                    <w:pStyle w:val="NoSpacing"/>
                                    <w:jc w:val="center"/>
                                    <w:rPr>
                                      <w:rFonts w:ascii="Franklin Gothic Demi Cond" w:eastAsiaTheme="majorEastAsia" w:hAnsi="Franklin Gothic Demi Cond" w:cstheme="majorBidi"/>
                                      <w:caps/>
                                      <w:color w:val="808080" w:themeColor="background1" w:themeShade="80"/>
                                      <w:sz w:val="24"/>
                                      <w:szCs w:val="24"/>
                                    </w:rPr>
                                  </w:pPr>
                                  <w:r w:rsidRPr="00150BBA">
                                    <w:rPr>
                                      <w:rFonts w:ascii="Franklin Gothic Demi Cond" w:eastAsiaTheme="majorEastAsia" w:hAnsi="Franklin Gothic Demi Cond" w:cstheme="majorBidi"/>
                                      <w:caps/>
                                      <w:color w:val="30AA8D"/>
                                      <w:sz w:val="56"/>
                                      <w:szCs w:val="104"/>
                                    </w:rPr>
                                    <w:t xml:space="preserve">ALFI response to </w:t>
                                  </w:r>
                                  <w:r w:rsidR="00906F41">
                                    <w:rPr>
                                      <w:rFonts w:ascii="Franklin Gothic Demi Cond" w:eastAsiaTheme="majorEastAsia" w:hAnsi="Franklin Gothic Demi Cond" w:cstheme="majorBidi"/>
                                      <w:b/>
                                      <w:caps/>
                                      <w:color w:val="30AA8D"/>
                                      <w:sz w:val="56"/>
                                      <w:szCs w:val="104"/>
                                    </w:rPr>
                                    <w:t>Commission</w:t>
                                  </w:r>
                                  <w:r w:rsidRPr="00150BBA">
                                    <w:rPr>
                                      <w:rFonts w:ascii="Franklin Gothic Demi Cond" w:eastAsiaTheme="majorEastAsia" w:hAnsi="Franklin Gothic Demi Cond" w:cstheme="majorBidi"/>
                                      <w:b/>
                                      <w:caps/>
                                      <w:color w:val="30AA8D"/>
                                      <w:sz w:val="56"/>
                                      <w:szCs w:val="104"/>
                                    </w:rPr>
                                    <w:t xml:space="preserve"> </w:t>
                                  </w:r>
                                  <w:r w:rsidR="00906F41">
                                    <w:rPr>
                                      <w:rFonts w:ascii="Franklin Gothic Demi Cond" w:eastAsiaTheme="majorEastAsia" w:hAnsi="Franklin Gothic Demi Cond" w:cstheme="majorBidi"/>
                                      <w:b/>
                                      <w:caps/>
                                      <w:color w:val="30AA8D"/>
                                      <w:sz w:val="56"/>
                                      <w:szCs w:val="104"/>
                                    </w:rPr>
                                    <w:t xml:space="preserve">Targeted </w:t>
                                  </w:r>
                                  <w:r w:rsidRPr="00150BBA">
                                    <w:rPr>
                                      <w:rFonts w:ascii="Franklin Gothic Demi Cond" w:eastAsiaTheme="majorEastAsia" w:hAnsi="Franklin Gothic Demi Cond" w:cstheme="majorBidi"/>
                                      <w:b/>
                                      <w:caps/>
                                      <w:color w:val="30AA8D"/>
                                      <w:sz w:val="56"/>
                                      <w:szCs w:val="104"/>
                                    </w:rPr>
                                    <w:t>Consultation</w:t>
                                  </w:r>
                                  <w:r w:rsidRPr="00150BBA">
                                    <w:rPr>
                                      <w:rFonts w:ascii="Franklin Gothic Demi Cond" w:eastAsiaTheme="majorEastAsia" w:hAnsi="Franklin Gothic Demi Cond" w:cstheme="majorBidi"/>
                                      <w:caps/>
                                      <w:color w:val="30AA8D"/>
                                      <w:sz w:val="56"/>
                                      <w:szCs w:val="104"/>
                                    </w:rPr>
                                    <w:t xml:space="preserve"> on the </w:t>
                                  </w:r>
                                  <w:r w:rsidR="00906F41">
                                    <w:rPr>
                                      <w:rFonts w:ascii="Franklin Gothic Demi Cond" w:eastAsiaTheme="majorEastAsia" w:hAnsi="Franklin Gothic Demi Cond" w:cstheme="majorBidi"/>
                                      <w:caps/>
                                      <w:color w:val="30AA8D"/>
                                      <w:sz w:val="56"/>
                                      <w:szCs w:val="104"/>
                                    </w:rPr>
                                    <w:t xml:space="preserve">Functioning of the EU </w:t>
                                  </w:r>
                                  <w:r w:rsidRPr="00150BBA">
                                    <w:rPr>
                                      <w:rFonts w:ascii="Franklin Gothic Demi Cond" w:eastAsiaTheme="majorEastAsia" w:hAnsi="Franklin Gothic Demi Cond" w:cstheme="majorBidi"/>
                                      <w:caps/>
                                      <w:color w:val="30AA8D"/>
                                      <w:sz w:val="56"/>
                                      <w:szCs w:val="104"/>
                                    </w:rPr>
                                    <w:t>Securitisation Regulation</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88332BA"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EkSwlK7AwAAu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" fillcolor="#30aa8d"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" fillcolor="#30aa8d" stroked="f" strokeweight="2pt">
                      <v:textbox inset="36pt,57.6pt,36pt,36pt">
                        <w:txbxContent>
                          <w:p w14:paraId="69F9D1F7" w14:textId="77777777" w:rsidR="00F037AC" w:rsidRPr="00F037AC" w:rsidRDefault="00F037AC">
                            <w:pPr>
                              <w:pStyle w:val="NoSpacing"/>
                              <w:spacing w:before="120"/>
                              <w:jc w:val="center"/>
                              <w:rPr>
                                <w:color w:val="FFFFFF" w:themeColor="background1"/>
                              </w:rPr>
                            </w:pPr>
                          </w:p>
                          <w:p w14:paraId="2FF8CD7E" w14:textId="77777777" w:rsidR="00F037AC" w:rsidRPr="00F037AC" w:rsidRDefault="00F037AC" w:rsidP="00D773E7">
                            <w:pPr>
                              <w:pStyle w:val="NoSpacing"/>
                              <w:spacing w:before="120"/>
                              <w:jc w:val="right"/>
                              <w:rPr>
                                <w:color w:val="FFFFFF" w:themeColor="background1"/>
                              </w:rPr>
                            </w:pPr>
                            <w:r w:rsidRPr="00F037AC">
                              <w:rPr>
                                <w:color w:val="FFFFFF" w:themeColor="background1"/>
                              </w:rPr>
                              <w:t>  </w:t>
                            </w:r>
                            <w:r w:rsidRPr="00F037AC">
                              <w:rPr>
                                <w:noProof/>
                                <w:color w:val="FFFFFF" w:themeColor="background1"/>
                              </w:rPr>
                              <w:drawing>
                                <wp:inline distT="0" distB="0" distL="0" distR="0" wp14:anchorId="3C292EC8" wp14:editId="12F48906">
                                  <wp:extent cx="2542703" cy="699635"/>
                                  <wp:effectExtent l="0" t="0" r="0" b="5715"/>
                                  <wp:docPr id="10" name="Graphic 209">
                                    <a:extLst xmlns:a="http://schemas.openxmlformats.org/drawingml/2006/main">
                                      <a:ext uri="{FF2B5EF4-FFF2-40B4-BE49-F238E27FC236}">
                                        <a16:creationId xmlns:a16="http://schemas.microsoft.com/office/drawing/2014/main" id="{7E26C99B-3E18-4015-9244-331C69F039AB}"/>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 name="Graphic 209">
                                            <a:extLst>
                                              <a:ext uri="{FF2B5EF4-FFF2-40B4-BE49-F238E27FC236}">
                                                <a16:creationId xmlns:a16="http://schemas.microsoft.com/office/drawing/2014/main" id="{7E26C99B-3E18-4015-9244-331C69F039AB}"/>
                                              </a:ext>
                                            </a:extLst>
                                          </pic:cNvPr>
                                          <pic:cNvPicPr>
                                            <a:picLocks/>
                                          </pic:cNvPicPr>
                                        </pic:nvPicPr>
                                        <pic:blipFill>
                                          <a:blip r:embed="rId10">
                                            <a:extLst>
                                              <a:ext uri="{96DAC541-7B7A-43D3-8B79-37D633B846F1}">
                                                <asvg:svgBlip xmlns:asvg="http://schemas.microsoft.com/office/drawing/2016/SVG/main" r:embed="rId11"/>
                                              </a:ext>
                                            </a:extLst>
                                          </a:blip>
                                          <a:stretch>
                                            <a:fillRect/>
                                          </a:stretch>
                                        </pic:blipFill>
                                        <pic:spPr>
                                          <a:xfrm>
                                            <a:off x="0" y="0"/>
                                            <a:ext cx="2542703" cy="699635"/>
                                          </a:xfrm>
                                          <a:prstGeom prst="rect">
                                            <a:avLst/>
                                          </a:prstGeom>
                                        </pic:spPr>
                                      </pic:pic>
                                    </a:graphicData>
                                  </a:graphic>
                                </wp:inline>
                              </w:drawing>
                            </w: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7761853D" w14:textId="77777777" w:rsidR="00815F5A" w:rsidRPr="00150BBA" w:rsidRDefault="00150BBA">
                            <w:pPr>
                              <w:pStyle w:val="NoSpacing"/>
                              <w:jc w:val="center"/>
                              <w:rPr>
                                <w:rFonts w:ascii="Franklin Gothic Demi Cond" w:eastAsiaTheme="majorEastAsia" w:hAnsi="Franklin Gothic Demi Cond" w:cstheme="majorBidi"/>
                                <w:caps/>
                                <w:color w:val="808080" w:themeColor="background1" w:themeShade="80"/>
                                <w:sz w:val="24"/>
                                <w:szCs w:val="24"/>
                              </w:rPr>
                            </w:pPr>
                            <w:r w:rsidRPr="00150BBA">
                              <w:rPr>
                                <w:rFonts w:ascii="Franklin Gothic Demi Cond" w:eastAsiaTheme="majorEastAsia" w:hAnsi="Franklin Gothic Demi Cond" w:cstheme="majorBidi"/>
                                <w:caps/>
                                <w:color w:val="30AA8D"/>
                                <w:sz w:val="56"/>
                                <w:szCs w:val="104"/>
                              </w:rPr>
                              <w:t xml:space="preserve">ALFI response to </w:t>
                            </w:r>
                            <w:r w:rsidR="00906F41">
                              <w:rPr>
                                <w:rFonts w:ascii="Franklin Gothic Demi Cond" w:eastAsiaTheme="majorEastAsia" w:hAnsi="Franklin Gothic Demi Cond" w:cstheme="majorBidi"/>
                                <w:b/>
                                <w:caps/>
                                <w:color w:val="30AA8D"/>
                                <w:sz w:val="56"/>
                                <w:szCs w:val="104"/>
                              </w:rPr>
                              <w:t>Commission</w:t>
                            </w:r>
                            <w:r w:rsidRPr="00150BBA">
                              <w:rPr>
                                <w:rFonts w:ascii="Franklin Gothic Demi Cond" w:eastAsiaTheme="majorEastAsia" w:hAnsi="Franklin Gothic Demi Cond" w:cstheme="majorBidi"/>
                                <w:b/>
                                <w:caps/>
                                <w:color w:val="30AA8D"/>
                                <w:sz w:val="56"/>
                                <w:szCs w:val="104"/>
                              </w:rPr>
                              <w:t xml:space="preserve"> </w:t>
                            </w:r>
                            <w:r w:rsidR="00906F41">
                              <w:rPr>
                                <w:rFonts w:ascii="Franklin Gothic Demi Cond" w:eastAsiaTheme="majorEastAsia" w:hAnsi="Franklin Gothic Demi Cond" w:cstheme="majorBidi"/>
                                <w:b/>
                                <w:caps/>
                                <w:color w:val="30AA8D"/>
                                <w:sz w:val="56"/>
                                <w:szCs w:val="104"/>
                              </w:rPr>
                              <w:t xml:space="preserve">Targeted </w:t>
                            </w:r>
                            <w:r w:rsidRPr="00150BBA">
                              <w:rPr>
                                <w:rFonts w:ascii="Franklin Gothic Demi Cond" w:eastAsiaTheme="majorEastAsia" w:hAnsi="Franklin Gothic Demi Cond" w:cstheme="majorBidi"/>
                                <w:b/>
                                <w:caps/>
                                <w:color w:val="30AA8D"/>
                                <w:sz w:val="56"/>
                                <w:szCs w:val="104"/>
                              </w:rPr>
                              <w:t>Consultation</w:t>
                            </w:r>
                            <w:r w:rsidRPr="00150BBA">
                              <w:rPr>
                                <w:rFonts w:ascii="Franklin Gothic Demi Cond" w:eastAsiaTheme="majorEastAsia" w:hAnsi="Franklin Gothic Demi Cond" w:cstheme="majorBidi"/>
                                <w:caps/>
                                <w:color w:val="30AA8D"/>
                                <w:sz w:val="56"/>
                                <w:szCs w:val="104"/>
                              </w:rPr>
                              <w:t xml:space="preserve"> on the </w:t>
                            </w:r>
                            <w:r w:rsidR="00906F41">
                              <w:rPr>
                                <w:rFonts w:ascii="Franklin Gothic Demi Cond" w:eastAsiaTheme="majorEastAsia" w:hAnsi="Franklin Gothic Demi Cond" w:cstheme="majorBidi"/>
                                <w:caps/>
                                <w:color w:val="30AA8D"/>
                                <w:sz w:val="56"/>
                                <w:szCs w:val="104"/>
                              </w:rPr>
                              <w:t xml:space="preserve">Functioning of the EU </w:t>
                            </w:r>
                            <w:r w:rsidRPr="00150BBA">
                              <w:rPr>
                                <w:rFonts w:ascii="Franklin Gothic Demi Cond" w:eastAsiaTheme="majorEastAsia" w:hAnsi="Franklin Gothic Demi Cond" w:cstheme="majorBidi"/>
                                <w:caps/>
                                <w:color w:val="30AA8D"/>
                                <w:sz w:val="56"/>
                                <w:szCs w:val="104"/>
                              </w:rPr>
                              <w:t>Securitisation Regulation</w:t>
                            </w:r>
                          </w:p>
                        </w:txbxContent>
                      </v:textbox>
                    </v:shape>
                    <w10:wrap anchorx="page" anchory="page"/>
                  </v:group>
                </w:pict>
              </mc:Fallback>
            </mc:AlternateContent>
          </w:r>
        </w:p>
        <w:p w14:paraId="6241618E" w14:textId="77777777" w:rsidR="00F037AC" w:rsidRPr="00C8760C" w:rsidRDefault="00D773E7">
          <w:pPr>
            <w:spacing w:after="200" w:line="276" w:lineRule="auto"/>
            <w:rPr>
              <w:rFonts w:eastAsiaTheme="majorEastAsia" w:cstheme="majorBidi"/>
              <w:color w:val="808080" w:themeColor="background1" w:themeShade="80"/>
              <w:spacing w:val="5"/>
              <w:kern w:val="28"/>
              <w:sz w:val="52"/>
              <w:szCs w:val="52"/>
            </w:rPr>
          </w:pPr>
          <w:r w:rsidRPr="00C8760C">
            <w:rPr>
              <w:noProof/>
            </w:rPr>
            <mc:AlternateContent>
              <mc:Choice Requires="wps">
                <w:drawing>
                  <wp:anchor distT="0" distB="0" distL="114300" distR="114300" simplePos="0" relativeHeight="251665408" behindDoc="0" locked="0" layoutInCell="1" allowOverlap="1" wp14:anchorId="434EBF7F" wp14:editId="3F1554B6">
                    <wp:simplePos x="0" y="0"/>
                    <wp:positionH relativeFrom="column">
                      <wp:posOffset>-358085</wp:posOffset>
                    </wp:positionH>
                    <wp:positionV relativeFrom="paragraph">
                      <wp:posOffset>3673355</wp:posOffset>
                    </wp:positionV>
                    <wp:extent cx="4273926" cy="2027169"/>
                    <wp:effectExtent l="0" t="0" r="0" b="0"/>
                    <wp:wrapNone/>
                    <wp:docPr id="14" name="Text Placeholder 13">
                      <a:extLst xmlns:a="http://schemas.openxmlformats.org/drawingml/2006/main">
                        <a:ext uri="{FF2B5EF4-FFF2-40B4-BE49-F238E27FC236}">
                          <a16:creationId xmlns:a16="http://schemas.microsoft.com/office/drawing/2014/main" id="{B596616D-4FC4-4782-BCC1-351A3F972FBD}"/>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273926" cy="2027169"/>
                            </a:xfrm>
                            <a:custGeom>
                              <a:avLst/>
                              <a:gdLst>
                                <a:gd name="connsiteX0" fmla="*/ 0 w 4273926"/>
                                <a:gd name="connsiteY0" fmla="*/ 0 h 2027169"/>
                                <a:gd name="connsiteX1" fmla="*/ 582595 w 4273926"/>
                                <a:gd name="connsiteY1" fmla="*/ 0 h 2027169"/>
                                <a:gd name="connsiteX2" fmla="*/ 589598 w 4273926"/>
                                <a:gd name="connsiteY2" fmla="*/ 69465 h 2027169"/>
                                <a:gd name="connsiteX3" fmla="*/ 2031143 w 4273926"/>
                                <a:gd name="connsiteY3" fmla="*/ 1244358 h 2027169"/>
                                <a:gd name="connsiteX4" fmla="*/ 3472687 w 4273926"/>
                                <a:gd name="connsiteY4" fmla="*/ 69465 h 2027169"/>
                                <a:gd name="connsiteX5" fmla="*/ 3479690 w 4273926"/>
                                <a:gd name="connsiteY5" fmla="*/ 0 h 2027169"/>
                                <a:gd name="connsiteX6" fmla="*/ 4273926 w 4273926"/>
                                <a:gd name="connsiteY6" fmla="*/ 0 h 2027169"/>
                                <a:gd name="connsiteX7" fmla="*/ 4273755 w 4273926"/>
                                <a:gd name="connsiteY7" fmla="*/ 3403 h 2027169"/>
                                <a:gd name="connsiteX8" fmla="*/ 2031143 w 4273926"/>
                                <a:gd name="connsiteY8" fmla="*/ 2027169 h 2027169"/>
                                <a:gd name="connsiteX9" fmla="*/ 23506 w 4273926"/>
                                <a:gd name="connsiteY9" fmla="*/ 799170 h 2027169"/>
                                <a:gd name="connsiteX10" fmla="*/ 0 w 4273926"/>
                                <a:gd name="connsiteY10" fmla="*/ 747587 h 20271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3926" h="2027169">
                                  <a:moveTo>
                                    <a:pt x="0" y="0"/>
                                  </a:moveTo>
                                  <a:lnTo>
                                    <a:pt x="582595" y="0"/>
                                  </a:lnTo>
                                  <a:lnTo>
                                    <a:pt x="589598" y="69465"/>
                                  </a:lnTo>
                                  <a:cubicBezTo>
                                    <a:pt x="726804" y="739975"/>
                                    <a:pt x="1320071" y="1244358"/>
                                    <a:pt x="2031143" y="1244358"/>
                                  </a:cubicBezTo>
                                  <a:cubicBezTo>
                                    <a:pt x="2742214" y="1244358"/>
                                    <a:pt x="3335481" y="739975"/>
                                    <a:pt x="3472687" y="69465"/>
                                  </a:cubicBezTo>
                                  <a:lnTo>
                                    <a:pt x="3479690" y="0"/>
                                  </a:lnTo>
                                  <a:lnTo>
                                    <a:pt x="4273926" y="0"/>
                                  </a:lnTo>
                                  <a:lnTo>
                                    <a:pt x="4273755" y="3403"/>
                                  </a:lnTo>
                                  <a:cubicBezTo>
                                    <a:pt x="4158314" y="1140122"/>
                                    <a:pt x="3198319" y="2027169"/>
                                    <a:pt x="2031143" y="2027169"/>
                                  </a:cubicBezTo>
                                  <a:cubicBezTo>
                                    <a:pt x="1155760" y="2027169"/>
                                    <a:pt x="396917" y="1528205"/>
                                    <a:pt x="23506" y="799170"/>
                                  </a:cubicBezTo>
                                  <a:lnTo>
                                    <a:pt x="0" y="747587"/>
                                  </a:lnTo>
                                  <a:close/>
                                </a:path>
                              </a:pathLst>
                            </a:custGeom>
                            <a:solidFill>
                              <a:schemeClr val="bg1">
                                <a:alpha val="30000"/>
                              </a:schemeClr>
                            </a:solidFill>
                          </wps:spPr>
                          <wps:txbx>
                            <w:txbxContent>
                              <w:p w14:paraId="31B33D5C" w14:textId="77777777" w:rsidR="00D773E7" w:rsidRDefault="00D773E7" w:rsidP="00D773E7">
                                <w:pPr>
                                  <w:pStyle w:val="NormalWeb"/>
                                  <w:spacing w:before="120" w:beforeAutospacing="0" w:after="0" w:afterAutospacing="0" w:line="264" w:lineRule="auto"/>
                                </w:pPr>
                                <w:r>
                                  <w:rPr>
                                    <w:rFonts w:asciiTheme="minorHAnsi" w:hAnsi="Calibri" w:cstheme="minorBidi"/>
                                    <w:color w:val="000000" w:themeColor="text1"/>
                                    <w:kern w:val="24"/>
                                    <w:sz w:val="26"/>
                                    <w:szCs w:val="26"/>
                                    <w:lang w:val="en-US"/>
                                  </w:rPr>
                                  <w:t xml:space="preserve"> </w:t>
                                </w:r>
                              </w:p>
                            </w:txbxContent>
                          </wps:txbx>
                          <wps:bodyPr vert="horz"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34EBF7F" id="Text Placeholder 13" o:spid="_x0000_s1030" style="position:absolute;margin-left:-28.2pt;margin-top:289.25pt;width:336.55pt;height:159.6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4273926,202716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" adj="-11796480,,5400" path="m,l582595,r7003,69465c726804,739975,1320071,1244358,2031143,1244358v711071,,1304338,-504383,1441544,-1174893l3479690,r794236,l4273755,3403c4158314,1140122,3198319,2027169,2031143,2027169,1155760,2027169,396917,1528205,23506,799170l,747587,,xe" fillcolor="white [3212]" stroked="f">
                    <v:fill opacity="19789f"/>
                    <v:stroke joinstyle="miter"/>
                    <v:formulas/>
                    <v:path arrowok="t" o:connecttype="custom" o:connectlocs="0,0;582595,0;589598,69465;2031143,1244358;3472687,69465;3479690,0;4273926,0;4273755,3403;2031143,2027169;23506,799170;0,747587" o:connectangles="0,0,0,0,0,0,0,0,0,0,0" textboxrect="0,0,4273926,2027169"/>
                    <o:lock v:ext="edit" grouping="t"/>
                    <v:textbox inset="0,0,0,0">
                      <w:txbxContent>
                        <w:p w14:paraId="31B33D5C" w14:textId="77777777" w:rsidR="00D773E7" w:rsidRDefault="00D773E7" w:rsidP="00D773E7">
                          <w:pPr>
                            <w:pStyle w:val="NormalWeb"/>
                            <w:spacing w:before="120" w:beforeAutospacing="0" w:after="0" w:afterAutospacing="0" w:line="264" w:lineRule="auto"/>
                          </w:pPr>
                          <w:r>
                            <w:rPr>
                              <w:rFonts w:asciiTheme="minorHAnsi" w:hAnsi="Calibri" w:cstheme="minorBidi"/>
                              <w:color w:val="000000" w:themeColor="text1"/>
                              <w:kern w:val="24"/>
                              <w:sz w:val="26"/>
                              <w:szCs w:val="26"/>
                              <w:lang w:val="en-US"/>
                            </w:rPr>
                            <w:t xml:space="preserve"> </w:t>
                          </w:r>
                        </w:p>
                      </w:txbxContent>
                    </v:textbox>
                  </v:shape>
                </w:pict>
              </mc:Fallback>
            </mc:AlternateContent>
          </w:r>
          <w:r w:rsidRPr="00C8760C">
            <w:rPr>
              <w:noProof/>
            </w:rPr>
            <mc:AlternateContent>
              <mc:Choice Requires="wps">
                <w:drawing>
                  <wp:anchor distT="0" distB="0" distL="114300" distR="114300" simplePos="0" relativeHeight="251663360" behindDoc="0" locked="0" layoutInCell="1" allowOverlap="1" wp14:anchorId="305FA156" wp14:editId="5FBD2433">
                    <wp:simplePos x="0" y="0"/>
                    <wp:positionH relativeFrom="column">
                      <wp:posOffset>-718738</wp:posOffset>
                    </wp:positionH>
                    <wp:positionV relativeFrom="paragraph">
                      <wp:posOffset>6903406</wp:posOffset>
                    </wp:positionV>
                    <wp:extent cx="2466899" cy="1753165"/>
                    <wp:effectExtent l="0" t="5080" r="5080" b="5080"/>
                    <wp:wrapNone/>
                    <wp:docPr id="13" name="Text Placeholder 12">
                      <a:extLst xmlns:a="http://schemas.openxmlformats.org/drawingml/2006/main">
                        <a:ext uri="{FF2B5EF4-FFF2-40B4-BE49-F238E27FC236}">
                          <a16:creationId xmlns:a16="http://schemas.microsoft.com/office/drawing/2014/main" id="{AE9E44B4-D4D1-4D16-8506-6EAA26AA55A3}"/>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rot="16200000">
                              <a:off x="0" y="0"/>
                              <a:ext cx="2466899" cy="1753165"/>
                            </a:xfrm>
                            <a:custGeom>
                              <a:avLst/>
                              <a:gdLst>
                                <a:gd name="connsiteX0" fmla="*/ 1698414 w 2466899"/>
                                <a:gd name="connsiteY0" fmla="*/ 0 h 1753165"/>
                                <a:gd name="connsiteX1" fmla="*/ 2466899 w 2466899"/>
                                <a:gd name="connsiteY1" fmla="*/ 0 h 1753165"/>
                                <a:gd name="connsiteX2" fmla="*/ 2465080 w 2466899"/>
                                <a:gd name="connsiteY2" fmla="*/ 11918 h 1753165"/>
                                <a:gd name="connsiteX3" fmla="*/ 328641 w 2466899"/>
                                <a:gd name="connsiteY3" fmla="*/ 1753165 h 1753165"/>
                                <a:gd name="connsiteX4" fmla="*/ 133214 w 2466899"/>
                                <a:gd name="connsiteY4" fmla="*/ 1744528 h 1753165"/>
                                <a:gd name="connsiteX5" fmla="*/ 0 w 2466899"/>
                                <a:gd name="connsiteY5" fmla="*/ 1726759 h 1753165"/>
                                <a:gd name="connsiteX6" fmla="*/ 0 w 2466899"/>
                                <a:gd name="connsiteY6" fmla="*/ 972270 h 1753165"/>
                                <a:gd name="connsiteX7" fmla="*/ 109099 w 2466899"/>
                                <a:gd name="connsiteY7" fmla="*/ 997414 h 1753165"/>
                                <a:gd name="connsiteX8" fmla="*/ 328641 w 2466899"/>
                                <a:gd name="connsiteY8" fmla="*/ 1014024 h 1753165"/>
                                <a:gd name="connsiteX9" fmla="*/ 1656955 w 2466899"/>
                                <a:gd name="connsiteY9" fmla="*/ 133559 h 17531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6899" h="1753165">
                                  <a:moveTo>
                                    <a:pt x="1698414" y="0"/>
                                  </a:moveTo>
                                  <a:lnTo>
                                    <a:pt x="2466899" y="0"/>
                                  </a:lnTo>
                                  <a:lnTo>
                                    <a:pt x="2465080" y="11918"/>
                                  </a:lnTo>
                                  <a:cubicBezTo>
                                    <a:pt x="2261734" y="1005645"/>
                                    <a:pt x="1382484" y="1753165"/>
                                    <a:pt x="328641" y="1753165"/>
                                  </a:cubicBezTo>
                                  <a:cubicBezTo>
                                    <a:pt x="262776" y="1753165"/>
                                    <a:pt x="197593" y="1750245"/>
                                    <a:pt x="133214" y="1744528"/>
                                  </a:cubicBezTo>
                                  <a:lnTo>
                                    <a:pt x="0" y="1726759"/>
                                  </a:lnTo>
                                  <a:lnTo>
                                    <a:pt x="0" y="972270"/>
                                  </a:lnTo>
                                  <a:lnTo>
                                    <a:pt x="109099" y="997414"/>
                                  </a:lnTo>
                                  <a:cubicBezTo>
                                    <a:pt x="180683" y="1008351"/>
                                    <a:pt x="254000" y="1014024"/>
                                    <a:pt x="328641" y="1014024"/>
                                  </a:cubicBezTo>
                                  <a:cubicBezTo>
                                    <a:pt x="925773" y="1014024"/>
                                    <a:pt x="1438108" y="650971"/>
                                    <a:pt x="1656955" y="133559"/>
                                  </a:cubicBezTo>
                                  <a:close/>
                                </a:path>
                              </a:pathLst>
                            </a:custGeom>
                            <a:solidFill>
                              <a:schemeClr val="accent1">
                                <a:alpha val="20000"/>
                              </a:schemeClr>
                            </a:solidFill>
                          </wps:spPr>
                          <wps:txbx>
                            <w:txbxContent>
                              <w:p w14:paraId="4402004A" w14:textId="77777777" w:rsidR="00D773E7" w:rsidRDefault="00D773E7" w:rsidP="00D773E7">
                                <w:pPr>
                                  <w:pStyle w:val="NormalWeb"/>
                                  <w:spacing w:before="120" w:beforeAutospacing="0" w:after="0" w:afterAutospacing="0" w:line="264" w:lineRule="auto"/>
                                </w:pPr>
                                <w:r>
                                  <w:rPr>
                                    <w:rFonts w:asciiTheme="minorHAnsi" w:hAnsi="Calibri" w:cstheme="minorBidi"/>
                                    <w:color w:val="000000" w:themeColor="text1"/>
                                    <w:kern w:val="24"/>
                                    <w:sz w:val="26"/>
                                    <w:szCs w:val="26"/>
                                    <w:lang w:val="en-US"/>
                                  </w:rPr>
                                  <w:t xml:space="preserve"> </w:t>
                                </w:r>
                              </w:p>
                            </w:txbxContent>
                          </wps:txbx>
                          <wps:bodyPr vert="horz"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05FA156" id="Text Placeholder 12" o:spid="_x0000_s1031" style="position:absolute;margin-left:-56.6pt;margin-top:543.6pt;width:194.25pt;height:138.05pt;rotation:-90;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2466899,1753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" adj="-11796480,,5400" path="m1698414,r768485,l2465080,11918c2261734,1005645,1382484,1753165,328641,1753165v-65865,,-131048,-2920,-195427,-8637l,1726759,,972270r109099,25144c180683,1008351,254000,1014024,328641,1014024v597132,,1109467,-363053,1328314,-880465l1698414,xe" fillcolor="#4f81bd [3204]" stroked="f">
                    <v:fill opacity="13107f"/>
                    <v:stroke joinstyle="miter"/>
                    <v:formulas/>
                    <v:path arrowok="t" o:connecttype="custom" o:connectlocs="1698414,0;2466899,0;2465080,11918;328641,1753165;133214,1744528;0,1726759;0,972270;109099,997414;328641,1014024;1656955,133559" o:connectangles="0,0,0,0,0,0,0,0,0,0" textboxrect="0,0,2466899,1753165"/>
                    <o:lock v:ext="edit" grouping="t"/>
                    <v:textbox inset="0,0,0,0">
                      <w:txbxContent>
                        <w:p w14:paraId="4402004A" w14:textId="77777777" w:rsidR="00D773E7" w:rsidRDefault="00D773E7" w:rsidP="00D773E7">
                          <w:pPr>
                            <w:pStyle w:val="NormalWeb"/>
                            <w:spacing w:before="120" w:beforeAutospacing="0" w:after="0" w:afterAutospacing="0" w:line="264" w:lineRule="auto"/>
                          </w:pPr>
                          <w:r>
                            <w:rPr>
                              <w:rFonts w:asciiTheme="minorHAnsi" w:hAnsi="Calibri" w:cstheme="minorBidi"/>
                              <w:color w:val="000000" w:themeColor="text1"/>
                              <w:kern w:val="24"/>
                              <w:sz w:val="26"/>
                              <w:szCs w:val="26"/>
                              <w:lang w:val="en-US"/>
                            </w:rPr>
                            <w:t xml:space="preserve"> </w:t>
                          </w:r>
                        </w:p>
                      </w:txbxContent>
                    </v:textbox>
                  </v:shape>
                </w:pict>
              </mc:Fallback>
            </mc:AlternateContent>
          </w:r>
          <w:r w:rsidR="00F037AC" w:rsidRPr="00C8760C">
            <w:br w:type="page"/>
          </w:r>
        </w:p>
      </w:sdtContent>
    </w:sdt>
    <w:p w14:paraId="0148792E" w14:textId="77777777" w:rsidR="00BD5C09" w:rsidRPr="00C8760C" w:rsidRDefault="00150BBA" w:rsidP="00150BBA">
      <w:pPr>
        <w:widowControl w:val="0"/>
        <w:tabs>
          <w:tab w:val="left" w:pos="693"/>
        </w:tabs>
        <w:autoSpaceDE w:val="0"/>
        <w:autoSpaceDN w:val="0"/>
        <w:ind w:left="116"/>
        <w:jc w:val="both"/>
        <w:rPr>
          <w:rFonts w:cs="Arial"/>
          <w:b/>
          <w:color w:val="00005A"/>
          <w:sz w:val="28"/>
          <w:u w:val="single"/>
        </w:rPr>
      </w:pPr>
      <w:bookmarkStart w:id="0" w:name="_Hlk161147917"/>
      <w:r w:rsidRPr="00C8760C">
        <w:rPr>
          <w:rFonts w:cs="Arial"/>
          <w:b/>
          <w:color w:val="00005A"/>
          <w:sz w:val="28"/>
          <w:u w:val="single"/>
        </w:rPr>
        <w:lastRenderedPageBreak/>
        <w:t xml:space="preserve">ALFI response to </w:t>
      </w:r>
      <w:r w:rsidR="00906F41" w:rsidRPr="00C8760C">
        <w:rPr>
          <w:rFonts w:cs="Arial"/>
          <w:b/>
          <w:color w:val="00005A"/>
          <w:sz w:val="28"/>
          <w:u w:val="single"/>
        </w:rPr>
        <w:t>the Commission targeted consultation on the functioning of the EU securitisation framework</w:t>
      </w:r>
      <w:r w:rsidRPr="00C8760C">
        <w:rPr>
          <w:rFonts w:cs="Arial"/>
          <w:b/>
          <w:color w:val="00005A"/>
          <w:sz w:val="28"/>
          <w:u w:val="single"/>
        </w:rPr>
        <w:t xml:space="preserve"> </w:t>
      </w:r>
    </w:p>
    <w:p w14:paraId="545D7F19" w14:textId="77777777" w:rsidR="00150BBA" w:rsidRPr="00C8760C" w:rsidRDefault="00150BBA" w:rsidP="00150BBA">
      <w:pPr>
        <w:pStyle w:val="BodyText"/>
        <w:spacing w:before="94" w:line="276" w:lineRule="auto"/>
        <w:ind w:left="646" w:right="108"/>
        <w:jc w:val="both"/>
        <w:rPr>
          <w:b w:val="0"/>
          <w:color w:val="171717"/>
        </w:rPr>
      </w:pPr>
    </w:p>
    <w:p w14:paraId="21E1D46D" w14:textId="77777777" w:rsidR="00150BBA" w:rsidRPr="00C8760C" w:rsidRDefault="00150BBA" w:rsidP="004D3B7B">
      <w:pPr>
        <w:pStyle w:val="BodyText"/>
        <w:spacing w:before="94" w:line="276" w:lineRule="auto"/>
        <w:ind w:left="116" w:right="108"/>
        <w:jc w:val="both"/>
        <w:rPr>
          <w:b w:val="0"/>
          <w:color w:val="171717"/>
        </w:rPr>
      </w:pPr>
      <w:r w:rsidRPr="00C8760C">
        <w:rPr>
          <w:b w:val="0"/>
          <w:color w:val="171717"/>
        </w:rPr>
        <w:t xml:space="preserve">The Association of the Luxembourg Fund Industry (ALFI) represents the face and voice of the Luxembourg asset management and investment fund community. The Association is committed to the development of the Luxembourg fund industry by striving to create new business opportunities, and through the exchange of information and knowledge. Created in 1988, the Association today represents over 1,500 Luxembourg domiciled investment funds, asset management companies and a wide range of business that serve the sector. </w:t>
      </w:r>
    </w:p>
    <w:p w14:paraId="6F9F1F94" w14:textId="77777777" w:rsidR="00150BBA" w:rsidRPr="00C8760C" w:rsidRDefault="00150BBA" w:rsidP="004D3B7B">
      <w:pPr>
        <w:pStyle w:val="BodyText"/>
        <w:spacing w:before="94" w:line="276" w:lineRule="auto"/>
        <w:ind w:left="1739" w:right="108" w:hanging="1623"/>
        <w:jc w:val="both"/>
        <w:rPr>
          <w:b w:val="0"/>
          <w:color w:val="171717"/>
        </w:rPr>
      </w:pPr>
    </w:p>
    <w:p w14:paraId="468B63A1" w14:textId="77777777" w:rsidR="00150BBA" w:rsidRPr="00C8760C" w:rsidRDefault="00150BBA" w:rsidP="004D3B7B">
      <w:pPr>
        <w:pStyle w:val="BodyText"/>
        <w:spacing w:before="94" w:line="276" w:lineRule="auto"/>
        <w:ind w:left="116" w:right="108"/>
        <w:jc w:val="both"/>
        <w:rPr>
          <w:b w:val="0"/>
          <w:color w:val="171717"/>
        </w:rPr>
      </w:pPr>
      <w:r w:rsidRPr="00C8760C">
        <w:rPr>
          <w:b w:val="0"/>
          <w:color w:val="171717"/>
        </w:rPr>
        <w:t xml:space="preserve">ALFI has in the past responded to the EU Commission consultation on the functioning of the EU </w:t>
      </w:r>
      <w:proofErr w:type="spellStart"/>
      <w:r w:rsidRPr="00C8760C">
        <w:rPr>
          <w:b w:val="0"/>
          <w:color w:val="171717"/>
        </w:rPr>
        <w:t>Securitisation</w:t>
      </w:r>
      <w:proofErr w:type="spellEnd"/>
      <w:r w:rsidRPr="00C8760C">
        <w:rPr>
          <w:b w:val="0"/>
          <w:color w:val="171717"/>
        </w:rPr>
        <w:t xml:space="preserve"> Regulation (“SECR”). The SECR, which was aimed at laying down rules for </w:t>
      </w:r>
      <w:proofErr w:type="spellStart"/>
      <w:r w:rsidRPr="00C8760C">
        <w:rPr>
          <w:b w:val="0"/>
          <w:color w:val="171717"/>
        </w:rPr>
        <w:t>securitisations</w:t>
      </w:r>
      <w:proofErr w:type="spellEnd"/>
      <w:r w:rsidRPr="00C8760C">
        <w:rPr>
          <w:b w:val="0"/>
          <w:color w:val="171717"/>
        </w:rPr>
        <w:t xml:space="preserve"> and developing a simple, transparent and </w:t>
      </w:r>
      <w:proofErr w:type="spellStart"/>
      <w:r w:rsidRPr="00C8760C">
        <w:rPr>
          <w:b w:val="0"/>
          <w:color w:val="171717"/>
        </w:rPr>
        <w:t>standardised</w:t>
      </w:r>
      <w:proofErr w:type="spellEnd"/>
      <w:r w:rsidRPr="00C8760C">
        <w:rPr>
          <w:b w:val="0"/>
          <w:color w:val="171717"/>
        </w:rPr>
        <w:t xml:space="preserve"> </w:t>
      </w:r>
      <w:proofErr w:type="spellStart"/>
      <w:r w:rsidRPr="00C8760C">
        <w:rPr>
          <w:b w:val="0"/>
          <w:color w:val="171717"/>
        </w:rPr>
        <w:t>securitisation</w:t>
      </w:r>
      <w:proofErr w:type="spellEnd"/>
      <w:r w:rsidRPr="00C8760C">
        <w:rPr>
          <w:b w:val="0"/>
          <w:color w:val="171717"/>
        </w:rPr>
        <w:t xml:space="preserve"> market. ALFI has in the past commented that overall these objectives have not or have only partially been achieved. ALFI welcomed the findings of the subsequent </w:t>
      </w:r>
      <w:r w:rsidR="001C3DE2" w:rsidRPr="00C8760C">
        <w:rPr>
          <w:b w:val="0"/>
          <w:color w:val="171717"/>
        </w:rPr>
        <w:t xml:space="preserve">EU </w:t>
      </w:r>
      <w:r w:rsidRPr="00C8760C">
        <w:rPr>
          <w:b w:val="0"/>
          <w:color w:val="171717"/>
        </w:rPr>
        <w:t>Commission report on the functioning of the SECR</w:t>
      </w:r>
      <w:r w:rsidR="00484BC7" w:rsidRPr="00C8760C">
        <w:rPr>
          <w:b w:val="0"/>
          <w:color w:val="171717"/>
        </w:rPr>
        <w:t xml:space="preserve"> and </w:t>
      </w:r>
      <w:r w:rsidR="001C3DE2" w:rsidRPr="00C8760C">
        <w:rPr>
          <w:b w:val="0"/>
          <w:color w:val="171717"/>
        </w:rPr>
        <w:t xml:space="preserve">written </w:t>
      </w:r>
      <w:r w:rsidR="00484BC7" w:rsidRPr="00C8760C">
        <w:rPr>
          <w:b w:val="0"/>
          <w:color w:val="171717"/>
        </w:rPr>
        <w:t xml:space="preserve">to the EU Commission and ESMA with an appeal to address this matter </w:t>
      </w:r>
      <w:r w:rsidR="001C3DE2" w:rsidRPr="00C8760C">
        <w:rPr>
          <w:b w:val="0"/>
          <w:color w:val="171717"/>
        </w:rPr>
        <w:t>urgently.</w:t>
      </w:r>
    </w:p>
    <w:p w14:paraId="6C7A02DC" w14:textId="77777777" w:rsidR="00906F41" w:rsidRPr="00C8760C" w:rsidRDefault="00906F41" w:rsidP="00906F41">
      <w:pPr>
        <w:pStyle w:val="BodyText"/>
        <w:spacing w:before="94" w:line="276" w:lineRule="auto"/>
        <w:ind w:left="116" w:right="108"/>
        <w:jc w:val="both"/>
        <w:rPr>
          <w:b w:val="0"/>
          <w:color w:val="171717"/>
        </w:rPr>
      </w:pPr>
      <w:r w:rsidRPr="00C8760C">
        <w:rPr>
          <w:b w:val="0"/>
          <w:color w:val="171717"/>
        </w:rPr>
        <w:t xml:space="preserve">ALFI has also responded to the ESMA consultation on the </w:t>
      </w:r>
      <w:proofErr w:type="spellStart"/>
      <w:r w:rsidRPr="00C8760C">
        <w:rPr>
          <w:b w:val="0"/>
          <w:color w:val="171717"/>
        </w:rPr>
        <w:t>securitisation</w:t>
      </w:r>
      <w:proofErr w:type="spellEnd"/>
      <w:r w:rsidRPr="00C8760C">
        <w:rPr>
          <w:b w:val="0"/>
          <w:color w:val="171717"/>
        </w:rPr>
        <w:t xml:space="preserve"> disclosure templates, where we stressed the importance that the disclosure templates subject Article 7 SECR are under review. </w:t>
      </w:r>
    </w:p>
    <w:p w14:paraId="1FCC96ED" w14:textId="77777777" w:rsidR="00150BBA" w:rsidRPr="00C8760C" w:rsidRDefault="00D07C27" w:rsidP="004D3B7B">
      <w:pPr>
        <w:pStyle w:val="BodyText"/>
        <w:spacing w:before="94" w:line="276" w:lineRule="auto"/>
        <w:ind w:left="116" w:right="108"/>
        <w:jc w:val="both"/>
        <w:rPr>
          <w:b w:val="0"/>
          <w:color w:val="171717"/>
        </w:rPr>
      </w:pPr>
      <w:r w:rsidRPr="00C8760C">
        <w:rPr>
          <w:b w:val="0"/>
          <w:color w:val="171717"/>
        </w:rPr>
        <w:t xml:space="preserve">The main concerns that </w:t>
      </w:r>
      <w:r w:rsidR="001C3DE2" w:rsidRPr="00C8760C">
        <w:rPr>
          <w:b w:val="0"/>
          <w:color w:val="171717"/>
        </w:rPr>
        <w:t>ALFI has</w:t>
      </w:r>
      <w:r w:rsidRPr="00C8760C">
        <w:rPr>
          <w:b w:val="0"/>
          <w:color w:val="171717"/>
        </w:rPr>
        <w:t xml:space="preserve"> highlighted are the impact of the </w:t>
      </w:r>
      <w:r w:rsidR="00150BBA" w:rsidRPr="00C8760C">
        <w:rPr>
          <w:b w:val="0"/>
          <w:color w:val="171717"/>
        </w:rPr>
        <w:t xml:space="preserve">SECR </w:t>
      </w:r>
      <w:r w:rsidRPr="00C8760C">
        <w:rPr>
          <w:b w:val="0"/>
          <w:color w:val="171717"/>
        </w:rPr>
        <w:t xml:space="preserve">in terms </w:t>
      </w:r>
      <w:r w:rsidR="004D3B7B" w:rsidRPr="00C8760C">
        <w:rPr>
          <w:b w:val="0"/>
          <w:color w:val="171717"/>
        </w:rPr>
        <w:t>of triggering</w:t>
      </w:r>
      <w:r w:rsidRPr="00C8760C">
        <w:rPr>
          <w:b w:val="0"/>
          <w:color w:val="171717"/>
        </w:rPr>
        <w:t xml:space="preserve"> </w:t>
      </w:r>
      <w:r w:rsidR="00150BBA" w:rsidRPr="00C8760C">
        <w:rPr>
          <w:b w:val="0"/>
          <w:color w:val="171717"/>
        </w:rPr>
        <w:t xml:space="preserve">material additional human and financial costs without any obvious added-value, especially as far as institutional investors are concerned. </w:t>
      </w:r>
    </w:p>
    <w:p w14:paraId="06C6D63F" w14:textId="77777777" w:rsidR="00150BBA" w:rsidRPr="00C8760C" w:rsidRDefault="00150BBA" w:rsidP="00906F41">
      <w:pPr>
        <w:pStyle w:val="BodyText"/>
        <w:spacing w:before="94" w:line="276" w:lineRule="auto"/>
        <w:ind w:left="116" w:right="108"/>
        <w:jc w:val="both"/>
        <w:rPr>
          <w:rFonts w:ascii="Segoe UI" w:hAnsi="Segoe UI" w:cs="Segoe UI"/>
          <w:sz w:val="32"/>
        </w:rPr>
      </w:pPr>
      <w:r w:rsidRPr="00C8760C">
        <w:rPr>
          <w:b w:val="0"/>
          <w:color w:val="171717"/>
        </w:rPr>
        <w:t xml:space="preserve">Moreover, </w:t>
      </w:r>
      <w:r w:rsidR="00D07C27" w:rsidRPr="00C8760C">
        <w:rPr>
          <w:b w:val="0"/>
          <w:color w:val="171717"/>
        </w:rPr>
        <w:t xml:space="preserve">the </w:t>
      </w:r>
      <w:r w:rsidRPr="00C8760C">
        <w:rPr>
          <w:b w:val="0"/>
          <w:color w:val="171717"/>
        </w:rPr>
        <w:t xml:space="preserve">SECR </w:t>
      </w:r>
      <w:r w:rsidR="00D07C27" w:rsidRPr="00C8760C">
        <w:rPr>
          <w:b w:val="0"/>
          <w:color w:val="171717"/>
        </w:rPr>
        <w:t xml:space="preserve">has </w:t>
      </w:r>
      <w:r w:rsidRPr="00C8760C">
        <w:rPr>
          <w:b w:val="0"/>
          <w:color w:val="171717"/>
        </w:rPr>
        <w:t>generated some adverse effects, such as disadvantaging EU institutional investors</w:t>
      </w:r>
      <w:r w:rsidR="00D07C27" w:rsidRPr="00C8760C">
        <w:rPr>
          <w:b w:val="0"/>
          <w:color w:val="171717"/>
        </w:rPr>
        <w:t xml:space="preserve">, </w:t>
      </w:r>
      <w:r w:rsidRPr="00C8760C">
        <w:rPr>
          <w:b w:val="0"/>
          <w:color w:val="171717"/>
        </w:rPr>
        <w:t xml:space="preserve">in particular to the accessibility of EU institutional investors to the </w:t>
      </w:r>
      <w:r w:rsidR="00D07C27" w:rsidRPr="00C8760C">
        <w:rPr>
          <w:b w:val="0"/>
          <w:color w:val="171717"/>
        </w:rPr>
        <w:t xml:space="preserve">third country </w:t>
      </w:r>
      <w:proofErr w:type="spellStart"/>
      <w:r w:rsidRPr="00C8760C">
        <w:rPr>
          <w:b w:val="0"/>
          <w:color w:val="171717"/>
        </w:rPr>
        <w:t>securitisation</w:t>
      </w:r>
      <w:proofErr w:type="spellEnd"/>
      <w:r w:rsidRPr="00C8760C">
        <w:rPr>
          <w:b w:val="0"/>
          <w:color w:val="171717"/>
        </w:rPr>
        <w:t xml:space="preserve"> market</w:t>
      </w:r>
      <w:r w:rsidR="00D07C27" w:rsidRPr="00C8760C">
        <w:rPr>
          <w:b w:val="0"/>
          <w:color w:val="171717"/>
        </w:rPr>
        <w:t>s</w:t>
      </w:r>
      <w:r w:rsidRPr="00C8760C">
        <w:rPr>
          <w:b w:val="0"/>
          <w:color w:val="171717"/>
        </w:rPr>
        <w:t>.</w:t>
      </w:r>
      <w:r w:rsidRPr="00C8760C">
        <w:rPr>
          <w:rFonts w:ascii="Segoe UI" w:hAnsi="Segoe UI" w:cs="Segoe UI"/>
          <w:b w:val="0"/>
          <w:color w:val="171717"/>
        </w:rPr>
        <w:t xml:space="preserve"> </w:t>
      </w:r>
    </w:p>
    <w:p w14:paraId="1515E1B1" w14:textId="77777777" w:rsidR="00D07C27" w:rsidRPr="00C8760C" w:rsidRDefault="00D07C27" w:rsidP="00BD5C09">
      <w:pPr>
        <w:pStyle w:val="BodyText"/>
        <w:rPr>
          <w:rFonts w:ascii="Segoe UI" w:hAnsi="Segoe UI" w:cs="Segoe UI"/>
          <w:sz w:val="32"/>
        </w:rPr>
      </w:pPr>
    </w:p>
    <w:p w14:paraId="037FFCA0" w14:textId="77777777" w:rsidR="00D07C27" w:rsidRPr="00C8760C" w:rsidRDefault="00D07C27" w:rsidP="00BD5C09">
      <w:pPr>
        <w:pStyle w:val="BodyText"/>
        <w:rPr>
          <w:rFonts w:ascii="Segoe UI" w:hAnsi="Segoe UI" w:cs="Segoe UI"/>
          <w:sz w:val="32"/>
        </w:rPr>
      </w:pPr>
    </w:p>
    <w:p w14:paraId="600B37E0" w14:textId="77777777" w:rsidR="00D07C27" w:rsidRPr="00C8760C" w:rsidRDefault="00D07C27" w:rsidP="00BD5C09">
      <w:pPr>
        <w:pStyle w:val="BodyText"/>
        <w:rPr>
          <w:rFonts w:ascii="Segoe UI" w:hAnsi="Segoe UI" w:cs="Segoe UI"/>
          <w:sz w:val="32"/>
        </w:rPr>
      </w:pPr>
    </w:p>
    <w:p w14:paraId="296B7D98" w14:textId="393A5D10" w:rsidR="00D07C27" w:rsidRPr="00C8760C" w:rsidRDefault="00D07C27" w:rsidP="00BD5C09">
      <w:pPr>
        <w:pStyle w:val="BodyText"/>
        <w:rPr>
          <w:rFonts w:ascii="Segoe UI" w:hAnsi="Segoe UI" w:cs="Segoe UI"/>
          <w:sz w:val="32"/>
        </w:rPr>
      </w:pPr>
    </w:p>
    <w:p w14:paraId="0F10EE6E" w14:textId="1797AD9B" w:rsidR="00561961" w:rsidRPr="00C8760C" w:rsidRDefault="00561961" w:rsidP="00BD5C09">
      <w:pPr>
        <w:pStyle w:val="BodyText"/>
        <w:rPr>
          <w:rFonts w:ascii="Segoe UI" w:hAnsi="Segoe UI" w:cs="Segoe UI"/>
          <w:sz w:val="32"/>
        </w:rPr>
      </w:pPr>
    </w:p>
    <w:p w14:paraId="30EBDD44" w14:textId="639437E4" w:rsidR="00561961" w:rsidRPr="00C8760C" w:rsidRDefault="00561961" w:rsidP="00BD5C09">
      <w:pPr>
        <w:pStyle w:val="BodyText"/>
        <w:rPr>
          <w:rFonts w:ascii="Segoe UI" w:hAnsi="Segoe UI" w:cs="Segoe UI"/>
          <w:sz w:val="32"/>
        </w:rPr>
      </w:pPr>
    </w:p>
    <w:p w14:paraId="1BBDF54E" w14:textId="1F2E225C" w:rsidR="00D07C27" w:rsidRPr="00C8760C" w:rsidRDefault="00D07C27" w:rsidP="00BD5C09">
      <w:pPr>
        <w:pStyle w:val="BodyText"/>
        <w:rPr>
          <w:rFonts w:ascii="Segoe UI" w:hAnsi="Segoe UI" w:cs="Segoe UI"/>
          <w:sz w:val="32"/>
        </w:rPr>
      </w:pPr>
    </w:p>
    <w:p w14:paraId="47E8DA7E" w14:textId="77777777" w:rsidR="00561961" w:rsidRPr="00C8760C" w:rsidRDefault="00561961" w:rsidP="00BD5C09">
      <w:pPr>
        <w:pStyle w:val="BodyText"/>
        <w:rPr>
          <w:rFonts w:ascii="Segoe UI" w:hAnsi="Segoe UI" w:cs="Segoe UI"/>
          <w:sz w:val="32"/>
        </w:rPr>
      </w:pPr>
    </w:p>
    <w:p w14:paraId="617876F1" w14:textId="77777777" w:rsidR="00D07C27" w:rsidRPr="00C8760C" w:rsidRDefault="00D07C27" w:rsidP="00BD5C09">
      <w:pPr>
        <w:pStyle w:val="BodyText"/>
        <w:rPr>
          <w:rFonts w:ascii="Segoe UI" w:hAnsi="Segoe UI" w:cs="Segoe UI"/>
          <w:sz w:val="32"/>
        </w:rPr>
      </w:pPr>
    </w:p>
    <w:p w14:paraId="6577F1EF" w14:textId="77777777" w:rsidR="00D07C27" w:rsidRPr="00C8760C" w:rsidRDefault="00D07C27" w:rsidP="00BD5C09">
      <w:pPr>
        <w:pStyle w:val="BodyText"/>
        <w:rPr>
          <w:rFonts w:ascii="Segoe UI" w:hAnsi="Segoe UI" w:cs="Segoe UI"/>
          <w:sz w:val="32"/>
        </w:rPr>
      </w:pPr>
    </w:p>
    <w:p w14:paraId="45895DBA" w14:textId="77777777" w:rsidR="00D07C27" w:rsidRPr="00C8760C" w:rsidRDefault="00D07C27" w:rsidP="00BD5C09">
      <w:pPr>
        <w:pStyle w:val="BodyText"/>
        <w:rPr>
          <w:rFonts w:ascii="Segoe UI" w:hAnsi="Segoe UI" w:cs="Segoe UI"/>
          <w:sz w:val="32"/>
        </w:rPr>
      </w:pPr>
    </w:p>
    <w:p w14:paraId="41DD84BB" w14:textId="77777777" w:rsidR="00906F41" w:rsidRPr="00C8760C" w:rsidRDefault="00906F41" w:rsidP="00BD5C09">
      <w:pPr>
        <w:pStyle w:val="BodyText"/>
        <w:rPr>
          <w:rFonts w:ascii="Segoe UI" w:hAnsi="Segoe UI" w:cs="Segoe UI"/>
          <w:sz w:val="32"/>
        </w:rPr>
      </w:pPr>
    </w:p>
    <w:p w14:paraId="6A39E3CE" w14:textId="77777777" w:rsidR="00906F41" w:rsidRPr="00C8760C" w:rsidRDefault="00906F41" w:rsidP="00BD5C09">
      <w:pPr>
        <w:pStyle w:val="BodyText"/>
        <w:rPr>
          <w:rFonts w:ascii="Segoe UI" w:hAnsi="Segoe UI" w:cs="Segoe UI"/>
          <w:sz w:val="32"/>
        </w:rPr>
      </w:pPr>
    </w:p>
    <w:tbl>
      <w:tblPr>
        <w:tblStyle w:val="TableGrid"/>
        <w:tblW w:w="10348" w:type="dxa"/>
        <w:tblInd w:w="-572" w:type="dxa"/>
        <w:tblLook w:val="04A0" w:firstRow="1" w:lastRow="0" w:firstColumn="1" w:lastColumn="0" w:noHBand="0" w:noVBand="1"/>
      </w:tblPr>
      <w:tblGrid>
        <w:gridCol w:w="661"/>
        <w:gridCol w:w="3592"/>
        <w:gridCol w:w="6095"/>
      </w:tblGrid>
      <w:tr w:rsidR="00906F41" w:rsidRPr="00C8760C" w14:paraId="13F2E677" w14:textId="77777777" w:rsidTr="00561961">
        <w:tc>
          <w:tcPr>
            <w:tcW w:w="661" w:type="dxa"/>
          </w:tcPr>
          <w:p w14:paraId="49E548ED" w14:textId="77777777" w:rsidR="00906F41" w:rsidRPr="00C8760C" w:rsidRDefault="00906F41" w:rsidP="00BD5C09">
            <w:pPr>
              <w:rPr>
                <w:rFonts w:cs="Arial"/>
                <w:i/>
                <w:color w:val="171717"/>
                <w:szCs w:val="20"/>
                <w:u w:val="thick" w:color="171717"/>
              </w:rPr>
            </w:pPr>
          </w:p>
        </w:tc>
        <w:tc>
          <w:tcPr>
            <w:tcW w:w="3592" w:type="dxa"/>
          </w:tcPr>
          <w:p w14:paraId="7C2B85EF" w14:textId="77777777" w:rsidR="00906F41" w:rsidRPr="00C8760C" w:rsidRDefault="00E833C8" w:rsidP="00116882">
            <w:pPr>
              <w:jc w:val="center"/>
              <w:rPr>
                <w:rFonts w:cs="Arial"/>
                <w:i/>
                <w:color w:val="171717"/>
                <w:sz w:val="32"/>
                <w:szCs w:val="20"/>
                <w:u w:val="thick" w:color="171717"/>
              </w:rPr>
            </w:pPr>
            <w:r w:rsidRPr="00C8760C">
              <w:rPr>
                <w:rFonts w:cs="Arial"/>
                <w:i/>
                <w:color w:val="171717"/>
                <w:sz w:val="32"/>
                <w:szCs w:val="20"/>
                <w:u w:val="thick" w:color="171717"/>
              </w:rPr>
              <w:t>Question</w:t>
            </w:r>
          </w:p>
        </w:tc>
        <w:tc>
          <w:tcPr>
            <w:tcW w:w="6095" w:type="dxa"/>
          </w:tcPr>
          <w:p w14:paraId="2CBE19DC" w14:textId="77777777" w:rsidR="00906F41" w:rsidRPr="00C8760C" w:rsidRDefault="00E833C8" w:rsidP="00116882">
            <w:pPr>
              <w:jc w:val="center"/>
              <w:rPr>
                <w:rFonts w:cs="Arial"/>
                <w:i/>
                <w:color w:val="171717"/>
                <w:sz w:val="32"/>
                <w:szCs w:val="20"/>
                <w:u w:val="thick" w:color="171717"/>
              </w:rPr>
            </w:pPr>
            <w:r w:rsidRPr="00C8760C">
              <w:rPr>
                <w:rFonts w:cs="Arial"/>
                <w:i/>
                <w:color w:val="171717"/>
                <w:sz w:val="32"/>
                <w:szCs w:val="20"/>
                <w:u w:val="thick" w:color="171717"/>
              </w:rPr>
              <w:t>Answer</w:t>
            </w:r>
          </w:p>
        </w:tc>
      </w:tr>
      <w:tr w:rsidR="00E833C8" w:rsidRPr="00C8760C" w14:paraId="70A3BFE7" w14:textId="77777777" w:rsidTr="00561961">
        <w:tc>
          <w:tcPr>
            <w:tcW w:w="661" w:type="dxa"/>
          </w:tcPr>
          <w:p w14:paraId="68801907" w14:textId="77777777" w:rsidR="00E833C8" w:rsidRPr="00C8760C" w:rsidRDefault="00E833C8" w:rsidP="00E833C8">
            <w:pPr>
              <w:rPr>
                <w:rFonts w:cs="Arial"/>
                <w:b/>
                <w:bCs/>
                <w:color w:val="000000"/>
                <w:szCs w:val="20"/>
              </w:rPr>
            </w:pPr>
            <w:r w:rsidRPr="00C8760C">
              <w:rPr>
                <w:rFonts w:cs="Arial"/>
                <w:b/>
                <w:bCs/>
                <w:color w:val="000000"/>
                <w:szCs w:val="20"/>
              </w:rPr>
              <w:t>1.1</w:t>
            </w:r>
          </w:p>
          <w:p w14:paraId="154D0B6B" w14:textId="77777777" w:rsidR="00E833C8" w:rsidRPr="00C8760C" w:rsidRDefault="00E833C8" w:rsidP="00E833C8">
            <w:pPr>
              <w:rPr>
                <w:rFonts w:cs="Arial"/>
                <w:i/>
                <w:color w:val="171717"/>
                <w:szCs w:val="20"/>
                <w:u w:val="thick" w:color="171717"/>
              </w:rPr>
            </w:pPr>
          </w:p>
        </w:tc>
        <w:tc>
          <w:tcPr>
            <w:tcW w:w="3592" w:type="dxa"/>
          </w:tcPr>
          <w:p w14:paraId="47BBD499" w14:textId="77777777" w:rsidR="00E833C8" w:rsidRPr="00C8760C" w:rsidRDefault="00E833C8" w:rsidP="00E833C8">
            <w:pPr>
              <w:rPr>
                <w:rFonts w:cs="Arial"/>
                <w:i/>
                <w:color w:val="171717"/>
                <w:szCs w:val="20"/>
                <w:u w:val="thick" w:color="171717"/>
              </w:rPr>
            </w:pPr>
            <w:r w:rsidRPr="00C8760C">
              <w:rPr>
                <w:rFonts w:cs="Arial"/>
                <w:color w:val="000000"/>
                <w:szCs w:val="20"/>
              </w:rPr>
              <w:t>Do you agree that the securitisation framework (including the Securitisation Regulation and relevant applicable provisions of the CRR, Solvency II and LCR) has been successful in, or has contributed to, achieving the following objectives:</w:t>
            </w:r>
            <w:r w:rsidRPr="00C8760C">
              <w:rPr>
                <w:rFonts w:cs="Arial"/>
                <w:color w:val="000000"/>
                <w:szCs w:val="20"/>
              </w:rPr>
              <w:br/>
              <w:t>• Revival of a safer securitisation market</w:t>
            </w:r>
          </w:p>
        </w:tc>
        <w:tc>
          <w:tcPr>
            <w:tcW w:w="6095" w:type="dxa"/>
          </w:tcPr>
          <w:p w14:paraId="0BD7CB6D"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Disagree</w:t>
            </w:r>
          </w:p>
        </w:tc>
      </w:tr>
      <w:tr w:rsidR="00E833C8" w:rsidRPr="00C8760C" w14:paraId="6B95F5FE" w14:textId="77777777" w:rsidTr="00561961">
        <w:tc>
          <w:tcPr>
            <w:tcW w:w="661" w:type="dxa"/>
          </w:tcPr>
          <w:p w14:paraId="550600AB" w14:textId="77777777" w:rsidR="00E833C8" w:rsidRPr="00C8760C" w:rsidRDefault="00E833C8" w:rsidP="00E833C8">
            <w:pPr>
              <w:rPr>
                <w:rFonts w:cs="Arial"/>
                <w:b/>
                <w:bCs/>
                <w:color w:val="000000"/>
                <w:szCs w:val="20"/>
              </w:rPr>
            </w:pPr>
            <w:r w:rsidRPr="00C8760C">
              <w:rPr>
                <w:rFonts w:cs="Arial"/>
                <w:b/>
                <w:bCs/>
                <w:color w:val="000000"/>
                <w:szCs w:val="20"/>
              </w:rPr>
              <w:t>1.2</w:t>
            </w:r>
          </w:p>
          <w:p w14:paraId="625494C8" w14:textId="77777777" w:rsidR="00E833C8" w:rsidRPr="00C8760C" w:rsidRDefault="00E833C8" w:rsidP="00E833C8">
            <w:pPr>
              <w:rPr>
                <w:rFonts w:cs="Arial"/>
                <w:i/>
                <w:color w:val="171717"/>
                <w:szCs w:val="20"/>
                <w:u w:val="thick" w:color="171717"/>
              </w:rPr>
            </w:pPr>
          </w:p>
        </w:tc>
        <w:tc>
          <w:tcPr>
            <w:tcW w:w="3592" w:type="dxa"/>
          </w:tcPr>
          <w:p w14:paraId="61DCB5BD" w14:textId="77777777" w:rsidR="00E833C8" w:rsidRPr="00C8760C" w:rsidRDefault="00E833C8" w:rsidP="00E833C8">
            <w:pPr>
              <w:rPr>
                <w:rFonts w:cs="Arial"/>
                <w:i/>
                <w:color w:val="171717"/>
                <w:szCs w:val="20"/>
                <w:u w:val="thick" w:color="171717"/>
              </w:rPr>
            </w:pPr>
            <w:r w:rsidRPr="00C8760C">
              <w:rPr>
                <w:rFonts w:cs="Arial"/>
                <w:color w:val="000000"/>
                <w:szCs w:val="20"/>
              </w:rPr>
              <w:t>• Improving financing of the EU economy by creating a more balanced and stable funding structure of the EU economy</w:t>
            </w:r>
          </w:p>
        </w:tc>
        <w:tc>
          <w:tcPr>
            <w:tcW w:w="6095" w:type="dxa"/>
          </w:tcPr>
          <w:p w14:paraId="6B3501E1"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Fully Disagree</w:t>
            </w:r>
          </w:p>
        </w:tc>
      </w:tr>
      <w:tr w:rsidR="00E833C8" w:rsidRPr="00C8760C" w14:paraId="4A4ED539" w14:textId="77777777" w:rsidTr="00561961">
        <w:tc>
          <w:tcPr>
            <w:tcW w:w="661" w:type="dxa"/>
            <w:vAlign w:val="center"/>
          </w:tcPr>
          <w:p w14:paraId="730B08C8" w14:textId="77777777" w:rsidR="00E833C8" w:rsidRPr="00C8760C" w:rsidRDefault="00E833C8" w:rsidP="00E833C8">
            <w:pPr>
              <w:rPr>
                <w:rFonts w:cs="Arial"/>
                <w:i/>
                <w:color w:val="171717"/>
                <w:szCs w:val="20"/>
                <w:u w:val="thick" w:color="171717"/>
              </w:rPr>
            </w:pPr>
            <w:r w:rsidRPr="00C8760C">
              <w:rPr>
                <w:rFonts w:cs="Arial"/>
                <w:b/>
                <w:bCs/>
                <w:color w:val="000000"/>
                <w:szCs w:val="20"/>
              </w:rPr>
              <w:t>1.3</w:t>
            </w:r>
          </w:p>
        </w:tc>
        <w:tc>
          <w:tcPr>
            <w:tcW w:w="3592" w:type="dxa"/>
          </w:tcPr>
          <w:p w14:paraId="095CD613" w14:textId="77777777" w:rsidR="00E833C8" w:rsidRPr="00C8760C" w:rsidRDefault="00E833C8" w:rsidP="00E833C8">
            <w:pPr>
              <w:rPr>
                <w:rFonts w:cs="Arial"/>
                <w:i/>
                <w:color w:val="171717"/>
                <w:szCs w:val="20"/>
                <w:u w:val="thick" w:color="171717"/>
              </w:rPr>
            </w:pPr>
            <w:r w:rsidRPr="00C8760C">
              <w:rPr>
                <w:rFonts w:cs="Arial"/>
                <w:color w:val="000000"/>
                <w:szCs w:val="20"/>
              </w:rPr>
              <w:t>• Weakening the link between banks’ deleveraging needs and credit tightening</w:t>
            </w:r>
          </w:p>
        </w:tc>
        <w:tc>
          <w:tcPr>
            <w:tcW w:w="6095" w:type="dxa"/>
          </w:tcPr>
          <w:p w14:paraId="498D3C4B"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Somewhat Disagree</w:t>
            </w:r>
          </w:p>
        </w:tc>
      </w:tr>
      <w:tr w:rsidR="00E833C8" w:rsidRPr="00C8760C" w14:paraId="3B9DEA65" w14:textId="77777777" w:rsidTr="00561961">
        <w:tc>
          <w:tcPr>
            <w:tcW w:w="661" w:type="dxa"/>
            <w:vAlign w:val="center"/>
          </w:tcPr>
          <w:p w14:paraId="4D56CC97" w14:textId="77777777" w:rsidR="00E833C8" w:rsidRPr="00C8760C" w:rsidRDefault="00E833C8" w:rsidP="00E833C8">
            <w:pPr>
              <w:rPr>
                <w:rFonts w:cs="Arial"/>
                <w:i/>
                <w:color w:val="171717"/>
                <w:szCs w:val="20"/>
                <w:u w:val="thick" w:color="171717"/>
              </w:rPr>
            </w:pPr>
            <w:r w:rsidRPr="00C8760C">
              <w:rPr>
                <w:rFonts w:cs="Arial"/>
                <w:b/>
                <w:bCs/>
                <w:color w:val="000000"/>
                <w:szCs w:val="20"/>
              </w:rPr>
              <w:t>1.4</w:t>
            </w:r>
          </w:p>
        </w:tc>
        <w:tc>
          <w:tcPr>
            <w:tcW w:w="3592" w:type="dxa"/>
          </w:tcPr>
          <w:p w14:paraId="15F39161" w14:textId="77777777" w:rsidR="00E833C8" w:rsidRPr="00C8760C" w:rsidRDefault="00E833C8" w:rsidP="00E833C8">
            <w:pPr>
              <w:rPr>
                <w:rFonts w:cs="Arial"/>
                <w:i/>
                <w:color w:val="171717"/>
                <w:szCs w:val="20"/>
                <w:u w:val="thick" w:color="171717"/>
              </w:rPr>
            </w:pPr>
            <w:r w:rsidRPr="00C8760C">
              <w:rPr>
                <w:rFonts w:cs="Arial"/>
                <w:color w:val="000000"/>
                <w:szCs w:val="20"/>
              </w:rPr>
              <w:t>• Reducing investor stigma towards EU securitisations</w:t>
            </w:r>
          </w:p>
        </w:tc>
        <w:tc>
          <w:tcPr>
            <w:tcW w:w="6095" w:type="dxa"/>
          </w:tcPr>
          <w:p w14:paraId="3C1CE585"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Somewhat Disagree (As still too costly)</w:t>
            </w:r>
          </w:p>
        </w:tc>
      </w:tr>
      <w:tr w:rsidR="00E833C8" w:rsidRPr="00C8760C" w14:paraId="3AC614AA" w14:textId="77777777" w:rsidTr="00561961">
        <w:tc>
          <w:tcPr>
            <w:tcW w:w="661" w:type="dxa"/>
            <w:vAlign w:val="center"/>
          </w:tcPr>
          <w:p w14:paraId="3435FEAE" w14:textId="77777777" w:rsidR="00E833C8" w:rsidRPr="00C8760C" w:rsidRDefault="00E833C8" w:rsidP="00E833C8">
            <w:pPr>
              <w:rPr>
                <w:rFonts w:cs="Arial"/>
                <w:i/>
                <w:color w:val="171717"/>
                <w:szCs w:val="20"/>
                <w:u w:val="thick" w:color="171717"/>
              </w:rPr>
            </w:pPr>
            <w:r w:rsidRPr="00C8760C">
              <w:rPr>
                <w:rFonts w:cs="Arial"/>
                <w:b/>
                <w:bCs/>
                <w:color w:val="000000"/>
                <w:szCs w:val="20"/>
              </w:rPr>
              <w:t>1.5</w:t>
            </w:r>
          </w:p>
        </w:tc>
        <w:tc>
          <w:tcPr>
            <w:tcW w:w="3592" w:type="dxa"/>
          </w:tcPr>
          <w:p w14:paraId="167838D3" w14:textId="77777777" w:rsidR="00E833C8" w:rsidRPr="00C8760C" w:rsidRDefault="00E833C8" w:rsidP="00E833C8">
            <w:pPr>
              <w:rPr>
                <w:rFonts w:cs="Arial"/>
                <w:i/>
                <w:color w:val="171717"/>
                <w:szCs w:val="20"/>
                <w:u w:val="thick" w:color="171717"/>
              </w:rPr>
            </w:pPr>
            <w:r w:rsidRPr="00C8760C">
              <w:rPr>
                <w:rFonts w:cs="Arial"/>
                <w:color w:val="000000"/>
                <w:szCs w:val="20"/>
              </w:rPr>
              <w:t>• Removing regulatory disadvantages for simple and transparent securitisation products</w:t>
            </w:r>
          </w:p>
        </w:tc>
        <w:tc>
          <w:tcPr>
            <w:tcW w:w="6095" w:type="dxa"/>
          </w:tcPr>
          <w:p w14:paraId="1D28A170"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6E09607B" w14:textId="77777777" w:rsidTr="00561961">
        <w:tc>
          <w:tcPr>
            <w:tcW w:w="661" w:type="dxa"/>
            <w:vAlign w:val="center"/>
          </w:tcPr>
          <w:p w14:paraId="5C138277" w14:textId="77777777" w:rsidR="00E833C8" w:rsidRPr="00C8760C" w:rsidRDefault="00E833C8" w:rsidP="00E833C8">
            <w:pPr>
              <w:rPr>
                <w:rFonts w:cs="Arial"/>
                <w:i/>
                <w:color w:val="171717"/>
                <w:szCs w:val="20"/>
                <w:u w:val="thick" w:color="171717"/>
              </w:rPr>
            </w:pPr>
            <w:r w:rsidRPr="00C8760C">
              <w:rPr>
                <w:rFonts w:cs="Arial"/>
                <w:b/>
                <w:bCs/>
                <w:color w:val="000000"/>
                <w:szCs w:val="20"/>
              </w:rPr>
              <w:t>1.6</w:t>
            </w:r>
          </w:p>
        </w:tc>
        <w:tc>
          <w:tcPr>
            <w:tcW w:w="3592" w:type="dxa"/>
          </w:tcPr>
          <w:p w14:paraId="7380FEB9" w14:textId="77777777" w:rsidR="00E833C8" w:rsidRPr="00C8760C" w:rsidRDefault="00E833C8" w:rsidP="00E833C8">
            <w:pPr>
              <w:rPr>
                <w:rFonts w:cs="Arial"/>
                <w:i/>
                <w:color w:val="171717"/>
                <w:szCs w:val="20"/>
                <w:u w:val="thick" w:color="171717"/>
              </w:rPr>
            </w:pPr>
            <w:r w:rsidRPr="00C8760C">
              <w:rPr>
                <w:rFonts w:cs="Arial"/>
                <w:color w:val="000000"/>
                <w:szCs w:val="20"/>
              </w:rPr>
              <w:t>• Reducing/eliminating unduly high operational costs for issuers and investors</w:t>
            </w:r>
          </w:p>
        </w:tc>
        <w:tc>
          <w:tcPr>
            <w:tcW w:w="6095" w:type="dxa"/>
          </w:tcPr>
          <w:p w14:paraId="36B8E3D6"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Fully Disagree</w:t>
            </w:r>
          </w:p>
        </w:tc>
      </w:tr>
      <w:tr w:rsidR="00E833C8" w:rsidRPr="00C8760C" w14:paraId="74BFE2A9" w14:textId="77777777" w:rsidTr="00561961">
        <w:tc>
          <w:tcPr>
            <w:tcW w:w="661" w:type="dxa"/>
            <w:vAlign w:val="center"/>
          </w:tcPr>
          <w:p w14:paraId="78C7436B" w14:textId="77777777" w:rsidR="00E833C8" w:rsidRPr="00C8760C" w:rsidRDefault="00E833C8" w:rsidP="00E833C8">
            <w:pPr>
              <w:rPr>
                <w:rFonts w:cs="Arial"/>
                <w:i/>
                <w:color w:val="171717"/>
                <w:szCs w:val="20"/>
                <w:u w:val="thick" w:color="171717"/>
              </w:rPr>
            </w:pPr>
            <w:r w:rsidRPr="00C8760C">
              <w:rPr>
                <w:rFonts w:cs="Arial"/>
                <w:b/>
                <w:bCs/>
                <w:color w:val="000000"/>
                <w:szCs w:val="20"/>
              </w:rPr>
              <w:t>1.7</w:t>
            </w:r>
          </w:p>
        </w:tc>
        <w:tc>
          <w:tcPr>
            <w:tcW w:w="3592" w:type="dxa"/>
          </w:tcPr>
          <w:p w14:paraId="0F726014" w14:textId="77777777" w:rsidR="00E833C8" w:rsidRPr="00C8760C" w:rsidRDefault="00E833C8" w:rsidP="00E833C8">
            <w:pPr>
              <w:rPr>
                <w:rFonts w:cs="Arial"/>
                <w:i/>
                <w:color w:val="171717"/>
                <w:szCs w:val="20"/>
                <w:u w:val="thick" w:color="171717"/>
              </w:rPr>
            </w:pPr>
            <w:r w:rsidRPr="00C8760C">
              <w:rPr>
                <w:rFonts w:cs="Arial"/>
                <w:color w:val="000000"/>
                <w:szCs w:val="20"/>
              </w:rPr>
              <w:t>• Differentiating simple, transparent and standardised (STS) securitisation products from more opaque and complex ones</w:t>
            </w:r>
          </w:p>
        </w:tc>
        <w:tc>
          <w:tcPr>
            <w:tcW w:w="6095" w:type="dxa"/>
          </w:tcPr>
          <w:p w14:paraId="31DC8AA6"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60999544" w14:textId="77777777" w:rsidTr="00561961">
        <w:tc>
          <w:tcPr>
            <w:tcW w:w="661" w:type="dxa"/>
            <w:vAlign w:val="center"/>
          </w:tcPr>
          <w:p w14:paraId="00675DDE" w14:textId="77777777" w:rsidR="00E833C8" w:rsidRPr="00C8760C" w:rsidRDefault="00E833C8" w:rsidP="00E833C8">
            <w:pPr>
              <w:rPr>
                <w:rFonts w:cs="Arial"/>
                <w:i/>
                <w:color w:val="171717"/>
                <w:szCs w:val="20"/>
                <w:u w:val="thick" w:color="171717"/>
              </w:rPr>
            </w:pPr>
            <w:r w:rsidRPr="00C8760C">
              <w:rPr>
                <w:rFonts w:cs="Arial"/>
                <w:b/>
                <w:bCs/>
                <w:color w:val="000000"/>
                <w:szCs w:val="20"/>
              </w:rPr>
              <w:t>1.7.1</w:t>
            </w:r>
          </w:p>
        </w:tc>
        <w:tc>
          <w:tcPr>
            <w:tcW w:w="3592" w:type="dxa"/>
          </w:tcPr>
          <w:p w14:paraId="1888B37D" w14:textId="77777777" w:rsidR="00E833C8" w:rsidRPr="00C8760C" w:rsidRDefault="00E833C8" w:rsidP="00E833C8">
            <w:pPr>
              <w:rPr>
                <w:rFonts w:cs="Arial"/>
                <w:i/>
                <w:color w:val="171717"/>
                <w:szCs w:val="20"/>
                <w:u w:val="thick" w:color="171717"/>
              </w:rPr>
            </w:pPr>
            <w:r w:rsidRPr="00C8760C">
              <w:rPr>
                <w:rFonts w:cs="Arial"/>
                <w:color w:val="000000"/>
                <w:szCs w:val="20"/>
              </w:rPr>
              <w:t>• Increasing the price difference between STS vs non-STS products</w:t>
            </w:r>
          </w:p>
        </w:tc>
        <w:tc>
          <w:tcPr>
            <w:tcW w:w="6095" w:type="dxa"/>
          </w:tcPr>
          <w:p w14:paraId="4F5A91D6"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5AC96D0E" w14:textId="77777777" w:rsidTr="00561961">
        <w:tc>
          <w:tcPr>
            <w:tcW w:w="661" w:type="dxa"/>
            <w:vAlign w:val="center"/>
          </w:tcPr>
          <w:p w14:paraId="7F002B8A" w14:textId="77777777" w:rsidR="00E833C8" w:rsidRPr="00C8760C" w:rsidRDefault="00E833C8" w:rsidP="00E833C8">
            <w:pPr>
              <w:rPr>
                <w:rFonts w:cs="Arial"/>
                <w:i/>
                <w:color w:val="171717"/>
                <w:szCs w:val="20"/>
                <w:u w:val="thick" w:color="171717"/>
              </w:rPr>
            </w:pPr>
            <w:r w:rsidRPr="00C8760C">
              <w:rPr>
                <w:rFonts w:cs="Arial"/>
                <w:b/>
                <w:bCs/>
                <w:color w:val="000000"/>
                <w:szCs w:val="20"/>
              </w:rPr>
              <w:t>1.7.2</w:t>
            </w:r>
          </w:p>
        </w:tc>
        <w:tc>
          <w:tcPr>
            <w:tcW w:w="3592" w:type="dxa"/>
          </w:tcPr>
          <w:p w14:paraId="4493452B" w14:textId="77777777" w:rsidR="00E833C8" w:rsidRPr="00C8760C" w:rsidRDefault="00E833C8" w:rsidP="00E833C8">
            <w:pPr>
              <w:rPr>
                <w:rFonts w:cs="Arial"/>
                <w:i/>
                <w:color w:val="171717"/>
                <w:szCs w:val="20"/>
                <w:u w:val="thick" w:color="171717"/>
              </w:rPr>
            </w:pPr>
            <w:r w:rsidRPr="00C8760C">
              <w:rPr>
                <w:rFonts w:cs="Arial"/>
                <w:color w:val="000000"/>
                <w:szCs w:val="20"/>
              </w:rPr>
              <w:t>• Increasing the growth in issuance of STS vs non-STS products</w:t>
            </w:r>
          </w:p>
        </w:tc>
        <w:tc>
          <w:tcPr>
            <w:tcW w:w="6095" w:type="dxa"/>
          </w:tcPr>
          <w:p w14:paraId="60D15C29"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6BB02AB2" w14:textId="77777777" w:rsidTr="00561961">
        <w:tc>
          <w:tcPr>
            <w:tcW w:w="661" w:type="dxa"/>
            <w:vAlign w:val="center"/>
          </w:tcPr>
          <w:p w14:paraId="7C699BF5" w14:textId="77777777" w:rsidR="00E833C8" w:rsidRPr="00C8760C" w:rsidRDefault="00E833C8" w:rsidP="00E833C8">
            <w:pPr>
              <w:rPr>
                <w:rFonts w:cs="Arial"/>
                <w:i/>
                <w:color w:val="171717"/>
                <w:szCs w:val="20"/>
                <w:u w:val="thick" w:color="171717"/>
              </w:rPr>
            </w:pPr>
            <w:r w:rsidRPr="00C8760C">
              <w:rPr>
                <w:rFonts w:cs="Arial"/>
                <w:b/>
                <w:bCs/>
                <w:color w:val="000000"/>
                <w:szCs w:val="20"/>
              </w:rPr>
              <w:t>1.8</w:t>
            </w:r>
          </w:p>
        </w:tc>
        <w:tc>
          <w:tcPr>
            <w:tcW w:w="3592" w:type="dxa"/>
          </w:tcPr>
          <w:p w14:paraId="7A90F917" w14:textId="77777777" w:rsidR="00E833C8" w:rsidRPr="00C8760C" w:rsidRDefault="00E833C8" w:rsidP="00E833C8">
            <w:pPr>
              <w:rPr>
                <w:rFonts w:cs="Arial"/>
                <w:i/>
                <w:color w:val="171717"/>
                <w:szCs w:val="20"/>
                <w:u w:val="thick" w:color="171717"/>
              </w:rPr>
            </w:pPr>
            <w:r w:rsidRPr="00C8760C">
              <w:rPr>
                <w:rFonts w:cs="Arial"/>
                <w:color w:val="000000"/>
                <w:szCs w:val="20"/>
              </w:rPr>
              <w:t>• Supporting the standardisation of processes and practices in securitisation markets</w:t>
            </w:r>
          </w:p>
        </w:tc>
        <w:tc>
          <w:tcPr>
            <w:tcW w:w="6095" w:type="dxa"/>
          </w:tcPr>
          <w:p w14:paraId="26B0E78F"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2E8F038B" w14:textId="77777777" w:rsidTr="00561961">
        <w:tc>
          <w:tcPr>
            <w:tcW w:w="661" w:type="dxa"/>
            <w:vAlign w:val="center"/>
          </w:tcPr>
          <w:p w14:paraId="6062CF05" w14:textId="77777777" w:rsidR="00E833C8" w:rsidRPr="00C8760C" w:rsidRDefault="00E833C8" w:rsidP="00E833C8">
            <w:pPr>
              <w:rPr>
                <w:rFonts w:cs="Arial"/>
                <w:i/>
                <w:color w:val="171717"/>
                <w:szCs w:val="20"/>
                <w:u w:val="thick" w:color="171717"/>
              </w:rPr>
            </w:pPr>
            <w:r w:rsidRPr="00C8760C">
              <w:rPr>
                <w:rFonts w:cs="Arial"/>
                <w:b/>
                <w:bCs/>
                <w:color w:val="000000"/>
                <w:szCs w:val="20"/>
              </w:rPr>
              <w:t>1.8.1</w:t>
            </w:r>
          </w:p>
        </w:tc>
        <w:tc>
          <w:tcPr>
            <w:tcW w:w="3592" w:type="dxa"/>
          </w:tcPr>
          <w:p w14:paraId="49ACE36F" w14:textId="77777777" w:rsidR="00E833C8" w:rsidRPr="00C8760C" w:rsidRDefault="00E833C8" w:rsidP="00E833C8">
            <w:pPr>
              <w:rPr>
                <w:rFonts w:cs="Arial"/>
                <w:i/>
                <w:color w:val="171717"/>
                <w:szCs w:val="20"/>
                <w:u w:val="thick" w:color="171717"/>
              </w:rPr>
            </w:pPr>
            <w:r w:rsidRPr="00C8760C">
              <w:rPr>
                <w:rFonts w:cs="Arial"/>
                <w:color w:val="000000"/>
                <w:szCs w:val="20"/>
              </w:rPr>
              <w:t>• Increasing the degree of standardisation of marketing and reporting material</w:t>
            </w:r>
          </w:p>
        </w:tc>
        <w:tc>
          <w:tcPr>
            <w:tcW w:w="6095" w:type="dxa"/>
          </w:tcPr>
          <w:p w14:paraId="089DF364"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1FE7B39C" w14:textId="77777777" w:rsidTr="00561961">
        <w:tc>
          <w:tcPr>
            <w:tcW w:w="661" w:type="dxa"/>
            <w:vAlign w:val="center"/>
          </w:tcPr>
          <w:p w14:paraId="3F87B886" w14:textId="77777777" w:rsidR="00E833C8" w:rsidRPr="00C8760C" w:rsidRDefault="00E833C8" w:rsidP="00E833C8">
            <w:pPr>
              <w:rPr>
                <w:rFonts w:cs="Arial"/>
                <w:i/>
                <w:color w:val="171717"/>
                <w:szCs w:val="20"/>
                <w:u w:val="thick" w:color="171717"/>
              </w:rPr>
            </w:pPr>
            <w:r w:rsidRPr="00C8760C">
              <w:rPr>
                <w:rFonts w:cs="Arial"/>
                <w:b/>
                <w:bCs/>
                <w:color w:val="000000"/>
                <w:szCs w:val="20"/>
              </w:rPr>
              <w:t>1.8.2</w:t>
            </w:r>
          </w:p>
        </w:tc>
        <w:tc>
          <w:tcPr>
            <w:tcW w:w="3592" w:type="dxa"/>
          </w:tcPr>
          <w:p w14:paraId="54BEBC07" w14:textId="77777777" w:rsidR="00E833C8" w:rsidRPr="00C8760C" w:rsidRDefault="00E833C8" w:rsidP="00E833C8">
            <w:pPr>
              <w:rPr>
                <w:rFonts w:cs="Arial"/>
                <w:i/>
                <w:color w:val="171717"/>
                <w:szCs w:val="20"/>
                <w:u w:val="thick" w:color="171717"/>
              </w:rPr>
            </w:pPr>
            <w:r w:rsidRPr="00C8760C">
              <w:rPr>
                <w:rFonts w:cs="Arial"/>
                <w:color w:val="000000"/>
                <w:szCs w:val="20"/>
              </w:rPr>
              <w:t>• Reducing operational costs linked to standardised securitisation products</w:t>
            </w:r>
          </w:p>
        </w:tc>
        <w:tc>
          <w:tcPr>
            <w:tcW w:w="6095" w:type="dxa"/>
          </w:tcPr>
          <w:p w14:paraId="34404018"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E833C8" w:rsidRPr="00C8760C" w14:paraId="438065C3" w14:textId="77777777" w:rsidTr="00561961">
        <w:tc>
          <w:tcPr>
            <w:tcW w:w="661" w:type="dxa"/>
          </w:tcPr>
          <w:p w14:paraId="16E227D0" w14:textId="77777777" w:rsidR="00E833C8" w:rsidRPr="00C8760C" w:rsidRDefault="00E833C8" w:rsidP="00E833C8">
            <w:pPr>
              <w:rPr>
                <w:rFonts w:cs="Arial"/>
                <w:i/>
                <w:color w:val="171717"/>
                <w:szCs w:val="20"/>
                <w:u w:val="thick" w:color="171717"/>
              </w:rPr>
            </w:pPr>
            <w:r w:rsidRPr="00C8760C">
              <w:rPr>
                <w:rFonts w:cs="Arial"/>
                <w:b/>
                <w:bCs/>
                <w:color w:val="000000"/>
                <w:szCs w:val="20"/>
              </w:rPr>
              <w:t>1.9</w:t>
            </w:r>
          </w:p>
        </w:tc>
        <w:tc>
          <w:tcPr>
            <w:tcW w:w="3592" w:type="dxa"/>
          </w:tcPr>
          <w:p w14:paraId="7D1E1C9E" w14:textId="77777777" w:rsidR="00E833C8" w:rsidRPr="00C8760C" w:rsidRDefault="00E833C8" w:rsidP="00E833C8">
            <w:pPr>
              <w:rPr>
                <w:rFonts w:cs="Arial"/>
                <w:i/>
                <w:color w:val="171717"/>
                <w:szCs w:val="20"/>
                <w:u w:val="thick" w:color="171717"/>
              </w:rPr>
            </w:pPr>
            <w:r w:rsidRPr="00C8760C">
              <w:rPr>
                <w:rFonts w:cs="Arial"/>
                <w:color w:val="000000"/>
                <w:szCs w:val="20"/>
              </w:rPr>
              <w:t>• Tackling regulatory inconsistencies</w:t>
            </w:r>
          </w:p>
        </w:tc>
        <w:tc>
          <w:tcPr>
            <w:tcW w:w="6095" w:type="dxa"/>
          </w:tcPr>
          <w:p w14:paraId="073CD33C" w14:textId="77777777" w:rsidR="00E833C8" w:rsidRPr="00C8760C" w:rsidRDefault="00E833C8" w:rsidP="00E833C8">
            <w:pPr>
              <w:rPr>
                <w:rFonts w:cs="Arial"/>
                <w:i/>
                <w:color w:val="171717"/>
                <w:szCs w:val="20"/>
                <w:u w:val="thick" w:color="171717"/>
              </w:rPr>
            </w:pPr>
            <w:r w:rsidRPr="00C8760C">
              <w:rPr>
                <w:rFonts w:ascii="Calibri" w:hAnsi="Calibri" w:cs="Calibri"/>
                <w:color w:val="000000"/>
                <w:sz w:val="22"/>
              </w:rPr>
              <w:t>Neutral</w:t>
            </w:r>
          </w:p>
        </w:tc>
      </w:tr>
      <w:tr w:rsidR="00906F41" w:rsidRPr="00C8760C" w14:paraId="63BC86CD" w14:textId="77777777" w:rsidTr="00561961">
        <w:tc>
          <w:tcPr>
            <w:tcW w:w="661" w:type="dxa"/>
          </w:tcPr>
          <w:p w14:paraId="2FCCAFD3" w14:textId="77777777" w:rsidR="00906F41" w:rsidRPr="00C8760C" w:rsidRDefault="00E833C8" w:rsidP="00BD5C09">
            <w:pPr>
              <w:rPr>
                <w:rFonts w:cs="Arial"/>
                <w:b/>
                <w:bCs/>
                <w:color w:val="000000"/>
                <w:szCs w:val="20"/>
              </w:rPr>
            </w:pPr>
            <w:r w:rsidRPr="00C8760C">
              <w:rPr>
                <w:rFonts w:cs="Arial"/>
                <w:b/>
                <w:bCs/>
                <w:color w:val="000000"/>
                <w:szCs w:val="20"/>
              </w:rPr>
              <w:t>2.1</w:t>
            </w:r>
          </w:p>
          <w:p w14:paraId="5A81FE27" w14:textId="77777777" w:rsidR="00E833C8" w:rsidRPr="00C8760C" w:rsidRDefault="00E833C8" w:rsidP="00BD5C09">
            <w:pPr>
              <w:rPr>
                <w:rFonts w:cs="Arial"/>
                <w:b/>
                <w:bCs/>
                <w:color w:val="000000"/>
                <w:szCs w:val="20"/>
              </w:rPr>
            </w:pPr>
          </w:p>
        </w:tc>
        <w:tc>
          <w:tcPr>
            <w:tcW w:w="3592" w:type="dxa"/>
          </w:tcPr>
          <w:p w14:paraId="48000977" w14:textId="77777777" w:rsidR="00906F41" w:rsidRPr="00C8760C" w:rsidRDefault="00E833C8" w:rsidP="00BD5C09">
            <w:pPr>
              <w:rPr>
                <w:rFonts w:cs="Arial"/>
                <w:color w:val="000000"/>
                <w:szCs w:val="20"/>
              </w:rPr>
            </w:pPr>
            <w:r w:rsidRPr="00C8760C">
              <w:rPr>
                <w:rFonts w:cs="Arial"/>
                <w:color w:val="000000"/>
                <w:szCs w:val="20"/>
              </w:rPr>
              <w:t>Have you come across any impediments to securitise SME loans or to invest in SME loan securitisations?</w:t>
            </w:r>
          </w:p>
        </w:tc>
        <w:tc>
          <w:tcPr>
            <w:tcW w:w="6095" w:type="dxa"/>
          </w:tcPr>
          <w:p w14:paraId="4477F844" w14:textId="77777777" w:rsidR="00E833C8" w:rsidRPr="00C8760C" w:rsidRDefault="00E833C8" w:rsidP="00E833C8">
            <w:pPr>
              <w:rPr>
                <w:rFonts w:cs="Arial"/>
                <w:color w:val="000000"/>
                <w:szCs w:val="20"/>
              </w:rPr>
            </w:pPr>
            <w:r w:rsidRPr="00C8760C">
              <w:rPr>
                <w:rFonts w:cs="Arial"/>
                <w:color w:val="000000"/>
                <w:szCs w:val="20"/>
              </w:rPr>
              <w:t xml:space="preserve">Yes, securitising SME loans or investing in SME loan securitisations face several impediments. </w:t>
            </w:r>
          </w:p>
          <w:p w14:paraId="497C20F8" w14:textId="77777777" w:rsidR="00E833C8" w:rsidRPr="00C8760C" w:rsidRDefault="00E833C8" w:rsidP="00E833C8">
            <w:pPr>
              <w:rPr>
                <w:rFonts w:cs="Arial"/>
                <w:color w:val="000000"/>
                <w:szCs w:val="20"/>
              </w:rPr>
            </w:pPr>
            <w:r w:rsidRPr="00C8760C">
              <w:rPr>
                <w:rFonts w:cs="Arial"/>
                <w:color w:val="000000"/>
                <w:szCs w:val="20"/>
              </w:rPr>
              <w:t xml:space="preserve">SME securitisations often attract higher capital charges under Basel III / CRD IV rules, which make them less attractive for institutional investors such as banks and insurance companies. </w:t>
            </w:r>
          </w:p>
          <w:p w14:paraId="3A09A2E2" w14:textId="77777777" w:rsidR="00E833C8" w:rsidRPr="00C8760C" w:rsidRDefault="00E833C8" w:rsidP="00E833C8">
            <w:pPr>
              <w:rPr>
                <w:rFonts w:cs="Arial"/>
                <w:color w:val="000000"/>
                <w:szCs w:val="20"/>
              </w:rPr>
            </w:pPr>
            <w:r w:rsidRPr="00C8760C">
              <w:rPr>
                <w:rFonts w:cs="Arial"/>
                <w:color w:val="000000"/>
                <w:szCs w:val="20"/>
              </w:rPr>
              <w:t xml:space="preserve">More importantly, the compliance with the </w:t>
            </w:r>
            <w:r w:rsidR="0021357C" w:rsidRPr="00C8760C">
              <w:rPr>
                <w:rFonts w:ascii="Segoe UI" w:hAnsi="Segoe UI" w:cs="Segoe UI"/>
                <w:color w:val="171717"/>
              </w:rPr>
              <w:t>SECR</w:t>
            </w:r>
            <w:r w:rsidRPr="00C8760C">
              <w:rPr>
                <w:rFonts w:cs="Arial"/>
                <w:color w:val="000000"/>
                <w:szCs w:val="20"/>
              </w:rPr>
              <w:t xml:space="preserve"> is complex and costly. As has been outlined in the various reports that were published on the functions on the EU Securitisation framework and more recently by recommendations in the Letta and </w:t>
            </w:r>
            <w:proofErr w:type="spellStart"/>
            <w:r w:rsidRPr="00C8760C">
              <w:rPr>
                <w:rFonts w:cs="Arial"/>
                <w:color w:val="000000"/>
                <w:szCs w:val="20"/>
              </w:rPr>
              <w:t>Noyer</w:t>
            </w:r>
            <w:proofErr w:type="spellEnd"/>
            <w:r w:rsidRPr="00C8760C">
              <w:rPr>
                <w:rFonts w:cs="Arial"/>
                <w:color w:val="000000"/>
                <w:szCs w:val="20"/>
              </w:rPr>
              <w:t xml:space="preserve"> reports. </w:t>
            </w:r>
          </w:p>
          <w:p w14:paraId="1EBA9B4F" w14:textId="77777777" w:rsidR="00E833C8" w:rsidRPr="00C8760C" w:rsidRDefault="00E833C8" w:rsidP="00E833C8">
            <w:pPr>
              <w:rPr>
                <w:rFonts w:cs="Arial"/>
                <w:color w:val="000000"/>
                <w:szCs w:val="20"/>
              </w:rPr>
            </w:pPr>
            <w:r w:rsidRPr="00C8760C">
              <w:rPr>
                <w:rFonts w:cs="Arial"/>
                <w:color w:val="000000"/>
                <w:szCs w:val="20"/>
              </w:rPr>
              <w:t xml:space="preserve">Pain points for investors and issuers of securitisations are the extensive reporting requirements triggered by the Regulation as well as the excessive due diligence and more precisely transparency requirements laid out in the European framework. </w:t>
            </w:r>
            <w:r w:rsidRPr="00C8760C">
              <w:rPr>
                <w:rFonts w:cs="Arial"/>
                <w:color w:val="000000"/>
                <w:szCs w:val="20"/>
              </w:rPr>
              <w:lastRenderedPageBreak/>
              <w:t>Risk retention requirements (typically 5% of the transaction value) add to the issuer burden.</w:t>
            </w:r>
          </w:p>
          <w:p w14:paraId="77E4EC0E" w14:textId="77777777" w:rsidR="00E833C8" w:rsidRPr="00C8760C" w:rsidRDefault="00E833C8" w:rsidP="00E833C8">
            <w:pPr>
              <w:rPr>
                <w:rFonts w:cs="Arial"/>
                <w:color w:val="000000"/>
                <w:szCs w:val="20"/>
              </w:rPr>
            </w:pPr>
            <w:r w:rsidRPr="00C8760C">
              <w:rPr>
                <w:rFonts w:cs="Arial"/>
                <w:color w:val="000000"/>
                <w:szCs w:val="20"/>
              </w:rPr>
              <w:t xml:space="preserve">Our members have stressed in particular that "loan by loan" reporting is extremely cumbersome. The arranger of such securitisations that needs to report to national competent authorities and investors. The fact that Investors do not require the level of granularity that is required under the </w:t>
            </w:r>
            <w:r w:rsidR="0021357C" w:rsidRPr="00C8760C">
              <w:rPr>
                <w:rFonts w:cs="Arial"/>
                <w:color w:val="000000"/>
                <w:szCs w:val="20"/>
              </w:rPr>
              <w:t>SECR</w:t>
            </w:r>
            <w:r w:rsidRPr="00C8760C">
              <w:rPr>
                <w:rFonts w:cs="Arial"/>
                <w:color w:val="000000"/>
                <w:szCs w:val="20"/>
              </w:rPr>
              <w:t xml:space="preserve"> etc. are all matter that do not lead to a larger uptake of the framework.</w:t>
            </w:r>
          </w:p>
          <w:p w14:paraId="2440C46E" w14:textId="77777777" w:rsidR="00906F41" w:rsidRPr="00C8760C" w:rsidRDefault="00E833C8" w:rsidP="00E833C8">
            <w:pPr>
              <w:rPr>
                <w:rFonts w:cs="Arial"/>
                <w:color w:val="000000"/>
                <w:szCs w:val="20"/>
              </w:rPr>
            </w:pPr>
            <w:r w:rsidRPr="00C8760C">
              <w:rPr>
                <w:rFonts w:cs="Arial"/>
                <w:color w:val="000000"/>
                <w:szCs w:val="20"/>
              </w:rPr>
              <w:t>Solution: There is a need for more pragmatic reporting requirements and ultimately a risk-based approach, not just in relation to SME loans.</w:t>
            </w:r>
          </w:p>
        </w:tc>
      </w:tr>
      <w:tr w:rsidR="00906F41" w:rsidRPr="00C8760C" w14:paraId="51760716" w14:textId="77777777" w:rsidTr="00561961">
        <w:tc>
          <w:tcPr>
            <w:tcW w:w="661" w:type="dxa"/>
          </w:tcPr>
          <w:p w14:paraId="528C5451" w14:textId="77777777" w:rsidR="00906F41" w:rsidRPr="00C8760C" w:rsidRDefault="00E833C8" w:rsidP="00BD5C09">
            <w:pPr>
              <w:rPr>
                <w:rFonts w:cs="Arial"/>
                <w:b/>
                <w:bCs/>
                <w:color w:val="000000"/>
                <w:szCs w:val="20"/>
              </w:rPr>
            </w:pPr>
            <w:r w:rsidRPr="00C8760C">
              <w:rPr>
                <w:rFonts w:cs="Arial"/>
                <w:b/>
                <w:bCs/>
                <w:color w:val="000000"/>
                <w:szCs w:val="20"/>
              </w:rPr>
              <w:lastRenderedPageBreak/>
              <w:t>2.2</w:t>
            </w:r>
          </w:p>
        </w:tc>
        <w:tc>
          <w:tcPr>
            <w:tcW w:w="3592" w:type="dxa"/>
          </w:tcPr>
          <w:p w14:paraId="6C8B8C34" w14:textId="77777777" w:rsidR="00906F41" w:rsidRPr="00C8760C" w:rsidRDefault="00E833C8" w:rsidP="00BD5C09">
            <w:pPr>
              <w:rPr>
                <w:rFonts w:cs="Arial"/>
                <w:color w:val="000000"/>
                <w:szCs w:val="20"/>
              </w:rPr>
            </w:pPr>
            <w:r w:rsidRPr="00C8760C">
              <w:rPr>
                <w:rFonts w:cs="Arial"/>
                <w:color w:val="000000"/>
                <w:szCs w:val="20"/>
              </w:rPr>
              <w:t>How can securitisation support access to finance for SMEs?</w:t>
            </w:r>
          </w:p>
        </w:tc>
        <w:tc>
          <w:tcPr>
            <w:tcW w:w="6095" w:type="dxa"/>
          </w:tcPr>
          <w:p w14:paraId="408E8C7E" w14:textId="307DB657" w:rsidR="0021357C" w:rsidRPr="00C8760C" w:rsidRDefault="00E833C8" w:rsidP="00E833C8">
            <w:pPr>
              <w:tabs>
                <w:tab w:val="left" w:pos="900"/>
              </w:tabs>
              <w:rPr>
                <w:rFonts w:cs="Arial"/>
                <w:color w:val="000000"/>
                <w:szCs w:val="20"/>
              </w:rPr>
            </w:pPr>
            <w:r w:rsidRPr="00C8760C">
              <w:rPr>
                <w:rFonts w:cs="Arial"/>
                <w:color w:val="000000"/>
                <w:szCs w:val="20"/>
              </w:rPr>
              <w:t>The Ecosystems needs to be incentivised, whilst banks traditionally grant loans there need to be buyers for such</w:t>
            </w:r>
            <w:r w:rsidR="008B61E8" w:rsidRPr="00C8760C">
              <w:rPr>
                <w:rFonts w:cs="Arial"/>
                <w:color w:val="000000"/>
                <w:szCs w:val="20"/>
              </w:rPr>
              <w:t xml:space="preserve"> bank</w:t>
            </w:r>
            <w:r w:rsidRPr="00C8760C">
              <w:rPr>
                <w:rFonts w:cs="Arial"/>
                <w:color w:val="000000"/>
                <w:szCs w:val="20"/>
              </w:rPr>
              <w:t xml:space="preserve"> loan portfolios. </w:t>
            </w:r>
          </w:p>
          <w:p w14:paraId="37B0A34D" w14:textId="77777777" w:rsidR="00E833C8" w:rsidRPr="00C8760C" w:rsidRDefault="00E833C8" w:rsidP="00E833C8">
            <w:pPr>
              <w:tabs>
                <w:tab w:val="left" w:pos="900"/>
              </w:tabs>
              <w:rPr>
                <w:rFonts w:cs="Arial"/>
                <w:color w:val="000000"/>
                <w:szCs w:val="20"/>
              </w:rPr>
            </w:pPr>
            <w:r w:rsidRPr="00C8760C">
              <w:rPr>
                <w:rFonts w:cs="Arial"/>
                <w:color w:val="000000"/>
                <w:szCs w:val="20"/>
              </w:rPr>
              <w:t xml:space="preserve">Reporting and transparency requirements set out </w:t>
            </w:r>
            <w:r w:rsidR="0021357C" w:rsidRPr="00C8760C">
              <w:rPr>
                <w:rFonts w:cs="Arial"/>
                <w:color w:val="000000"/>
                <w:szCs w:val="20"/>
              </w:rPr>
              <w:t>i</w:t>
            </w:r>
            <w:r w:rsidRPr="00C8760C">
              <w:rPr>
                <w:rFonts w:cs="Arial"/>
                <w:color w:val="000000"/>
                <w:szCs w:val="20"/>
              </w:rPr>
              <w:t xml:space="preserve">n the </w:t>
            </w:r>
            <w:r w:rsidR="0021357C" w:rsidRPr="00C8760C">
              <w:rPr>
                <w:rFonts w:ascii="Segoe UI" w:hAnsi="Segoe UI" w:cs="Segoe UI"/>
                <w:color w:val="171717"/>
              </w:rPr>
              <w:t>SECR</w:t>
            </w:r>
            <w:r w:rsidR="0021357C" w:rsidRPr="00C8760C">
              <w:rPr>
                <w:rFonts w:cs="Arial"/>
                <w:color w:val="000000"/>
                <w:szCs w:val="20"/>
              </w:rPr>
              <w:t xml:space="preserve"> </w:t>
            </w:r>
            <w:r w:rsidRPr="00C8760C">
              <w:rPr>
                <w:rFonts w:cs="Arial"/>
                <w:color w:val="000000"/>
                <w:szCs w:val="20"/>
              </w:rPr>
              <w:t>need to be revisited, as either the data required to be reported is not available or too complicated to be obtained.</w:t>
            </w:r>
          </w:p>
          <w:p w14:paraId="0E759F89" w14:textId="1329B021" w:rsidR="00906F41" w:rsidRPr="00C8760C" w:rsidRDefault="00E833C8" w:rsidP="00E833C8">
            <w:pPr>
              <w:tabs>
                <w:tab w:val="left" w:pos="900"/>
              </w:tabs>
              <w:rPr>
                <w:rFonts w:cs="Arial"/>
                <w:color w:val="000000"/>
                <w:szCs w:val="20"/>
              </w:rPr>
            </w:pPr>
            <w:r w:rsidRPr="00C8760C">
              <w:rPr>
                <w:rFonts w:cs="Arial"/>
                <w:color w:val="000000"/>
                <w:szCs w:val="20"/>
              </w:rPr>
              <w:t>In Luxembourg we understand from members that there is an increasing demand from funds to step into this space</w:t>
            </w:r>
            <w:r w:rsidR="008B61E8" w:rsidRPr="00C8760C">
              <w:rPr>
                <w:rFonts w:cs="Arial"/>
                <w:color w:val="000000"/>
                <w:szCs w:val="20"/>
              </w:rPr>
              <w:t xml:space="preserve"> (i.e. to invest in</w:t>
            </w:r>
            <w:r w:rsidR="005F6E8F" w:rsidRPr="00C8760C">
              <w:rPr>
                <w:rFonts w:cs="Arial"/>
                <w:color w:val="000000"/>
                <w:szCs w:val="20"/>
              </w:rPr>
              <w:t xml:space="preserve"> financial instruments issued by securitisation vehicles</w:t>
            </w:r>
            <w:r w:rsidR="008B61E8" w:rsidRPr="00C8760C">
              <w:rPr>
                <w:rFonts w:cs="Arial"/>
                <w:color w:val="000000"/>
                <w:szCs w:val="20"/>
              </w:rPr>
              <w:t>?)</w:t>
            </w:r>
            <w:r w:rsidRPr="00C8760C">
              <w:rPr>
                <w:rFonts w:cs="Arial"/>
                <w:color w:val="000000"/>
                <w:szCs w:val="20"/>
              </w:rPr>
              <w:t xml:space="preserve">, however the pressure on costs / margins means that managers need to decide which securitisations they are ultimately prioritising to invest into as a possible eligible investment. If therefor SMEs cannot provide certain information, which are required by EU Regulation, investment fund managers will not want to </w:t>
            </w:r>
            <w:r w:rsidR="005F6E8F" w:rsidRPr="00C8760C">
              <w:rPr>
                <w:rFonts w:cs="Arial"/>
                <w:color w:val="000000"/>
                <w:szCs w:val="20"/>
              </w:rPr>
              <w:t>consider</w:t>
            </w:r>
            <w:r w:rsidRPr="00C8760C">
              <w:rPr>
                <w:rFonts w:cs="Arial"/>
                <w:color w:val="000000"/>
                <w:szCs w:val="20"/>
              </w:rPr>
              <w:t xml:space="preserve"> such transactions that automatically disqualify the underlying securitisation due to lack of information.</w:t>
            </w:r>
            <w:r w:rsidRPr="00C8760C">
              <w:rPr>
                <w:rFonts w:cs="Arial"/>
                <w:color w:val="000000"/>
                <w:szCs w:val="20"/>
              </w:rPr>
              <w:tab/>
            </w:r>
          </w:p>
        </w:tc>
      </w:tr>
      <w:tr w:rsidR="00906F41" w:rsidRPr="00C8760C" w14:paraId="41CD2E80" w14:textId="77777777" w:rsidTr="00561961">
        <w:tc>
          <w:tcPr>
            <w:tcW w:w="661" w:type="dxa"/>
          </w:tcPr>
          <w:p w14:paraId="37FAB94D" w14:textId="77777777" w:rsidR="00906F41" w:rsidRPr="00C8760C" w:rsidRDefault="00E833C8" w:rsidP="00BD5C09">
            <w:pPr>
              <w:rPr>
                <w:rFonts w:cs="Arial"/>
                <w:b/>
                <w:bCs/>
                <w:color w:val="000000"/>
                <w:szCs w:val="20"/>
              </w:rPr>
            </w:pPr>
            <w:r w:rsidRPr="00C8760C">
              <w:rPr>
                <w:rFonts w:cs="Arial"/>
                <w:b/>
                <w:bCs/>
                <w:color w:val="000000"/>
                <w:szCs w:val="20"/>
              </w:rPr>
              <w:t>3.2</w:t>
            </w:r>
          </w:p>
          <w:p w14:paraId="28A37E70" w14:textId="77777777" w:rsidR="00E833C8" w:rsidRPr="00C8760C" w:rsidRDefault="00E833C8" w:rsidP="00BD5C09">
            <w:pPr>
              <w:rPr>
                <w:rFonts w:cs="Arial"/>
                <w:b/>
                <w:bCs/>
                <w:color w:val="000000"/>
                <w:szCs w:val="20"/>
              </w:rPr>
            </w:pPr>
          </w:p>
        </w:tc>
        <w:tc>
          <w:tcPr>
            <w:tcW w:w="3592" w:type="dxa"/>
          </w:tcPr>
          <w:p w14:paraId="233662C2" w14:textId="77777777" w:rsidR="00906F41" w:rsidRPr="00C8760C" w:rsidRDefault="00E833C8" w:rsidP="00BD5C09">
            <w:pPr>
              <w:rPr>
                <w:rFonts w:cs="Arial"/>
                <w:color w:val="000000"/>
                <w:szCs w:val="20"/>
              </w:rPr>
            </w:pPr>
            <w:r w:rsidRPr="00C8760C">
              <w:rPr>
                <w:rFonts w:cs="Arial"/>
                <w:color w:val="000000"/>
                <w:szCs w:val="20"/>
              </w:rPr>
              <w:t>Do you think it would be useful to include a specific article that states that SECR applies to any securitisation where at least one party (sell-side or buy-side) is based or authorised in the EU, and to clarify that the EU-based or EU-authorised entity(</w:t>
            </w:r>
            <w:proofErr w:type="spellStart"/>
            <w:r w:rsidRPr="00C8760C">
              <w:rPr>
                <w:rFonts w:cs="Arial"/>
                <w:color w:val="000000"/>
                <w:szCs w:val="20"/>
              </w:rPr>
              <w:t>ies</w:t>
            </w:r>
            <w:proofErr w:type="spellEnd"/>
            <w:r w:rsidRPr="00C8760C">
              <w:rPr>
                <w:rFonts w:cs="Arial"/>
                <w:color w:val="000000"/>
                <w:szCs w:val="20"/>
              </w:rPr>
              <w:t>) shall be in charge of fulfilling the relevant provisions in the SECR?</w:t>
            </w:r>
          </w:p>
        </w:tc>
        <w:tc>
          <w:tcPr>
            <w:tcW w:w="6095" w:type="dxa"/>
          </w:tcPr>
          <w:p w14:paraId="78777EAB" w14:textId="77777777" w:rsidR="00E833C8" w:rsidRPr="00C8760C" w:rsidRDefault="00E833C8" w:rsidP="00E833C8">
            <w:pPr>
              <w:rPr>
                <w:rFonts w:cs="Arial"/>
                <w:color w:val="000000"/>
                <w:szCs w:val="20"/>
              </w:rPr>
            </w:pPr>
            <w:r w:rsidRPr="00C8760C">
              <w:rPr>
                <w:rFonts w:cs="Arial"/>
                <w:color w:val="000000"/>
                <w:szCs w:val="20"/>
              </w:rPr>
              <w:t xml:space="preserve">The EU Securitisation </w:t>
            </w:r>
            <w:r w:rsidR="0021357C" w:rsidRPr="00C8760C">
              <w:rPr>
                <w:rFonts w:cs="Arial"/>
                <w:color w:val="000000"/>
                <w:szCs w:val="20"/>
              </w:rPr>
              <w:t>R</w:t>
            </w:r>
            <w:r w:rsidRPr="00C8760C">
              <w:rPr>
                <w:rFonts w:cs="Arial"/>
                <w:color w:val="000000"/>
                <w:szCs w:val="20"/>
              </w:rPr>
              <w:t xml:space="preserve">egulation has generated adverse effects, such as disadvantaging EU institutional investors in certain segments of the market. We refer in particular to the accessibility of EU institutional investors to the US (or other third country) securitisation market. Indeed, although this market is very attractive and the demand is high (particularly US CMBS), our members have not invested, or with significant constraints, in US securitisation positions. </w:t>
            </w:r>
          </w:p>
          <w:p w14:paraId="1B43704B" w14:textId="77777777" w:rsidR="00E833C8" w:rsidRPr="00C8760C" w:rsidRDefault="00E833C8" w:rsidP="00E833C8">
            <w:pPr>
              <w:rPr>
                <w:rFonts w:cs="Arial"/>
                <w:color w:val="000000"/>
                <w:szCs w:val="20"/>
              </w:rPr>
            </w:pPr>
            <w:r w:rsidRPr="00C8760C">
              <w:rPr>
                <w:rFonts w:cs="Arial"/>
                <w:color w:val="000000"/>
                <w:szCs w:val="20"/>
              </w:rPr>
              <w:t xml:space="preserve">One of the main reasons, which we have previously mentioned, is the reluctance of US issuers to commit to comply with the transparency requirements contemplated by Article 7 of SECR and the corresponding disclosure in their offering documents (i.e. disclosure stating no intention or covenant to comply with Article 7 SECR). As a consequence, our members were prevented from purchasing such securitisation positions or altogether decided to remove securitisations from the list of eligible assets from their funds. The removal of securitisations from the eligible investments would hence also impact EU securitisations. </w:t>
            </w:r>
          </w:p>
          <w:p w14:paraId="05379EA1" w14:textId="77777777" w:rsidR="00906F41" w:rsidRPr="00C8760C" w:rsidRDefault="00E833C8" w:rsidP="00E833C8">
            <w:pPr>
              <w:rPr>
                <w:rFonts w:cs="Arial"/>
                <w:color w:val="000000"/>
                <w:szCs w:val="20"/>
              </w:rPr>
            </w:pPr>
            <w:r w:rsidRPr="00C8760C">
              <w:rPr>
                <w:rFonts w:cs="Arial"/>
                <w:color w:val="000000"/>
                <w:szCs w:val="20"/>
              </w:rPr>
              <w:t>ALFI would hence welcome ensuring that the objective of improving the competitiveness of the European financial industry be part of the review of the securitisation framework.</w:t>
            </w:r>
          </w:p>
        </w:tc>
      </w:tr>
      <w:tr w:rsidR="00906F41" w:rsidRPr="00C8760C" w14:paraId="42CACE6F" w14:textId="77777777" w:rsidTr="00561961">
        <w:tc>
          <w:tcPr>
            <w:tcW w:w="661" w:type="dxa"/>
          </w:tcPr>
          <w:p w14:paraId="777DBE30" w14:textId="77777777" w:rsidR="00906F41" w:rsidRPr="00C8760C" w:rsidRDefault="00E833C8" w:rsidP="00BD5C09">
            <w:pPr>
              <w:rPr>
                <w:rFonts w:cs="Arial"/>
                <w:b/>
                <w:bCs/>
                <w:color w:val="000000"/>
                <w:szCs w:val="20"/>
              </w:rPr>
            </w:pPr>
            <w:r w:rsidRPr="00C8760C">
              <w:rPr>
                <w:rFonts w:cs="Arial"/>
                <w:b/>
                <w:bCs/>
                <w:color w:val="000000"/>
                <w:szCs w:val="20"/>
              </w:rPr>
              <w:t>3.3</w:t>
            </w:r>
          </w:p>
          <w:p w14:paraId="2DF6218A" w14:textId="77777777" w:rsidR="00E833C8" w:rsidRPr="00C8760C" w:rsidRDefault="00E833C8" w:rsidP="00BD5C09">
            <w:pPr>
              <w:rPr>
                <w:rFonts w:cs="Arial"/>
                <w:b/>
                <w:bCs/>
                <w:color w:val="000000"/>
                <w:szCs w:val="20"/>
              </w:rPr>
            </w:pPr>
          </w:p>
        </w:tc>
        <w:tc>
          <w:tcPr>
            <w:tcW w:w="3592" w:type="dxa"/>
          </w:tcPr>
          <w:p w14:paraId="56716666" w14:textId="77777777" w:rsidR="00E833C8" w:rsidRPr="00C8760C" w:rsidRDefault="00E833C8" w:rsidP="00E833C8">
            <w:pPr>
              <w:rPr>
                <w:rFonts w:cs="Arial"/>
                <w:color w:val="000000"/>
                <w:szCs w:val="20"/>
              </w:rPr>
            </w:pPr>
            <w:r w:rsidRPr="00C8760C">
              <w:rPr>
                <w:rFonts w:cs="Arial"/>
                <w:b/>
                <w:color w:val="000000"/>
                <w:szCs w:val="20"/>
              </w:rPr>
              <w:t>Do you think the definition of a securitisation transaction in Article 2 of SECR should be changed? You may select more than one option.</w:t>
            </w:r>
            <w:r w:rsidRPr="00C8760C">
              <w:rPr>
                <w:rFonts w:cs="Arial"/>
                <w:color w:val="000000"/>
                <w:szCs w:val="20"/>
              </w:rPr>
              <w:br/>
              <w:t>• Yes, the definition should be expanded to include transactions or vehicles that could be considered securitisations from an economic perspective;</w:t>
            </w:r>
            <w:r w:rsidRPr="00C8760C">
              <w:rPr>
                <w:rFonts w:cs="Arial"/>
                <w:color w:val="000000"/>
                <w:szCs w:val="20"/>
              </w:rPr>
              <w:br/>
              <w:t xml:space="preserve">• Yes, the definition should be </w:t>
            </w:r>
            <w:r w:rsidRPr="00C8760C">
              <w:rPr>
                <w:rFonts w:cs="Arial"/>
                <w:color w:val="000000"/>
                <w:szCs w:val="20"/>
              </w:rPr>
              <w:lastRenderedPageBreak/>
              <w:t>narrowed to exclude certain transactions or introduce specific exceptions;</w:t>
            </w:r>
            <w:r w:rsidRPr="00C8760C">
              <w:rPr>
                <w:rFonts w:cs="Arial"/>
                <w:color w:val="000000"/>
                <w:szCs w:val="20"/>
              </w:rPr>
              <w:br/>
              <w:t>• No, it should not be changed;</w:t>
            </w:r>
            <w:r w:rsidRPr="00C8760C">
              <w:rPr>
                <w:rFonts w:cs="Arial"/>
                <w:color w:val="000000"/>
                <w:szCs w:val="20"/>
              </w:rPr>
              <w:br/>
              <w:t>• No opinion.</w:t>
            </w:r>
          </w:p>
          <w:p w14:paraId="57724AE5" w14:textId="77777777" w:rsidR="00906F41" w:rsidRPr="00C8760C" w:rsidRDefault="00906F41" w:rsidP="00BD5C09">
            <w:pPr>
              <w:rPr>
                <w:rFonts w:cs="Arial"/>
                <w:color w:val="000000"/>
                <w:szCs w:val="20"/>
              </w:rPr>
            </w:pPr>
          </w:p>
        </w:tc>
        <w:tc>
          <w:tcPr>
            <w:tcW w:w="6095" w:type="dxa"/>
          </w:tcPr>
          <w:p w14:paraId="56B005FC" w14:textId="77777777" w:rsidR="00E833C8" w:rsidRPr="00C8760C" w:rsidRDefault="00E833C8" w:rsidP="00E833C8">
            <w:pPr>
              <w:rPr>
                <w:rFonts w:cs="Arial"/>
                <w:color w:val="000000"/>
                <w:szCs w:val="20"/>
              </w:rPr>
            </w:pPr>
            <w:r w:rsidRPr="00C8760C">
              <w:rPr>
                <w:rFonts w:cs="Arial"/>
                <w:color w:val="000000"/>
                <w:szCs w:val="20"/>
              </w:rPr>
              <w:lastRenderedPageBreak/>
              <w:t xml:space="preserve">Yes, we believe that the definition should be narrowed to exclude certain transactions or introduce specific exception. </w:t>
            </w:r>
          </w:p>
          <w:p w14:paraId="39E289BC" w14:textId="6F3C3C3D" w:rsidR="00906F41" w:rsidRPr="00C8760C" w:rsidRDefault="00E833C8" w:rsidP="00E833C8">
            <w:pPr>
              <w:rPr>
                <w:rFonts w:cs="Arial"/>
                <w:color w:val="000000"/>
                <w:szCs w:val="20"/>
              </w:rPr>
            </w:pPr>
            <w:r w:rsidRPr="00C8760C">
              <w:rPr>
                <w:rFonts w:cs="Arial"/>
                <w:color w:val="000000"/>
                <w:szCs w:val="20"/>
              </w:rPr>
              <w:t xml:space="preserve">Transactions that should be excluded, should be those that do not represent any </w:t>
            </w:r>
            <w:r w:rsidR="005F6E8F" w:rsidRPr="00C8760C">
              <w:rPr>
                <w:rFonts w:cs="Arial"/>
                <w:color w:val="000000"/>
                <w:szCs w:val="20"/>
              </w:rPr>
              <w:t>additional risk</w:t>
            </w:r>
            <w:r w:rsidR="009F2B44" w:rsidRPr="00C8760C">
              <w:rPr>
                <w:rFonts w:cs="Arial"/>
                <w:color w:val="000000"/>
                <w:szCs w:val="20"/>
              </w:rPr>
              <w:t xml:space="preserve"> </w:t>
            </w:r>
            <w:r w:rsidRPr="00C8760C">
              <w:rPr>
                <w:rFonts w:cs="Arial"/>
                <w:color w:val="000000"/>
                <w:szCs w:val="20"/>
              </w:rPr>
              <w:t xml:space="preserve">to the financial markets that the Securitisation Regulation is seeking to address. Here we refer to deals where the creation or management of the pool is already subject to another regulatory </w:t>
            </w:r>
            <w:r w:rsidR="00127ADC" w:rsidRPr="00C8760C">
              <w:rPr>
                <w:rFonts w:cs="Arial"/>
                <w:color w:val="000000"/>
                <w:szCs w:val="20"/>
              </w:rPr>
              <w:t>framework</w:t>
            </w:r>
            <w:r w:rsidRPr="00C8760C">
              <w:rPr>
                <w:rFonts w:cs="Arial"/>
                <w:color w:val="000000"/>
                <w:szCs w:val="20"/>
              </w:rPr>
              <w:t xml:space="preserve"> (e.g. where the transaction is managed on a discretionary basis by an AIFM, a UCITS Management Company or an investment firm). Transactions with very few underlying disclosures (since this enables the full disclosure of information and meaningful due </w:t>
            </w:r>
            <w:r w:rsidRPr="00C8760C">
              <w:rPr>
                <w:rFonts w:cs="Arial"/>
                <w:color w:val="000000"/>
                <w:szCs w:val="20"/>
              </w:rPr>
              <w:lastRenderedPageBreak/>
              <w:t xml:space="preserve">diligence by investors on each underlying exposure and as such the risk stemming from </w:t>
            </w:r>
            <w:proofErr w:type="spellStart"/>
            <w:r w:rsidRPr="00C8760C">
              <w:rPr>
                <w:rFonts w:cs="Arial"/>
                <w:color w:val="000000"/>
                <w:szCs w:val="20"/>
              </w:rPr>
              <w:t>tranching</w:t>
            </w:r>
            <w:proofErr w:type="spellEnd"/>
            <w:r w:rsidRPr="00C8760C">
              <w:rPr>
                <w:rFonts w:cs="Arial"/>
                <w:color w:val="000000"/>
                <w:szCs w:val="20"/>
              </w:rPr>
              <w:t xml:space="preserve"> a number of different credit risks is remote).   </w:t>
            </w:r>
          </w:p>
        </w:tc>
      </w:tr>
      <w:tr w:rsidR="00906F41" w:rsidRPr="00C8760C" w14:paraId="21271F61" w14:textId="77777777" w:rsidTr="00561961">
        <w:tc>
          <w:tcPr>
            <w:tcW w:w="661" w:type="dxa"/>
          </w:tcPr>
          <w:p w14:paraId="795E49B1" w14:textId="77777777" w:rsidR="00906F41" w:rsidRPr="00C8760C" w:rsidRDefault="00E833C8" w:rsidP="00BD5C09">
            <w:pPr>
              <w:rPr>
                <w:rFonts w:cs="Arial"/>
                <w:b/>
                <w:bCs/>
                <w:color w:val="000000"/>
                <w:szCs w:val="20"/>
              </w:rPr>
            </w:pPr>
            <w:r w:rsidRPr="00C8760C">
              <w:rPr>
                <w:rFonts w:cs="Arial"/>
                <w:b/>
                <w:bCs/>
                <w:color w:val="000000"/>
                <w:szCs w:val="20"/>
              </w:rPr>
              <w:lastRenderedPageBreak/>
              <w:t>3.4</w:t>
            </w:r>
          </w:p>
        </w:tc>
        <w:tc>
          <w:tcPr>
            <w:tcW w:w="3592" w:type="dxa"/>
          </w:tcPr>
          <w:p w14:paraId="313E158B" w14:textId="77777777" w:rsidR="00906F41" w:rsidRPr="00C8760C" w:rsidRDefault="00E833C8" w:rsidP="00BD5C09">
            <w:pPr>
              <w:rPr>
                <w:rFonts w:cs="Arial"/>
                <w:color w:val="000000"/>
                <w:szCs w:val="20"/>
              </w:rPr>
            </w:pPr>
            <w:r w:rsidRPr="00C8760C">
              <w:rPr>
                <w:rFonts w:cs="Arial"/>
                <w:color w:val="000000"/>
                <w:szCs w:val="20"/>
              </w:rPr>
              <w:t xml:space="preserve">Should the definition of a securitisation exclude transactions or vehicles that are </w:t>
            </w:r>
            <w:proofErr w:type="spellStart"/>
            <w:r w:rsidRPr="00C8760C">
              <w:rPr>
                <w:rFonts w:cs="Arial"/>
                <w:color w:val="000000"/>
                <w:szCs w:val="20"/>
              </w:rPr>
              <w:t>derisked</w:t>
            </w:r>
            <w:proofErr w:type="spellEnd"/>
            <w:r w:rsidRPr="00C8760C">
              <w:rPr>
                <w:rFonts w:cs="Arial"/>
                <w:color w:val="000000"/>
                <w:szCs w:val="20"/>
              </w:rPr>
              <w:t xml:space="preserve"> (e.g. by providing junior equity tranche) by an EU-level or national institution (e.g. a promotional bank) with a view to crowding-in private investors towards public policy objectives?</w:t>
            </w:r>
          </w:p>
        </w:tc>
        <w:tc>
          <w:tcPr>
            <w:tcW w:w="6095" w:type="dxa"/>
          </w:tcPr>
          <w:p w14:paraId="35CD5448" w14:textId="77777777" w:rsidR="00906F41" w:rsidRPr="00C8760C" w:rsidRDefault="00E833C8" w:rsidP="00BD5C09">
            <w:pPr>
              <w:rPr>
                <w:rFonts w:cs="Arial"/>
                <w:color w:val="000000"/>
                <w:szCs w:val="20"/>
              </w:rPr>
            </w:pPr>
            <w:r w:rsidRPr="00C8760C">
              <w:rPr>
                <w:rFonts w:cs="Arial"/>
                <w:color w:val="000000"/>
                <w:szCs w:val="20"/>
              </w:rPr>
              <w:t>YES - whenever EU or national institutions co-invest / provide guarantees to funds for example.</w:t>
            </w:r>
          </w:p>
        </w:tc>
      </w:tr>
      <w:tr w:rsidR="00906F41" w:rsidRPr="00C8760C" w14:paraId="70E685CB" w14:textId="77777777" w:rsidTr="00561961">
        <w:tc>
          <w:tcPr>
            <w:tcW w:w="661" w:type="dxa"/>
          </w:tcPr>
          <w:p w14:paraId="74EBA22E" w14:textId="77777777" w:rsidR="00906F41" w:rsidRPr="00C8760C" w:rsidRDefault="00E833C8" w:rsidP="00BD5C09">
            <w:pPr>
              <w:rPr>
                <w:rFonts w:cs="Arial"/>
                <w:b/>
                <w:bCs/>
                <w:color w:val="000000"/>
                <w:szCs w:val="20"/>
              </w:rPr>
            </w:pPr>
            <w:bookmarkStart w:id="1" w:name="_Hlk183968709"/>
            <w:r w:rsidRPr="00C8760C">
              <w:rPr>
                <w:rFonts w:cs="Arial"/>
                <w:b/>
                <w:bCs/>
                <w:color w:val="000000"/>
                <w:szCs w:val="20"/>
              </w:rPr>
              <w:t>3.6</w:t>
            </w:r>
          </w:p>
          <w:p w14:paraId="0EB9A5AA" w14:textId="77777777" w:rsidR="00E833C8" w:rsidRPr="00C8760C" w:rsidRDefault="00E833C8" w:rsidP="00BD5C09">
            <w:pPr>
              <w:rPr>
                <w:rFonts w:cs="Arial"/>
                <w:b/>
                <w:bCs/>
                <w:color w:val="000000"/>
                <w:szCs w:val="20"/>
              </w:rPr>
            </w:pPr>
          </w:p>
        </w:tc>
        <w:tc>
          <w:tcPr>
            <w:tcW w:w="3592" w:type="dxa"/>
          </w:tcPr>
          <w:p w14:paraId="0315346B" w14:textId="77777777" w:rsidR="00906F41" w:rsidRPr="00C8760C" w:rsidRDefault="00E833C8" w:rsidP="00BD5C09">
            <w:pPr>
              <w:rPr>
                <w:rFonts w:cs="Arial"/>
                <w:b/>
                <w:color w:val="000000"/>
                <w:szCs w:val="20"/>
              </w:rPr>
            </w:pPr>
            <w:r w:rsidRPr="00C8760C">
              <w:rPr>
                <w:rFonts w:cs="Arial"/>
                <w:b/>
                <w:color w:val="000000"/>
                <w:szCs w:val="20"/>
              </w:rPr>
              <w:t>Should the definition of a sponsor be expanded to include alternative investment firm managers established in the EU?</w:t>
            </w:r>
          </w:p>
        </w:tc>
        <w:tc>
          <w:tcPr>
            <w:tcW w:w="6095" w:type="dxa"/>
          </w:tcPr>
          <w:p w14:paraId="5F888F30" w14:textId="77777777" w:rsidR="00E833C8" w:rsidRPr="00C8760C" w:rsidRDefault="00E833C8" w:rsidP="00E833C8">
            <w:pPr>
              <w:rPr>
                <w:rFonts w:cs="Arial"/>
                <w:color w:val="000000"/>
                <w:szCs w:val="20"/>
              </w:rPr>
            </w:pPr>
            <w:r w:rsidRPr="00C8760C">
              <w:rPr>
                <w:rFonts w:cs="Arial"/>
                <w:color w:val="000000"/>
                <w:szCs w:val="20"/>
              </w:rPr>
              <w:t>No</w:t>
            </w:r>
            <w:r w:rsidR="0021357C" w:rsidRPr="00C8760C">
              <w:rPr>
                <w:rFonts w:cs="Arial"/>
                <w:color w:val="000000"/>
                <w:szCs w:val="20"/>
              </w:rPr>
              <w:t xml:space="preserve">. </w:t>
            </w:r>
            <w:r w:rsidRPr="00C8760C">
              <w:rPr>
                <w:rFonts w:cs="Arial"/>
                <w:color w:val="000000"/>
                <w:szCs w:val="20"/>
              </w:rPr>
              <w:t xml:space="preserve">ALFI members do not believe that an AIFM should fall under the definition of a "sponsor" under the </w:t>
            </w:r>
            <w:r w:rsidR="0021357C" w:rsidRPr="00C8760C">
              <w:rPr>
                <w:rFonts w:cs="Arial"/>
                <w:color w:val="000000"/>
                <w:szCs w:val="20"/>
              </w:rPr>
              <w:t>SECR</w:t>
            </w:r>
            <w:r w:rsidRPr="00C8760C">
              <w:rPr>
                <w:rFonts w:cs="Arial"/>
                <w:color w:val="000000"/>
                <w:szCs w:val="20"/>
              </w:rPr>
              <w:t xml:space="preserve">. </w:t>
            </w:r>
          </w:p>
          <w:p w14:paraId="14EA05A0" w14:textId="77777777" w:rsidR="00906F41" w:rsidRPr="00C8760C" w:rsidRDefault="00E833C8" w:rsidP="00E833C8">
            <w:pPr>
              <w:rPr>
                <w:rFonts w:cs="Arial"/>
                <w:color w:val="000000"/>
                <w:szCs w:val="20"/>
              </w:rPr>
            </w:pPr>
            <w:r w:rsidRPr="00C8760C">
              <w:rPr>
                <w:rFonts w:cs="Arial"/>
                <w:color w:val="000000"/>
                <w:szCs w:val="20"/>
              </w:rPr>
              <w:t xml:space="preserve">Unlike credit institutions, an AIFM does not have any "balance sheet", hence the main scope of the activity of an AIFM is to manage and, as the case may be, market AIFs. Changing the definition would also imply additional requirements to be met by an AIFM, including the risk retention under Article 6 </w:t>
            </w:r>
            <w:r w:rsidR="0021357C" w:rsidRPr="00C8760C">
              <w:rPr>
                <w:rFonts w:cs="Arial"/>
                <w:color w:val="000000"/>
                <w:szCs w:val="20"/>
              </w:rPr>
              <w:t>SECR</w:t>
            </w:r>
            <w:r w:rsidRPr="00C8760C">
              <w:rPr>
                <w:rFonts w:cs="Arial"/>
                <w:color w:val="000000"/>
                <w:szCs w:val="20"/>
              </w:rPr>
              <w:t>.</w:t>
            </w:r>
          </w:p>
        </w:tc>
      </w:tr>
      <w:bookmarkEnd w:id="1"/>
      <w:tr w:rsidR="00906F41" w:rsidRPr="00C8760C" w14:paraId="63417CF9" w14:textId="77777777" w:rsidTr="00561961">
        <w:tc>
          <w:tcPr>
            <w:tcW w:w="661" w:type="dxa"/>
          </w:tcPr>
          <w:p w14:paraId="56A79F33" w14:textId="77777777" w:rsidR="00906F41" w:rsidRPr="00C8760C" w:rsidRDefault="00DA20AD" w:rsidP="00BD5C09">
            <w:pPr>
              <w:rPr>
                <w:rFonts w:cs="Arial"/>
                <w:b/>
                <w:bCs/>
                <w:color w:val="000000"/>
                <w:szCs w:val="20"/>
              </w:rPr>
            </w:pPr>
            <w:r w:rsidRPr="00C8760C">
              <w:rPr>
                <w:rFonts w:cs="Arial"/>
                <w:b/>
                <w:bCs/>
                <w:color w:val="000000"/>
                <w:szCs w:val="20"/>
              </w:rPr>
              <w:t>4.1</w:t>
            </w:r>
          </w:p>
          <w:p w14:paraId="77935B70" w14:textId="77777777" w:rsidR="00DA20AD" w:rsidRPr="00C8760C" w:rsidRDefault="00DA20AD" w:rsidP="00BD5C09">
            <w:pPr>
              <w:rPr>
                <w:rFonts w:cs="Arial"/>
                <w:b/>
                <w:bCs/>
                <w:color w:val="000000"/>
                <w:szCs w:val="20"/>
              </w:rPr>
            </w:pPr>
          </w:p>
        </w:tc>
        <w:tc>
          <w:tcPr>
            <w:tcW w:w="3592" w:type="dxa"/>
          </w:tcPr>
          <w:p w14:paraId="6B27D7D0" w14:textId="77777777" w:rsidR="00906F41" w:rsidRPr="00C8760C" w:rsidRDefault="00E833C8" w:rsidP="00BD5C09">
            <w:pPr>
              <w:rPr>
                <w:rFonts w:cs="Arial"/>
                <w:color w:val="000000"/>
                <w:szCs w:val="20"/>
              </w:rPr>
            </w:pPr>
            <w:r w:rsidRPr="00C8760C">
              <w:rPr>
                <w:rFonts w:cs="Arial"/>
                <w:color w:val="000000"/>
                <w:szCs w:val="20"/>
              </w:rPr>
              <w:t>Please provide an estimate of the total annual recurring costs and/or the average cost per transaction (in EUR) of complying with the due diligence requirements under Article 5. Please differentiate between costs that are only due to Article 5 and the costs that you would incur during your regular due diligence process regardless of Article 5. Please compare the total due diligence costs for securitisations with the total due diligence costs of other instruments with similar risk characteristics.</w:t>
            </w:r>
          </w:p>
        </w:tc>
        <w:tc>
          <w:tcPr>
            <w:tcW w:w="6095" w:type="dxa"/>
          </w:tcPr>
          <w:p w14:paraId="728F37C7" w14:textId="77777777" w:rsidR="00DA20AD" w:rsidRPr="00C8760C" w:rsidRDefault="00DA20AD" w:rsidP="00DA20AD">
            <w:pPr>
              <w:tabs>
                <w:tab w:val="left" w:pos="920"/>
              </w:tabs>
              <w:rPr>
                <w:rFonts w:cs="Arial"/>
                <w:szCs w:val="20"/>
              </w:rPr>
            </w:pPr>
            <w:r w:rsidRPr="00C8760C">
              <w:rPr>
                <w:rFonts w:cs="Arial"/>
                <w:szCs w:val="20"/>
              </w:rPr>
              <w:t xml:space="preserve">Whilst, no precise cost estimate has been received by members. </w:t>
            </w:r>
          </w:p>
          <w:p w14:paraId="7B5BB8D0" w14:textId="77777777" w:rsidR="00DA20AD" w:rsidRPr="00C8760C" w:rsidRDefault="00DA20AD" w:rsidP="00DA20AD">
            <w:pPr>
              <w:tabs>
                <w:tab w:val="left" w:pos="920"/>
              </w:tabs>
              <w:rPr>
                <w:rFonts w:cs="Arial"/>
                <w:szCs w:val="20"/>
              </w:rPr>
            </w:pPr>
            <w:r w:rsidRPr="00C8760C">
              <w:rPr>
                <w:rFonts w:cs="Arial"/>
                <w:szCs w:val="20"/>
              </w:rPr>
              <w:t xml:space="preserve">One manager outlined that over the period of three years, a dedicated securitisation team had assessed close to 90 eligible securitisations. 70 transactions were outright denied or withdrawn, because: </w:t>
            </w:r>
          </w:p>
          <w:p w14:paraId="08CDF695" w14:textId="77777777" w:rsidR="00DA20AD" w:rsidRPr="00C8760C" w:rsidRDefault="00DA20AD" w:rsidP="00DA20AD">
            <w:pPr>
              <w:tabs>
                <w:tab w:val="left" w:pos="920"/>
              </w:tabs>
              <w:rPr>
                <w:rFonts w:cs="Arial"/>
                <w:szCs w:val="20"/>
              </w:rPr>
            </w:pPr>
            <w:r w:rsidRPr="00C8760C">
              <w:rPr>
                <w:rFonts w:cs="Arial"/>
                <w:szCs w:val="20"/>
              </w:rPr>
              <w:t>-  the offering documents related to the applicable issuance stated no intention to comply with EU risk retention parameters (10%);</w:t>
            </w:r>
          </w:p>
          <w:p w14:paraId="60795EB6" w14:textId="77777777" w:rsidR="00DA20AD" w:rsidRPr="00C8760C" w:rsidRDefault="00DA20AD" w:rsidP="00DA20AD">
            <w:pPr>
              <w:tabs>
                <w:tab w:val="left" w:pos="920"/>
              </w:tabs>
              <w:rPr>
                <w:rFonts w:cs="Arial"/>
                <w:szCs w:val="20"/>
              </w:rPr>
            </w:pPr>
            <w:r w:rsidRPr="00C8760C">
              <w:rPr>
                <w:rFonts w:cs="Arial"/>
                <w:szCs w:val="20"/>
              </w:rPr>
              <w:t>-  the offering documents related to the applicable issuance stated an intention to comply with EU risk retention parameters, but also stated no intention or covenant to comply with Article 7 Transparency Requirements (54%)</w:t>
            </w:r>
            <w:r w:rsidR="0021357C" w:rsidRPr="00C8760C">
              <w:rPr>
                <w:rFonts w:cs="Arial"/>
                <w:szCs w:val="20"/>
              </w:rPr>
              <w:t xml:space="preserve"> of the </w:t>
            </w:r>
            <w:r w:rsidR="0021357C" w:rsidRPr="00C8760C">
              <w:rPr>
                <w:rFonts w:ascii="Segoe UI" w:hAnsi="Segoe UI" w:cs="Segoe UI"/>
                <w:color w:val="171717"/>
              </w:rPr>
              <w:t>SECR</w:t>
            </w:r>
            <w:r w:rsidRPr="00C8760C">
              <w:rPr>
                <w:rFonts w:cs="Arial"/>
                <w:szCs w:val="20"/>
              </w:rPr>
              <w:t>.</w:t>
            </w:r>
          </w:p>
          <w:p w14:paraId="2B3348E1" w14:textId="77777777" w:rsidR="00DA20AD" w:rsidRPr="00C8760C" w:rsidRDefault="00DA20AD" w:rsidP="00DA20AD">
            <w:pPr>
              <w:tabs>
                <w:tab w:val="left" w:pos="920"/>
              </w:tabs>
              <w:rPr>
                <w:rFonts w:cs="Arial"/>
                <w:szCs w:val="20"/>
              </w:rPr>
            </w:pPr>
            <w:r w:rsidRPr="00C8760C">
              <w:rPr>
                <w:rFonts w:cs="Arial"/>
                <w:szCs w:val="20"/>
              </w:rPr>
              <w:t xml:space="preserve">-  36% of the requests were withdrawn by the investment team when they determined that the related issuance would not comply with </w:t>
            </w:r>
            <w:r w:rsidR="0021357C" w:rsidRPr="00C8760C">
              <w:rPr>
                <w:rFonts w:cs="Arial"/>
                <w:szCs w:val="20"/>
              </w:rPr>
              <w:t xml:space="preserve">the </w:t>
            </w:r>
            <w:r w:rsidR="0021357C" w:rsidRPr="00C8760C">
              <w:rPr>
                <w:rFonts w:ascii="Segoe UI" w:hAnsi="Segoe UI" w:cs="Segoe UI"/>
                <w:color w:val="171717"/>
              </w:rPr>
              <w:t>SECR</w:t>
            </w:r>
            <w:r w:rsidRPr="00C8760C">
              <w:rPr>
                <w:rFonts w:cs="Arial"/>
                <w:szCs w:val="20"/>
              </w:rPr>
              <w:t>.</w:t>
            </w:r>
          </w:p>
          <w:p w14:paraId="697FB4A1" w14:textId="77777777" w:rsidR="00906F41" w:rsidRPr="00C8760C" w:rsidRDefault="00DA20AD" w:rsidP="00DA20AD">
            <w:pPr>
              <w:tabs>
                <w:tab w:val="left" w:pos="920"/>
              </w:tabs>
              <w:rPr>
                <w:rFonts w:cs="Arial"/>
                <w:szCs w:val="20"/>
              </w:rPr>
            </w:pPr>
            <w:r w:rsidRPr="00C8760C">
              <w:rPr>
                <w:rFonts w:cs="Arial"/>
                <w:szCs w:val="20"/>
              </w:rPr>
              <w:t xml:space="preserve">The remainder of transactions that were eligible (internally approved) were mostly based in the US (19) and 1 was based in the EU. It is our understanding that only 1 </w:t>
            </w:r>
            <w:r w:rsidR="0021357C" w:rsidRPr="00C8760C">
              <w:rPr>
                <w:rFonts w:cs="Arial"/>
                <w:szCs w:val="20"/>
              </w:rPr>
              <w:t>s</w:t>
            </w:r>
            <w:r w:rsidRPr="00C8760C">
              <w:rPr>
                <w:rFonts w:cs="Arial"/>
                <w:szCs w:val="20"/>
              </w:rPr>
              <w:t>ecuritisation was ultimately purchased. The costs for assessing compliance of securitisations with the complex EU regulatory framework are extensive.</w:t>
            </w:r>
          </w:p>
        </w:tc>
      </w:tr>
      <w:tr w:rsidR="00906F41" w:rsidRPr="00C8760C" w14:paraId="086D9C42" w14:textId="77777777" w:rsidTr="00561961">
        <w:tc>
          <w:tcPr>
            <w:tcW w:w="661" w:type="dxa"/>
          </w:tcPr>
          <w:p w14:paraId="6264394B" w14:textId="77777777" w:rsidR="00906F41" w:rsidRPr="00C8760C" w:rsidRDefault="00DA20AD" w:rsidP="00BD5C09">
            <w:pPr>
              <w:rPr>
                <w:rFonts w:cs="Arial"/>
                <w:b/>
                <w:bCs/>
                <w:color w:val="000000"/>
                <w:szCs w:val="20"/>
              </w:rPr>
            </w:pPr>
            <w:r w:rsidRPr="00C8760C">
              <w:rPr>
                <w:rFonts w:cs="Arial"/>
                <w:b/>
                <w:bCs/>
                <w:color w:val="000000"/>
                <w:szCs w:val="20"/>
              </w:rPr>
              <w:t>4.3</w:t>
            </w:r>
          </w:p>
          <w:p w14:paraId="39F6CE1C" w14:textId="77777777" w:rsidR="00DA20AD" w:rsidRPr="00C8760C" w:rsidRDefault="00DA20AD" w:rsidP="00BD5C09">
            <w:pPr>
              <w:rPr>
                <w:rFonts w:cs="Arial"/>
                <w:b/>
                <w:bCs/>
                <w:color w:val="000000"/>
                <w:szCs w:val="20"/>
              </w:rPr>
            </w:pPr>
          </w:p>
        </w:tc>
        <w:tc>
          <w:tcPr>
            <w:tcW w:w="3592" w:type="dxa"/>
          </w:tcPr>
          <w:p w14:paraId="4C4DD62C" w14:textId="77777777" w:rsidR="00DA20AD" w:rsidRPr="00C8760C" w:rsidRDefault="00DA20AD" w:rsidP="00DA20AD">
            <w:pPr>
              <w:rPr>
                <w:rFonts w:cs="Arial"/>
                <w:color w:val="000000"/>
                <w:szCs w:val="20"/>
              </w:rPr>
            </w:pPr>
            <w:r w:rsidRPr="00C8760C">
              <w:rPr>
                <w:rFonts w:cs="Arial"/>
                <w:color w:val="000000"/>
                <w:szCs w:val="20"/>
              </w:rPr>
              <w:t>Please select your preferred option to ensure that investors are aware of what they are buying and appropriately assess the risks of their investments.</w:t>
            </w:r>
          </w:p>
          <w:p w14:paraId="611E3332" w14:textId="77777777" w:rsidR="00DA20AD" w:rsidRPr="00C8760C" w:rsidRDefault="00DA20AD" w:rsidP="00DA20AD">
            <w:pPr>
              <w:rPr>
                <w:rFonts w:cs="Arial"/>
                <w:color w:val="000000"/>
                <w:szCs w:val="20"/>
              </w:rPr>
            </w:pPr>
            <w:r w:rsidRPr="00C8760C">
              <w:rPr>
                <w:rFonts w:cs="Arial"/>
                <w:color w:val="000000"/>
                <w:szCs w:val="20"/>
              </w:rPr>
              <w:t>• Option 1: The requirements should be made more principles-based, proportionate, and less complex;</w:t>
            </w:r>
          </w:p>
          <w:p w14:paraId="5E9EDD81" w14:textId="77777777" w:rsidR="00DA20AD" w:rsidRPr="00C8760C" w:rsidRDefault="00DA20AD" w:rsidP="00DA20AD">
            <w:pPr>
              <w:rPr>
                <w:rFonts w:cs="Arial"/>
                <w:color w:val="000000"/>
                <w:szCs w:val="20"/>
              </w:rPr>
            </w:pPr>
            <w:r w:rsidRPr="00C8760C">
              <w:rPr>
                <w:rFonts w:cs="Arial"/>
                <w:color w:val="000000"/>
                <w:szCs w:val="20"/>
              </w:rPr>
              <w:t>• Option 2: The requirements should be made more detailed and prescriptive for legal certainty;</w:t>
            </w:r>
          </w:p>
          <w:p w14:paraId="0FA47DA0" w14:textId="77777777" w:rsidR="00DA20AD" w:rsidRPr="00C8760C" w:rsidRDefault="00DA20AD" w:rsidP="00DA20AD">
            <w:pPr>
              <w:rPr>
                <w:rFonts w:cs="Arial"/>
                <w:color w:val="000000"/>
                <w:szCs w:val="20"/>
              </w:rPr>
            </w:pPr>
            <w:r w:rsidRPr="00C8760C">
              <w:rPr>
                <w:rFonts w:cs="Arial"/>
                <w:color w:val="000000"/>
                <w:szCs w:val="20"/>
              </w:rPr>
              <w:t>• Option 3: There is no need to change the text of the due diligence requirements;</w:t>
            </w:r>
          </w:p>
          <w:p w14:paraId="331AF036" w14:textId="77777777" w:rsidR="00906F41" w:rsidRPr="00C8760C" w:rsidRDefault="00DA20AD" w:rsidP="00DA20AD">
            <w:pPr>
              <w:rPr>
                <w:rFonts w:cs="Arial"/>
                <w:color w:val="000000"/>
                <w:szCs w:val="20"/>
              </w:rPr>
            </w:pPr>
            <w:r w:rsidRPr="00C8760C">
              <w:rPr>
                <w:rFonts w:cs="Arial"/>
                <w:color w:val="000000"/>
                <w:szCs w:val="20"/>
              </w:rPr>
              <w:t>• No opinion</w:t>
            </w:r>
          </w:p>
          <w:p w14:paraId="24B2F795" w14:textId="77777777" w:rsidR="00561961" w:rsidRPr="00C8760C" w:rsidRDefault="00561961" w:rsidP="00DA20AD">
            <w:pPr>
              <w:rPr>
                <w:rFonts w:cs="Arial"/>
                <w:color w:val="000000"/>
                <w:szCs w:val="20"/>
              </w:rPr>
            </w:pPr>
          </w:p>
          <w:p w14:paraId="66D462CD" w14:textId="77777777" w:rsidR="00561961" w:rsidRPr="00C8760C" w:rsidRDefault="00561961" w:rsidP="00DA20AD">
            <w:pPr>
              <w:rPr>
                <w:rFonts w:cs="Arial"/>
                <w:color w:val="000000"/>
                <w:szCs w:val="20"/>
              </w:rPr>
            </w:pPr>
          </w:p>
          <w:p w14:paraId="34741BD9" w14:textId="00D0D6FD" w:rsidR="00561961" w:rsidRPr="00C8760C" w:rsidRDefault="00561961" w:rsidP="00DA20AD">
            <w:pPr>
              <w:rPr>
                <w:rFonts w:cs="Arial"/>
                <w:color w:val="000000"/>
                <w:szCs w:val="20"/>
              </w:rPr>
            </w:pPr>
          </w:p>
        </w:tc>
        <w:tc>
          <w:tcPr>
            <w:tcW w:w="6095" w:type="dxa"/>
          </w:tcPr>
          <w:p w14:paraId="655D1A90" w14:textId="77777777" w:rsidR="00906F41" w:rsidRPr="00C8760C" w:rsidRDefault="00DA20AD" w:rsidP="00BD5C09">
            <w:pPr>
              <w:rPr>
                <w:rFonts w:cs="Arial"/>
                <w:color w:val="000000"/>
                <w:szCs w:val="20"/>
              </w:rPr>
            </w:pPr>
            <w:r w:rsidRPr="00C8760C">
              <w:rPr>
                <w:rFonts w:cs="Arial"/>
                <w:color w:val="000000"/>
                <w:szCs w:val="20"/>
              </w:rPr>
              <w:t>Option 1 - The requirements should be made more principles-based, proportionate, and less complex.</w:t>
            </w:r>
          </w:p>
          <w:p w14:paraId="3FD0F222" w14:textId="77777777" w:rsidR="00DA20AD" w:rsidRPr="00C8760C" w:rsidRDefault="00DA20AD" w:rsidP="00DA20AD"/>
          <w:p w14:paraId="4DE5EACD" w14:textId="77777777" w:rsidR="00DA20AD" w:rsidRPr="00C8760C" w:rsidRDefault="00DA20AD" w:rsidP="00EC3399">
            <w:pPr>
              <w:rPr>
                <w:rFonts w:cs="Arial"/>
                <w:color w:val="000000"/>
                <w:szCs w:val="20"/>
              </w:rPr>
            </w:pPr>
          </w:p>
        </w:tc>
      </w:tr>
      <w:tr w:rsidR="00906F41" w:rsidRPr="00C8760C" w14:paraId="01F2C4A8" w14:textId="77777777" w:rsidTr="00561961">
        <w:tc>
          <w:tcPr>
            <w:tcW w:w="661" w:type="dxa"/>
          </w:tcPr>
          <w:p w14:paraId="70104506" w14:textId="77777777" w:rsidR="00906F41" w:rsidRPr="00C8760C" w:rsidRDefault="00DA20AD" w:rsidP="00BD5C09">
            <w:pPr>
              <w:rPr>
                <w:rFonts w:cs="Arial"/>
                <w:b/>
                <w:bCs/>
                <w:color w:val="000000"/>
                <w:szCs w:val="20"/>
              </w:rPr>
            </w:pPr>
            <w:r w:rsidRPr="00C8760C">
              <w:rPr>
                <w:rFonts w:cs="Arial"/>
                <w:b/>
                <w:bCs/>
                <w:color w:val="000000"/>
                <w:szCs w:val="20"/>
              </w:rPr>
              <w:lastRenderedPageBreak/>
              <w:t>4.4</w:t>
            </w:r>
          </w:p>
          <w:p w14:paraId="3B34E819" w14:textId="77777777" w:rsidR="00DA20AD" w:rsidRPr="00C8760C" w:rsidRDefault="00DA20AD" w:rsidP="00BD5C09">
            <w:pPr>
              <w:rPr>
                <w:rFonts w:cs="Arial"/>
                <w:b/>
                <w:bCs/>
                <w:color w:val="000000"/>
                <w:szCs w:val="20"/>
              </w:rPr>
            </w:pPr>
          </w:p>
        </w:tc>
        <w:tc>
          <w:tcPr>
            <w:tcW w:w="3592" w:type="dxa"/>
          </w:tcPr>
          <w:p w14:paraId="77B8D6BA" w14:textId="77777777" w:rsidR="00906F41" w:rsidRPr="00C8760C" w:rsidRDefault="00DA20AD" w:rsidP="00BD5C09">
            <w:pPr>
              <w:rPr>
                <w:rFonts w:cs="Arial"/>
                <w:color w:val="000000"/>
                <w:szCs w:val="20"/>
              </w:rPr>
            </w:pPr>
            <w:r w:rsidRPr="00C8760C">
              <w:rPr>
                <w:rFonts w:cs="Arial"/>
                <w:color w:val="000000"/>
                <w:szCs w:val="20"/>
              </w:rPr>
              <w:t>Should the text of Article 5(3) be simplified to mandate investors to assess at minimum the risk characteristics and the structural features of the securitisation?</w:t>
            </w:r>
          </w:p>
        </w:tc>
        <w:tc>
          <w:tcPr>
            <w:tcW w:w="6095" w:type="dxa"/>
          </w:tcPr>
          <w:p w14:paraId="0912A100" w14:textId="77777777" w:rsidR="00EC3399" w:rsidRPr="00C8760C" w:rsidRDefault="00DA20AD" w:rsidP="00EC3399">
            <w:r w:rsidRPr="00C8760C">
              <w:rPr>
                <w:rFonts w:cs="Arial"/>
                <w:color w:val="000000"/>
                <w:szCs w:val="20"/>
              </w:rPr>
              <w:t>Yes</w:t>
            </w:r>
            <w:r w:rsidR="00EC3399" w:rsidRPr="00C8760C">
              <w:rPr>
                <w:rFonts w:cs="Arial"/>
                <w:color w:val="000000"/>
                <w:szCs w:val="20"/>
              </w:rPr>
              <w:t>, the</w:t>
            </w:r>
            <w:r w:rsidR="00EC3399" w:rsidRPr="00C8760C">
              <w:t xml:space="preserve"> emphasis must be on performing meaningful due diligence and ongoing monitoring. </w:t>
            </w:r>
          </w:p>
          <w:p w14:paraId="2AB72131" w14:textId="77777777" w:rsidR="00EC3399" w:rsidRPr="00C8760C" w:rsidRDefault="00EC3399" w:rsidP="00EC3399"/>
          <w:p w14:paraId="4E812460" w14:textId="77777777" w:rsidR="00EC3399" w:rsidRPr="00C8760C" w:rsidRDefault="00EC3399" w:rsidP="00EC3399">
            <w:pPr>
              <w:rPr>
                <w:rFonts w:ascii="Aptos" w:hAnsi="Aptos"/>
              </w:rPr>
            </w:pPr>
            <w:r w:rsidRPr="00C8760C">
              <w:t>Investor due diligence and risk assessment is incumbent on all professional investors and is a central component of their functions. This applies regardless of the SECR, however the SECR’s prescriptiveness adds excessive administrative burden.</w:t>
            </w:r>
          </w:p>
          <w:p w14:paraId="4B5D4CF8" w14:textId="77777777" w:rsidR="00EC3399" w:rsidRPr="00C8760C" w:rsidRDefault="00EC3399" w:rsidP="00EC3399"/>
          <w:p w14:paraId="24301176" w14:textId="4B904979" w:rsidR="00644AE1" w:rsidRPr="00C8760C" w:rsidRDefault="00EC3399" w:rsidP="00644AE1">
            <w:pPr>
              <w:rPr>
                <w:rFonts w:cs="Arial"/>
                <w:color w:val="000000"/>
                <w:szCs w:val="20"/>
              </w:rPr>
            </w:pPr>
            <w:r w:rsidRPr="00C8760C">
              <w:rPr>
                <w:rFonts w:cs="Arial"/>
                <w:color w:val="000000"/>
                <w:szCs w:val="20"/>
              </w:rPr>
              <w:t>A</w:t>
            </w:r>
            <w:r w:rsidR="00DA20AD" w:rsidRPr="00C8760C">
              <w:rPr>
                <w:rFonts w:cs="Arial"/>
                <w:color w:val="000000"/>
                <w:szCs w:val="20"/>
              </w:rPr>
              <w:t xml:space="preserve">sset managers will always incorporate the risk into their investment analysis. However, it is unnecessary to stipulate </w:t>
            </w:r>
            <w:r w:rsidRPr="00C8760C">
              <w:rPr>
                <w:rFonts w:cs="Arial"/>
                <w:color w:val="000000"/>
                <w:szCs w:val="20"/>
              </w:rPr>
              <w:t xml:space="preserve">excessive </w:t>
            </w:r>
            <w:r w:rsidR="00DA20AD" w:rsidRPr="00C8760C">
              <w:rPr>
                <w:rFonts w:cs="Arial"/>
                <w:color w:val="000000"/>
                <w:szCs w:val="20"/>
              </w:rPr>
              <w:t xml:space="preserve">steps </w:t>
            </w:r>
            <w:r w:rsidR="00644AE1" w:rsidRPr="00C8760C">
              <w:rPr>
                <w:rFonts w:cs="Arial"/>
                <w:color w:val="000000"/>
                <w:szCs w:val="20"/>
              </w:rPr>
              <w:t xml:space="preserve">and a pre-defined set of data points </w:t>
            </w:r>
            <w:r w:rsidR="00DA20AD" w:rsidRPr="00C8760C">
              <w:rPr>
                <w:rFonts w:cs="Arial"/>
                <w:color w:val="000000"/>
                <w:szCs w:val="20"/>
              </w:rPr>
              <w:t xml:space="preserve">that investors have to go through and analyse to determine investment suitability. </w:t>
            </w:r>
            <w:r w:rsidR="00644AE1" w:rsidRPr="00C8760C">
              <w:rPr>
                <w:rFonts w:cs="Arial"/>
                <w:color w:val="000000"/>
                <w:szCs w:val="20"/>
              </w:rPr>
              <w:t xml:space="preserve">Per the UCITS and AIFMD requirements, a coherent and robust due diligence, credit analysis and management </w:t>
            </w:r>
            <w:proofErr w:type="gramStart"/>
            <w:r w:rsidR="00644AE1" w:rsidRPr="00C8760C">
              <w:rPr>
                <w:rFonts w:cs="Arial"/>
                <w:color w:val="000000"/>
                <w:szCs w:val="20"/>
              </w:rPr>
              <w:t>needs</w:t>
            </w:r>
            <w:proofErr w:type="gramEnd"/>
            <w:r w:rsidR="00644AE1" w:rsidRPr="00C8760C">
              <w:rPr>
                <w:rFonts w:cs="Arial"/>
                <w:color w:val="000000"/>
                <w:szCs w:val="20"/>
              </w:rPr>
              <w:t xml:space="preserve"> to apply for all asset classes, including securitised assets. Based on that, i</w:t>
            </w:r>
            <w:r w:rsidR="00DA20AD" w:rsidRPr="00C8760C">
              <w:rPr>
                <w:rFonts w:cs="Arial"/>
                <w:color w:val="000000"/>
                <w:szCs w:val="20"/>
              </w:rPr>
              <w:t xml:space="preserve">nvestors have </w:t>
            </w:r>
            <w:r w:rsidR="00644AE1" w:rsidRPr="00C8760C">
              <w:rPr>
                <w:rFonts w:cs="Arial"/>
                <w:color w:val="000000"/>
                <w:szCs w:val="20"/>
              </w:rPr>
              <w:t xml:space="preserve">in place </w:t>
            </w:r>
            <w:r w:rsidR="00DA20AD" w:rsidRPr="00C8760C">
              <w:rPr>
                <w:rFonts w:cs="Arial"/>
                <w:color w:val="000000"/>
                <w:szCs w:val="20"/>
              </w:rPr>
              <w:t>own processes to analyse their investment risk</w:t>
            </w:r>
            <w:r w:rsidR="00644AE1" w:rsidRPr="00C8760C">
              <w:rPr>
                <w:rFonts w:cs="Arial"/>
                <w:color w:val="000000"/>
                <w:szCs w:val="20"/>
              </w:rPr>
              <w:t xml:space="preserve">, in a way that adjust </w:t>
            </w:r>
            <w:r w:rsidR="00116882" w:rsidRPr="00C8760C">
              <w:rPr>
                <w:rFonts w:cs="Arial"/>
                <w:color w:val="000000"/>
                <w:szCs w:val="20"/>
              </w:rPr>
              <w:t>to</w:t>
            </w:r>
            <w:r w:rsidR="00644AE1" w:rsidRPr="00C8760C">
              <w:rPr>
                <w:rFonts w:cs="Arial"/>
                <w:color w:val="000000"/>
                <w:szCs w:val="20"/>
              </w:rPr>
              <w:t xml:space="preserve"> the securitisation in question and the relevant data. Providing specifics and data points of less relevan</w:t>
            </w:r>
            <w:r w:rsidR="00116882" w:rsidRPr="00C8760C">
              <w:rPr>
                <w:rFonts w:cs="Arial"/>
                <w:color w:val="000000"/>
                <w:szCs w:val="20"/>
              </w:rPr>
              <w:t>ce</w:t>
            </w:r>
            <w:r w:rsidR="00644AE1" w:rsidRPr="00C8760C">
              <w:rPr>
                <w:rFonts w:cs="Arial"/>
                <w:color w:val="000000"/>
                <w:szCs w:val="20"/>
              </w:rPr>
              <w:t xml:space="preserve"> to the underlying assets </w:t>
            </w:r>
            <w:r w:rsidR="00116882" w:rsidRPr="00C8760C">
              <w:rPr>
                <w:rFonts w:cs="Arial"/>
                <w:color w:val="000000"/>
                <w:szCs w:val="20"/>
              </w:rPr>
              <w:t>does not add</w:t>
            </w:r>
            <w:r w:rsidR="00644AE1" w:rsidRPr="00C8760C">
              <w:rPr>
                <w:rFonts w:cs="Arial"/>
                <w:color w:val="000000"/>
                <w:szCs w:val="20"/>
              </w:rPr>
              <w:t xml:space="preserve"> investment protection</w:t>
            </w:r>
            <w:r w:rsidR="00116882" w:rsidRPr="00C8760C">
              <w:rPr>
                <w:rFonts w:cs="Arial"/>
                <w:color w:val="000000"/>
                <w:szCs w:val="20"/>
              </w:rPr>
              <w:t>,</w:t>
            </w:r>
            <w:r w:rsidR="00644AE1" w:rsidRPr="00C8760C">
              <w:rPr>
                <w:rFonts w:cs="Arial"/>
                <w:color w:val="000000"/>
                <w:szCs w:val="20"/>
              </w:rPr>
              <w:t xml:space="preserve"> while it leads to a tick the box exercise and </w:t>
            </w:r>
            <w:r w:rsidR="00116882" w:rsidRPr="00C8760C">
              <w:rPr>
                <w:rFonts w:cs="Arial"/>
                <w:color w:val="000000"/>
                <w:szCs w:val="20"/>
              </w:rPr>
              <w:t xml:space="preserve">possibly </w:t>
            </w:r>
            <w:r w:rsidR="00644AE1" w:rsidRPr="00C8760C">
              <w:rPr>
                <w:rFonts w:cs="Arial"/>
                <w:color w:val="000000"/>
                <w:szCs w:val="20"/>
              </w:rPr>
              <w:t xml:space="preserve">false assumptions that proper due diligence has been performed. </w:t>
            </w:r>
          </w:p>
          <w:p w14:paraId="2C849FD1" w14:textId="77777777" w:rsidR="00644AE1" w:rsidRPr="00C8760C" w:rsidRDefault="00644AE1" w:rsidP="00DA20AD">
            <w:pPr>
              <w:rPr>
                <w:rFonts w:cs="Arial"/>
                <w:color w:val="000000"/>
                <w:szCs w:val="20"/>
              </w:rPr>
            </w:pPr>
          </w:p>
          <w:p w14:paraId="28785907" w14:textId="77777777" w:rsidR="00EC3399" w:rsidRPr="00C8760C" w:rsidRDefault="00EC3399" w:rsidP="00DA20AD">
            <w:pPr>
              <w:rPr>
                <w:rFonts w:cs="Arial"/>
                <w:color w:val="000000"/>
                <w:szCs w:val="20"/>
              </w:rPr>
            </w:pPr>
          </w:p>
          <w:p w14:paraId="2BFC1D0A" w14:textId="77777777" w:rsidR="00906F41" w:rsidRPr="00C8760C" w:rsidRDefault="00DA20AD" w:rsidP="00DA20AD">
            <w:pPr>
              <w:rPr>
                <w:rFonts w:cs="Arial"/>
                <w:color w:val="000000"/>
                <w:szCs w:val="20"/>
              </w:rPr>
            </w:pPr>
            <w:r w:rsidRPr="00C8760C">
              <w:rPr>
                <w:rFonts w:cs="Arial"/>
                <w:color w:val="000000"/>
                <w:szCs w:val="20"/>
              </w:rPr>
              <w:t>ALFI is aligned with the EFAMA response.</w:t>
            </w:r>
          </w:p>
        </w:tc>
      </w:tr>
      <w:tr w:rsidR="00906F41" w:rsidRPr="00C8760C" w14:paraId="54C38738" w14:textId="77777777" w:rsidTr="00561961">
        <w:tc>
          <w:tcPr>
            <w:tcW w:w="661" w:type="dxa"/>
          </w:tcPr>
          <w:p w14:paraId="596F0119" w14:textId="77777777" w:rsidR="00906F41" w:rsidRPr="00C8760C" w:rsidRDefault="00EC3399" w:rsidP="00BD5C09">
            <w:pPr>
              <w:rPr>
                <w:rFonts w:cs="Arial"/>
                <w:b/>
                <w:bCs/>
                <w:color w:val="000000"/>
                <w:szCs w:val="20"/>
              </w:rPr>
            </w:pPr>
            <w:r w:rsidRPr="00C8760C">
              <w:rPr>
                <w:rFonts w:cs="Arial"/>
                <w:b/>
                <w:bCs/>
                <w:color w:val="000000"/>
                <w:szCs w:val="20"/>
              </w:rPr>
              <w:t>4.7</w:t>
            </w:r>
          </w:p>
          <w:p w14:paraId="128A1266" w14:textId="77777777" w:rsidR="00EC3399" w:rsidRPr="00C8760C" w:rsidRDefault="00EC3399" w:rsidP="00BD5C09">
            <w:pPr>
              <w:rPr>
                <w:rFonts w:cs="Arial"/>
                <w:b/>
                <w:bCs/>
                <w:color w:val="000000"/>
                <w:szCs w:val="20"/>
              </w:rPr>
            </w:pPr>
          </w:p>
        </w:tc>
        <w:tc>
          <w:tcPr>
            <w:tcW w:w="3592" w:type="dxa"/>
          </w:tcPr>
          <w:p w14:paraId="55F09644" w14:textId="77777777" w:rsidR="00906F41" w:rsidRPr="00C8760C" w:rsidRDefault="00EC3399" w:rsidP="00BD5C09">
            <w:pPr>
              <w:rPr>
                <w:rFonts w:cs="Arial"/>
                <w:color w:val="000000"/>
                <w:szCs w:val="20"/>
              </w:rPr>
            </w:pPr>
            <w:r w:rsidRPr="00C8760C">
              <w:rPr>
                <w:rFonts w:cs="Arial"/>
                <w:color w:val="000000"/>
                <w:szCs w:val="20"/>
              </w:rPr>
              <w:t>Should due diligence requirements differ based on the different characteristics of a securitisation transaction?</w:t>
            </w:r>
          </w:p>
        </w:tc>
        <w:tc>
          <w:tcPr>
            <w:tcW w:w="6095" w:type="dxa"/>
          </w:tcPr>
          <w:p w14:paraId="09C185EC" w14:textId="77777777" w:rsidR="00906F41" w:rsidRPr="00C8760C" w:rsidRDefault="00EC3399" w:rsidP="00BD5C09">
            <w:pPr>
              <w:rPr>
                <w:rFonts w:cs="Arial"/>
                <w:color w:val="000000"/>
                <w:szCs w:val="20"/>
              </w:rPr>
            </w:pPr>
            <w:r w:rsidRPr="00C8760C">
              <w:rPr>
                <w:rFonts w:cs="Arial"/>
                <w:color w:val="000000"/>
                <w:szCs w:val="20"/>
              </w:rPr>
              <w:t>Yes</w:t>
            </w:r>
          </w:p>
          <w:p w14:paraId="603B72B1" w14:textId="77777777" w:rsidR="00EC3399" w:rsidRPr="00C8760C" w:rsidRDefault="00EC3399" w:rsidP="00BD5C09">
            <w:pPr>
              <w:rPr>
                <w:rFonts w:cs="Arial"/>
                <w:color w:val="000000"/>
                <w:szCs w:val="20"/>
              </w:rPr>
            </w:pPr>
          </w:p>
          <w:p w14:paraId="63ABE6D6" w14:textId="77777777" w:rsidR="00EC3399" w:rsidRPr="00C8760C" w:rsidRDefault="00EC3399" w:rsidP="00BD5C09">
            <w:pPr>
              <w:rPr>
                <w:rFonts w:cs="Arial"/>
                <w:color w:val="000000"/>
                <w:szCs w:val="20"/>
              </w:rPr>
            </w:pPr>
          </w:p>
        </w:tc>
      </w:tr>
      <w:tr w:rsidR="00E833C8" w:rsidRPr="00C8760C" w14:paraId="15CE953F" w14:textId="77777777" w:rsidTr="00561961">
        <w:tc>
          <w:tcPr>
            <w:tcW w:w="661" w:type="dxa"/>
          </w:tcPr>
          <w:p w14:paraId="6C274343" w14:textId="77777777" w:rsidR="00E833C8" w:rsidRPr="00C8760C" w:rsidRDefault="005064EF" w:rsidP="00BD5C09">
            <w:pPr>
              <w:rPr>
                <w:rFonts w:cs="Arial"/>
                <w:b/>
                <w:bCs/>
                <w:color w:val="000000"/>
                <w:szCs w:val="20"/>
              </w:rPr>
            </w:pPr>
            <w:r w:rsidRPr="00C8760C">
              <w:rPr>
                <w:rFonts w:cs="Arial"/>
                <w:b/>
                <w:bCs/>
                <w:color w:val="000000"/>
                <w:szCs w:val="20"/>
              </w:rPr>
              <w:t>4.8</w:t>
            </w:r>
          </w:p>
        </w:tc>
        <w:tc>
          <w:tcPr>
            <w:tcW w:w="3592" w:type="dxa"/>
          </w:tcPr>
          <w:p w14:paraId="394C4BF7" w14:textId="77777777" w:rsidR="00EC3399" w:rsidRPr="00C8760C" w:rsidRDefault="005064EF" w:rsidP="00EC3399">
            <w:pPr>
              <w:rPr>
                <w:rFonts w:cs="Arial"/>
                <w:color w:val="000000"/>
                <w:szCs w:val="20"/>
              </w:rPr>
            </w:pPr>
            <w:r w:rsidRPr="00C8760C">
              <w:rPr>
                <w:rFonts w:cs="Arial"/>
                <w:color w:val="000000"/>
                <w:szCs w:val="20"/>
              </w:rPr>
              <w:t>I</w:t>
            </w:r>
            <w:r w:rsidR="00EC3399" w:rsidRPr="00C8760C">
              <w:rPr>
                <w:rFonts w:cs="Arial"/>
                <w:color w:val="000000"/>
                <w:szCs w:val="20"/>
              </w:rPr>
              <w:t>f you answered yes to question 4.7., please select one or more of the following options to differentiate due diligence requirements:</w:t>
            </w:r>
          </w:p>
          <w:p w14:paraId="3F0B087D" w14:textId="77777777" w:rsidR="00EC3399" w:rsidRPr="00C8760C" w:rsidRDefault="00EC3399" w:rsidP="00EC3399">
            <w:pPr>
              <w:rPr>
                <w:rFonts w:cs="Arial"/>
                <w:color w:val="000000"/>
                <w:szCs w:val="20"/>
              </w:rPr>
            </w:pPr>
            <w:r w:rsidRPr="00C8760C">
              <w:rPr>
                <w:rFonts w:cs="Arial"/>
                <w:color w:val="000000"/>
                <w:szCs w:val="20"/>
              </w:rPr>
              <w:t>• Due diligence requirements should differ based on the risk of the position (e.g. senior vs non-senior)</w:t>
            </w:r>
          </w:p>
          <w:p w14:paraId="2551815F" w14:textId="77777777" w:rsidR="00EC3399" w:rsidRPr="00C8760C" w:rsidRDefault="00EC3399" w:rsidP="00EC3399">
            <w:pPr>
              <w:rPr>
                <w:rFonts w:cs="Arial"/>
                <w:color w:val="000000"/>
                <w:szCs w:val="20"/>
              </w:rPr>
            </w:pPr>
            <w:r w:rsidRPr="00C8760C">
              <w:rPr>
                <w:rFonts w:cs="Arial"/>
                <w:color w:val="000000"/>
                <w:szCs w:val="20"/>
              </w:rPr>
              <w:t>• Due diligence requirements should differ based on the risk of the underlying assets</w:t>
            </w:r>
          </w:p>
          <w:p w14:paraId="42DCEACF" w14:textId="77777777" w:rsidR="00EC3399" w:rsidRPr="00C8760C" w:rsidRDefault="00EC3399" w:rsidP="00EC3399">
            <w:pPr>
              <w:rPr>
                <w:rFonts w:cs="Arial"/>
                <w:color w:val="000000"/>
                <w:szCs w:val="20"/>
              </w:rPr>
            </w:pPr>
            <w:r w:rsidRPr="00C8760C">
              <w:rPr>
                <w:rFonts w:cs="Arial"/>
                <w:color w:val="000000"/>
                <w:szCs w:val="20"/>
              </w:rPr>
              <w:t>• Due diligence requirements should differ based on the STS status of the securitisation (STS vs non-STS)</w:t>
            </w:r>
          </w:p>
          <w:p w14:paraId="3028E41D" w14:textId="77777777" w:rsidR="00E833C8" w:rsidRPr="00C8760C" w:rsidRDefault="00EC3399" w:rsidP="00EC3399">
            <w:pPr>
              <w:rPr>
                <w:rFonts w:cs="Arial"/>
                <w:color w:val="000000"/>
                <w:szCs w:val="20"/>
              </w:rPr>
            </w:pPr>
            <w:r w:rsidRPr="00C8760C">
              <w:rPr>
                <w:rFonts w:cs="Arial"/>
                <w:color w:val="000000"/>
                <w:szCs w:val="20"/>
              </w:rPr>
              <w:t>• Other</w:t>
            </w:r>
          </w:p>
        </w:tc>
        <w:tc>
          <w:tcPr>
            <w:tcW w:w="6095" w:type="dxa"/>
          </w:tcPr>
          <w:p w14:paraId="2BC3E901" w14:textId="77777777" w:rsidR="00E833C8" w:rsidRPr="00C8760C" w:rsidRDefault="005064EF" w:rsidP="00BD5C09">
            <w:pPr>
              <w:rPr>
                <w:rFonts w:cs="Arial"/>
                <w:color w:val="000000"/>
                <w:szCs w:val="20"/>
              </w:rPr>
            </w:pPr>
            <w:r w:rsidRPr="00C8760C">
              <w:rPr>
                <w:rFonts w:cs="Arial"/>
                <w:color w:val="000000"/>
                <w:szCs w:val="20"/>
              </w:rPr>
              <w:t>The aim should be to avoid additional complexity.</w:t>
            </w:r>
          </w:p>
        </w:tc>
      </w:tr>
      <w:tr w:rsidR="005064EF" w:rsidRPr="00C8760C" w14:paraId="2F2DE88E" w14:textId="77777777" w:rsidTr="00561961">
        <w:tc>
          <w:tcPr>
            <w:tcW w:w="661" w:type="dxa"/>
            <w:vAlign w:val="center"/>
          </w:tcPr>
          <w:p w14:paraId="3140491C"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4.10 (i)</w:t>
            </w:r>
          </w:p>
        </w:tc>
        <w:tc>
          <w:tcPr>
            <w:tcW w:w="3592" w:type="dxa"/>
          </w:tcPr>
          <w:p w14:paraId="0A418BFF" w14:textId="5720B522" w:rsidR="005064EF" w:rsidRPr="00C8760C" w:rsidRDefault="005064EF" w:rsidP="005064EF">
            <w:pPr>
              <w:rPr>
                <w:rFonts w:cs="Arial"/>
                <w:color w:val="000000"/>
                <w:szCs w:val="20"/>
              </w:rPr>
            </w:pPr>
            <w:r w:rsidRPr="00C8760C">
              <w:rPr>
                <w:rFonts w:ascii="Calibri" w:hAnsi="Calibri" w:cs="Calibri"/>
                <w:color w:val="000000"/>
                <w:sz w:val="22"/>
              </w:rPr>
              <w:t>For EU investors investing in securitisations where the originator, sponsor or original lender is established in the Union and is the responsible entity for complying with those requirements,</w:t>
            </w:r>
            <w:r w:rsidRPr="00C8760C">
              <w:rPr>
                <w:rFonts w:ascii="Calibri" w:hAnsi="Calibri" w:cs="Calibri"/>
                <w:b/>
                <w:bCs/>
                <w:color w:val="000000"/>
                <w:sz w:val="22"/>
              </w:rPr>
              <w:t xml:space="preserve"> should certain due diligence verification requirements be removed as the compliance with these requirements is already subject to supervision elsewhere</w:t>
            </w:r>
            <w:r w:rsidRPr="00C8760C">
              <w:rPr>
                <w:rFonts w:ascii="Calibri" w:hAnsi="Calibri" w:cs="Calibri"/>
                <w:color w:val="000000"/>
                <w:sz w:val="22"/>
              </w:rPr>
              <w:t>? This could apply to the requirements for investors to check whether the originator, sponsor or original lender complied with:</w:t>
            </w:r>
            <w:r w:rsidRPr="00C8760C">
              <w:rPr>
                <w:rFonts w:ascii="Calibri" w:hAnsi="Calibri" w:cs="Calibri"/>
                <w:color w:val="000000"/>
                <w:sz w:val="22"/>
              </w:rPr>
              <w:br/>
            </w:r>
            <w:r w:rsidRPr="00C8760C">
              <w:rPr>
                <w:rFonts w:ascii="Calibri" w:hAnsi="Calibri" w:cs="Calibri"/>
                <w:color w:val="000000"/>
                <w:sz w:val="22"/>
              </w:rPr>
              <w:lastRenderedPageBreak/>
              <w:t>(i) risk retention requirements,</w:t>
            </w:r>
            <w:r w:rsidRPr="00C8760C">
              <w:rPr>
                <w:rFonts w:ascii="Calibri" w:hAnsi="Calibri" w:cs="Calibri"/>
                <w:color w:val="000000"/>
                <w:sz w:val="22"/>
              </w:rPr>
              <w:br/>
            </w:r>
            <w:r w:rsidR="008D76DD" w:rsidRPr="00C8760C">
              <w:rPr>
                <w:rFonts w:ascii="Calibri" w:hAnsi="Calibri" w:cs="Calibri"/>
                <w:color w:val="000000"/>
                <w:sz w:val="22"/>
              </w:rPr>
              <w:t>• Yes • No • No opinion</w:t>
            </w:r>
          </w:p>
        </w:tc>
        <w:tc>
          <w:tcPr>
            <w:tcW w:w="6095" w:type="dxa"/>
          </w:tcPr>
          <w:p w14:paraId="0FA45A6E" w14:textId="77777777" w:rsidR="005064EF" w:rsidRPr="00C8760C" w:rsidRDefault="005064EF" w:rsidP="005064EF">
            <w:pPr>
              <w:rPr>
                <w:rFonts w:cs="Arial"/>
                <w:color w:val="000000"/>
                <w:szCs w:val="20"/>
              </w:rPr>
            </w:pPr>
            <w:r w:rsidRPr="00C8760C">
              <w:rPr>
                <w:rFonts w:ascii="Calibri" w:hAnsi="Calibri" w:cs="Calibri"/>
                <w:color w:val="000000"/>
                <w:sz w:val="22"/>
              </w:rPr>
              <w:lastRenderedPageBreak/>
              <w:t>Yes</w:t>
            </w:r>
          </w:p>
        </w:tc>
      </w:tr>
      <w:tr w:rsidR="005064EF" w:rsidRPr="00C8760C" w14:paraId="762D5730" w14:textId="77777777" w:rsidTr="00561961">
        <w:tc>
          <w:tcPr>
            <w:tcW w:w="661" w:type="dxa"/>
            <w:vAlign w:val="center"/>
          </w:tcPr>
          <w:p w14:paraId="0F3F6B14"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4.10 (ii)</w:t>
            </w:r>
          </w:p>
        </w:tc>
        <w:tc>
          <w:tcPr>
            <w:tcW w:w="3592" w:type="dxa"/>
          </w:tcPr>
          <w:p w14:paraId="0EFB896D" w14:textId="49A50010" w:rsidR="005064EF" w:rsidRPr="00C8760C" w:rsidRDefault="005064EF" w:rsidP="005064EF">
            <w:pPr>
              <w:rPr>
                <w:rFonts w:cs="Arial"/>
                <w:color w:val="000000"/>
                <w:szCs w:val="20"/>
              </w:rPr>
            </w:pPr>
            <w:r w:rsidRPr="00C8760C">
              <w:rPr>
                <w:rFonts w:ascii="Calibri" w:hAnsi="Calibri" w:cs="Calibri"/>
                <w:color w:val="000000"/>
                <w:sz w:val="22"/>
              </w:rPr>
              <w:t>(ii) credit granting criteria requirements,</w:t>
            </w:r>
            <w:r w:rsidRPr="00C8760C">
              <w:rPr>
                <w:rFonts w:ascii="Calibri" w:hAnsi="Calibri" w:cs="Calibri"/>
                <w:color w:val="000000"/>
                <w:sz w:val="22"/>
              </w:rPr>
              <w:br/>
            </w:r>
            <w:r w:rsidR="008D76DD" w:rsidRPr="00C8760C">
              <w:rPr>
                <w:rFonts w:ascii="Calibri" w:hAnsi="Calibri" w:cs="Calibri"/>
                <w:color w:val="000000"/>
                <w:sz w:val="22"/>
              </w:rPr>
              <w:t>• Yes • No • No opinion</w:t>
            </w:r>
          </w:p>
        </w:tc>
        <w:tc>
          <w:tcPr>
            <w:tcW w:w="6095" w:type="dxa"/>
          </w:tcPr>
          <w:p w14:paraId="62D3E60C" w14:textId="77777777" w:rsidR="005064EF" w:rsidRPr="00C8760C" w:rsidRDefault="005064EF" w:rsidP="005064EF">
            <w:pPr>
              <w:rPr>
                <w:rFonts w:cs="Arial"/>
                <w:color w:val="000000"/>
                <w:szCs w:val="20"/>
              </w:rPr>
            </w:pPr>
            <w:r w:rsidRPr="00C8760C">
              <w:rPr>
                <w:rFonts w:ascii="Calibri" w:hAnsi="Calibri" w:cs="Calibri"/>
                <w:color w:val="000000"/>
                <w:sz w:val="22"/>
              </w:rPr>
              <w:t>Yes</w:t>
            </w:r>
          </w:p>
        </w:tc>
      </w:tr>
      <w:tr w:rsidR="005064EF" w:rsidRPr="00C8760C" w14:paraId="38CBBC8C" w14:textId="77777777" w:rsidTr="00561961">
        <w:tc>
          <w:tcPr>
            <w:tcW w:w="661" w:type="dxa"/>
            <w:vAlign w:val="center"/>
          </w:tcPr>
          <w:p w14:paraId="4476BDCE"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4.10 (iii)</w:t>
            </w:r>
          </w:p>
        </w:tc>
        <w:tc>
          <w:tcPr>
            <w:tcW w:w="3592" w:type="dxa"/>
          </w:tcPr>
          <w:p w14:paraId="1A5C5AEF" w14:textId="4187DE72" w:rsidR="005064EF" w:rsidRPr="00C8760C" w:rsidRDefault="005064EF" w:rsidP="005064EF">
            <w:pPr>
              <w:rPr>
                <w:rFonts w:cs="Arial"/>
                <w:color w:val="000000"/>
                <w:szCs w:val="20"/>
              </w:rPr>
            </w:pPr>
            <w:r w:rsidRPr="00C8760C">
              <w:rPr>
                <w:rFonts w:ascii="Calibri" w:hAnsi="Calibri" w:cs="Calibri"/>
                <w:color w:val="000000"/>
                <w:sz w:val="22"/>
              </w:rPr>
              <w:t>(iii) disclosure requirements,</w:t>
            </w:r>
            <w:r w:rsidRPr="00C8760C">
              <w:rPr>
                <w:rFonts w:ascii="Calibri" w:hAnsi="Calibri" w:cs="Calibri"/>
                <w:color w:val="000000"/>
                <w:sz w:val="22"/>
              </w:rPr>
              <w:br/>
            </w:r>
            <w:r w:rsidR="008D76DD" w:rsidRPr="00C8760C">
              <w:rPr>
                <w:rFonts w:ascii="Calibri" w:hAnsi="Calibri" w:cs="Calibri"/>
                <w:color w:val="000000"/>
                <w:sz w:val="22"/>
              </w:rPr>
              <w:t>• Yes • No • No opinion</w:t>
            </w:r>
          </w:p>
        </w:tc>
        <w:tc>
          <w:tcPr>
            <w:tcW w:w="6095" w:type="dxa"/>
          </w:tcPr>
          <w:p w14:paraId="64194728" w14:textId="77777777" w:rsidR="005064EF" w:rsidRPr="00C8760C" w:rsidRDefault="005064EF" w:rsidP="005064EF">
            <w:pPr>
              <w:rPr>
                <w:rFonts w:cs="Arial"/>
                <w:color w:val="000000"/>
                <w:szCs w:val="20"/>
              </w:rPr>
            </w:pPr>
            <w:r w:rsidRPr="00C8760C">
              <w:rPr>
                <w:rFonts w:ascii="Calibri" w:hAnsi="Calibri" w:cs="Calibri"/>
                <w:color w:val="000000"/>
                <w:sz w:val="22"/>
              </w:rPr>
              <w:t>Yes</w:t>
            </w:r>
          </w:p>
        </w:tc>
      </w:tr>
      <w:tr w:rsidR="005064EF" w:rsidRPr="00C8760C" w14:paraId="23CD741D" w14:textId="77777777" w:rsidTr="00561961">
        <w:tc>
          <w:tcPr>
            <w:tcW w:w="661" w:type="dxa"/>
            <w:vAlign w:val="center"/>
          </w:tcPr>
          <w:p w14:paraId="7B0D19BA"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4.10 (iv)</w:t>
            </w:r>
          </w:p>
        </w:tc>
        <w:tc>
          <w:tcPr>
            <w:tcW w:w="3592" w:type="dxa"/>
          </w:tcPr>
          <w:p w14:paraId="40A0F0BA" w14:textId="229D6240" w:rsidR="005064EF" w:rsidRPr="00C8760C" w:rsidRDefault="005064EF" w:rsidP="005064EF">
            <w:pPr>
              <w:rPr>
                <w:rFonts w:cs="Arial"/>
                <w:color w:val="000000"/>
                <w:szCs w:val="20"/>
              </w:rPr>
            </w:pPr>
            <w:r w:rsidRPr="00C8760C">
              <w:rPr>
                <w:rFonts w:ascii="Calibri" w:hAnsi="Calibri" w:cs="Calibri"/>
                <w:color w:val="000000"/>
                <w:sz w:val="22"/>
              </w:rPr>
              <w:t>(iv) STS requirements, where the transaction is notified as STS</w:t>
            </w:r>
            <w:r w:rsidRPr="00C8760C">
              <w:rPr>
                <w:rFonts w:ascii="Calibri" w:hAnsi="Calibri" w:cs="Calibri"/>
                <w:color w:val="000000"/>
                <w:sz w:val="22"/>
              </w:rPr>
              <w:br/>
            </w:r>
            <w:r w:rsidR="008D76DD" w:rsidRPr="00C8760C">
              <w:rPr>
                <w:rFonts w:ascii="Calibri" w:hAnsi="Calibri" w:cs="Calibri"/>
                <w:color w:val="000000"/>
                <w:sz w:val="22"/>
              </w:rPr>
              <w:t>• Yes • No • No opinion</w:t>
            </w:r>
          </w:p>
        </w:tc>
        <w:tc>
          <w:tcPr>
            <w:tcW w:w="6095" w:type="dxa"/>
          </w:tcPr>
          <w:p w14:paraId="793FE8A8" w14:textId="77777777" w:rsidR="005064EF" w:rsidRPr="00C8760C" w:rsidRDefault="005064EF" w:rsidP="005064EF">
            <w:pPr>
              <w:rPr>
                <w:rFonts w:cs="Arial"/>
                <w:color w:val="000000"/>
                <w:szCs w:val="20"/>
              </w:rPr>
            </w:pPr>
            <w:r w:rsidRPr="00C8760C">
              <w:rPr>
                <w:rFonts w:ascii="Calibri" w:hAnsi="Calibri" w:cs="Calibri"/>
                <w:color w:val="000000"/>
                <w:sz w:val="22"/>
              </w:rPr>
              <w:t>TBC</w:t>
            </w:r>
          </w:p>
        </w:tc>
      </w:tr>
      <w:tr w:rsidR="005064EF" w:rsidRPr="00C8760C" w14:paraId="074F8A27" w14:textId="77777777" w:rsidTr="00561961">
        <w:tc>
          <w:tcPr>
            <w:tcW w:w="661" w:type="dxa"/>
            <w:vAlign w:val="center"/>
          </w:tcPr>
          <w:p w14:paraId="1BEC3269"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4.12</w:t>
            </w:r>
          </w:p>
        </w:tc>
        <w:tc>
          <w:tcPr>
            <w:tcW w:w="3592" w:type="dxa"/>
          </w:tcPr>
          <w:p w14:paraId="4F56B09F" w14:textId="4D36DB0C" w:rsidR="005064EF" w:rsidRPr="00C8760C" w:rsidRDefault="005064EF" w:rsidP="005064EF">
            <w:pPr>
              <w:rPr>
                <w:rFonts w:cs="Arial"/>
                <w:color w:val="000000"/>
                <w:szCs w:val="20"/>
              </w:rPr>
            </w:pPr>
            <w:r w:rsidRPr="00C8760C">
              <w:rPr>
                <w:rFonts w:ascii="Calibri" w:hAnsi="Calibri" w:cs="Calibri"/>
                <w:b/>
                <w:bCs/>
                <w:color w:val="000000"/>
                <w:sz w:val="22"/>
              </w:rPr>
              <w:t>Do the due diligence requirements under Article 5 disincentivise investing into securitisations on the secondary market?</w:t>
            </w:r>
            <w:r w:rsidRPr="00C8760C">
              <w:rPr>
                <w:rFonts w:ascii="Calibri" w:hAnsi="Calibri" w:cs="Calibri"/>
                <w:color w:val="000000"/>
                <w:sz w:val="22"/>
              </w:rPr>
              <w:br/>
            </w:r>
            <w:r w:rsidR="008D76DD" w:rsidRPr="00C8760C">
              <w:rPr>
                <w:rFonts w:ascii="Calibri" w:hAnsi="Calibri" w:cs="Calibri"/>
                <w:color w:val="000000"/>
                <w:sz w:val="22"/>
              </w:rPr>
              <w:t>• Yes • No • No opinion</w:t>
            </w:r>
          </w:p>
        </w:tc>
        <w:tc>
          <w:tcPr>
            <w:tcW w:w="6095" w:type="dxa"/>
          </w:tcPr>
          <w:p w14:paraId="4BC2B2BB" w14:textId="77777777" w:rsidR="005064EF" w:rsidRPr="00C8760C" w:rsidRDefault="005064EF" w:rsidP="005064EF">
            <w:pPr>
              <w:rPr>
                <w:rFonts w:cs="Arial"/>
                <w:color w:val="000000"/>
                <w:szCs w:val="20"/>
              </w:rPr>
            </w:pPr>
            <w:r w:rsidRPr="00C8760C">
              <w:rPr>
                <w:rFonts w:ascii="Calibri" w:hAnsi="Calibri" w:cs="Calibri"/>
                <w:color w:val="000000"/>
                <w:sz w:val="22"/>
              </w:rPr>
              <w:t>Yes</w:t>
            </w:r>
          </w:p>
        </w:tc>
      </w:tr>
      <w:tr w:rsidR="005064EF" w:rsidRPr="00C8760C" w14:paraId="6596A830" w14:textId="77777777" w:rsidTr="00561961">
        <w:tc>
          <w:tcPr>
            <w:tcW w:w="661" w:type="dxa"/>
            <w:vAlign w:val="center"/>
          </w:tcPr>
          <w:p w14:paraId="1173A1F5" w14:textId="77777777" w:rsidR="005064EF" w:rsidRPr="00C8760C" w:rsidRDefault="005064EF" w:rsidP="005064EF">
            <w:pPr>
              <w:rPr>
                <w:rFonts w:cs="Arial"/>
                <w:b/>
                <w:bCs/>
                <w:color w:val="000000"/>
                <w:szCs w:val="20"/>
              </w:rPr>
            </w:pPr>
            <w:r w:rsidRPr="00C8760C">
              <w:rPr>
                <w:rFonts w:ascii="Calibri" w:hAnsi="Calibri" w:cs="Calibri"/>
                <w:b/>
                <w:bCs/>
                <w:color w:val="000000"/>
                <w:sz w:val="22"/>
              </w:rPr>
              <w:t>4.13</w:t>
            </w:r>
          </w:p>
        </w:tc>
        <w:tc>
          <w:tcPr>
            <w:tcW w:w="3592" w:type="dxa"/>
          </w:tcPr>
          <w:p w14:paraId="1C18F8CA" w14:textId="504AEBD2" w:rsidR="005064EF" w:rsidRPr="00C8760C" w:rsidRDefault="005064EF" w:rsidP="005064EF">
            <w:pPr>
              <w:rPr>
                <w:rFonts w:cs="Arial"/>
                <w:color w:val="000000"/>
                <w:szCs w:val="20"/>
              </w:rPr>
            </w:pPr>
            <w:r w:rsidRPr="00C8760C">
              <w:rPr>
                <w:rFonts w:ascii="Calibri" w:hAnsi="Calibri" w:cs="Calibri"/>
                <w:color w:val="000000"/>
                <w:sz w:val="22"/>
              </w:rPr>
              <w:t>If you answered yes to question 4.12., should investors be provided with a defined period of time after the investment to document compliance with the verification requirements as part of the due diligence requirements under Article 5?</w:t>
            </w:r>
            <w:r w:rsidRPr="00C8760C">
              <w:rPr>
                <w:rFonts w:ascii="Calibri" w:hAnsi="Calibri" w:cs="Calibri"/>
                <w:color w:val="000000"/>
                <w:sz w:val="22"/>
              </w:rPr>
              <w:br/>
              <w:t>• Yes</w:t>
            </w:r>
            <w:r w:rsidR="008D76DD" w:rsidRPr="00C8760C">
              <w:rPr>
                <w:rFonts w:ascii="Calibri" w:hAnsi="Calibri" w:cs="Calibri"/>
                <w:color w:val="000000"/>
                <w:sz w:val="22"/>
              </w:rPr>
              <w:t xml:space="preserve"> </w:t>
            </w:r>
            <w:r w:rsidRPr="00C8760C">
              <w:rPr>
                <w:rFonts w:ascii="Calibri" w:hAnsi="Calibri" w:cs="Calibri"/>
                <w:color w:val="000000"/>
                <w:sz w:val="22"/>
              </w:rPr>
              <w:t>• No</w:t>
            </w:r>
            <w:r w:rsidR="008D76DD" w:rsidRPr="00C8760C">
              <w:rPr>
                <w:rFonts w:ascii="Calibri" w:hAnsi="Calibri" w:cs="Calibri"/>
                <w:color w:val="000000"/>
                <w:sz w:val="22"/>
              </w:rPr>
              <w:t xml:space="preserve"> </w:t>
            </w:r>
            <w:r w:rsidRPr="00C8760C">
              <w:rPr>
                <w:rFonts w:ascii="Calibri" w:hAnsi="Calibri" w:cs="Calibri"/>
                <w:color w:val="000000"/>
                <w:sz w:val="22"/>
              </w:rPr>
              <w:t>• No opinion</w:t>
            </w:r>
          </w:p>
        </w:tc>
        <w:tc>
          <w:tcPr>
            <w:tcW w:w="6095" w:type="dxa"/>
          </w:tcPr>
          <w:p w14:paraId="050D2D7C" w14:textId="77777777" w:rsidR="005064EF" w:rsidRPr="00C8760C" w:rsidRDefault="005064EF" w:rsidP="005064EF">
            <w:pPr>
              <w:rPr>
                <w:rFonts w:cs="Arial"/>
                <w:color w:val="000000"/>
                <w:szCs w:val="20"/>
              </w:rPr>
            </w:pPr>
            <w:r w:rsidRPr="00C8760C">
              <w:rPr>
                <w:rFonts w:ascii="Calibri" w:hAnsi="Calibri" w:cs="Calibri"/>
                <w:color w:val="000000"/>
                <w:sz w:val="22"/>
              </w:rPr>
              <w:t>Yes</w:t>
            </w:r>
          </w:p>
        </w:tc>
      </w:tr>
      <w:tr w:rsidR="006732ED" w:rsidRPr="00C8760C" w14:paraId="7CF5F6EF" w14:textId="77777777" w:rsidTr="00561961">
        <w:tc>
          <w:tcPr>
            <w:tcW w:w="661" w:type="dxa"/>
            <w:vAlign w:val="center"/>
          </w:tcPr>
          <w:p w14:paraId="5FBF37D7" w14:textId="77777777" w:rsidR="006732ED" w:rsidRPr="00C8760C" w:rsidRDefault="006732ED" w:rsidP="005064EF">
            <w:pPr>
              <w:rPr>
                <w:rFonts w:cs="Arial"/>
                <w:b/>
                <w:bCs/>
                <w:color w:val="000000"/>
                <w:szCs w:val="20"/>
              </w:rPr>
            </w:pPr>
            <w:r w:rsidRPr="00C8760C">
              <w:rPr>
                <w:rFonts w:ascii="Calibri" w:hAnsi="Calibri" w:cs="Calibri"/>
                <w:b/>
                <w:bCs/>
                <w:color w:val="000000"/>
                <w:sz w:val="22"/>
              </w:rPr>
              <w:t>4.16</w:t>
            </w:r>
          </w:p>
        </w:tc>
        <w:tc>
          <w:tcPr>
            <w:tcW w:w="3592" w:type="dxa"/>
          </w:tcPr>
          <w:p w14:paraId="45CE1D5B" w14:textId="0D91D417" w:rsidR="006732ED" w:rsidRPr="00C8760C" w:rsidRDefault="006732ED" w:rsidP="005064EF">
            <w:pPr>
              <w:rPr>
                <w:rFonts w:cs="Arial"/>
                <w:color w:val="000000"/>
                <w:szCs w:val="20"/>
              </w:rPr>
            </w:pPr>
            <w:r w:rsidRPr="00C8760C">
              <w:rPr>
                <w:rFonts w:ascii="Calibri" w:hAnsi="Calibri" w:cs="Calibri"/>
                <w:color w:val="000000"/>
                <w:sz w:val="22"/>
              </w:rPr>
              <w:t>Do the due diligence requirements under Article 5 disincentivise investing into repeat securitisation issuances?</w:t>
            </w:r>
            <w:r w:rsidRPr="00C8760C">
              <w:rPr>
                <w:rFonts w:ascii="Calibri" w:hAnsi="Calibri" w:cs="Calibri"/>
                <w:color w:val="000000"/>
                <w:sz w:val="22"/>
              </w:rPr>
              <w:br/>
              <w:t>• Yes</w:t>
            </w:r>
            <w:r w:rsidR="008D76DD" w:rsidRPr="00C8760C">
              <w:rPr>
                <w:rFonts w:ascii="Calibri" w:hAnsi="Calibri" w:cs="Calibri"/>
                <w:color w:val="000000"/>
                <w:sz w:val="22"/>
              </w:rPr>
              <w:t xml:space="preserve"> </w:t>
            </w:r>
            <w:r w:rsidRPr="00C8760C">
              <w:rPr>
                <w:rFonts w:ascii="Calibri" w:hAnsi="Calibri" w:cs="Calibri"/>
                <w:color w:val="000000"/>
                <w:sz w:val="22"/>
              </w:rPr>
              <w:t>• No</w:t>
            </w:r>
            <w:r w:rsidR="008D76DD" w:rsidRPr="00C8760C">
              <w:rPr>
                <w:rFonts w:ascii="Calibri" w:hAnsi="Calibri" w:cs="Calibri"/>
                <w:color w:val="000000"/>
                <w:sz w:val="22"/>
              </w:rPr>
              <w:t xml:space="preserve"> </w:t>
            </w:r>
            <w:r w:rsidRPr="00C8760C">
              <w:rPr>
                <w:rFonts w:ascii="Calibri" w:hAnsi="Calibri" w:cs="Calibri"/>
                <w:color w:val="000000"/>
                <w:sz w:val="22"/>
              </w:rPr>
              <w:t>• No opinion</w:t>
            </w:r>
          </w:p>
        </w:tc>
        <w:tc>
          <w:tcPr>
            <w:tcW w:w="6095" w:type="dxa"/>
          </w:tcPr>
          <w:p w14:paraId="0F48F544" w14:textId="77777777" w:rsidR="006732ED" w:rsidRPr="00C8760C" w:rsidRDefault="006732ED" w:rsidP="005064EF">
            <w:pPr>
              <w:rPr>
                <w:rFonts w:cs="Arial"/>
                <w:color w:val="000000"/>
                <w:szCs w:val="20"/>
              </w:rPr>
            </w:pPr>
            <w:r w:rsidRPr="00C8760C">
              <w:rPr>
                <w:rFonts w:ascii="Calibri" w:hAnsi="Calibri" w:cs="Calibri"/>
                <w:color w:val="000000"/>
                <w:sz w:val="22"/>
              </w:rPr>
              <w:t>Yes</w:t>
            </w:r>
          </w:p>
        </w:tc>
      </w:tr>
      <w:tr w:rsidR="006732ED" w:rsidRPr="00C8760C" w14:paraId="1CD56E35" w14:textId="77777777" w:rsidTr="00561961">
        <w:tc>
          <w:tcPr>
            <w:tcW w:w="661" w:type="dxa"/>
          </w:tcPr>
          <w:p w14:paraId="030F28BD" w14:textId="77777777" w:rsidR="006732ED" w:rsidRPr="00C8760C" w:rsidRDefault="006732ED" w:rsidP="005064EF">
            <w:pPr>
              <w:rPr>
                <w:rFonts w:ascii="Calibri" w:hAnsi="Calibri" w:cs="Calibri"/>
                <w:b/>
                <w:bCs/>
                <w:color w:val="000000"/>
                <w:sz w:val="22"/>
              </w:rPr>
            </w:pPr>
            <w:r w:rsidRPr="00C8760C">
              <w:rPr>
                <w:rFonts w:ascii="Calibri" w:hAnsi="Calibri" w:cs="Calibri"/>
                <w:b/>
                <w:bCs/>
                <w:color w:val="000000"/>
                <w:sz w:val="22"/>
              </w:rPr>
              <w:t>4.23</w:t>
            </w:r>
          </w:p>
          <w:p w14:paraId="779A7C26" w14:textId="77777777" w:rsidR="006732ED" w:rsidRPr="00C8760C" w:rsidRDefault="006732ED" w:rsidP="005064EF">
            <w:pPr>
              <w:rPr>
                <w:rFonts w:cs="Arial"/>
                <w:b/>
                <w:bCs/>
                <w:color w:val="000000"/>
                <w:szCs w:val="20"/>
              </w:rPr>
            </w:pPr>
          </w:p>
        </w:tc>
        <w:tc>
          <w:tcPr>
            <w:tcW w:w="3592" w:type="dxa"/>
          </w:tcPr>
          <w:p w14:paraId="7C99C56D" w14:textId="77777777" w:rsidR="006732ED" w:rsidRPr="00C8760C" w:rsidRDefault="006732ED" w:rsidP="005064EF">
            <w:pPr>
              <w:rPr>
                <w:rFonts w:ascii="Calibri" w:hAnsi="Calibri" w:cs="Calibri"/>
                <w:color w:val="000000"/>
                <w:sz w:val="22"/>
              </w:rPr>
            </w:pPr>
            <w:r w:rsidRPr="00C8760C">
              <w:rPr>
                <w:rFonts w:ascii="Calibri" w:hAnsi="Calibri" w:cs="Calibri"/>
                <w:color w:val="000000"/>
                <w:sz w:val="22"/>
              </w:rPr>
              <w:t>If you answered no to question 4.22, which party should be subject to administrative sanctions in case of infringement of the due diligence requirements?</w:t>
            </w:r>
            <w:r w:rsidRPr="00C8760C">
              <w:rPr>
                <w:rFonts w:ascii="Calibri" w:hAnsi="Calibri" w:cs="Calibri"/>
                <w:color w:val="000000"/>
                <w:sz w:val="22"/>
              </w:rPr>
              <w:br/>
              <w:t>• the institutional investor</w:t>
            </w:r>
            <w:r w:rsidRPr="00C8760C">
              <w:rPr>
                <w:rFonts w:ascii="Calibri" w:hAnsi="Calibri" w:cs="Calibri"/>
                <w:color w:val="000000"/>
                <w:sz w:val="22"/>
              </w:rPr>
              <w:br/>
              <w:t>• the party to which the institutional investor has delegated the due diligence obligations</w:t>
            </w:r>
          </w:p>
          <w:p w14:paraId="3237CEAD" w14:textId="77777777" w:rsidR="006732ED" w:rsidRPr="00C8760C" w:rsidRDefault="006732ED" w:rsidP="005064EF">
            <w:pPr>
              <w:rPr>
                <w:rFonts w:cs="Arial"/>
                <w:color w:val="000000"/>
                <w:szCs w:val="20"/>
              </w:rPr>
            </w:pPr>
          </w:p>
        </w:tc>
        <w:tc>
          <w:tcPr>
            <w:tcW w:w="6095" w:type="dxa"/>
          </w:tcPr>
          <w:p w14:paraId="220081DD" w14:textId="77777777" w:rsidR="006732ED" w:rsidRPr="00C8760C" w:rsidRDefault="006732ED" w:rsidP="005064EF">
            <w:pPr>
              <w:rPr>
                <w:rFonts w:ascii="Calibri" w:hAnsi="Calibri" w:cs="Calibri"/>
                <w:color w:val="000000"/>
                <w:sz w:val="22"/>
              </w:rPr>
            </w:pPr>
            <w:r w:rsidRPr="00C8760C">
              <w:rPr>
                <w:rFonts w:ascii="Calibri" w:hAnsi="Calibri" w:cs="Calibri"/>
                <w:color w:val="000000"/>
                <w:sz w:val="22"/>
              </w:rPr>
              <w:t>The party to which the institutional investor has delegated the due diligence obligations</w:t>
            </w:r>
          </w:p>
          <w:p w14:paraId="0882CBE9" w14:textId="77777777" w:rsidR="006732ED" w:rsidRPr="00C8760C" w:rsidRDefault="006732ED" w:rsidP="005064EF">
            <w:pPr>
              <w:rPr>
                <w:rFonts w:cs="Arial"/>
                <w:color w:val="000000"/>
                <w:szCs w:val="20"/>
              </w:rPr>
            </w:pPr>
          </w:p>
        </w:tc>
      </w:tr>
      <w:tr w:rsidR="006732ED" w:rsidRPr="00C8760C" w14:paraId="646B855F" w14:textId="77777777" w:rsidTr="00561961">
        <w:tc>
          <w:tcPr>
            <w:tcW w:w="661" w:type="dxa"/>
          </w:tcPr>
          <w:p w14:paraId="42F1A273" w14:textId="77777777" w:rsidR="006732ED" w:rsidRPr="00C8760C" w:rsidRDefault="006732ED" w:rsidP="005064EF">
            <w:pPr>
              <w:rPr>
                <w:rFonts w:ascii="Calibri" w:hAnsi="Calibri" w:cs="Calibri"/>
                <w:b/>
                <w:bCs/>
                <w:color w:val="000000"/>
                <w:sz w:val="22"/>
              </w:rPr>
            </w:pPr>
            <w:r w:rsidRPr="00C8760C">
              <w:rPr>
                <w:rFonts w:ascii="Calibri" w:hAnsi="Calibri" w:cs="Calibri"/>
                <w:b/>
                <w:bCs/>
                <w:color w:val="000000"/>
                <w:sz w:val="22"/>
              </w:rPr>
              <w:t>5.4</w:t>
            </w:r>
          </w:p>
          <w:p w14:paraId="4AF1DC49" w14:textId="77777777" w:rsidR="006732ED" w:rsidRPr="00C8760C" w:rsidRDefault="006732ED" w:rsidP="00BD5C09">
            <w:pPr>
              <w:rPr>
                <w:rFonts w:cs="Arial"/>
                <w:b/>
                <w:bCs/>
                <w:color w:val="000000"/>
                <w:szCs w:val="20"/>
              </w:rPr>
            </w:pPr>
          </w:p>
        </w:tc>
        <w:tc>
          <w:tcPr>
            <w:tcW w:w="3592" w:type="dxa"/>
          </w:tcPr>
          <w:p w14:paraId="2C9575AF" w14:textId="77777777" w:rsidR="006732ED" w:rsidRPr="00C8760C" w:rsidRDefault="006732ED" w:rsidP="00BD5C09">
            <w:pPr>
              <w:rPr>
                <w:rFonts w:ascii="Calibri" w:hAnsi="Calibri" w:cs="Calibri"/>
                <w:color w:val="000000"/>
                <w:sz w:val="22"/>
              </w:rPr>
            </w:pPr>
            <w:r w:rsidRPr="00C8760C">
              <w:rPr>
                <w:rFonts w:ascii="Calibri" w:hAnsi="Calibri" w:cs="Calibri"/>
                <w:color w:val="000000"/>
                <w:sz w:val="22"/>
              </w:rPr>
              <w:t>Is the information that investors need to carry out their due diligence under Article 5 different from the information that supervisors need?</w:t>
            </w:r>
            <w:r w:rsidRPr="00C8760C">
              <w:rPr>
                <w:rFonts w:ascii="Calibri" w:hAnsi="Calibri" w:cs="Calibri"/>
                <w:color w:val="000000"/>
                <w:sz w:val="22"/>
              </w:rPr>
              <w:br/>
              <w:t>• Significantly different</w:t>
            </w:r>
            <w:r w:rsidRPr="00C8760C">
              <w:rPr>
                <w:rFonts w:ascii="Calibri" w:hAnsi="Calibri" w:cs="Calibri"/>
                <w:color w:val="000000"/>
                <w:sz w:val="22"/>
              </w:rPr>
              <w:br/>
              <w:t>• Moderately different</w:t>
            </w:r>
            <w:r w:rsidRPr="00C8760C">
              <w:rPr>
                <w:rFonts w:ascii="Calibri" w:hAnsi="Calibri" w:cs="Calibri"/>
                <w:color w:val="000000"/>
                <w:sz w:val="22"/>
              </w:rPr>
              <w:br/>
              <w:t>• Similar</w:t>
            </w:r>
          </w:p>
          <w:p w14:paraId="677EA7D3" w14:textId="77777777" w:rsidR="008D76DD" w:rsidRPr="00C8760C" w:rsidRDefault="008D76DD" w:rsidP="00BD5C09">
            <w:pPr>
              <w:rPr>
                <w:rFonts w:ascii="Calibri" w:hAnsi="Calibri" w:cs="Calibri"/>
                <w:color w:val="000000"/>
                <w:sz w:val="22"/>
              </w:rPr>
            </w:pPr>
          </w:p>
          <w:p w14:paraId="7681E901" w14:textId="77777777" w:rsidR="008D76DD" w:rsidRPr="00C8760C" w:rsidRDefault="008D76DD" w:rsidP="00BD5C09">
            <w:pPr>
              <w:rPr>
                <w:rFonts w:ascii="Calibri" w:hAnsi="Calibri" w:cs="Calibri"/>
                <w:color w:val="000000"/>
                <w:sz w:val="22"/>
              </w:rPr>
            </w:pPr>
          </w:p>
          <w:p w14:paraId="2C75EF47" w14:textId="77777777" w:rsidR="008D76DD" w:rsidRPr="00C8760C" w:rsidRDefault="008D76DD" w:rsidP="00BD5C09">
            <w:pPr>
              <w:rPr>
                <w:rFonts w:ascii="Calibri" w:hAnsi="Calibri" w:cs="Calibri"/>
                <w:color w:val="000000"/>
                <w:sz w:val="22"/>
              </w:rPr>
            </w:pPr>
          </w:p>
          <w:p w14:paraId="3B9CB370" w14:textId="70D4BD7A" w:rsidR="008D76DD" w:rsidRPr="00C8760C" w:rsidRDefault="008D76DD" w:rsidP="00BD5C09">
            <w:pPr>
              <w:rPr>
                <w:rFonts w:ascii="Calibri" w:hAnsi="Calibri" w:cs="Calibri"/>
                <w:color w:val="000000"/>
                <w:sz w:val="22"/>
              </w:rPr>
            </w:pPr>
          </w:p>
        </w:tc>
        <w:tc>
          <w:tcPr>
            <w:tcW w:w="6095" w:type="dxa"/>
          </w:tcPr>
          <w:p w14:paraId="059C9E24" w14:textId="77777777" w:rsidR="006732ED" w:rsidRPr="00C8760C" w:rsidRDefault="006732ED" w:rsidP="00BD5C09">
            <w:pPr>
              <w:rPr>
                <w:rFonts w:cs="Arial"/>
                <w:color w:val="000000"/>
                <w:szCs w:val="20"/>
              </w:rPr>
            </w:pPr>
            <w:r w:rsidRPr="00C8760C">
              <w:rPr>
                <w:rFonts w:ascii="Calibri" w:hAnsi="Calibri" w:cs="Calibri"/>
                <w:color w:val="000000"/>
                <w:sz w:val="22"/>
              </w:rPr>
              <w:t>Significantly different</w:t>
            </w:r>
          </w:p>
        </w:tc>
      </w:tr>
      <w:tr w:rsidR="00561961" w:rsidRPr="00C8760C" w14:paraId="1FEE5149" w14:textId="77777777" w:rsidTr="00561961">
        <w:tc>
          <w:tcPr>
            <w:tcW w:w="661" w:type="dxa"/>
          </w:tcPr>
          <w:p w14:paraId="0BE8737E" w14:textId="37BEAF3A" w:rsidR="00561961" w:rsidRPr="00C8760C" w:rsidRDefault="00561961" w:rsidP="00BD5C09">
            <w:pPr>
              <w:rPr>
                <w:rFonts w:cs="Arial"/>
                <w:b/>
                <w:bCs/>
                <w:color w:val="000000"/>
                <w:szCs w:val="20"/>
              </w:rPr>
            </w:pPr>
            <w:bookmarkStart w:id="2" w:name="_Hlk183968768"/>
            <w:r w:rsidRPr="00C8760C">
              <w:rPr>
                <w:rFonts w:cs="Arial"/>
                <w:b/>
                <w:bCs/>
                <w:color w:val="000000"/>
                <w:szCs w:val="20"/>
              </w:rPr>
              <w:lastRenderedPageBreak/>
              <w:t>5.5</w:t>
            </w:r>
          </w:p>
        </w:tc>
        <w:tc>
          <w:tcPr>
            <w:tcW w:w="3592" w:type="dxa"/>
          </w:tcPr>
          <w:p w14:paraId="295523C1" w14:textId="77777777" w:rsidR="00561961" w:rsidRPr="00C8760C" w:rsidRDefault="00561961" w:rsidP="00481192">
            <w:pPr>
              <w:tabs>
                <w:tab w:val="left" w:pos="2600"/>
              </w:tabs>
              <w:rPr>
                <w:rFonts w:cs="Arial"/>
                <w:szCs w:val="20"/>
              </w:rPr>
            </w:pPr>
            <w:r w:rsidRPr="00C8760C">
              <w:rPr>
                <w:rFonts w:cs="Arial"/>
                <w:szCs w:val="20"/>
              </w:rPr>
              <w:t>To ensure that investors and supervisors have sufficient access to information under Article 7, please select your preferred option below.</w:t>
            </w:r>
          </w:p>
          <w:p w14:paraId="42497B3B" w14:textId="77777777" w:rsidR="00561961" w:rsidRPr="00C8760C" w:rsidRDefault="00561961" w:rsidP="00481192">
            <w:pPr>
              <w:tabs>
                <w:tab w:val="left" w:pos="2600"/>
              </w:tabs>
              <w:rPr>
                <w:rFonts w:cs="Arial"/>
                <w:szCs w:val="20"/>
              </w:rPr>
            </w:pPr>
            <w:r w:rsidRPr="00C8760C">
              <w:rPr>
                <w:rFonts w:cs="Arial"/>
                <w:szCs w:val="20"/>
              </w:rPr>
              <w:t>• Option 1:</w:t>
            </w:r>
          </w:p>
          <w:p w14:paraId="1809514A" w14:textId="77777777" w:rsidR="00561961" w:rsidRPr="00C8760C" w:rsidRDefault="00561961" w:rsidP="00481192">
            <w:pPr>
              <w:tabs>
                <w:tab w:val="left" w:pos="2600"/>
              </w:tabs>
              <w:rPr>
                <w:rFonts w:cs="Arial"/>
                <w:szCs w:val="20"/>
              </w:rPr>
            </w:pPr>
            <w:r w:rsidRPr="00C8760C">
              <w:rPr>
                <w:rFonts w:cs="Arial"/>
                <w:szCs w:val="20"/>
              </w:rPr>
              <w:t>▪ Streamline the current disclosure templates for public securitisations</w:t>
            </w:r>
          </w:p>
          <w:p w14:paraId="388048F8" w14:textId="77777777" w:rsidR="00561961" w:rsidRPr="00C8760C" w:rsidRDefault="00561961" w:rsidP="00481192">
            <w:pPr>
              <w:tabs>
                <w:tab w:val="left" w:pos="2600"/>
              </w:tabs>
              <w:rPr>
                <w:rFonts w:cs="Arial"/>
                <w:szCs w:val="20"/>
              </w:rPr>
            </w:pPr>
            <w:r w:rsidRPr="00C8760C">
              <w:rPr>
                <w:rFonts w:cs="Arial"/>
                <w:szCs w:val="20"/>
              </w:rPr>
              <w:t>▪ Introduce a simplified template for private securitisations and require private securitisations to report to securitisation repositories (this reporting will not be public).</w:t>
            </w:r>
          </w:p>
          <w:p w14:paraId="2C7C17B4" w14:textId="77777777" w:rsidR="00561961" w:rsidRPr="00C8760C" w:rsidRDefault="00561961" w:rsidP="00481192">
            <w:pPr>
              <w:tabs>
                <w:tab w:val="left" w:pos="2600"/>
              </w:tabs>
              <w:rPr>
                <w:rFonts w:cs="Arial"/>
                <w:szCs w:val="20"/>
              </w:rPr>
            </w:pPr>
            <w:r w:rsidRPr="00C8760C">
              <w:rPr>
                <w:rFonts w:cs="Arial"/>
                <w:szCs w:val="20"/>
              </w:rPr>
              <w:t>• Option 2:</w:t>
            </w:r>
          </w:p>
          <w:p w14:paraId="2FA6246A" w14:textId="77777777" w:rsidR="00561961" w:rsidRPr="00C8760C" w:rsidRDefault="00561961" w:rsidP="00481192">
            <w:pPr>
              <w:tabs>
                <w:tab w:val="left" w:pos="2600"/>
              </w:tabs>
              <w:rPr>
                <w:rFonts w:cs="Arial"/>
                <w:szCs w:val="20"/>
              </w:rPr>
            </w:pPr>
            <w:r w:rsidRPr="00C8760C">
              <w:rPr>
                <w:rFonts w:cs="Arial"/>
                <w:szCs w:val="20"/>
              </w:rPr>
              <w:t>▪ Remove the distinction between public and private securitisations.</w:t>
            </w:r>
          </w:p>
          <w:p w14:paraId="13CFD00D" w14:textId="77777777" w:rsidR="00561961" w:rsidRPr="00C8760C" w:rsidRDefault="00561961" w:rsidP="00481192">
            <w:pPr>
              <w:tabs>
                <w:tab w:val="left" w:pos="2600"/>
              </w:tabs>
              <w:rPr>
                <w:rFonts w:cs="Arial"/>
                <w:szCs w:val="20"/>
              </w:rPr>
            </w:pPr>
            <w:r w:rsidRPr="00C8760C">
              <w:rPr>
                <w:rFonts w:cs="Arial"/>
                <w:szCs w:val="20"/>
              </w:rPr>
              <w:t>▪ Introduce principles-based disclosure for investors without a prescribed template.</w:t>
            </w:r>
          </w:p>
          <w:p w14:paraId="266D3886" w14:textId="77777777" w:rsidR="00561961" w:rsidRPr="00C8760C" w:rsidRDefault="00561961" w:rsidP="00481192">
            <w:pPr>
              <w:tabs>
                <w:tab w:val="left" w:pos="2600"/>
              </w:tabs>
              <w:rPr>
                <w:rFonts w:cs="Arial"/>
                <w:szCs w:val="20"/>
              </w:rPr>
            </w:pPr>
            <w:r w:rsidRPr="00C8760C">
              <w:rPr>
                <w:rFonts w:cs="Arial"/>
                <w:szCs w:val="20"/>
              </w:rPr>
              <w:t>▪ Replace the current disclosure templates with a simplified prescribed template that fits the needs of competent authorities with a reduced scope/reduced number of fields than the current templates.</w:t>
            </w:r>
          </w:p>
          <w:p w14:paraId="6FA3646A" w14:textId="471E3031" w:rsidR="00561961" w:rsidRPr="00C8760C" w:rsidRDefault="00561961" w:rsidP="00481192">
            <w:pPr>
              <w:tabs>
                <w:tab w:val="left" w:pos="2600"/>
              </w:tabs>
              <w:rPr>
                <w:rFonts w:cs="Arial"/>
                <w:szCs w:val="20"/>
              </w:rPr>
            </w:pPr>
            <w:r w:rsidRPr="00C8760C">
              <w:rPr>
                <w:rFonts w:cs="Arial"/>
                <w:szCs w:val="20"/>
              </w:rPr>
              <w:t>• Option 3: No change to the existing regime under Article 7</w:t>
            </w:r>
          </w:p>
        </w:tc>
        <w:tc>
          <w:tcPr>
            <w:tcW w:w="6095" w:type="dxa"/>
          </w:tcPr>
          <w:p w14:paraId="6C2B9486" w14:textId="74DFEB7D" w:rsidR="00561961" w:rsidRPr="00C8760C" w:rsidRDefault="00561961" w:rsidP="0021357C">
            <w:r w:rsidRPr="00C8760C">
              <w:t>ALFI does not believe that any of the Options are ideal</w:t>
            </w:r>
            <w:r w:rsidR="009F2B44" w:rsidRPr="00C8760C">
              <w:t>, as members saw merit in some points under Option 1 and some points under Option 2. ALFI clearly would welcome that the introduction of introducing principles-based disclosure for investors without a prescribed template</w:t>
            </w:r>
            <w:r w:rsidR="009C214F" w:rsidRPr="00C8760C">
              <w:t>, as outlined under Option 2</w:t>
            </w:r>
            <w:r w:rsidR="009F2B44" w:rsidRPr="00C8760C">
              <w:t>.</w:t>
            </w:r>
          </w:p>
          <w:p w14:paraId="653AC3AE" w14:textId="77777777" w:rsidR="009C214F" w:rsidRPr="00C8760C" w:rsidRDefault="009C214F" w:rsidP="0021357C"/>
          <w:p w14:paraId="65A627D9" w14:textId="77777777" w:rsidR="00561961" w:rsidRPr="00C8760C" w:rsidRDefault="00561961" w:rsidP="0021357C">
            <w:r w:rsidRPr="00C8760C">
              <w:t xml:space="preserve">ALFI has responded to the ESMA consultation on the securitisation disclosure templates under Article 7 SECR. See </w:t>
            </w:r>
            <w:hyperlink r:id="rId12" w:history="1">
              <w:r w:rsidRPr="00C8760C">
                <w:rPr>
                  <w:rStyle w:val="Hyperlink"/>
                </w:rPr>
                <w:t>link</w:t>
              </w:r>
            </w:hyperlink>
            <w:r w:rsidRPr="00C8760C">
              <w:t>.</w:t>
            </w:r>
          </w:p>
          <w:p w14:paraId="32539031" w14:textId="77777777" w:rsidR="00561961" w:rsidRPr="00C8760C" w:rsidRDefault="00561961" w:rsidP="0021357C"/>
          <w:p w14:paraId="4ACF71E8" w14:textId="77777777" w:rsidR="00561961" w:rsidRPr="00C8760C" w:rsidRDefault="00561961" w:rsidP="0021357C">
            <w:r w:rsidRPr="00C8760C">
              <w:t>In addition, ALFI has bilaterally raised its concerns in respect of the disclosure templates under Article 7 SECR to the EU Commission and ESMA by letter in February 2023.</w:t>
            </w:r>
          </w:p>
          <w:p w14:paraId="13519D69" w14:textId="77777777" w:rsidR="00561961" w:rsidRPr="00C8760C" w:rsidRDefault="00561961" w:rsidP="0021357C"/>
          <w:p w14:paraId="3D108D9A" w14:textId="77777777" w:rsidR="00561961" w:rsidRPr="00C8760C" w:rsidRDefault="00561961" w:rsidP="0021357C">
            <w:r w:rsidRPr="00C8760C">
              <w:t xml:space="preserve">The current disclosure framework restricts the scope of issuers to those already complying with the standards, primarily EU issuers, or those issuers (in third countries) willing to voluntarily adhere to them. </w:t>
            </w:r>
          </w:p>
          <w:p w14:paraId="3F151939" w14:textId="77777777" w:rsidR="00561961" w:rsidRPr="00C8760C" w:rsidRDefault="00561961" w:rsidP="0021357C"/>
          <w:p w14:paraId="2775761A" w14:textId="4D115519" w:rsidR="00561961" w:rsidRPr="00C8760C" w:rsidRDefault="00561961" w:rsidP="0021357C">
            <w:r w:rsidRPr="00C8760C">
              <w:t xml:space="preserve">The impact of Article 5 and Article 7 SECR has </w:t>
            </w:r>
            <w:proofErr w:type="gramStart"/>
            <w:r w:rsidR="008D76DD" w:rsidRPr="00C8760C">
              <w:t>lead</w:t>
            </w:r>
            <w:proofErr w:type="gramEnd"/>
            <w:r w:rsidRPr="00C8760C">
              <w:t xml:space="preserve"> a significant reduction in securitisations being purchased by investment funds</w:t>
            </w:r>
            <w:r w:rsidR="008D76DD" w:rsidRPr="00C8760C">
              <w:t xml:space="preserve"> in the EU</w:t>
            </w:r>
            <w:r w:rsidRPr="00C8760C">
              <w:t>. Investment funds even took the decision to remove securitisations from the list of investable assets in their fund documentation. For this reason, we would favour a principles-based approach.</w:t>
            </w:r>
          </w:p>
          <w:p w14:paraId="6040877B" w14:textId="77777777" w:rsidR="00561961" w:rsidRPr="00C8760C" w:rsidRDefault="00561961" w:rsidP="0021357C"/>
          <w:p w14:paraId="269A50D4" w14:textId="77777777" w:rsidR="00561961" w:rsidRPr="00C8760C" w:rsidRDefault="00561961" w:rsidP="0021357C">
            <w:r w:rsidRPr="00C8760C">
              <w:t>We would like to underline that a significant number of issuers of securitisations, particularly from the US, are excluded from EU investment products, as they are not bound by reporting under the cumbersome EU templates, given that they already provide such information in their prospectuses or are prepared to offer it to investors during the due diligence process. This exclusion leads de facto to a less diversified market and missed opportunities for institutional investors.</w:t>
            </w:r>
          </w:p>
          <w:p w14:paraId="091B9203" w14:textId="77777777" w:rsidR="00561961" w:rsidRPr="00C8760C" w:rsidRDefault="00561961" w:rsidP="00307083"/>
          <w:p w14:paraId="01BD2B06" w14:textId="77777777" w:rsidR="00561961" w:rsidRPr="00C8760C" w:rsidRDefault="00561961" w:rsidP="0021357C">
            <w:r w:rsidRPr="00C8760C">
              <w:t xml:space="preserve">When reviewing the securitisation </w:t>
            </w:r>
            <w:proofErr w:type="gramStart"/>
            <w:r w:rsidRPr="00C8760C">
              <w:t>framework</w:t>
            </w:r>
            <w:proofErr w:type="gramEnd"/>
            <w:r w:rsidRPr="00C8760C">
              <w:t xml:space="preserve"> the principle of EU’s competitiveness should also be a critical element, as raised in the recent declarations by Heads of State as well as in the Draghi and Letta report. In this context, we would like to highlight that the UK FCA has sought to make the UK rules, applicable to institutional investors, more principles-based and proportionate, among others via deleting the requirement for prescriptive templates for institutional investors as a means to ensure efficient transparency in relation to non-UK originators and sponsors. Instead, based on a principles-based approach the requirement for UK institutional investors is to ensure that the originator, sponsor etc. has made available sufficient information for asset managers to independently and effectively assess the risks and monitor the securitisation position. </w:t>
            </w:r>
          </w:p>
          <w:p w14:paraId="6A5026D3" w14:textId="27B42F0B" w:rsidR="00561961" w:rsidRPr="00C8760C" w:rsidRDefault="00561961" w:rsidP="00561961">
            <w:r w:rsidRPr="00C8760C">
              <w:t xml:space="preserve">This will inevitably enhance the competitiveness of the UK compared with the EU.  Global investors through EU funds will need  to rely on prescriptive EU templates to ensure compliance with EU rules when investing in securitised assets across the globe. </w:t>
            </w:r>
          </w:p>
        </w:tc>
      </w:tr>
      <w:bookmarkEnd w:id="2"/>
      <w:tr w:rsidR="00561961" w14:paraId="3BA883F1" w14:textId="77777777" w:rsidTr="00561961">
        <w:tc>
          <w:tcPr>
            <w:tcW w:w="661" w:type="dxa"/>
          </w:tcPr>
          <w:p w14:paraId="14B10ED3" w14:textId="35E78312" w:rsidR="00561961" w:rsidRPr="00C8760C" w:rsidRDefault="00561961" w:rsidP="00BD5C09">
            <w:pPr>
              <w:rPr>
                <w:rFonts w:cs="Arial"/>
                <w:b/>
                <w:bCs/>
                <w:color w:val="000000"/>
                <w:szCs w:val="20"/>
              </w:rPr>
            </w:pPr>
            <w:r w:rsidRPr="00C8760C">
              <w:rPr>
                <w:rFonts w:cs="Arial"/>
                <w:b/>
                <w:bCs/>
                <w:color w:val="000000"/>
                <w:szCs w:val="20"/>
              </w:rPr>
              <w:t>5.16</w:t>
            </w:r>
          </w:p>
        </w:tc>
        <w:tc>
          <w:tcPr>
            <w:tcW w:w="3592" w:type="dxa"/>
          </w:tcPr>
          <w:p w14:paraId="369C393A" w14:textId="77777777" w:rsidR="00561961" w:rsidRPr="00C8760C" w:rsidRDefault="00561961" w:rsidP="00E478B7">
            <w:pPr>
              <w:rPr>
                <w:rFonts w:ascii="Calibri" w:hAnsi="Calibri" w:cs="Calibri"/>
                <w:color w:val="000000"/>
                <w:sz w:val="22"/>
              </w:rPr>
            </w:pPr>
            <w:r w:rsidRPr="00C8760C">
              <w:rPr>
                <w:rFonts w:ascii="Calibri" w:hAnsi="Calibri" w:cs="Calibri"/>
                <w:color w:val="000000"/>
                <w:sz w:val="22"/>
              </w:rPr>
              <w:t xml:space="preserve">Under Option 2, what should be included in the principle-based disclosure requirements for investors to reduce compliance costs while </w:t>
            </w:r>
            <w:r w:rsidRPr="00C8760C">
              <w:rPr>
                <w:rFonts w:ascii="Calibri" w:hAnsi="Calibri" w:cs="Calibri"/>
                <w:color w:val="000000"/>
                <w:sz w:val="22"/>
              </w:rPr>
              <w:lastRenderedPageBreak/>
              <w:t>ensuring access to information?</w:t>
            </w:r>
            <w:r w:rsidRPr="00C8760C">
              <w:rPr>
                <w:rFonts w:ascii="Calibri" w:hAnsi="Calibri" w:cs="Calibri"/>
                <w:color w:val="000000"/>
                <w:sz w:val="22"/>
              </w:rPr>
              <w:br/>
              <w:t>How should investors access this information?</w:t>
            </w:r>
            <w:r w:rsidRPr="00C8760C">
              <w:rPr>
                <w:rFonts w:ascii="Calibri" w:hAnsi="Calibri" w:cs="Calibri"/>
                <w:color w:val="000000"/>
                <w:sz w:val="22"/>
              </w:rPr>
              <w:br/>
              <w:t>Please explain your answer, listing all relevant information that you think investors need to do proper due diligence that could be common across all securitisations.</w:t>
            </w:r>
          </w:p>
          <w:p w14:paraId="6460224E" w14:textId="0D9C0C9A" w:rsidR="00561961" w:rsidRPr="00C8760C" w:rsidRDefault="00561961" w:rsidP="00481192">
            <w:pPr>
              <w:tabs>
                <w:tab w:val="left" w:pos="2600"/>
              </w:tabs>
              <w:rPr>
                <w:rFonts w:cs="Arial"/>
                <w:szCs w:val="20"/>
              </w:rPr>
            </w:pPr>
          </w:p>
        </w:tc>
        <w:tc>
          <w:tcPr>
            <w:tcW w:w="6095" w:type="dxa"/>
          </w:tcPr>
          <w:p w14:paraId="224C3246" w14:textId="77777777" w:rsidR="00561961" w:rsidRPr="00C8760C" w:rsidRDefault="00561961" w:rsidP="00BD5C09">
            <w:pPr>
              <w:rPr>
                <w:rFonts w:cs="Arial"/>
                <w:color w:val="000000"/>
                <w:szCs w:val="20"/>
              </w:rPr>
            </w:pPr>
          </w:p>
          <w:p w14:paraId="603176DA" w14:textId="77777777" w:rsidR="00561961" w:rsidRPr="00C8760C" w:rsidRDefault="00561961" w:rsidP="00BD5C09">
            <w:pPr>
              <w:rPr>
                <w:rFonts w:cs="Arial"/>
                <w:color w:val="000000"/>
                <w:szCs w:val="20"/>
              </w:rPr>
            </w:pPr>
            <w:bookmarkStart w:id="3" w:name="_GoBack"/>
            <w:r w:rsidRPr="00C8760C">
              <w:rPr>
                <w:rFonts w:cs="Arial"/>
                <w:color w:val="000000"/>
                <w:szCs w:val="20"/>
              </w:rPr>
              <w:t>Prescriptiveness must be avoided, as this would be counter intuitive for a “principle-based” approach.</w:t>
            </w:r>
          </w:p>
          <w:bookmarkEnd w:id="3"/>
          <w:p w14:paraId="720EC500" w14:textId="77777777" w:rsidR="00561961" w:rsidRPr="00C8760C" w:rsidRDefault="00561961" w:rsidP="00BD5C09">
            <w:pPr>
              <w:rPr>
                <w:rFonts w:cs="Arial"/>
                <w:color w:val="000000"/>
                <w:szCs w:val="20"/>
              </w:rPr>
            </w:pPr>
          </w:p>
        </w:tc>
      </w:tr>
      <w:bookmarkEnd w:id="0"/>
    </w:tbl>
    <w:p w14:paraId="7FE1B69B" w14:textId="77777777" w:rsidR="002843E3" w:rsidRPr="008D76DD" w:rsidRDefault="002843E3" w:rsidP="008D76DD">
      <w:pPr>
        <w:rPr>
          <w:rFonts w:ascii="Segoe UI" w:hAnsi="Segoe UI" w:cs="Segoe UI"/>
          <w:sz w:val="22"/>
        </w:rPr>
      </w:pPr>
    </w:p>
    <w:sectPr w:rsidR="002843E3" w:rsidRPr="008D76DD" w:rsidSect="00EC1507">
      <w:headerReference w:type="even" r:id="rId13"/>
      <w:headerReference w:type="default" r:id="rId14"/>
      <w:footerReference w:type="even" r:id="rId15"/>
      <w:footerReference w:type="default" r:id="rId16"/>
      <w:headerReference w:type="first" r:id="rId17"/>
      <w:footerReference w:type="first" r:id="rId18"/>
      <w:pgSz w:w="11906" w:h="16838"/>
      <w:pgMar w:top="1624" w:right="991" w:bottom="1417" w:left="1276"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256F2" w14:textId="77777777" w:rsidR="00E41270" w:rsidRDefault="00E41270" w:rsidP="0061607B">
      <w:r>
        <w:separator/>
      </w:r>
    </w:p>
  </w:endnote>
  <w:endnote w:type="continuationSeparator" w:id="0">
    <w:p w14:paraId="4C8477E9" w14:textId="77777777" w:rsidR="00E41270" w:rsidRDefault="00E41270" w:rsidP="0061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55005" w14:textId="77777777" w:rsidR="008B61E8" w:rsidRDefault="008B6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76258" w14:textId="77777777" w:rsidR="00996D0F" w:rsidRPr="00EC1507" w:rsidRDefault="00996D0F">
    <w:pPr>
      <w:pStyle w:val="Footer"/>
      <w:jc w:val="right"/>
      <w:rPr>
        <w:rFonts w:ascii="Franklin Gothic Demi Cond" w:hAnsi="Franklin Gothic Demi Cond" w:cs="Segoe UI"/>
      </w:rPr>
    </w:pPr>
  </w:p>
  <w:p w14:paraId="11D492E1" w14:textId="77777777" w:rsidR="00996D0F" w:rsidRDefault="00996D0F">
    <w:pPr>
      <w:pStyle w:val="Footer"/>
    </w:pPr>
  </w:p>
  <w:p w14:paraId="23136B1A" w14:textId="77777777" w:rsidR="009F3246" w:rsidRDefault="009F32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955829"/>
      <w:docPartObj>
        <w:docPartGallery w:val="Page Numbers (Bottom of Page)"/>
        <w:docPartUnique/>
      </w:docPartObj>
    </w:sdtPr>
    <w:sdtEndPr>
      <w:rPr>
        <w:rFonts w:ascii="Franklin Gothic Demi Cond" w:hAnsi="Franklin Gothic Demi Cond"/>
        <w:noProof/>
        <w:color w:val="009999"/>
      </w:rPr>
    </w:sdtEndPr>
    <w:sdtContent>
      <w:p w14:paraId="14E8948E" w14:textId="77777777" w:rsidR="003257FD" w:rsidRPr="00EC16D3" w:rsidRDefault="003257FD">
        <w:pPr>
          <w:pStyle w:val="Footer"/>
          <w:jc w:val="right"/>
          <w:rPr>
            <w:rFonts w:ascii="Franklin Gothic Demi Cond" w:hAnsi="Franklin Gothic Demi Cond"/>
            <w:color w:val="009999"/>
          </w:rPr>
        </w:pPr>
        <w:r w:rsidRPr="00EC16D3">
          <w:rPr>
            <w:rFonts w:ascii="Franklin Gothic Demi Cond" w:hAnsi="Franklin Gothic Demi Cond"/>
            <w:color w:val="009999"/>
          </w:rPr>
          <w:fldChar w:fldCharType="begin"/>
        </w:r>
        <w:r w:rsidRPr="00EC16D3">
          <w:rPr>
            <w:rFonts w:ascii="Franklin Gothic Demi Cond" w:hAnsi="Franklin Gothic Demi Cond"/>
            <w:color w:val="009999"/>
          </w:rPr>
          <w:instrText xml:space="preserve"> PAGE   \* MERGEFORMAT </w:instrText>
        </w:r>
        <w:r w:rsidRPr="00EC16D3">
          <w:rPr>
            <w:rFonts w:ascii="Franklin Gothic Demi Cond" w:hAnsi="Franklin Gothic Demi Cond"/>
            <w:color w:val="009999"/>
          </w:rPr>
          <w:fldChar w:fldCharType="separate"/>
        </w:r>
        <w:r w:rsidRPr="00EC16D3">
          <w:rPr>
            <w:rFonts w:ascii="Franklin Gothic Demi Cond" w:hAnsi="Franklin Gothic Demi Cond"/>
            <w:noProof/>
            <w:color w:val="009999"/>
          </w:rPr>
          <w:t>2</w:t>
        </w:r>
        <w:r w:rsidRPr="00EC16D3">
          <w:rPr>
            <w:rFonts w:ascii="Franklin Gothic Demi Cond" w:hAnsi="Franklin Gothic Demi Cond"/>
            <w:noProof/>
            <w:color w:val="009999"/>
          </w:rPr>
          <w:fldChar w:fldCharType="end"/>
        </w:r>
      </w:p>
    </w:sdtContent>
  </w:sdt>
  <w:p w14:paraId="3997D5C5" w14:textId="77777777" w:rsidR="003257FD" w:rsidRDefault="003257FD" w:rsidP="00B805FC">
    <w:pPr>
      <w:pStyle w:val="Footer"/>
      <w:ind w:left="-709"/>
    </w:pPr>
  </w:p>
  <w:p w14:paraId="10F0AA4E" w14:textId="77777777" w:rsidR="009F3246" w:rsidRDefault="009F32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DCFFD" w14:textId="77777777" w:rsidR="00E41270" w:rsidRDefault="00E41270" w:rsidP="0061607B">
      <w:r>
        <w:separator/>
      </w:r>
    </w:p>
  </w:footnote>
  <w:footnote w:type="continuationSeparator" w:id="0">
    <w:p w14:paraId="46B3B874" w14:textId="77777777" w:rsidR="00E41270" w:rsidRDefault="00E41270" w:rsidP="00616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ADDA" w14:textId="77777777" w:rsidR="008B61E8" w:rsidRDefault="008B6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F9C8A" w14:textId="77777777" w:rsidR="003257FD" w:rsidRDefault="003257FD" w:rsidP="00EB3BDC">
    <w:pPr>
      <w:pStyle w:val="Header"/>
      <w:ind w:hanging="1276"/>
    </w:pPr>
  </w:p>
  <w:p w14:paraId="46E549ED" w14:textId="77777777" w:rsidR="009F3246" w:rsidRDefault="009F324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58D2" w14:textId="77777777" w:rsidR="003257FD" w:rsidRPr="00826043" w:rsidRDefault="003257FD" w:rsidP="00D17558">
    <w:pPr>
      <w:pStyle w:val="Header"/>
      <w:ind w:hanging="993"/>
    </w:pPr>
  </w:p>
  <w:p w14:paraId="2C38324D" w14:textId="77777777" w:rsidR="009F3246" w:rsidRDefault="009F32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03D49"/>
    <w:multiLevelType w:val="hybridMultilevel"/>
    <w:tmpl w:val="27D46422"/>
    <w:lvl w:ilvl="0" w:tplc="EA36A478">
      <w:numFmt w:val="bullet"/>
      <w:lvlText w:val="-"/>
      <w:lvlJc w:val="left"/>
      <w:pPr>
        <w:ind w:left="1080" w:hanging="360"/>
      </w:pPr>
      <w:rPr>
        <w:rFonts w:ascii="Arial" w:eastAsia="Calibr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05FA68AF"/>
    <w:multiLevelType w:val="hybridMultilevel"/>
    <w:tmpl w:val="AD44993C"/>
    <w:lvl w:ilvl="0" w:tplc="0E6C87F0">
      <w:numFmt w:val="bullet"/>
      <w:lvlText w:val="-"/>
      <w:lvlJc w:val="left"/>
      <w:pPr>
        <w:ind w:left="1080" w:hanging="360"/>
      </w:pPr>
      <w:rPr>
        <w:rFonts w:ascii="Segoe UI" w:eastAsia="Arial" w:hAnsi="Segoe UI" w:cs="Segoe U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7016F7A"/>
    <w:multiLevelType w:val="hybridMultilevel"/>
    <w:tmpl w:val="029C746A"/>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15:restartNumberingAfterBreak="0">
    <w:nsid w:val="0A2C7B79"/>
    <w:multiLevelType w:val="hybridMultilevel"/>
    <w:tmpl w:val="FFB46A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972506"/>
    <w:multiLevelType w:val="hybridMultilevel"/>
    <w:tmpl w:val="4D3A417E"/>
    <w:lvl w:ilvl="0" w:tplc="887C6A16">
      <w:numFmt w:val="bullet"/>
      <w:lvlText w:val="-"/>
      <w:lvlJc w:val="left"/>
      <w:pPr>
        <w:ind w:left="1080" w:hanging="360"/>
      </w:pPr>
      <w:rPr>
        <w:rFonts w:ascii="Segoe UI" w:eastAsiaTheme="minorHAns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D27EBA"/>
    <w:multiLevelType w:val="hybridMultilevel"/>
    <w:tmpl w:val="CD16662C"/>
    <w:lvl w:ilvl="0" w:tplc="922E8708">
      <w:numFmt w:val="bullet"/>
      <w:lvlText w:val="-"/>
      <w:lvlJc w:val="left"/>
      <w:pPr>
        <w:ind w:left="720" w:hanging="360"/>
      </w:pPr>
      <w:rPr>
        <w:rFonts w:ascii="Verdana" w:eastAsia="Calibri"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4313CC"/>
    <w:multiLevelType w:val="hybridMultilevel"/>
    <w:tmpl w:val="9B9057AA"/>
    <w:lvl w:ilvl="0" w:tplc="2438EE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E10EF"/>
    <w:multiLevelType w:val="hybridMultilevel"/>
    <w:tmpl w:val="A4EEC38E"/>
    <w:lvl w:ilvl="0" w:tplc="263647E6">
      <w:start w:val="1"/>
      <w:numFmt w:val="decimal"/>
      <w:lvlText w:val="%1."/>
      <w:lvlJc w:val="left"/>
      <w:pPr>
        <w:ind w:left="360" w:hanging="360"/>
      </w:pPr>
      <w:rPr>
        <w:rFonts w:hint="default"/>
      </w:rPr>
    </w:lvl>
    <w:lvl w:ilvl="1" w:tplc="08090019" w:tentative="1">
      <w:start w:val="1"/>
      <w:numFmt w:val="lowerLetter"/>
      <w:lvlText w:val="%2."/>
      <w:lvlJc w:val="left"/>
      <w:pPr>
        <w:ind w:left="588" w:hanging="360"/>
      </w:pPr>
    </w:lvl>
    <w:lvl w:ilvl="2" w:tplc="0809001B" w:tentative="1">
      <w:start w:val="1"/>
      <w:numFmt w:val="lowerRoman"/>
      <w:lvlText w:val="%3."/>
      <w:lvlJc w:val="right"/>
      <w:pPr>
        <w:ind w:left="1308" w:hanging="180"/>
      </w:pPr>
    </w:lvl>
    <w:lvl w:ilvl="3" w:tplc="0809000F" w:tentative="1">
      <w:start w:val="1"/>
      <w:numFmt w:val="decimal"/>
      <w:lvlText w:val="%4."/>
      <w:lvlJc w:val="left"/>
      <w:pPr>
        <w:ind w:left="2028" w:hanging="360"/>
      </w:pPr>
    </w:lvl>
    <w:lvl w:ilvl="4" w:tplc="08090019" w:tentative="1">
      <w:start w:val="1"/>
      <w:numFmt w:val="lowerLetter"/>
      <w:lvlText w:val="%5."/>
      <w:lvlJc w:val="left"/>
      <w:pPr>
        <w:ind w:left="2748" w:hanging="360"/>
      </w:pPr>
    </w:lvl>
    <w:lvl w:ilvl="5" w:tplc="0809001B" w:tentative="1">
      <w:start w:val="1"/>
      <w:numFmt w:val="lowerRoman"/>
      <w:lvlText w:val="%6."/>
      <w:lvlJc w:val="right"/>
      <w:pPr>
        <w:ind w:left="3468" w:hanging="180"/>
      </w:pPr>
    </w:lvl>
    <w:lvl w:ilvl="6" w:tplc="0809000F" w:tentative="1">
      <w:start w:val="1"/>
      <w:numFmt w:val="decimal"/>
      <w:lvlText w:val="%7."/>
      <w:lvlJc w:val="left"/>
      <w:pPr>
        <w:ind w:left="4188" w:hanging="360"/>
      </w:pPr>
    </w:lvl>
    <w:lvl w:ilvl="7" w:tplc="08090019" w:tentative="1">
      <w:start w:val="1"/>
      <w:numFmt w:val="lowerLetter"/>
      <w:lvlText w:val="%8."/>
      <w:lvlJc w:val="left"/>
      <w:pPr>
        <w:ind w:left="4908" w:hanging="360"/>
      </w:pPr>
    </w:lvl>
    <w:lvl w:ilvl="8" w:tplc="0809001B" w:tentative="1">
      <w:start w:val="1"/>
      <w:numFmt w:val="lowerRoman"/>
      <w:lvlText w:val="%9."/>
      <w:lvlJc w:val="right"/>
      <w:pPr>
        <w:ind w:left="5628" w:hanging="180"/>
      </w:pPr>
    </w:lvl>
  </w:abstractNum>
  <w:abstractNum w:abstractNumId="8" w15:restartNumberingAfterBreak="0">
    <w:nsid w:val="19BE31D6"/>
    <w:multiLevelType w:val="hybridMultilevel"/>
    <w:tmpl w:val="B170B9FC"/>
    <w:lvl w:ilvl="0" w:tplc="16FE4BE2">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327425"/>
    <w:multiLevelType w:val="hybridMultilevel"/>
    <w:tmpl w:val="735897DA"/>
    <w:lvl w:ilvl="0" w:tplc="B9E88B96">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D406857"/>
    <w:multiLevelType w:val="hybridMultilevel"/>
    <w:tmpl w:val="57643134"/>
    <w:lvl w:ilvl="0" w:tplc="F078DD16">
      <w:start w:val="1"/>
      <w:numFmt w:val="lowerLetter"/>
      <w:pStyle w:val="Heading3"/>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736815"/>
    <w:multiLevelType w:val="hybridMultilevel"/>
    <w:tmpl w:val="4C44421C"/>
    <w:lvl w:ilvl="0" w:tplc="6958EF34">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31BA6"/>
    <w:multiLevelType w:val="hybridMultilevel"/>
    <w:tmpl w:val="F38AB6F0"/>
    <w:lvl w:ilvl="0" w:tplc="AB8EEF0C">
      <w:numFmt w:val="bullet"/>
      <w:lvlText w:val="−"/>
      <w:lvlJc w:val="left"/>
      <w:pPr>
        <w:ind w:left="720" w:hanging="360"/>
      </w:pPr>
      <w:rPr>
        <w:rFonts w:ascii="Segoe UI" w:hAnsi="Segoe U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CD3C17"/>
    <w:multiLevelType w:val="hybridMultilevel"/>
    <w:tmpl w:val="82E4DFF2"/>
    <w:lvl w:ilvl="0" w:tplc="50A421C2">
      <w:start w:val="1"/>
      <w:numFmt w:val="bullet"/>
      <w:lvlText w:val="-"/>
      <w:lvlJc w:val="left"/>
      <w:pPr>
        <w:tabs>
          <w:tab w:val="num" w:pos="1932"/>
        </w:tabs>
        <w:ind w:left="1932" w:hanging="360"/>
      </w:pPr>
      <w:rPr>
        <w:rFonts w:ascii="Verdana" w:eastAsia="Times New Roman" w:hAnsi="Verdana" w:cs="Times New Roman" w:hint="default"/>
      </w:rPr>
    </w:lvl>
    <w:lvl w:ilvl="1" w:tplc="040C0003">
      <w:start w:val="1"/>
      <w:numFmt w:val="decimal"/>
      <w:lvlText w:val="%2."/>
      <w:lvlJc w:val="left"/>
      <w:pPr>
        <w:tabs>
          <w:tab w:val="num" w:pos="2292"/>
        </w:tabs>
        <w:ind w:left="2292" w:hanging="360"/>
      </w:pPr>
    </w:lvl>
    <w:lvl w:ilvl="2" w:tplc="040C0005">
      <w:start w:val="1"/>
      <w:numFmt w:val="decimal"/>
      <w:lvlText w:val="%3."/>
      <w:lvlJc w:val="left"/>
      <w:pPr>
        <w:tabs>
          <w:tab w:val="num" w:pos="3012"/>
        </w:tabs>
        <w:ind w:left="3012" w:hanging="360"/>
      </w:pPr>
    </w:lvl>
    <w:lvl w:ilvl="3" w:tplc="040C0001">
      <w:start w:val="1"/>
      <w:numFmt w:val="decimal"/>
      <w:lvlText w:val="%4."/>
      <w:lvlJc w:val="left"/>
      <w:pPr>
        <w:tabs>
          <w:tab w:val="num" w:pos="3732"/>
        </w:tabs>
        <w:ind w:left="3732" w:hanging="360"/>
      </w:pPr>
    </w:lvl>
    <w:lvl w:ilvl="4" w:tplc="040C0003">
      <w:start w:val="1"/>
      <w:numFmt w:val="decimal"/>
      <w:lvlText w:val="%5."/>
      <w:lvlJc w:val="left"/>
      <w:pPr>
        <w:tabs>
          <w:tab w:val="num" w:pos="4452"/>
        </w:tabs>
        <w:ind w:left="4452" w:hanging="360"/>
      </w:pPr>
    </w:lvl>
    <w:lvl w:ilvl="5" w:tplc="040C0005">
      <w:start w:val="1"/>
      <w:numFmt w:val="decimal"/>
      <w:lvlText w:val="%6."/>
      <w:lvlJc w:val="left"/>
      <w:pPr>
        <w:tabs>
          <w:tab w:val="num" w:pos="5172"/>
        </w:tabs>
        <w:ind w:left="5172" w:hanging="360"/>
      </w:pPr>
    </w:lvl>
    <w:lvl w:ilvl="6" w:tplc="040C0001">
      <w:start w:val="1"/>
      <w:numFmt w:val="decimal"/>
      <w:lvlText w:val="%7."/>
      <w:lvlJc w:val="left"/>
      <w:pPr>
        <w:tabs>
          <w:tab w:val="num" w:pos="5892"/>
        </w:tabs>
        <w:ind w:left="5892" w:hanging="360"/>
      </w:pPr>
    </w:lvl>
    <w:lvl w:ilvl="7" w:tplc="040C0003">
      <w:start w:val="1"/>
      <w:numFmt w:val="decimal"/>
      <w:lvlText w:val="%8."/>
      <w:lvlJc w:val="left"/>
      <w:pPr>
        <w:tabs>
          <w:tab w:val="num" w:pos="6612"/>
        </w:tabs>
        <w:ind w:left="6612" w:hanging="360"/>
      </w:pPr>
    </w:lvl>
    <w:lvl w:ilvl="8" w:tplc="040C0005">
      <w:start w:val="1"/>
      <w:numFmt w:val="decimal"/>
      <w:lvlText w:val="%9."/>
      <w:lvlJc w:val="left"/>
      <w:pPr>
        <w:tabs>
          <w:tab w:val="num" w:pos="7332"/>
        </w:tabs>
        <w:ind w:left="7332" w:hanging="360"/>
      </w:pPr>
    </w:lvl>
  </w:abstractNum>
  <w:abstractNum w:abstractNumId="14" w15:restartNumberingAfterBreak="0">
    <w:nsid w:val="28A1582C"/>
    <w:multiLevelType w:val="hybridMultilevel"/>
    <w:tmpl w:val="5F129E84"/>
    <w:lvl w:ilvl="0" w:tplc="0748B90A">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D06D1A"/>
    <w:multiLevelType w:val="hybridMultilevel"/>
    <w:tmpl w:val="B6DCC174"/>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31820A74"/>
    <w:multiLevelType w:val="hybridMultilevel"/>
    <w:tmpl w:val="91E8EB62"/>
    <w:lvl w:ilvl="0" w:tplc="98522BA8">
      <w:start w:val="1"/>
      <w:numFmt w:val="upperRoman"/>
      <w:lvlText w:val="%1."/>
      <w:lvlJc w:val="left"/>
      <w:pPr>
        <w:tabs>
          <w:tab w:val="num" w:pos="720"/>
        </w:tabs>
        <w:ind w:left="720" w:hanging="360"/>
      </w:pPr>
      <w:rPr>
        <w:rFonts w:cs="Times New Roman" w:hint="default"/>
      </w:rPr>
    </w:lvl>
    <w:lvl w:ilvl="1" w:tplc="08070019">
      <w:start w:val="1"/>
      <w:numFmt w:val="lowerLetter"/>
      <w:lvlText w:val="%2."/>
      <w:lvlJc w:val="left"/>
      <w:pPr>
        <w:tabs>
          <w:tab w:val="num" w:pos="1440"/>
        </w:tabs>
        <w:ind w:left="1440" w:hanging="360"/>
      </w:pPr>
      <w:rPr>
        <w:rFonts w:cs="Times New Roman"/>
      </w:rPr>
    </w:lvl>
    <w:lvl w:ilvl="2" w:tplc="0807001B" w:tentative="1">
      <w:start w:val="1"/>
      <w:numFmt w:val="lowerRoman"/>
      <w:lvlText w:val="%3."/>
      <w:lvlJc w:val="right"/>
      <w:pPr>
        <w:tabs>
          <w:tab w:val="num" w:pos="2160"/>
        </w:tabs>
        <w:ind w:left="2160" w:hanging="180"/>
      </w:pPr>
      <w:rPr>
        <w:rFonts w:cs="Times New Roman"/>
      </w:rPr>
    </w:lvl>
    <w:lvl w:ilvl="3" w:tplc="0807000F" w:tentative="1">
      <w:start w:val="1"/>
      <w:numFmt w:val="decimal"/>
      <w:lvlText w:val="%4."/>
      <w:lvlJc w:val="left"/>
      <w:pPr>
        <w:tabs>
          <w:tab w:val="num" w:pos="2880"/>
        </w:tabs>
        <w:ind w:left="2880" w:hanging="360"/>
      </w:pPr>
      <w:rPr>
        <w:rFonts w:cs="Times New Roman"/>
      </w:rPr>
    </w:lvl>
    <w:lvl w:ilvl="4" w:tplc="08070019" w:tentative="1">
      <w:start w:val="1"/>
      <w:numFmt w:val="lowerLetter"/>
      <w:lvlText w:val="%5."/>
      <w:lvlJc w:val="left"/>
      <w:pPr>
        <w:tabs>
          <w:tab w:val="num" w:pos="3600"/>
        </w:tabs>
        <w:ind w:left="3600" w:hanging="360"/>
      </w:pPr>
      <w:rPr>
        <w:rFonts w:cs="Times New Roman"/>
      </w:rPr>
    </w:lvl>
    <w:lvl w:ilvl="5" w:tplc="0807001B" w:tentative="1">
      <w:start w:val="1"/>
      <w:numFmt w:val="lowerRoman"/>
      <w:lvlText w:val="%6."/>
      <w:lvlJc w:val="right"/>
      <w:pPr>
        <w:tabs>
          <w:tab w:val="num" w:pos="4320"/>
        </w:tabs>
        <w:ind w:left="4320" w:hanging="180"/>
      </w:pPr>
      <w:rPr>
        <w:rFonts w:cs="Times New Roman"/>
      </w:rPr>
    </w:lvl>
    <w:lvl w:ilvl="6" w:tplc="0807000F" w:tentative="1">
      <w:start w:val="1"/>
      <w:numFmt w:val="decimal"/>
      <w:lvlText w:val="%7."/>
      <w:lvlJc w:val="left"/>
      <w:pPr>
        <w:tabs>
          <w:tab w:val="num" w:pos="5040"/>
        </w:tabs>
        <w:ind w:left="5040" w:hanging="360"/>
      </w:pPr>
      <w:rPr>
        <w:rFonts w:cs="Times New Roman"/>
      </w:rPr>
    </w:lvl>
    <w:lvl w:ilvl="7" w:tplc="08070019" w:tentative="1">
      <w:start w:val="1"/>
      <w:numFmt w:val="lowerLetter"/>
      <w:lvlText w:val="%8."/>
      <w:lvlJc w:val="left"/>
      <w:pPr>
        <w:tabs>
          <w:tab w:val="num" w:pos="5760"/>
        </w:tabs>
        <w:ind w:left="5760" w:hanging="360"/>
      </w:pPr>
      <w:rPr>
        <w:rFonts w:cs="Times New Roman"/>
      </w:rPr>
    </w:lvl>
    <w:lvl w:ilvl="8" w:tplc="08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C47BD4"/>
    <w:multiLevelType w:val="hybridMultilevel"/>
    <w:tmpl w:val="ABC43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0B4619"/>
    <w:multiLevelType w:val="hybridMultilevel"/>
    <w:tmpl w:val="52E4606A"/>
    <w:lvl w:ilvl="0" w:tplc="DD280800">
      <w:start w:val="1"/>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AF2D68"/>
    <w:multiLevelType w:val="hybridMultilevel"/>
    <w:tmpl w:val="DECE3C94"/>
    <w:lvl w:ilvl="0" w:tplc="9B66238A">
      <w:numFmt w:val="bullet"/>
      <w:lvlText w:val="-"/>
      <w:lvlJc w:val="left"/>
      <w:pPr>
        <w:ind w:left="720" w:hanging="360"/>
      </w:pPr>
      <w:rPr>
        <w:rFonts w:ascii="Verdana" w:eastAsia="Calibri"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BAE18D6"/>
    <w:multiLevelType w:val="multilevel"/>
    <w:tmpl w:val="CDF012A8"/>
    <w:lvl w:ilvl="0">
      <w:start w:val="8"/>
      <w:numFmt w:val="decimal"/>
      <w:lvlText w:val="%1"/>
      <w:lvlJc w:val="left"/>
      <w:pPr>
        <w:ind w:left="543" w:hanging="428"/>
      </w:pPr>
      <w:rPr>
        <w:rFonts w:ascii="Arial" w:eastAsia="Arial" w:hAnsi="Arial" w:cs="Arial" w:hint="default"/>
        <w:b/>
        <w:bCs/>
        <w:color w:val="00005A"/>
        <w:w w:val="99"/>
        <w:sz w:val="32"/>
        <w:szCs w:val="32"/>
      </w:rPr>
    </w:lvl>
    <w:lvl w:ilvl="1">
      <w:start w:val="1"/>
      <w:numFmt w:val="decimal"/>
      <w:lvlText w:val="%1.%2"/>
      <w:lvlJc w:val="left"/>
      <w:pPr>
        <w:ind w:left="692" w:hanging="576"/>
      </w:pPr>
      <w:rPr>
        <w:rFonts w:ascii="Arial" w:eastAsia="Arial" w:hAnsi="Arial" w:cs="Arial" w:hint="default"/>
        <w:b/>
        <w:bCs/>
        <w:color w:val="00005A"/>
        <w:w w:val="100"/>
        <w:sz w:val="28"/>
        <w:szCs w:val="28"/>
      </w:rPr>
    </w:lvl>
    <w:lvl w:ilvl="2">
      <w:start w:val="1"/>
      <w:numFmt w:val="decimal"/>
      <w:lvlText w:val="%1.%2.%3"/>
      <w:lvlJc w:val="left"/>
      <w:pPr>
        <w:ind w:left="836" w:hanging="720"/>
      </w:pPr>
      <w:rPr>
        <w:rFonts w:ascii="Arial" w:eastAsia="Arial" w:hAnsi="Arial" w:cs="Arial" w:hint="default"/>
        <w:b/>
        <w:bCs/>
        <w:color w:val="4EA4B3"/>
        <w:spacing w:val="-2"/>
        <w:w w:val="99"/>
        <w:sz w:val="24"/>
        <w:szCs w:val="24"/>
      </w:rPr>
    </w:lvl>
    <w:lvl w:ilvl="3">
      <w:numFmt w:val="bullet"/>
      <w:lvlText w:val="•"/>
      <w:lvlJc w:val="left"/>
      <w:pPr>
        <w:ind w:left="1883" w:hanging="720"/>
      </w:pPr>
      <w:rPr>
        <w:rFonts w:hint="default"/>
      </w:rPr>
    </w:lvl>
    <w:lvl w:ilvl="4">
      <w:numFmt w:val="bullet"/>
      <w:lvlText w:val="•"/>
      <w:lvlJc w:val="left"/>
      <w:pPr>
        <w:ind w:left="2926" w:hanging="720"/>
      </w:pPr>
      <w:rPr>
        <w:rFonts w:hint="default"/>
      </w:rPr>
    </w:lvl>
    <w:lvl w:ilvl="5">
      <w:numFmt w:val="bullet"/>
      <w:lvlText w:val="•"/>
      <w:lvlJc w:val="left"/>
      <w:pPr>
        <w:ind w:left="3969" w:hanging="720"/>
      </w:pPr>
      <w:rPr>
        <w:rFonts w:hint="default"/>
      </w:rPr>
    </w:lvl>
    <w:lvl w:ilvl="6">
      <w:numFmt w:val="bullet"/>
      <w:lvlText w:val="•"/>
      <w:lvlJc w:val="left"/>
      <w:pPr>
        <w:ind w:left="5013" w:hanging="720"/>
      </w:pPr>
      <w:rPr>
        <w:rFonts w:hint="default"/>
      </w:rPr>
    </w:lvl>
    <w:lvl w:ilvl="7">
      <w:numFmt w:val="bullet"/>
      <w:lvlText w:val="•"/>
      <w:lvlJc w:val="left"/>
      <w:pPr>
        <w:ind w:left="6056" w:hanging="720"/>
      </w:pPr>
      <w:rPr>
        <w:rFonts w:hint="default"/>
      </w:rPr>
    </w:lvl>
    <w:lvl w:ilvl="8">
      <w:numFmt w:val="bullet"/>
      <w:lvlText w:val="•"/>
      <w:lvlJc w:val="left"/>
      <w:pPr>
        <w:ind w:left="7099" w:hanging="720"/>
      </w:pPr>
      <w:rPr>
        <w:rFonts w:hint="default"/>
      </w:rPr>
    </w:lvl>
  </w:abstractNum>
  <w:abstractNum w:abstractNumId="21" w15:restartNumberingAfterBreak="0">
    <w:nsid w:val="4D63024C"/>
    <w:multiLevelType w:val="hybridMultilevel"/>
    <w:tmpl w:val="EC0AF732"/>
    <w:lvl w:ilvl="0" w:tplc="C41020F6">
      <w:numFmt w:val="bullet"/>
      <w:lvlText w:val="-"/>
      <w:lvlJc w:val="left"/>
      <w:pPr>
        <w:ind w:left="1080" w:hanging="360"/>
      </w:pPr>
      <w:rPr>
        <w:rFonts w:ascii="Segoe UI" w:eastAsiaTheme="minorHAns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D9645BF"/>
    <w:multiLevelType w:val="multilevel"/>
    <w:tmpl w:val="F6245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E4B4E3E"/>
    <w:multiLevelType w:val="multilevel"/>
    <w:tmpl w:val="A468C28C"/>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4" w15:restartNumberingAfterBreak="0">
    <w:nsid w:val="51795D55"/>
    <w:multiLevelType w:val="hybridMultilevel"/>
    <w:tmpl w:val="ADC60482"/>
    <w:lvl w:ilvl="0" w:tplc="77EC34A8">
      <w:start w:val="1"/>
      <w:numFmt w:val="decimal"/>
      <w:pStyle w:val="Heading2"/>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46C11"/>
    <w:multiLevelType w:val="hybridMultilevel"/>
    <w:tmpl w:val="3F6A3CEC"/>
    <w:lvl w:ilvl="0" w:tplc="083081B4">
      <w:start w:val="8"/>
      <w:numFmt w:val="bullet"/>
      <w:lvlText w:val="-"/>
      <w:lvlJc w:val="left"/>
      <w:pPr>
        <w:ind w:left="1006" w:hanging="360"/>
      </w:pPr>
      <w:rPr>
        <w:rFonts w:ascii="Segoe UI" w:eastAsia="Arial" w:hAnsi="Segoe UI" w:cs="Segoe UI" w:hint="default"/>
      </w:rPr>
    </w:lvl>
    <w:lvl w:ilvl="1" w:tplc="18090003" w:tentative="1">
      <w:start w:val="1"/>
      <w:numFmt w:val="bullet"/>
      <w:lvlText w:val="o"/>
      <w:lvlJc w:val="left"/>
      <w:pPr>
        <w:ind w:left="1726" w:hanging="360"/>
      </w:pPr>
      <w:rPr>
        <w:rFonts w:ascii="Courier New" w:hAnsi="Courier New" w:cs="Courier New" w:hint="default"/>
      </w:rPr>
    </w:lvl>
    <w:lvl w:ilvl="2" w:tplc="18090005" w:tentative="1">
      <w:start w:val="1"/>
      <w:numFmt w:val="bullet"/>
      <w:lvlText w:val=""/>
      <w:lvlJc w:val="left"/>
      <w:pPr>
        <w:ind w:left="2446" w:hanging="360"/>
      </w:pPr>
      <w:rPr>
        <w:rFonts w:ascii="Wingdings" w:hAnsi="Wingdings" w:hint="default"/>
      </w:rPr>
    </w:lvl>
    <w:lvl w:ilvl="3" w:tplc="18090001" w:tentative="1">
      <w:start w:val="1"/>
      <w:numFmt w:val="bullet"/>
      <w:lvlText w:val=""/>
      <w:lvlJc w:val="left"/>
      <w:pPr>
        <w:ind w:left="3166" w:hanging="360"/>
      </w:pPr>
      <w:rPr>
        <w:rFonts w:ascii="Symbol" w:hAnsi="Symbol" w:hint="default"/>
      </w:rPr>
    </w:lvl>
    <w:lvl w:ilvl="4" w:tplc="18090003" w:tentative="1">
      <w:start w:val="1"/>
      <w:numFmt w:val="bullet"/>
      <w:lvlText w:val="o"/>
      <w:lvlJc w:val="left"/>
      <w:pPr>
        <w:ind w:left="3886" w:hanging="360"/>
      </w:pPr>
      <w:rPr>
        <w:rFonts w:ascii="Courier New" w:hAnsi="Courier New" w:cs="Courier New" w:hint="default"/>
      </w:rPr>
    </w:lvl>
    <w:lvl w:ilvl="5" w:tplc="18090005" w:tentative="1">
      <w:start w:val="1"/>
      <w:numFmt w:val="bullet"/>
      <w:lvlText w:val=""/>
      <w:lvlJc w:val="left"/>
      <w:pPr>
        <w:ind w:left="4606" w:hanging="360"/>
      </w:pPr>
      <w:rPr>
        <w:rFonts w:ascii="Wingdings" w:hAnsi="Wingdings" w:hint="default"/>
      </w:rPr>
    </w:lvl>
    <w:lvl w:ilvl="6" w:tplc="18090001" w:tentative="1">
      <w:start w:val="1"/>
      <w:numFmt w:val="bullet"/>
      <w:lvlText w:val=""/>
      <w:lvlJc w:val="left"/>
      <w:pPr>
        <w:ind w:left="5326" w:hanging="360"/>
      </w:pPr>
      <w:rPr>
        <w:rFonts w:ascii="Symbol" w:hAnsi="Symbol" w:hint="default"/>
      </w:rPr>
    </w:lvl>
    <w:lvl w:ilvl="7" w:tplc="18090003" w:tentative="1">
      <w:start w:val="1"/>
      <w:numFmt w:val="bullet"/>
      <w:lvlText w:val="o"/>
      <w:lvlJc w:val="left"/>
      <w:pPr>
        <w:ind w:left="6046" w:hanging="360"/>
      </w:pPr>
      <w:rPr>
        <w:rFonts w:ascii="Courier New" w:hAnsi="Courier New" w:cs="Courier New" w:hint="default"/>
      </w:rPr>
    </w:lvl>
    <w:lvl w:ilvl="8" w:tplc="18090005" w:tentative="1">
      <w:start w:val="1"/>
      <w:numFmt w:val="bullet"/>
      <w:lvlText w:val=""/>
      <w:lvlJc w:val="left"/>
      <w:pPr>
        <w:ind w:left="6766" w:hanging="360"/>
      </w:pPr>
      <w:rPr>
        <w:rFonts w:ascii="Wingdings" w:hAnsi="Wingdings" w:hint="default"/>
      </w:rPr>
    </w:lvl>
  </w:abstractNum>
  <w:abstractNum w:abstractNumId="26" w15:restartNumberingAfterBreak="0">
    <w:nsid w:val="5DE30A6E"/>
    <w:multiLevelType w:val="hybridMultilevel"/>
    <w:tmpl w:val="29FE3A9A"/>
    <w:lvl w:ilvl="0" w:tplc="51F46DE4">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4136F5"/>
    <w:multiLevelType w:val="hybridMultilevel"/>
    <w:tmpl w:val="D23E4F1C"/>
    <w:lvl w:ilvl="0" w:tplc="39ACFE54">
      <w:start w:val="1"/>
      <w:numFmt w:val="bullet"/>
      <w:lvlText w:val=""/>
      <w:lvlJc w:val="left"/>
      <w:pPr>
        <w:tabs>
          <w:tab w:val="num" w:pos="720"/>
        </w:tabs>
        <w:ind w:left="720" w:hanging="360"/>
      </w:pPr>
      <w:rPr>
        <w:rFonts w:ascii="Symbol" w:hAnsi="Symbol" w:hint="default"/>
      </w:rPr>
    </w:lvl>
    <w:lvl w:ilvl="1" w:tplc="6BE25ED0">
      <w:start w:val="1"/>
      <w:numFmt w:val="bullet"/>
      <w:lvlText w:val=""/>
      <w:lvlJc w:val="left"/>
      <w:pPr>
        <w:tabs>
          <w:tab w:val="num" w:pos="1440"/>
        </w:tabs>
        <w:ind w:left="1440" w:hanging="360"/>
      </w:pPr>
      <w:rPr>
        <w:rFonts w:ascii="Symbol" w:hAnsi="Symbol" w:hint="default"/>
      </w:rPr>
    </w:lvl>
    <w:lvl w:ilvl="2" w:tplc="C874A3A6">
      <w:numFmt w:val="bullet"/>
      <w:lvlText w:val="−"/>
      <w:lvlJc w:val="left"/>
      <w:pPr>
        <w:tabs>
          <w:tab w:val="num" w:pos="2160"/>
        </w:tabs>
        <w:ind w:left="2160" w:hanging="360"/>
      </w:pPr>
      <w:rPr>
        <w:rFonts w:ascii="Segoe UI" w:hAnsi="Segoe UI" w:hint="default"/>
      </w:rPr>
    </w:lvl>
    <w:lvl w:ilvl="3" w:tplc="B2DAFF9E">
      <w:numFmt w:val="none"/>
      <w:lvlText w:val=""/>
      <w:lvlJc w:val="left"/>
      <w:pPr>
        <w:tabs>
          <w:tab w:val="num" w:pos="360"/>
        </w:tabs>
      </w:pPr>
    </w:lvl>
    <w:lvl w:ilvl="4" w:tplc="EBE8CB7A" w:tentative="1">
      <w:start w:val="1"/>
      <w:numFmt w:val="bullet"/>
      <w:lvlText w:val=""/>
      <w:lvlJc w:val="left"/>
      <w:pPr>
        <w:tabs>
          <w:tab w:val="num" w:pos="3600"/>
        </w:tabs>
        <w:ind w:left="3600" w:hanging="360"/>
      </w:pPr>
      <w:rPr>
        <w:rFonts w:ascii="Symbol" w:hAnsi="Symbol" w:hint="default"/>
      </w:rPr>
    </w:lvl>
    <w:lvl w:ilvl="5" w:tplc="C3DEAA34" w:tentative="1">
      <w:start w:val="1"/>
      <w:numFmt w:val="bullet"/>
      <w:lvlText w:val=""/>
      <w:lvlJc w:val="left"/>
      <w:pPr>
        <w:tabs>
          <w:tab w:val="num" w:pos="4320"/>
        </w:tabs>
        <w:ind w:left="4320" w:hanging="360"/>
      </w:pPr>
      <w:rPr>
        <w:rFonts w:ascii="Symbol" w:hAnsi="Symbol" w:hint="default"/>
      </w:rPr>
    </w:lvl>
    <w:lvl w:ilvl="6" w:tplc="33BC0E6E" w:tentative="1">
      <w:start w:val="1"/>
      <w:numFmt w:val="bullet"/>
      <w:lvlText w:val=""/>
      <w:lvlJc w:val="left"/>
      <w:pPr>
        <w:tabs>
          <w:tab w:val="num" w:pos="5040"/>
        </w:tabs>
        <w:ind w:left="5040" w:hanging="360"/>
      </w:pPr>
      <w:rPr>
        <w:rFonts w:ascii="Symbol" w:hAnsi="Symbol" w:hint="default"/>
      </w:rPr>
    </w:lvl>
    <w:lvl w:ilvl="7" w:tplc="D6BEB538" w:tentative="1">
      <w:start w:val="1"/>
      <w:numFmt w:val="bullet"/>
      <w:lvlText w:val=""/>
      <w:lvlJc w:val="left"/>
      <w:pPr>
        <w:tabs>
          <w:tab w:val="num" w:pos="5760"/>
        </w:tabs>
        <w:ind w:left="5760" w:hanging="360"/>
      </w:pPr>
      <w:rPr>
        <w:rFonts w:ascii="Symbol" w:hAnsi="Symbol" w:hint="default"/>
      </w:rPr>
    </w:lvl>
    <w:lvl w:ilvl="8" w:tplc="9C54DBE2"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F841CB8"/>
    <w:multiLevelType w:val="hybridMultilevel"/>
    <w:tmpl w:val="1A6044BA"/>
    <w:lvl w:ilvl="0" w:tplc="70305E9C">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C068FB"/>
    <w:multiLevelType w:val="hybridMultilevel"/>
    <w:tmpl w:val="4CE43DA6"/>
    <w:lvl w:ilvl="0" w:tplc="08090001">
      <w:start w:val="1"/>
      <w:numFmt w:val="bullet"/>
      <w:lvlText w:val=""/>
      <w:lvlJc w:val="left"/>
      <w:pPr>
        <w:ind w:left="852" w:hanging="360"/>
      </w:pPr>
      <w:rPr>
        <w:rFonts w:ascii="Symbol" w:hAnsi="Symbol" w:hint="default"/>
      </w:rPr>
    </w:lvl>
    <w:lvl w:ilvl="1" w:tplc="08090003" w:tentative="1">
      <w:start w:val="1"/>
      <w:numFmt w:val="bullet"/>
      <w:lvlText w:val="o"/>
      <w:lvlJc w:val="left"/>
      <w:pPr>
        <w:ind w:left="1572" w:hanging="360"/>
      </w:pPr>
      <w:rPr>
        <w:rFonts w:ascii="Courier New" w:hAnsi="Courier New" w:cs="Courier New" w:hint="default"/>
      </w:rPr>
    </w:lvl>
    <w:lvl w:ilvl="2" w:tplc="08090005" w:tentative="1">
      <w:start w:val="1"/>
      <w:numFmt w:val="bullet"/>
      <w:lvlText w:val=""/>
      <w:lvlJc w:val="left"/>
      <w:pPr>
        <w:ind w:left="2292" w:hanging="360"/>
      </w:pPr>
      <w:rPr>
        <w:rFonts w:ascii="Wingdings" w:hAnsi="Wingdings" w:hint="default"/>
      </w:rPr>
    </w:lvl>
    <w:lvl w:ilvl="3" w:tplc="08090001" w:tentative="1">
      <w:start w:val="1"/>
      <w:numFmt w:val="bullet"/>
      <w:lvlText w:val=""/>
      <w:lvlJc w:val="left"/>
      <w:pPr>
        <w:ind w:left="3012" w:hanging="360"/>
      </w:pPr>
      <w:rPr>
        <w:rFonts w:ascii="Symbol" w:hAnsi="Symbol" w:hint="default"/>
      </w:rPr>
    </w:lvl>
    <w:lvl w:ilvl="4" w:tplc="08090003" w:tentative="1">
      <w:start w:val="1"/>
      <w:numFmt w:val="bullet"/>
      <w:lvlText w:val="o"/>
      <w:lvlJc w:val="left"/>
      <w:pPr>
        <w:ind w:left="3732" w:hanging="360"/>
      </w:pPr>
      <w:rPr>
        <w:rFonts w:ascii="Courier New" w:hAnsi="Courier New" w:cs="Courier New" w:hint="default"/>
      </w:rPr>
    </w:lvl>
    <w:lvl w:ilvl="5" w:tplc="08090005" w:tentative="1">
      <w:start w:val="1"/>
      <w:numFmt w:val="bullet"/>
      <w:lvlText w:val=""/>
      <w:lvlJc w:val="left"/>
      <w:pPr>
        <w:ind w:left="4452" w:hanging="360"/>
      </w:pPr>
      <w:rPr>
        <w:rFonts w:ascii="Wingdings" w:hAnsi="Wingdings" w:hint="default"/>
      </w:rPr>
    </w:lvl>
    <w:lvl w:ilvl="6" w:tplc="08090001" w:tentative="1">
      <w:start w:val="1"/>
      <w:numFmt w:val="bullet"/>
      <w:lvlText w:val=""/>
      <w:lvlJc w:val="left"/>
      <w:pPr>
        <w:ind w:left="5172" w:hanging="360"/>
      </w:pPr>
      <w:rPr>
        <w:rFonts w:ascii="Symbol" w:hAnsi="Symbol" w:hint="default"/>
      </w:rPr>
    </w:lvl>
    <w:lvl w:ilvl="7" w:tplc="08090003" w:tentative="1">
      <w:start w:val="1"/>
      <w:numFmt w:val="bullet"/>
      <w:lvlText w:val="o"/>
      <w:lvlJc w:val="left"/>
      <w:pPr>
        <w:ind w:left="5892" w:hanging="360"/>
      </w:pPr>
      <w:rPr>
        <w:rFonts w:ascii="Courier New" w:hAnsi="Courier New" w:cs="Courier New" w:hint="default"/>
      </w:rPr>
    </w:lvl>
    <w:lvl w:ilvl="8" w:tplc="08090005" w:tentative="1">
      <w:start w:val="1"/>
      <w:numFmt w:val="bullet"/>
      <w:lvlText w:val=""/>
      <w:lvlJc w:val="left"/>
      <w:pPr>
        <w:ind w:left="6612" w:hanging="360"/>
      </w:pPr>
      <w:rPr>
        <w:rFonts w:ascii="Wingdings" w:hAnsi="Wingdings" w:hint="default"/>
      </w:rPr>
    </w:lvl>
  </w:abstractNum>
  <w:abstractNum w:abstractNumId="30" w15:restartNumberingAfterBreak="0">
    <w:nsid w:val="6DB92804"/>
    <w:multiLevelType w:val="hybridMultilevel"/>
    <w:tmpl w:val="A49EC12E"/>
    <w:lvl w:ilvl="0" w:tplc="89C8616C">
      <w:start w:val="1"/>
      <w:numFmt w:val="decimal"/>
      <w:pStyle w:val="Heading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F05208"/>
    <w:multiLevelType w:val="hybridMultilevel"/>
    <w:tmpl w:val="DD547DCA"/>
    <w:lvl w:ilvl="0" w:tplc="4BE640CA">
      <w:start w:val="1"/>
      <w:numFmt w:val="bullet"/>
      <w:lvlText w:val="-"/>
      <w:lvlJc w:val="left"/>
      <w:pPr>
        <w:ind w:left="360" w:hanging="360"/>
      </w:pPr>
      <w:rPr>
        <w:rFonts w:ascii="Segoe UI" w:eastAsiaTheme="minorHAnsi" w:hAnsi="Segoe UI" w:cs="Segoe U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8F40061"/>
    <w:multiLevelType w:val="hybridMultilevel"/>
    <w:tmpl w:val="68A4C7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79190464"/>
    <w:multiLevelType w:val="hybridMultilevel"/>
    <w:tmpl w:val="4DA2B520"/>
    <w:lvl w:ilvl="0" w:tplc="BFD267FA">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AC06E07"/>
    <w:multiLevelType w:val="hybridMultilevel"/>
    <w:tmpl w:val="C3620E3A"/>
    <w:lvl w:ilvl="0" w:tplc="9900342C">
      <w:numFmt w:val="bullet"/>
      <w:lvlText w:val="-"/>
      <w:lvlJc w:val="left"/>
      <w:pPr>
        <w:ind w:left="-66" w:hanging="360"/>
      </w:pPr>
      <w:rPr>
        <w:rFonts w:ascii="Arial" w:eastAsiaTheme="minorHAnsi" w:hAnsi="Arial" w:cs="Arial"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35" w15:restartNumberingAfterBreak="0">
    <w:nsid w:val="7C291269"/>
    <w:multiLevelType w:val="hybridMultilevel"/>
    <w:tmpl w:val="2B780964"/>
    <w:lvl w:ilvl="0" w:tplc="79E250CC">
      <w:start w:val="1"/>
      <w:numFmt w:val="decimal"/>
      <w:lvlText w:val="%1."/>
      <w:lvlJc w:val="left"/>
      <w:pPr>
        <w:ind w:left="720" w:hanging="360"/>
      </w:pPr>
      <w:rPr>
        <w:rFonts w:ascii="Verdana" w:hAnsi="Verdana" w:cs="Arial" w:hint="default"/>
        <w:sz w:val="20"/>
        <w:szCs w:val="20"/>
      </w:rPr>
    </w:lvl>
    <w:lvl w:ilvl="1" w:tplc="0807000F">
      <w:start w:val="1"/>
      <w:numFmt w:val="decimal"/>
      <w:lvlText w:val="%2."/>
      <w:lvlJc w:val="left"/>
      <w:pPr>
        <w:tabs>
          <w:tab w:val="num" w:pos="1440"/>
        </w:tabs>
        <w:ind w:left="1440" w:hanging="360"/>
      </w:pPr>
      <w:rPr>
        <w:rFonts w:cs="Times New Roman" w:hint="default"/>
        <w:sz w:val="20"/>
        <w:szCs w:val="20"/>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7EB65E29"/>
    <w:multiLevelType w:val="multilevel"/>
    <w:tmpl w:val="9D6E324E"/>
    <w:lvl w:ilvl="0">
      <w:start w:val="1"/>
      <w:numFmt w:val="none"/>
      <w:pStyle w:val="AODocTxt"/>
      <w:suff w:val="nothing"/>
      <w:lvlText w:val="%1"/>
      <w:lvlJc w:val="left"/>
      <w:pPr>
        <w:ind w:left="646" w:firstLine="0"/>
      </w:pPr>
      <w:rPr>
        <w:rFonts w:hint="default"/>
      </w:rPr>
    </w:lvl>
    <w:lvl w:ilvl="1">
      <w:start w:val="1"/>
      <w:numFmt w:val="none"/>
      <w:pStyle w:val="AODocTxtL1"/>
      <w:suff w:val="nothing"/>
      <w:lvlText w:val="%2"/>
      <w:lvlJc w:val="left"/>
      <w:pPr>
        <w:ind w:left="1366" w:firstLine="0"/>
      </w:pPr>
      <w:rPr>
        <w:rFonts w:hint="default"/>
      </w:rPr>
    </w:lvl>
    <w:lvl w:ilvl="2">
      <w:start w:val="1"/>
      <w:numFmt w:val="none"/>
      <w:pStyle w:val="AODocTxtL2"/>
      <w:suff w:val="nothing"/>
      <w:lvlText w:val="%3"/>
      <w:lvlJc w:val="left"/>
      <w:pPr>
        <w:ind w:left="2086" w:firstLine="0"/>
      </w:pPr>
      <w:rPr>
        <w:rFonts w:hint="default"/>
      </w:rPr>
    </w:lvl>
    <w:lvl w:ilvl="3">
      <w:start w:val="1"/>
      <w:numFmt w:val="none"/>
      <w:pStyle w:val="AODocTxtL3"/>
      <w:suff w:val="nothing"/>
      <w:lvlText w:val=""/>
      <w:lvlJc w:val="left"/>
      <w:pPr>
        <w:ind w:left="2806" w:firstLine="0"/>
      </w:pPr>
      <w:rPr>
        <w:rFonts w:hint="default"/>
      </w:rPr>
    </w:lvl>
    <w:lvl w:ilvl="4">
      <w:start w:val="1"/>
      <w:numFmt w:val="none"/>
      <w:pStyle w:val="AODocTxtL4"/>
      <w:suff w:val="nothing"/>
      <w:lvlText w:val=""/>
      <w:lvlJc w:val="left"/>
      <w:pPr>
        <w:ind w:left="3526" w:firstLine="0"/>
      </w:pPr>
      <w:rPr>
        <w:rFonts w:hint="default"/>
      </w:rPr>
    </w:lvl>
    <w:lvl w:ilvl="5">
      <w:start w:val="1"/>
      <w:numFmt w:val="none"/>
      <w:pStyle w:val="AODocTxtL5"/>
      <w:suff w:val="nothing"/>
      <w:lvlText w:val=""/>
      <w:lvlJc w:val="left"/>
      <w:pPr>
        <w:ind w:left="4246" w:firstLine="0"/>
      </w:pPr>
      <w:rPr>
        <w:rFonts w:hint="default"/>
      </w:rPr>
    </w:lvl>
    <w:lvl w:ilvl="6">
      <w:start w:val="1"/>
      <w:numFmt w:val="none"/>
      <w:pStyle w:val="AODocTxtL6"/>
      <w:suff w:val="nothing"/>
      <w:lvlText w:val=""/>
      <w:lvlJc w:val="left"/>
      <w:pPr>
        <w:ind w:left="4967" w:firstLine="0"/>
      </w:pPr>
      <w:rPr>
        <w:rFonts w:hint="default"/>
      </w:rPr>
    </w:lvl>
    <w:lvl w:ilvl="7">
      <w:start w:val="1"/>
      <w:numFmt w:val="none"/>
      <w:pStyle w:val="AODocTxtL7"/>
      <w:suff w:val="nothing"/>
      <w:lvlText w:val="%8"/>
      <w:lvlJc w:val="left"/>
      <w:pPr>
        <w:ind w:left="5687" w:firstLine="0"/>
      </w:pPr>
      <w:rPr>
        <w:rFonts w:hint="default"/>
      </w:rPr>
    </w:lvl>
    <w:lvl w:ilvl="8">
      <w:start w:val="1"/>
      <w:numFmt w:val="none"/>
      <w:pStyle w:val="AODocTxtL8"/>
      <w:suff w:val="nothing"/>
      <w:lvlText w:val=""/>
      <w:lvlJc w:val="left"/>
      <w:pPr>
        <w:ind w:left="6407" w:firstLine="0"/>
      </w:pPr>
      <w:rPr>
        <w:rFonts w:hint="default"/>
      </w:rPr>
    </w:lvl>
  </w:abstractNum>
  <w:abstractNum w:abstractNumId="37" w15:restartNumberingAfterBreak="0">
    <w:nsid w:val="7F4727BB"/>
    <w:multiLevelType w:val="hybridMultilevel"/>
    <w:tmpl w:val="61BAAC68"/>
    <w:lvl w:ilvl="0" w:tplc="58E003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30"/>
  </w:num>
  <w:num w:numId="4">
    <w:abstractNumId w:val="3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16"/>
  </w:num>
  <w:num w:numId="10">
    <w:abstractNumId w:val="0"/>
  </w:num>
  <w:num w:numId="11">
    <w:abstractNumId w:val="17"/>
  </w:num>
  <w:num w:numId="12">
    <w:abstractNumId w:val="15"/>
  </w:num>
  <w:num w:numId="13">
    <w:abstractNumId w:val="7"/>
  </w:num>
  <w:num w:numId="14">
    <w:abstractNumId w:val="19"/>
  </w:num>
  <w:num w:numId="15">
    <w:abstractNumId w:val="5"/>
  </w:num>
  <w:num w:numId="16">
    <w:abstractNumId w:val="29"/>
  </w:num>
  <w:num w:numId="17">
    <w:abstractNumId w:val="9"/>
  </w:num>
  <w:num w:numId="18">
    <w:abstractNumId w:val="33"/>
  </w:num>
  <w:num w:numId="19">
    <w:abstractNumId w:val="6"/>
  </w:num>
  <w:num w:numId="20">
    <w:abstractNumId w:val="3"/>
  </w:num>
  <w:num w:numId="21">
    <w:abstractNumId w:val="14"/>
  </w:num>
  <w:num w:numId="22">
    <w:abstractNumId w:val="26"/>
  </w:num>
  <w:num w:numId="23">
    <w:abstractNumId w:val="8"/>
  </w:num>
  <w:num w:numId="24">
    <w:abstractNumId w:val="27"/>
  </w:num>
  <w:num w:numId="25">
    <w:abstractNumId w:val="31"/>
  </w:num>
  <w:num w:numId="26">
    <w:abstractNumId w:val="18"/>
  </w:num>
  <w:num w:numId="27">
    <w:abstractNumId w:val="12"/>
  </w:num>
  <w:num w:numId="28">
    <w:abstractNumId w:val="11"/>
  </w:num>
  <w:num w:numId="29">
    <w:abstractNumId w:val="28"/>
  </w:num>
  <w:num w:numId="30">
    <w:abstractNumId w:val="21"/>
  </w:num>
  <w:num w:numId="31">
    <w:abstractNumId w:val="4"/>
  </w:num>
  <w:num w:numId="32">
    <w:abstractNumId w:val="37"/>
  </w:num>
  <w:num w:numId="33">
    <w:abstractNumId w:val="20"/>
  </w:num>
  <w:num w:numId="34">
    <w:abstractNumId w:val="36"/>
  </w:num>
  <w:num w:numId="35">
    <w:abstractNumId w:val="23"/>
  </w:num>
  <w:num w:numId="36">
    <w:abstractNumId w:val="23"/>
  </w:num>
  <w:num w:numId="37">
    <w:abstractNumId w:val="1"/>
  </w:num>
  <w:num w:numId="38">
    <w:abstractNumId w:val="25"/>
  </w:num>
  <w:num w:numId="39">
    <w:abstractNumId w:val="36"/>
  </w:num>
  <w:num w:numId="40">
    <w:abstractNumId w:val="36"/>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8A8"/>
    <w:rsid w:val="00027118"/>
    <w:rsid w:val="00037132"/>
    <w:rsid w:val="0007690A"/>
    <w:rsid w:val="00086983"/>
    <w:rsid w:val="000A1F0B"/>
    <w:rsid w:val="000A46A9"/>
    <w:rsid w:val="000D3268"/>
    <w:rsid w:val="000D6401"/>
    <w:rsid w:val="000E5952"/>
    <w:rsid w:val="000F7228"/>
    <w:rsid w:val="00113087"/>
    <w:rsid w:val="00113CF2"/>
    <w:rsid w:val="00116882"/>
    <w:rsid w:val="00123588"/>
    <w:rsid w:val="00127ADC"/>
    <w:rsid w:val="00136AA9"/>
    <w:rsid w:val="0014424C"/>
    <w:rsid w:val="00150BBA"/>
    <w:rsid w:val="001566EE"/>
    <w:rsid w:val="0015771D"/>
    <w:rsid w:val="0019342A"/>
    <w:rsid w:val="001A19B2"/>
    <w:rsid w:val="001C3DE2"/>
    <w:rsid w:val="001F1323"/>
    <w:rsid w:val="0021357C"/>
    <w:rsid w:val="00220FA2"/>
    <w:rsid w:val="00223E3D"/>
    <w:rsid w:val="002600D4"/>
    <w:rsid w:val="00262EF5"/>
    <w:rsid w:val="00263AD0"/>
    <w:rsid w:val="00264A5C"/>
    <w:rsid w:val="00273C75"/>
    <w:rsid w:val="00277D2F"/>
    <w:rsid w:val="002843E3"/>
    <w:rsid w:val="00286947"/>
    <w:rsid w:val="0029409F"/>
    <w:rsid w:val="00297281"/>
    <w:rsid w:val="002A059A"/>
    <w:rsid w:val="002A43A3"/>
    <w:rsid w:val="002E2C34"/>
    <w:rsid w:val="00307083"/>
    <w:rsid w:val="003135AB"/>
    <w:rsid w:val="0031585C"/>
    <w:rsid w:val="003257FD"/>
    <w:rsid w:val="00346CFA"/>
    <w:rsid w:val="00362B05"/>
    <w:rsid w:val="00372461"/>
    <w:rsid w:val="00372D20"/>
    <w:rsid w:val="003A0DCC"/>
    <w:rsid w:val="003B0F85"/>
    <w:rsid w:val="003B13FB"/>
    <w:rsid w:val="003B32BC"/>
    <w:rsid w:val="003C2EFC"/>
    <w:rsid w:val="003C735F"/>
    <w:rsid w:val="003E155C"/>
    <w:rsid w:val="003E22B9"/>
    <w:rsid w:val="003E38A8"/>
    <w:rsid w:val="003F2F0E"/>
    <w:rsid w:val="00400BAF"/>
    <w:rsid w:val="00401B37"/>
    <w:rsid w:val="004068CE"/>
    <w:rsid w:val="0041561C"/>
    <w:rsid w:val="004300FE"/>
    <w:rsid w:val="00432847"/>
    <w:rsid w:val="00481192"/>
    <w:rsid w:val="00484BC7"/>
    <w:rsid w:val="004A4C89"/>
    <w:rsid w:val="004B0B28"/>
    <w:rsid w:val="004D3B7B"/>
    <w:rsid w:val="005064EF"/>
    <w:rsid w:val="00511130"/>
    <w:rsid w:val="00521080"/>
    <w:rsid w:val="00536471"/>
    <w:rsid w:val="00561961"/>
    <w:rsid w:val="00564CA3"/>
    <w:rsid w:val="0057031F"/>
    <w:rsid w:val="005928A6"/>
    <w:rsid w:val="00597873"/>
    <w:rsid w:val="005A767F"/>
    <w:rsid w:val="005F1420"/>
    <w:rsid w:val="005F6E8F"/>
    <w:rsid w:val="00603E1E"/>
    <w:rsid w:val="00606339"/>
    <w:rsid w:val="0061607B"/>
    <w:rsid w:val="006214CE"/>
    <w:rsid w:val="00623E1A"/>
    <w:rsid w:val="00630FEE"/>
    <w:rsid w:val="006319FE"/>
    <w:rsid w:val="00640522"/>
    <w:rsid w:val="00644AE1"/>
    <w:rsid w:val="006732ED"/>
    <w:rsid w:val="0067620D"/>
    <w:rsid w:val="006D43AE"/>
    <w:rsid w:val="006E5E17"/>
    <w:rsid w:val="006E7E4F"/>
    <w:rsid w:val="007356FF"/>
    <w:rsid w:val="00750641"/>
    <w:rsid w:val="00772EE4"/>
    <w:rsid w:val="007759A5"/>
    <w:rsid w:val="007849A1"/>
    <w:rsid w:val="00792915"/>
    <w:rsid w:val="007942AF"/>
    <w:rsid w:val="007B049C"/>
    <w:rsid w:val="007C6AAB"/>
    <w:rsid w:val="007D4F4E"/>
    <w:rsid w:val="00802963"/>
    <w:rsid w:val="00806C94"/>
    <w:rsid w:val="00812B1C"/>
    <w:rsid w:val="00815F5A"/>
    <w:rsid w:val="00820C5D"/>
    <w:rsid w:val="00826043"/>
    <w:rsid w:val="00834016"/>
    <w:rsid w:val="0083431F"/>
    <w:rsid w:val="00842972"/>
    <w:rsid w:val="008815B0"/>
    <w:rsid w:val="00882E2E"/>
    <w:rsid w:val="00886914"/>
    <w:rsid w:val="008B2AB4"/>
    <w:rsid w:val="008B61E8"/>
    <w:rsid w:val="008D49CA"/>
    <w:rsid w:val="008D76DD"/>
    <w:rsid w:val="008E3DA9"/>
    <w:rsid w:val="008E4E3D"/>
    <w:rsid w:val="008F6473"/>
    <w:rsid w:val="0090168F"/>
    <w:rsid w:val="00906F41"/>
    <w:rsid w:val="00907F7D"/>
    <w:rsid w:val="00914FA0"/>
    <w:rsid w:val="00915CB2"/>
    <w:rsid w:val="00937BEF"/>
    <w:rsid w:val="00950102"/>
    <w:rsid w:val="00956268"/>
    <w:rsid w:val="00961B80"/>
    <w:rsid w:val="00972687"/>
    <w:rsid w:val="0098409A"/>
    <w:rsid w:val="00995F60"/>
    <w:rsid w:val="00996D0F"/>
    <w:rsid w:val="009C200F"/>
    <w:rsid w:val="009C214F"/>
    <w:rsid w:val="009D4770"/>
    <w:rsid w:val="009E6484"/>
    <w:rsid w:val="009F2B44"/>
    <w:rsid w:val="009F3246"/>
    <w:rsid w:val="00A14C92"/>
    <w:rsid w:val="00A2340E"/>
    <w:rsid w:val="00A51059"/>
    <w:rsid w:val="00A52580"/>
    <w:rsid w:val="00A65252"/>
    <w:rsid w:val="00A6525C"/>
    <w:rsid w:val="00A70B56"/>
    <w:rsid w:val="00A77631"/>
    <w:rsid w:val="00A812C6"/>
    <w:rsid w:val="00AA21B3"/>
    <w:rsid w:val="00AB12C8"/>
    <w:rsid w:val="00AC2765"/>
    <w:rsid w:val="00AC7646"/>
    <w:rsid w:val="00AF1141"/>
    <w:rsid w:val="00AF45DA"/>
    <w:rsid w:val="00B04286"/>
    <w:rsid w:val="00B10A3C"/>
    <w:rsid w:val="00B17725"/>
    <w:rsid w:val="00B22141"/>
    <w:rsid w:val="00B33DA7"/>
    <w:rsid w:val="00B4503A"/>
    <w:rsid w:val="00B60F63"/>
    <w:rsid w:val="00B805FC"/>
    <w:rsid w:val="00B96BEF"/>
    <w:rsid w:val="00B972D9"/>
    <w:rsid w:val="00BB28D2"/>
    <w:rsid w:val="00BC325C"/>
    <w:rsid w:val="00BD5C09"/>
    <w:rsid w:val="00BE66A3"/>
    <w:rsid w:val="00C05394"/>
    <w:rsid w:val="00C10A45"/>
    <w:rsid w:val="00C16EA2"/>
    <w:rsid w:val="00C7357D"/>
    <w:rsid w:val="00C8760C"/>
    <w:rsid w:val="00C939F1"/>
    <w:rsid w:val="00CB668F"/>
    <w:rsid w:val="00D0234D"/>
    <w:rsid w:val="00D02FA9"/>
    <w:rsid w:val="00D07C27"/>
    <w:rsid w:val="00D12073"/>
    <w:rsid w:val="00D17558"/>
    <w:rsid w:val="00D2418D"/>
    <w:rsid w:val="00D32AA7"/>
    <w:rsid w:val="00D53722"/>
    <w:rsid w:val="00D773E7"/>
    <w:rsid w:val="00D9337E"/>
    <w:rsid w:val="00D956B7"/>
    <w:rsid w:val="00DA20AD"/>
    <w:rsid w:val="00DD3D83"/>
    <w:rsid w:val="00DE3AA3"/>
    <w:rsid w:val="00DE7E83"/>
    <w:rsid w:val="00E078AC"/>
    <w:rsid w:val="00E26429"/>
    <w:rsid w:val="00E33429"/>
    <w:rsid w:val="00E3743C"/>
    <w:rsid w:val="00E411D4"/>
    <w:rsid w:val="00E41270"/>
    <w:rsid w:val="00E41C0A"/>
    <w:rsid w:val="00E478B7"/>
    <w:rsid w:val="00E47F7B"/>
    <w:rsid w:val="00E611C3"/>
    <w:rsid w:val="00E81CC8"/>
    <w:rsid w:val="00E833C8"/>
    <w:rsid w:val="00E864A1"/>
    <w:rsid w:val="00EA3340"/>
    <w:rsid w:val="00EA6929"/>
    <w:rsid w:val="00EB3BDC"/>
    <w:rsid w:val="00EC1507"/>
    <w:rsid w:val="00EC16D3"/>
    <w:rsid w:val="00EC27C3"/>
    <w:rsid w:val="00EC3399"/>
    <w:rsid w:val="00ED6301"/>
    <w:rsid w:val="00EF3C83"/>
    <w:rsid w:val="00F01980"/>
    <w:rsid w:val="00F037AC"/>
    <w:rsid w:val="00F3283D"/>
    <w:rsid w:val="00F35E99"/>
    <w:rsid w:val="00F47F34"/>
    <w:rsid w:val="00F501C1"/>
    <w:rsid w:val="00F50754"/>
    <w:rsid w:val="00F65ED9"/>
    <w:rsid w:val="00F701C0"/>
    <w:rsid w:val="00F744EA"/>
    <w:rsid w:val="00F95E85"/>
    <w:rsid w:val="00FA6352"/>
    <w:rsid w:val="00FB1817"/>
    <w:rsid w:val="00FB61E5"/>
    <w:rsid w:val="00FE0DDA"/>
    <w:rsid w:val="00FE521D"/>
    <w:rsid w:val="00FF06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760D4"/>
  <w15:docId w15:val="{FB5991AA-E544-4F01-8907-D6CE4576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64A1"/>
    <w:pPr>
      <w:spacing w:after="0" w:line="240" w:lineRule="auto"/>
    </w:pPr>
    <w:rPr>
      <w:rFonts w:ascii="Arial" w:hAnsi="Arial"/>
      <w:sz w:val="20"/>
    </w:rPr>
  </w:style>
  <w:style w:type="paragraph" w:styleId="Heading1">
    <w:name w:val="heading 1"/>
    <w:basedOn w:val="Normal"/>
    <w:next w:val="Normal"/>
    <w:link w:val="Heading1Char"/>
    <w:uiPriority w:val="9"/>
    <w:qFormat/>
    <w:rsid w:val="00E864A1"/>
    <w:pPr>
      <w:keepNext/>
      <w:keepLines/>
      <w:spacing w:after="480"/>
      <w:jc w:val="center"/>
      <w:outlineLvl w:val="0"/>
    </w:pPr>
    <w:rPr>
      <w:rFonts w:eastAsiaTheme="majorEastAsia" w:cstheme="majorBidi"/>
      <w:bCs/>
      <w:caps/>
      <w:sz w:val="32"/>
      <w:szCs w:val="28"/>
      <w:u w:val="single"/>
    </w:rPr>
  </w:style>
  <w:style w:type="paragraph" w:styleId="Heading2">
    <w:name w:val="heading 2"/>
    <w:basedOn w:val="Normal"/>
    <w:next w:val="Normal"/>
    <w:link w:val="Heading2Char"/>
    <w:uiPriority w:val="9"/>
    <w:unhideWhenUsed/>
    <w:qFormat/>
    <w:rsid w:val="00E864A1"/>
    <w:pPr>
      <w:keepNext/>
      <w:keepLines/>
      <w:numPr>
        <w:numId w:val="1"/>
      </w:numPr>
      <w:spacing w:after="240"/>
      <w:ind w:left="357" w:hanging="357"/>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E864A1"/>
    <w:pPr>
      <w:keepNext/>
      <w:keepLines/>
      <w:numPr>
        <w:numId w:val="2"/>
      </w:numPr>
      <w:spacing w:after="120"/>
      <w:ind w:left="714" w:hanging="357"/>
      <w:outlineLvl w:val="2"/>
    </w:pPr>
    <w:rPr>
      <w:rFonts w:eastAsiaTheme="majorEastAsia" w:cstheme="majorBidi"/>
      <w:b/>
      <w:bCs/>
    </w:rPr>
  </w:style>
  <w:style w:type="paragraph" w:styleId="Heading4">
    <w:name w:val="heading 4"/>
    <w:basedOn w:val="Normal"/>
    <w:next w:val="Normal"/>
    <w:link w:val="Heading4Char"/>
    <w:uiPriority w:val="9"/>
    <w:unhideWhenUsed/>
    <w:qFormat/>
    <w:rsid w:val="00AB12C8"/>
    <w:pPr>
      <w:keepNext/>
      <w:keepLines/>
      <w:numPr>
        <w:numId w:val="3"/>
      </w:numPr>
      <w:spacing w:after="120"/>
      <w:ind w:left="1060" w:hanging="357"/>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E38A8"/>
    <w:pPr>
      <w:spacing w:after="0" w:line="240" w:lineRule="auto"/>
    </w:pPr>
    <w:rPr>
      <w:rFonts w:ascii="Arial" w:hAnsi="Arial"/>
      <w:sz w:val="20"/>
    </w:rPr>
  </w:style>
  <w:style w:type="character" w:customStyle="1" w:styleId="Heading1Char">
    <w:name w:val="Heading 1 Char"/>
    <w:basedOn w:val="DefaultParagraphFont"/>
    <w:link w:val="Heading1"/>
    <w:uiPriority w:val="9"/>
    <w:rsid w:val="00E864A1"/>
    <w:rPr>
      <w:rFonts w:ascii="Arial" w:eastAsiaTheme="majorEastAsia" w:hAnsi="Arial" w:cstheme="majorBidi"/>
      <w:bCs/>
      <w:caps/>
      <w:sz w:val="32"/>
      <w:szCs w:val="28"/>
      <w:u w:val="single"/>
    </w:rPr>
  </w:style>
  <w:style w:type="character" w:customStyle="1" w:styleId="Heading2Char">
    <w:name w:val="Heading 2 Char"/>
    <w:basedOn w:val="DefaultParagraphFont"/>
    <w:link w:val="Heading2"/>
    <w:uiPriority w:val="9"/>
    <w:rsid w:val="00E864A1"/>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E864A1"/>
    <w:rPr>
      <w:rFonts w:ascii="Arial" w:eastAsiaTheme="majorEastAsia" w:hAnsi="Arial" w:cstheme="majorBidi"/>
      <w:b/>
      <w:bCs/>
      <w:sz w:val="20"/>
    </w:rPr>
  </w:style>
  <w:style w:type="paragraph" w:styleId="Title">
    <w:name w:val="Title"/>
    <w:basedOn w:val="Normal"/>
    <w:next w:val="Normal"/>
    <w:link w:val="TitleChar"/>
    <w:uiPriority w:val="10"/>
    <w:qFormat/>
    <w:rsid w:val="0007690A"/>
    <w:pPr>
      <w:pBdr>
        <w:bottom w:val="single" w:sz="8" w:space="4" w:color="auto"/>
      </w:pBdr>
      <w:spacing w:after="300"/>
      <w:contextualSpacing/>
    </w:pPr>
    <w:rPr>
      <w:rFonts w:eastAsiaTheme="majorEastAsia" w:cstheme="majorBidi"/>
      <w:color w:val="808080" w:themeColor="background1" w:themeShade="80"/>
      <w:spacing w:val="5"/>
      <w:kern w:val="28"/>
      <w:sz w:val="52"/>
      <w:szCs w:val="52"/>
    </w:rPr>
  </w:style>
  <w:style w:type="character" w:customStyle="1" w:styleId="TitleChar">
    <w:name w:val="Title Char"/>
    <w:basedOn w:val="DefaultParagraphFont"/>
    <w:link w:val="Title"/>
    <w:uiPriority w:val="10"/>
    <w:rsid w:val="0007690A"/>
    <w:rPr>
      <w:rFonts w:ascii="Arial" w:eastAsiaTheme="majorEastAsia" w:hAnsi="Arial" w:cstheme="majorBidi"/>
      <w:color w:val="808080" w:themeColor="background1" w:themeShade="80"/>
      <w:spacing w:val="5"/>
      <w:kern w:val="28"/>
      <w:sz w:val="52"/>
      <w:szCs w:val="52"/>
    </w:rPr>
  </w:style>
  <w:style w:type="character" w:customStyle="1" w:styleId="Heading4Char">
    <w:name w:val="Heading 4 Char"/>
    <w:basedOn w:val="DefaultParagraphFont"/>
    <w:link w:val="Heading4"/>
    <w:uiPriority w:val="9"/>
    <w:rsid w:val="00AB12C8"/>
    <w:rPr>
      <w:rFonts w:ascii="Arial" w:eastAsiaTheme="majorEastAsia" w:hAnsi="Arial" w:cstheme="majorBidi"/>
      <w:b/>
      <w:bCs/>
      <w:i/>
      <w:iCs/>
      <w:sz w:val="20"/>
    </w:rPr>
  </w:style>
  <w:style w:type="paragraph" w:styleId="Header">
    <w:name w:val="header"/>
    <w:basedOn w:val="Normal"/>
    <w:link w:val="HeaderChar"/>
    <w:uiPriority w:val="99"/>
    <w:unhideWhenUsed/>
    <w:rsid w:val="0061607B"/>
    <w:pPr>
      <w:tabs>
        <w:tab w:val="center" w:pos="4536"/>
        <w:tab w:val="right" w:pos="9072"/>
      </w:tabs>
    </w:pPr>
  </w:style>
  <w:style w:type="character" w:customStyle="1" w:styleId="HeaderChar">
    <w:name w:val="Header Char"/>
    <w:basedOn w:val="DefaultParagraphFont"/>
    <w:link w:val="Header"/>
    <w:uiPriority w:val="99"/>
    <w:rsid w:val="0061607B"/>
    <w:rPr>
      <w:rFonts w:ascii="Arial" w:hAnsi="Arial"/>
      <w:sz w:val="20"/>
    </w:rPr>
  </w:style>
  <w:style w:type="paragraph" w:styleId="Footer">
    <w:name w:val="footer"/>
    <w:basedOn w:val="Normal"/>
    <w:link w:val="FooterChar"/>
    <w:uiPriority w:val="99"/>
    <w:unhideWhenUsed/>
    <w:rsid w:val="0061607B"/>
    <w:pPr>
      <w:tabs>
        <w:tab w:val="center" w:pos="4536"/>
        <w:tab w:val="right" w:pos="9072"/>
      </w:tabs>
    </w:pPr>
  </w:style>
  <w:style w:type="character" w:customStyle="1" w:styleId="FooterChar">
    <w:name w:val="Footer Char"/>
    <w:basedOn w:val="DefaultParagraphFont"/>
    <w:link w:val="Footer"/>
    <w:uiPriority w:val="99"/>
    <w:rsid w:val="0061607B"/>
    <w:rPr>
      <w:rFonts w:ascii="Arial" w:hAnsi="Arial"/>
      <w:sz w:val="20"/>
    </w:rPr>
  </w:style>
  <w:style w:type="paragraph" w:styleId="Subtitle">
    <w:name w:val="Subtitle"/>
    <w:basedOn w:val="Normal"/>
    <w:next w:val="Normal"/>
    <w:link w:val="SubtitleChar"/>
    <w:uiPriority w:val="11"/>
    <w:qFormat/>
    <w:rsid w:val="000769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690A"/>
    <w:rPr>
      <w:rFonts w:asciiTheme="majorHAnsi" w:eastAsiaTheme="majorEastAsia" w:hAnsiTheme="majorHAnsi" w:cstheme="majorBidi"/>
      <w:i/>
      <w:iCs/>
      <w:color w:val="4F81BD" w:themeColor="accent1"/>
      <w:spacing w:val="15"/>
      <w:sz w:val="24"/>
      <w:szCs w:val="24"/>
    </w:rPr>
  </w:style>
  <w:style w:type="character" w:customStyle="1" w:styleId="NoSpacingChar">
    <w:name w:val="No Spacing Char"/>
    <w:basedOn w:val="DefaultParagraphFont"/>
    <w:link w:val="NoSpacing"/>
    <w:uiPriority w:val="1"/>
    <w:rsid w:val="00826043"/>
    <w:rPr>
      <w:rFonts w:ascii="Arial" w:hAnsi="Arial"/>
      <w:sz w:val="20"/>
    </w:rPr>
  </w:style>
  <w:style w:type="paragraph" w:styleId="BalloonText">
    <w:name w:val="Balloon Text"/>
    <w:basedOn w:val="Normal"/>
    <w:link w:val="BalloonTextChar"/>
    <w:uiPriority w:val="99"/>
    <w:semiHidden/>
    <w:unhideWhenUsed/>
    <w:rsid w:val="005F1420"/>
    <w:rPr>
      <w:rFonts w:ascii="Tahoma" w:hAnsi="Tahoma" w:cs="Tahoma"/>
      <w:sz w:val="16"/>
      <w:szCs w:val="16"/>
    </w:rPr>
  </w:style>
  <w:style w:type="character" w:customStyle="1" w:styleId="BalloonTextChar">
    <w:name w:val="Balloon Text Char"/>
    <w:basedOn w:val="DefaultParagraphFont"/>
    <w:link w:val="BalloonText"/>
    <w:uiPriority w:val="99"/>
    <w:semiHidden/>
    <w:rsid w:val="005F1420"/>
    <w:rPr>
      <w:rFonts w:ascii="Tahoma" w:hAnsi="Tahoma" w:cs="Tahoma"/>
      <w:sz w:val="16"/>
      <w:szCs w:val="16"/>
    </w:rPr>
  </w:style>
  <w:style w:type="paragraph" w:styleId="ListParagraph">
    <w:name w:val="List Paragraph"/>
    <w:basedOn w:val="Normal"/>
    <w:uiPriority w:val="1"/>
    <w:qFormat/>
    <w:rsid w:val="00E26429"/>
    <w:pPr>
      <w:ind w:left="720"/>
      <w:contextualSpacing/>
    </w:pPr>
  </w:style>
  <w:style w:type="paragraph" w:customStyle="1" w:styleId="section1">
    <w:name w:val="section1"/>
    <w:basedOn w:val="Normal"/>
    <w:uiPriority w:val="99"/>
    <w:rsid w:val="00401B37"/>
    <w:pPr>
      <w:spacing w:before="100" w:beforeAutospacing="1" w:after="100" w:afterAutospacing="1"/>
    </w:pPr>
    <w:rPr>
      <w:rFonts w:ascii="Times New Roman" w:hAnsi="Times New Roman" w:cs="Times New Roman"/>
      <w:sz w:val="24"/>
      <w:szCs w:val="24"/>
      <w:lang w:eastAsia="en-GB"/>
    </w:rPr>
  </w:style>
  <w:style w:type="character" w:styleId="Hyperlink">
    <w:name w:val="Hyperlink"/>
    <w:basedOn w:val="DefaultParagraphFont"/>
    <w:uiPriority w:val="99"/>
    <w:unhideWhenUsed/>
    <w:rsid w:val="00842972"/>
    <w:rPr>
      <w:color w:val="0000FF"/>
      <w:u w:val="single"/>
    </w:rPr>
  </w:style>
  <w:style w:type="paragraph" w:customStyle="1" w:styleId="null">
    <w:name w:val="null"/>
    <w:basedOn w:val="Normal"/>
    <w:uiPriority w:val="99"/>
    <w:rsid w:val="00882E2E"/>
    <w:pPr>
      <w:spacing w:before="100" w:beforeAutospacing="1" w:after="100" w:afterAutospacing="1"/>
    </w:pPr>
    <w:rPr>
      <w:rFonts w:ascii="Times New Roman" w:hAnsi="Times New Roman" w:cs="Times New Roman"/>
      <w:sz w:val="24"/>
      <w:szCs w:val="24"/>
      <w:lang w:eastAsia="en-GB"/>
    </w:rPr>
  </w:style>
  <w:style w:type="character" w:customStyle="1" w:styleId="null1">
    <w:name w:val="null1"/>
    <w:basedOn w:val="DefaultParagraphFont"/>
    <w:rsid w:val="00882E2E"/>
  </w:style>
  <w:style w:type="paragraph" w:styleId="NormalWeb">
    <w:name w:val="Normal (Web)"/>
    <w:basedOn w:val="Normal"/>
    <w:uiPriority w:val="99"/>
    <w:semiHidden/>
    <w:unhideWhenUsed/>
    <w:rsid w:val="00D773E7"/>
    <w:pPr>
      <w:spacing w:before="100" w:beforeAutospacing="1" w:after="100" w:afterAutospacing="1"/>
    </w:pPr>
    <w:rPr>
      <w:rFonts w:ascii="Times New Roman" w:eastAsiaTheme="minorEastAsia" w:hAnsi="Times New Roman" w:cs="Times New Roman"/>
      <w:sz w:val="24"/>
      <w:szCs w:val="24"/>
      <w:lang w:eastAsia="en-GB"/>
    </w:rPr>
  </w:style>
  <w:style w:type="paragraph" w:styleId="FootnoteText">
    <w:name w:val="footnote text"/>
    <w:basedOn w:val="Normal"/>
    <w:link w:val="FootnoteTextChar"/>
    <w:uiPriority w:val="99"/>
    <w:unhideWhenUsed/>
    <w:rsid w:val="002843E3"/>
    <w:rPr>
      <w:szCs w:val="20"/>
    </w:rPr>
  </w:style>
  <w:style w:type="character" w:customStyle="1" w:styleId="FootnoteTextChar">
    <w:name w:val="Footnote Text Char"/>
    <w:basedOn w:val="DefaultParagraphFont"/>
    <w:link w:val="FootnoteText"/>
    <w:uiPriority w:val="99"/>
    <w:rsid w:val="002843E3"/>
    <w:rPr>
      <w:rFonts w:ascii="Arial" w:hAnsi="Arial"/>
      <w:sz w:val="20"/>
      <w:szCs w:val="20"/>
    </w:rPr>
  </w:style>
  <w:style w:type="character" w:styleId="FootnoteReference">
    <w:name w:val="footnote reference"/>
    <w:basedOn w:val="DefaultParagraphFont"/>
    <w:uiPriority w:val="99"/>
    <w:semiHidden/>
    <w:unhideWhenUsed/>
    <w:rsid w:val="002843E3"/>
    <w:rPr>
      <w:vertAlign w:val="superscript"/>
    </w:rPr>
  </w:style>
  <w:style w:type="paragraph" w:customStyle="1" w:styleId="ALFIKIDanswer">
    <w:name w:val="ALFI KID answer"/>
    <w:basedOn w:val="Normal"/>
    <w:qFormat/>
    <w:rsid w:val="002843E3"/>
    <w:pPr>
      <w:spacing w:before="120" w:after="120"/>
    </w:pPr>
    <w:rPr>
      <w:rFonts w:eastAsia="Times New Roman" w:cs="Arial"/>
      <w:sz w:val="22"/>
    </w:rPr>
  </w:style>
  <w:style w:type="paragraph" w:styleId="TOCHeading">
    <w:name w:val="TOC Heading"/>
    <w:basedOn w:val="Heading1"/>
    <w:next w:val="Normal"/>
    <w:uiPriority w:val="39"/>
    <w:unhideWhenUsed/>
    <w:qFormat/>
    <w:rsid w:val="002843E3"/>
    <w:pPr>
      <w:spacing w:before="240" w:after="0" w:line="259" w:lineRule="auto"/>
      <w:jc w:val="left"/>
      <w:outlineLvl w:val="9"/>
    </w:pPr>
    <w:rPr>
      <w:rFonts w:asciiTheme="majorHAnsi" w:hAnsiTheme="majorHAnsi"/>
      <w:bCs w:val="0"/>
      <w:caps w:val="0"/>
      <w:color w:val="365F91" w:themeColor="accent1" w:themeShade="BF"/>
      <w:szCs w:val="32"/>
      <w:u w:val="none"/>
      <w:lang w:val="en-US"/>
    </w:rPr>
  </w:style>
  <w:style w:type="character" w:styleId="UnresolvedMention">
    <w:name w:val="Unresolved Mention"/>
    <w:basedOn w:val="DefaultParagraphFont"/>
    <w:uiPriority w:val="99"/>
    <w:semiHidden/>
    <w:unhideWhenUsed/>
    <w:rsid w:val="00C05394"/>
    <w:rPr>
      <w:color w:val="605E5C"/>
      <w:shd w:val="clear" w:color="auto" w:fill="E1DFDD"/>
    </w:rPr>
  </w:style>
  <w:style w:type="paragraph" w:styleId="TOC1">
    <w:name w:val="toc 1"/>
    <w:basedOn w:val="Normal"/>
    <w:next w:val="Normal"/>
    <w:autoRedefine/>
    <w:uiPriority w:val="39"/>
    <w:unhideWhenUsed/>
    <w:rsid w:val="00AC7646"/>
    <w:pPr>
      <w:spacing w:after="100"/>
    </w:pPr>
  </w:style>
  <w:style w:type="paragraph" w:styleId="TOC2">
    <w:name w:val="toc 2"/>
    <w:basedOn w:val="Normal"/>
    <w:next w:val="Normal"/>
    <w:autoRedefine/>
    <w:uiPriority w:val="39"/>
    <w:unhideWhenUsed/>
    <w:rsid w:val="00AC7646"/>
    <w:pPr>
      <w:spacing w:after="100"/>
      <w:ind w:left="200"/>
    </w:pPr>
  </w:style>
  <w:style w:type="paragraph" w:styleId="TOC3">
    <w:name w:val="toc 3"/>
    <w:basedOn w:val="Normal"/>
    <w:next w:val="Normal"/>
    <w:autoRedefine/>
    <w:uiPriority w:val="39"/>
    <w:unhideWhenUsed/>
    <w:rsid w:val="00AC7646"/>
    <w:pPr>
      <w:spacing w:after="100"/>
      <w:ind w:left="400"/>
    </w:pPr>
  </w:style>
  <w:style w:type="paragraph" w:styleId="TOC4">
    <w:name w:val="toc 4"/>
    <w:basedOn w:val="Normal"/>
    <w:next w:val="Normal"/>
    <w:autoRedefine/>
    <w:uiPriority w:val="39"/>
    <w:unhideWhenUsed/>
    <w:rsid w:val="00AC7646"/>
    <w:pPr>
      <w:spacing w:after="100"/>
      <w:ind w:left="600"/>
    </w:pPr>
  </w:style>
  <w:style w:type="paragraph" w:styleId="BodyText">
    <w:name w:val="Body Text"/>
    <w:basedOn w:val="Normal"/>
    <w:link w:val="BodyTextChar"/>
    <w:uiPriority w:val="1"/>
    <w:qFormat/>
    <w:rsid w:val="00BD5C09"/>
    <w:pPr>
      <w:widowControl w:val="0"/>
      <w:autoSpaceDE w:val="0"/>
      <w:autoSpaceDN w:val="0"/>
    </w:pPr>
    <w:rPr>
      <w:rFonts w:eastAsia="Arial" w:cs="Arial"/>
      <w:b/>
      <w:bCs/>
      <w:sz w:val="22"/>
      <w:lang w:val="en-US"/>
    </w:rPr>
  </w:style>
  <w:style w:type="character" w:customStyle="1" w:styleId="BodyTextChar">
    <w:name w:val="Body Text Char"/>
    <w:basedOn w:val="DefaultParagraphFont"/>
    <w:link w:val="BodyText"/>
    <w:uiPriority w:val="1"/>
    <w:rsid w:val="00BD5C09"/>
    <w:rPr>
      <w:rFonts w:ascii="Arial" w:eastAsia="Arial" w:hAnsi="Arial" w:cs="Arial"/>
      <w:b/>
      <w:bCs/>
      <w:lang w:val="en-US"/>
    </w:rPr>
  </w:style>
  <w:style w:type="paragraph" w:customStyle="1" w:styleId="AODocTxt">
    <w:name w:val="AODocTxt"/>
    <w:basedOn w:val="Normal"/>
    <w:qFormat/>
    <w:rsid w:val="00150BBA"/>
    <w:pPr>
      <w:numPr>
        <w:numId w:val="34"/>
      </w:numPr>
      <w:spacing w:before="240" w:line="260" w:lineRule="atLeast"/>
      <w:jc w:val="both"/>
    </w:pPr>
    <w:rPr>
      <w:rFonts w:ascii="Times New Roman" w:hAnsi="Times New Roman" w:cs="Times New Roman"/>
      <w:sz w:val="22"/>
    </w:rPr>
  </w:style>
  <w:style w:type="paragraph" w:customStyle="1" w:styleId="AODocTxtL1">
    <w:name w:val="AODocTxtL1"/>
    <w:basedOn w:val="AODocTxt"/>
    <w:uiPriority w:val="49"/>
    <w:rsid w:val="00150BBA"/>
    <w:pPr>
      <w:numPr>
        <w:ilvl w:val="1"/>
      </w:numPr>
    </w:pPr>
  </w:style>
  <w:style w:type="paragraph" w:customStyle="1" w:styleId="AODocTxtL2">
    <w:name w:val="AODocTxtL2"/>
    <w:basedOn w:val="AODocTxt"/>
    <w:uiPriority w:val="49"/>
    <w:rsid w:val="00150BBA"/>
    <w:pPr>
      <w:numPr>
        <w:ilvl w:val="2"/>
      </w:numPr>
    </w:pPr>
  </w:style>
  <w:style w:type="paragraph" w:customStyle="1" w:styleId="AODocTxtL3">
    <w:name w:val="AODocTxtL3"/>
    <w:basedOn w:val="AODocTxt"/>
    <w:uiPriority w:val="49"/>
    <w:rsid w:val="00150BBA"/>
    <w:pPr>
      <w:numPr>
        <w:ilvl w:val="3"/>
      </w:numPr>
    </w:pPr>
  </w:style>
  <w:style w:type="paragraph" w:customStyle="1" w:styleId="AODocTxtL4">
    <w:name w:val="AODocTxtL4"/>
    <w:basedOn w:val="AODocTxt"/>
    <w:uiPriority w:val="49"/>
    <w:rsid w:val="00150BBA"/>
    <w:pPr>
      <w:numPr>
        <w:ilvl w:val="4"/>
      </w:numPr>
    </w:pPr>
  </w:style>
  <w:style w:type="paragraph" w:customStyle="1" w:styleId="AODocTxtL5">
    <w:name w:val="AODocTxtL5"/>
    <w:basedOn w:val="AODocTxt"/>
    <w:uiPriority w:val="49"/>
    <w:rsid w:val="00150BBA"/>
    <w:pPr>
      <w:numPr>
        <w:ilvl w:val="5"/>
      </w:numPr>
    </w:pPr>
  </w:style>
  <w:style w:type="paragraph" w:customStyle="1" w:styleId="AODocTxtL6">
    <w:name w:val="AODocTxtL6"/>
    <w:basedOn w:val="AODocTxt"/>
    <w:uiPriority w:val="49"/>
    <w:rsid w:val="00150BBA"/>
    <w:pPr>
      <w:numPr>
        <w:ilvl w:val="6"/>
      </w:numPr>
    </w:pPr>
  </w:style>
  <w:style w:type="paragraph" w:customStyle="1" w:styleId="AODocTxtL7">
    <w:name w:val="AODocTxtL7"/>
    <w:basedOn w:val="AODocTxt"/>
    <w:uiPriority w:val="49"/>
    <w:rsid w:val="00150BBA"/>
    <w:pPr>
      <w:numPr>
        <w:ilvl w:val="7"/>
      </w:numPr>
    </w:pPr>
  </w:style>
  <w:style w:type="paragraph" w:customStyle="1" w:styleId="AODocTxtL8">
    <w:name w:val="AODocTxtL8"/>
    <w:basedOn w:val="AODocTxt"/>
    <w:uiPriority w:val="49"/>
    <w:rsid w:val="00150BBA"/>
    <w:pPr>
      <w:numPr>
        <w:ilvl w:val="8"/>
      </w:numPr>
    </w:pPr>
  </w:style>
  <w:style w:type="paragraph" w:customStyle="1" w:styleId="AOHead1">
    <w:name w:val="AOHead1"/>
    <w:basedOn w:val="Normal"/>
    <w:next w:val="AODocTxtL1"/>
    <w:uiPriority w:val="4"/>
    <w:qFormat/>
    <w:rsid w:val="00150BBA"/>
    <w:pPr>
      <w:keepNext/>
      <w:numPr>
        <w:numId w:val="35"/>
      </w:numPr>
      <w:spacing w:before="240" w:line="260" w:lineRule="atLeast"/>
      <w:jc w:val="both"/>
      <w:outlineLvl w:val="0"/>
    </w:pPr>
    <w:rPr>
      <w:rFonts w:ascii="Times New Roman" w:hAnsi="Times New Roman" w:cs="Times New Roman"/>
      <w:b/>
      <w:caps/>
      <w:kern w:val="28"/>
      <w:sz w:val="22"/>
    </w:rPr>
  </w:style>
  <w:style w:type="paragraph" w:customStyle="1" w:styleId="AOHead2">
    <w:name w:val="AOHead2"/>
    <w:basedOn w:val="Normal"/>
    <w:next w:val="AODocTxtL1"/>
    <w:uiPriority w:val="4"/>
    <w:qFormat/>
    <w:rsid w:val="00150BBA"/>
    <w:pPr>
      <w:keepNext/>
      <w:numPr>
        <w:ilvl w:val="1"/>
        <w:numId w:val="35"/>
      </w:numPr>
      <w:spacing w:before="240" w:line="260" w:lineRule="atLeast"/>
      <w:jc w:val="both"/>
      <w:outlineLvl w:val="1"/>
    </w:pPr>
    <w:rPr>
      <w:rFonts w:ascii="Times New Roman" w:hAnsi="Times New Roman" w:cs="Times New Roman"/>
      <w:b/>
      <w:sz w:val="22"/>
    </w:rPr>
  </w:style>
  <w:style w:type="paragraph" w:customStyle="1" w:styleId="AOHead3">
    <w:name w:val="AOHead3"/>
    <w:basedOn w:val="Normal"/>
    <w:next w:val="AODocTxtL2"/>
    <w:uiPriority w:val="4"/>
    <w:qFormat/>
    <w:rsid w:val="00150BBA"/>
    <w:pPr>
      <w:numPr>
        <w:ilvl w:val="2"/>
        <w:numId w:val="35"/>
      </w:numPr>
      <w:spacing w:before="240" w:line="260" w:lineRule="atLeast"/>
      <w:jc w:val="both"/>
      <w:outlineLvl w:val="2"/>
    </w:pPr>
    <w:rPr>
      <w:rFonts w:ascii="Times New Roman" w:hAnsi="Times New Roman" w:cs="Times New Roman"/>
      <w:sz w:val="22"/>
    </w:rPr>
  </w:style>
  <w:style w:type="paragraph" w:customStyle="1" w:styleId="AOHead4">
    <w:name w:val="AOHead4"/>
    <w:basedOn w:val="Normal"/>
    <w:next w:val="AODocTxtL3"/>
    <w:uiPriority w:val="4"/>
    <w:qFormat/>
    <w:rsid w:val="00150BBA"/>
    <w:pPr>
      <w:numPr>
        <w:ilvl w:val="3"/>
        <w:numId w:val="35"/>
      </w:numPr>
      <w:spacing w:before="240" w:line="260" w:lineRule="atLeast"/>
      <w:jc w:val="both"/>
      <w:outlineLvl w:val="3"/>
    </w:pPr>
    <w:rPr>
      <w:rFonts w:ascii="Times New Roman" w:hAnsi="Times New Roman" w:cs="Times New Roman"/>
      <w:sz w:val="22"/>
    </w:rPr>
  </w:style>
  <w:style w:type="paragraph" w:customStyle="1" w:styleId="AOHead5">
    <w:name w:val="AOHead5"/>
    <w:basedOn w:val="Normal"/>
    <w:next w:val="AODocTxtL4"/>
    <w:uiPriority w:val="4"/>
    <w:qFormat/>
    <w:rsid w:val="00150BBA"/>
    <w:pPr>
      <w:numPr>
        <w:ilvl w:val="4"/>
        <w:numId w:val="35"/>
      </w:numPr>
      <w:spacing w:before="240" w:line="260" w:lineRule="atLeast"/>
      <w:jc w:val="both"/>
      <w:outlineLvl w:val="4"/>
    </w:pPr>
    <w:rPr>
      <w:rFonts w:ascii="Times New Roman" w:hAnsi="Times New Roman" w:cs="Times New Roman"/>
      <w:sz w:val="22"/>
    </w:rPr>
  </w:style>
  <w:style w:type="paragraph" w:customStyle="1" w:styleId="AOHead6">
    <w:name w:val="AOHead6"/>
    <w:basedOn w:val="Normal"/>
    <w:next w:val="AODocTxtL5"/>
    <w:uiPriority w:val="4"/>
    <w:qFormat/>
    <w:rsid w:val="00150BBA"/>
    <w:pPr>
      <w:numPr>
        <w:ilvl w:val="5"/>
        <w:numId w:val="35"/>
      </w:numPr>
      <w:spacing w:before="240" w:line="260" w:lineRule="atLeast"/>
      <w:jc w:val="both"/>
      <w:outlineLvl w:val="5"/>
    </w:pPr>
    <w:rPr>
      <w:rFonts w:ascii="Times New Roman" w:hAnsi="Times New Roman" w:cs="Times New Roman"/>
      <w:sz w:val="22"/>
    </w:rPr>
  </w:style>
  <w:style w:type="character" w:styleId="CommentReference">
    <w:name w:val="annotation reference"/>
    <w:basedOn w:val="DefaultParagraphFont"/>
    <w:uiPriority w:val="99"/>
    <w:semiHidden/>
    <w:unhideWhenUsed/>
    <w:rsid w:val="00DD3D83"/>
    <w:rPr>
      <w:sz w:val="16"/>
      <w:szCs w:val="16"/>
    </w:rPr>
  </w:style>
  <w:style w:type="paragraph" w:styleId="CommentText">
    <w:name w:val="annotation text"/>
    <w:basedOn w:val="Normal"/>
    <w:link w:val="CommentTextChar"/>
    <w:uiPriority w:val="99"/>
    <w:semiHidden/>
    <w:unhideWhenUsed/>
    <w:rsid w:val="00DD3D83"/>
    <w:rPr>
      <w:szCs w:val="20"/>
    </w:rPr>
  </w:style>
  <w:style w:type="character" w:customStyle="1" w:styleId="CommentTextChar">
    <w:name w:val="Comment Text Char"/>
    <w:basedOn w:val="DefaultParagraphFont"/>
    <w:link w:val="CommentText"/>
    <w:uiPriority w:val="99"/>
    <w:semiHidden/>
    <w:rsid w:val="00DD3D8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D3D83"/>
    <w:rPr>
      <w:b/>
      <w:bCs/>
    </w:rPr>
  </w:style>
  <w:style w:type="character" w:customStyle="1" w:styleId="CommentSubjectChar">
    <w:name w:val="Comment Subject Char"/>
    <w:basedOn w:val="CommentTextChar"/>
    <w:link w:val="CommentSubject"/>
    <w:uiPriority w:val="99"/>
    <w:semiHidden/>
    <w:rsid w:val="00DD3D83"/>
    <w:rPr>
      <w:rFonts w:ascii="Arial" w:hAnsi="Arial"/>
      <w:b/>
      <w:bCs/>
      <w:sz w:val="20"/>
      <w:szCs w:val="20"/>
    </w:rPr>
  </w:style>
  <w:style w:type="paragraph" w:customStyle="1" w:styleId="xxmsonormal">
    <w:name w:val="x_xmsonormal"/>
    <w:basedOn w:val="Normal"/>
    <w:rsid w:val="00484BC7"/>
    <w:rPr>
      <w:rFonts w:ascii="Calibri" w:hAnsi="Calibri" w:cs="Calibri"/>
      <w:sz w:val="22"/>
      <w:lang w:val="en-IE" w:eastAsia="en-IE"/>
    </w:rPr>
  </w:style>
  <w:style w:type="paragraph" w:customStyle="1" w:styleId="aodoctxtl10">
    <w:name w:val="aodoctxtl1"/>
    <w:basedOn w:val="Normal"/>
    <w:rsid w:val="00F47F34"/>
    <w:pPr>
      <w:spacing w:before="240" w:line="260" w:lineRule="atLeast"/>
      <w:ind w:left="720"/>
      <w:jc w:val="both"/>
    </w:pPr>
    <w:rPr>
      <w:rFonts w:ascii="Times New Roman" w:hAnsi="Times New Roman" w:cs="Times New Roman"/>
      <w:sz w:val="22"/>
      <w:lang w:val="en-IE" w:eastAsia="en-IE"/>
    </w:rPr>
  </w:style>
  <w:style w:type="table" w:styleId="TableGrid">
    <w:name w:val="Table Grid"/>
    <w:basedOn w:val="TableNormal"/>
    <w:uiPriority w:val="59"/>
    <w:rsid w:val="00906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A059A"/>
    <w:rPr>
      <w:color w:val="800080" w:themeColor="followedHyperlink"/>
      <w:u w:val="single"/>
    </w:rPr>
  </w:style>
  <w:style w:type="paragraph" w:styleId="Revision">
    <w:name w:val="Revision"/>
    <w:hidden/>
    <w:uiPriority w:val="99"/>
    <w:semiHidden/>
    <w:rsid w:val="008F64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3468">
      <w:bodyDiv w:val="1"/>
      <w:marLeft w:val="0"/>
      <w:marRight w:val="0"/>
      <w:marTop w:val="0"/>
      <w:marBottom w:val="0"/>
      <w:divBdr>
        <w:top w:val="none" w:sz="0" w:space="0" w:color="auto"/>
        <w:left w:val="none" w:sz="0" w:space="0" w:color="auto"/>
        <w:bottom w:val="none" w:sz="0" w:space="0" w:color="auto"/>
        <w:right w:val="none" w:sz="0" w:space="0" w:color="auto"/>
      </w:divBdr>
    </w:div>
    <w:div w:id="54399365">
      <w:bodyDiv w:val="1"/>
      <w:marLeft w:val="0"/>
      <w:marRight w:val="0"/>
      <w:marTop w:val="0"/>
      <w:marBottom w:val="0"/>
      <w:divBdr>
        <w:top w:val="none" w:sz="0" w:space="0" w:color="auto"/>
        <w:left w:val="none" w:sz="0" w:space="0" w:color="auto"/>
        <w:bottom w:val="none" w:sz="0" w:space="0" w:color="auto"/>
        <w:right w:val="none" w:sz="0" w:space="0" w:color="auto"/>
      </w:divBdr>
    </w:div>
    <w:div w:id="128129292">
      <w:bodyDiv w:val="1"/>
      <w:marLeft w:val="0"/>
      <w:marRight w:val="0"/>
      <w:marTop w:val="0"/>
      <w:marBottom w:val="0"/>
      <w:divBdr>
        <w:top w:val="none" w:sz="0" w:space="0" w:color="auto"/>
        <w:left w:val="none" w:sz="0" w:space="0" w:color="auto"/>
        <w:bottom w:val="none" w:sz="0" w:space="0" w:color="auto"/>
        <w:right w:val="none" w:sz="0" w:space="0" w:color="auto"/>
      </w:divBdr>
    </w:div>
    <w:div w:id="154146335">
      <w:bodyDiv w:val="1"/>
      <w:marLeft w:val="0"/>
      <w:marRight w:val="0"/>
      <w:marTop w:val="0"/>
      <w:marBottom w:val="0"/>
      <w:divBdr>
        <w:top w:val="none" w:sz="0" w:space="0" w:color="auto"/>
        <w:left w:val="none" w:sz="0" w:space="0" w:color="auto"/>
        <w:bottom w:val="none" w:sz="0" w:space="0" w:color="auto"/>
        <w:right w:val="none" w:sz="0" w:space="0" w:color="auto"/>
      </w:divBdr>
    </w:div>
    <w:div w:id="213926923">
      <w:bodyDiv w:val="1"/>
      <w:marLeft w:val="0"/>
      <w:marRight w:val="0"/>
      <w:marTop w:val="0"/>
      <w:marBottom w:val="0"/>
      <w:divBdr>
        <w:top w:val="none" w:sz="0" w:space="0" w:color="auto"/>
        <w:left w:val="none" w:sz="0" w:space="0" w:color="auto"/>
        <w:bottom w:val="none" w:sz="0" w:space="0" w:color="auto"/>
        <w:right w:val="none" w:sz="0" w:space="0" w:color="auto"/>
      </w:divBdr>
    </w:div>
    <w:div w:id="315694322">
      <w:bodyDiv w:val="1"/>
      <w:marLeft w:val="0"/>
      <w:marRight w:val="0"/>
      <w:marTop w:val="0"/>
      <w:marBottom w:val="0"/>
      <w:divBdr>
        <w:top w:val="none" w:sz="0" w:space="0" w:color="auto"/>
        <w:left w:val="none" w:sz="0" w:space="0" w:color="auto"/>
        <w:bottom w:val="none" w:sz="0" w:space="0" w:color="auto"/>
        <w:right w:val="none" w:sz="0" w:space="0" w:color="auto"/>
      </w:divBdr>
    </w:div>
    <w:div w:id="332221720">
      <w:bodyDiv w:val="1"/>
      <w:marLeft w:val="0"/>
      <w:marRight w:val="0"/>
      <w:marTop w:val="0"/>
      <w:marBottom w:val="0"/>
      <w:divBdr>
        <w:top w:val="none" w:sz="0" w:space="0" w:color="auto"/>
        <w:left w:val="none" w:sz="0" w:space="0" w:color="auto"/>
        <w:bottom w:val="none" w:sz="0" w:space="0" w:color="auto"/>
        <w:right w:val="none" w:sz="0" w:space="0" w:color="auto"/>
      </w:divBdr>
    </w:div>
    <w:div w:id="533083530">
      <w:bodyDiv w:val="1"/>
      <w:marLeft w:val="0"/>
      <w:marRight w:val="0"/>
      <w:marTop w:val="0"/>
      <w:marBottom w:val="0"/>
      <w:divBdr>
        <w:top w:val="none" w:sz="0" w:space="0" w:color="auto"/>
        <w:left w:val="none" w:sz="0" w:space="0" w:color="auto"/>
        <w:bottom w:val="none" w:sz="0" w:space="0" w:color="auto"/>
        <w:right w:val="none" w:sz="0" w:space="0" w:color="auto"/>
      </w:divBdr>
    </w:div>
    <w:div w:id="651908813">
      <w:bodyDiv w:val="1"/>
      <w:marLeft w:val="0"/>
      <w:marRight w:val="0"/>
      <w:marTop w:val="0"/>
      <w:marBottom w:val="0"/>
      <w:divBdr>
        <w:top w:val="none" w:sz="0" w:space="0" w:color="auto"/>
        <w:left w:val="none" w:sz="0" w:space="0" w:color="auto"/>
        <w:bottom w:val="none" w:sz="0" w:space="0" w:color="auto"/>
        <w:right w:val="none" w:sz="0" w:space="0" w:color="auto"/>
      </w:divBdr>
    </w:div>
    <w:div w:id="668169330">
      <w:bodyDiv w:val="1"/>
      <w:marLeft w:val="0"/>
      <w:marRight w:val="0"/>
      <w:marTop w:val="0"/>
      <w:marBottom w:val="0"/>
      <w:divBdr>
        <w:top w:val="none" w:sz="0" w:space="0" w:color="auto"/>
        <w:left w:val="none" w:sz="0" w:space="0" w:color="auto"/>
        <w:bottom w:val="none" w:sz="0" w:space="0" w:color="auto"/>
        <w:right w:val="none" w:sz="0" w:space="0" w:color="auto"/>
      </w:divBdr>
    </w:div>
    <w:div w:id="744300925">
      <w:bodyDiv w:val="1"/>
      <w:marLeft w:val="0"/>
      <w:marRight w:val="0"/>
      <w:marTop w:val="0"/>
      <w:marBottom w:val="0"/>
      <w:divBdr>
        <w:top w:val="none" w:sz="0" w:space="0" w:color="auto"/>
        <w:left w:val="none" w:sz="0" w:space="0" w:color="auto"/>
        <w:bottom w:val="none" w:sz="0" w:space="0" w:color="auto"/>
        <w:right w:val="none" w:sz="0" w:space="0" w:color="auto"/>
      </w:divBdr>
    </w:div>
    <w:div w:id="828903459">
      <w:bodyDiv w:val="1"/>
      <w:marLeft w:val="0"/>
      <w:marRight w:val="0"/>
      <w:marTop w:val="0"/>
      <w:marBottom w:val="0"/>
      <w:divBdr>
        <w:top w:val="none" w:sz="0" w:space="0" w:color="auto"/>
        <w:left w:val="none" w:sz="0" w:space="0" w:color="auto"/>
        <w:bottom w:val="none" w:sz="0" w:space="0" w:color="auto"/>
        <w:right w:val="none" w:sz="0" w:space="0" w:color="auto"/>
      </w:divBdr>
    </w:div>
    <w:div w:id="876506273">
      <w:bodyDiv w:val="1"/>
      <w:marLeft w:val="0"/>
      <w:marRight w:val="0"/>
      <w:marTop w:val="0"/>
      <w:marBottom w:val="0"/>
      <w:divBdr>
        <w:top w:val="none" w:sz="0" w:space="0" w:color="auto"/>
        <w:left w:val="none" w:sz="0" w:space="0" w:color="auto"/>
        <w:bottom w:val="none" w:sz="0" w:space="0" w:color="auto"/>
        <w:right w:val="none" w:sz="0" w:space="0" w:color="auto"/>
      </w:divBdr>
    </w:div>
    <w:div w:id="903226054">
      <w:bodyDiv w:val="1"/>
      <w:marLeft w:val="0"/>
      <w:marRight w:val="0"/>
      <w:marTop w:val="0"/>
      <w:marBottom w:val="0"/>
      <w:divBdr>
        <w:top w:val="none" w:sz="0" w:space="0" w:color="auto"/>
        <w:left w:val="none" w:sz="0" w:space="0" w:color="auto"/>
        <w:bottom w:val="none" w:sz="0" w:space="0" w:color="auto"/>
        <w:right w:val="none" w:sz="0" w:space="0" w:color="auto"/>
      </w:divBdr>
    </w:div>
    <w:div w:id="927619865">
      <w:bodyDiv w:val="1"/>
      <w:marLeft w:val="0"/>
      <w:marRight w:val="0"/>
      <w:marTop w:val="0"/>
      <w:marBottom w:val="0"/>
      <w:divBdr>
        <w:top w:val="none" w:sz="0" w:space="0" w:color="auto"/>
        <w:left w:val="none" w:sz="0" w:space="0" w:color="auto"/>
        <w:bottom w:val="none" w:sz="0" w:space="0" w:color="auto"/>
        <w:right w:val="none" w:sz="0" w:space="0" w:color="auto"/>
      </w:divBdr>
    </w:div>
    <w:div w:id="937634794">
      <w:bodyDiv w:val="1"/>
      <w:marLeft w:val="0"/>
      <w:marRight w:val="0"/>
      <w:marTop w:val="0"/>
      <w:marBottom w:val="0"/>
      <w:divBdr>
        <w:top w:val="none" w:sz="0" w:space="0" w:color="auto"/>
        <w:left w:val="none" w:sz="0" w:space="0" w:color="auto"/>
        <w:bottom w:val="none" w:sz="0" w:space="0" w:color="auto"/>
        <w:right w:val="none" w:sz="0" w:space="0" w:color="auto"/>
      </w:divBdr>
    </w:div>
    <w:div w:id="1078481262">
      <w:bodyDiv w:val="1"/>
      <w:marLeft w:val="0"/>
      <w:marRight w:val="0"/>
      <w:marTop w:val="0"/>
      <w:marBottom w:val="0"/>
      <w:divBdr>
        <w:top w:val="none" w:sz="0" w:space="0" w:color="auto"/>
        <w:left w:val="none" w:sz="0" w:space="0" w:color="auto"/>
        <w:bottom w:val="none" w:sz="0" w:space="0" w:color="auto"/>
        <w:right w:val="none" w:sz="0" w:space="0" w:color="auto"/>
      </w:divBdr>
    </w:div>
    <w:div w:id="1164591235">
      <w:bodyDiv w:val="1"/>
      <w:marLeft w:val="0"/>
      <w:marRight w:val="0"/>
      <w:marTop w:val="0"/>
      <w:marBottom w:val="0"/>
      <w:divBdr>
        <w:top w:val="none" w:sz="0" w:space="0" w:color="auto"/>
        <w:left w:val="none" w:sz="0" w:space="0" w:color="auto"/>
        <w:bottom w:val="none" w:sz="0" w:space="0" w:color="auto"/>
        <w:right w:val="none" w:sz="0" w:space="0" w:color="auto"/>
      </w:divBdr>
    </w:div>
    <w:div w:id="1366296233">
      <w:bodyDiv w:val="1"/>
      <w:marLeft w:val="0"/>
      <w:marRight w:val="0"/>
      <w:marTop w:val="0"/>
      <w:marBottom w:val="0"/>
      <w:divBdr>
        <w:top w:val="none" w:sz="0" w:space="0" w:color="auto"/>
        <w:left w:val="none" w:sz="0" w:space="0" w:color="auto"/>
        <w:bottom w:val="none" w:sz="0" w:space="0" w:color="auto"/>
        <w:right w:val="none" w:sz="0" w:space="0" w:color="auto"/>
      </w:divBdr>
    </w:div>
    <w:div w:id="1530145678">
      <w:bodyDiv w:val="1"/>
      <w:marLeft w:val="0"/>
      <w:marRight w:val="0"/>
      <w:marTop w:val="0"/>
      <w:marBottom w:val="0"/>
      <w:divBdr>
        <w:top w:val="none" w:sz="0" w:space="0" w:color="auto"/>
        <w:left w:val="none" w:sz="0" w:space="0" w:color="auto"/>
        <w:bottom w:val="none" w:sz="0" w:space="0" w:color="auto"/>
        <w:right w:val="none" w:sz="0" w:space="0" w:color="auto"/>
      </w:divBdr>
    </w:div>
    <w:div w:id="1615675960">
      <w:bodyDiv w:val="1"/>
      <w:marLeft w:val="0"/>
      <w:marRight w:val="0"/>
      <w:marTop w:val="0"/>
      <w:marBottom w:val="0"/>
      <w:divBdr>
        <w:top w:val="none" w:sz="0" w:space="0" w:color="auto"/>
        <w:left w:val="none" w:sz="0" w:space="0" w:color="auto"/>
        <w:bottom w:val="none" w:sz="0" w:space="0" w:color="auto"/>
        <w:right w:val="none" w:sz="0" w:space="0" w:color="auto"/>
      </w:divBdr>
    </w:div>
    <w:div w:id="1653413510">
      <w:bodyDiv w:val="1"/>
      <w:marLeft w:val="0"/>
      <w:marRight w:val="0"/>
      <w:marTop w:val="0"/>
      <w:marBottom w:val="0"/>
      <w:divBdr>
        <w:top w:val="none" w:sz="0" w:space="0" w:color="auto"/>
        <w:left w:val="none" w:sz="0" w:space="0" w:color="auto"/>
        <w:bottom w:val="none" w:sz="0" w:space="0" w:color="auto"/>
        <w:right w:val="none" w:sz="0" w:space="0" w:color="auto"/>
      </w:divBdr>
    </w:div>
    <w:div w:id="1661272414">
      <w:bodyDiv w:val="1"/>
      <w:marLeft w:val="0"/>
      <w:marRight w:val="0"/>
      <w:marTop w:val="0"/>
      <w:marBottom w:val="0"/>
      <w:divBdr>
        <w:top w:val="none" w:sz="0" w:space="0" w:color="auto"/>
        <w:left w:val="none" w:sz="0" w:space="0" w:color="auto"/>
        <w:bottom w:val="none" w:sz="0" w:space="0" w:color="auto"/>
        <w:right w:val="none" w:sz="0" w:space="0" w:color="auto"/>
      </w:divBdr>
    </w:div>
    <w:div w:id="1671253774">
      <w:bodyDiv w:val="1"/>
      <w:marLeft w:val="0"/>
      <w:marRight w:val="0"/>
      <w:marTop w:val="0"/>
      <w:marBottom w:val="0"/>
      <w:divBdr>
        <w:top w:val="none" w:sz="0" w:space="0" w:color="auto"/>
        <w:left w:val="none" w:sz="0" w:space="0" w:color="auto"/>
        <w:bottom w:val="none" w:sz="0" w:space="0" w:color="auto"/>
        <w:right w:val="none" w:sz="0" w:space="0" w:color="auto"/>
      </w:divBdr>
    </w:div>
    <w:div w:id="1735158570">
      <w:bodyDiv w:val="1"/>
      <w:marLeft w:val="0"/>
      <w:marRight w:val="0"/>
      <w:marTop w:val="0"/>
      <w:marBottom w:val="0"/>
      <w:divBdr>
        <w:top w:val="none" w:sz="0" w:space="0" w:color="auto"/>
        <w:left w:val="none" w:sz="0" w:space="0" w:color="auto"/>
        <w:bottom w:val="none" w:sz="0" w:space="0" w:color="auto"/>
        <w:right w:val="none" w:sz="0" w:space="0" w:color="auto"/>
      </w:divBdr>
    </w:div>
    <w:div w:id="1763839309">
      <w:bodyDiv w:val="1"/>
      <w:marLeft w:val="0"/>
      <w:marRight w:val="0"/>
      <w:marTop w:val="0"/>
      <w:marBottom w:val="0"/>
      <w:divBdr>
        <w:top w:val="none" w:sz="0" w:space="0" w:color="auto"/>
        <w:left w:val="none" w:sz="0" w:space="0" w:color="auto"/>
        <w:bottom w:val="none" w:sz="0" w:space="0" w:color="auto"/>
        <w:right w:val="none" w:sz="0" w:space="0" w:color="auto"/>
      </w:divBdr>
    </w:div>
    <w:div w:id="1837377577">
      <w:bodyDiv w:val="1"/>
      <w:marLeft w:val="0"/>
      <w:marRight w:val="0"/>
      <w:marTop w:val="0"/>
      <w:marBottom w:val="0"/>
      <w:divBdr>
        <w:top w:val="none" w:sz="0" w:space="0" w:color="auto"/>
        <w:left w:val="none" w:sz="0" w:space="0" w:color="auto"/>
        <w:bottom w:val="none" w:sz="0" w:space="0" w:color="auto"/>
        <w:right w:val="none" w:sz="0" w:space="0" w:color="auto"/>
      </w:divBdr>
    </w:div>
    <w:div w:id="1918857554">
      <w:bodyDiv w:val="1"/>
      <w:marLeft w:val="0"/>
      <w:marRight w:val="0"/>
      <w:marTop w:val="0"/>
      <w:marBottom w:val="0"/>
      <w:divBdr>
        <w:top w:val="none" w:sz="0" w:space="0" w:color="auto"/>
        <w:left w:val="none" w:sz="0" w:space="0" w:color="auto"/>
        <w:bottom w:val="none" w:sz="0" w:space="0" w:color="auto"/>
        <w:right w:val="none" w:sz="0" w:space="0" w:color="auto"/>
      </w:divBdr>
    </w:div>
    <w:div w:id="1975257853">
      <w:bodyDiv w:val="1"/>
      <w:marLeft w:val="0"/>
      <w:marRight w:val="0"/>
      <w:marTop w:val="0"/>
      <w:marBottom w:val="0"/>
      <w:divBdr>
        <w:top w:val="none" w:sz="0" w:space="0" w:color="auto"/>
        <w:left w:val="none" w:sz="0" w:space="0" w:color="auto"/>
        <w:bottom w:val="none" w:sz="0" w:space="0" w:color="auto"/>
        <w:right w:val="none" w:sz="0" w:space="0" w:color="auto"/>
      </w:divBdr>
      <w:divsChild>
        <w:div w:id="1665663378">
          <w:marLeft w:val="230"/>
          <w:marRight w:val="0"/>
          <w:marTop w:val="120"/>
          <w:marBottom w:val="0"/>
          <w:divBdr>
            <w:top w:val="none" w:sz="0" w:space="0" w:color="auto"/>
            <w:left w:val="none" w:sz="0" w:space="0" w:color="auto"/>
            <w:bottom w:val="none" w:sz="0" w:space="0" w:color="auto"/>
            <w:right w:val="none" w:sz="0" w:space="0" w:color="auto"/>
          </w:divBdr>
        </w:div>
        <w:div w:id="824972772">
          <w:marLeft w:val="547"/>
          <w:marRight w:val="0"/>
          <w:marTop w:val="40"/>
          <w:marBottom w:val="0"/>
          <w:divBdr>
            <w:top w:val="none" w:sz="0" w:space="0" w:color="auto"/>
            <w:left w:val="none" w:sz="0" w:space="0" w:color="auto"/>
            <w:bottom w:val="none" w:sz="0" w:space="0" w:color="auto"/>
            <w:right w:val="none" w:sz="0" w:space="0" w:color="auto"/>
          </w:divBdr>
        </w:div>
        <w:div w:id="1371489388">
          <w:marLeft w:val="547"/>
          <w:marRight w:val="0"/>
          <w:marTop w:val="40"/>
          <w:marBottom w:val="0"/>
          <w:divBdr>
            <w:top w:val="none" w:sz="0" w:space="0" w:color="auto"/>
            <w:left w:val="none" w:sz="0" w:space="0" w:color="auto"/>
            <w:bottom w:val="none" w:sz="0" w:space="0" w:color="auto"/>
            <w:right w:val="none" w:sz="0" w:space="0" w:color="auto"/>
          </w:divBdr>
        </w:div>
      </w:divsChild>
    </w:div>
    <w:div w:id="1989045570">
      <w:bodyDiv w:val="1"/>
      <w:marLeft w:val="0"/>
      <w:marRight w:val="0"/>
      <w:marTop w:val="0"/>
      <w:marBottom w:val="0"/>
      <w:divBdr>
        <w:top w:val="none" w:sz="0" w:space="0" w:color="auto"/>
        <w:left w:val="none" w:sz="0" w:space="0" w:color="auto"/>
        <w:bottom w:val="none" w:sz="0" w:space="0" w:color="auto"/>
        <w:right w:val="none" w:sz="0" w:space="0" w:color="auto"/>
      </w:divBdr>
    </w:div>
    <w:div w:id="2064014923">
      <w:bodyDiv w:val="1"/>
      <w:marLeft w:val="0"/>
      <w:marRight w:val="0"/>
      <w:marTop w:val="0"/>
      <w:marBottom w:val="0"/>
      <w:divBdr>
        <w:top w:val="none" w:sz="0" w:space="0" w:color="auto"/>
        <w:left w:val="none" w:sz="0" w:space="0" w:color="auto"/>
        <w:bottom w:val="none" w:sz="0" w:space="0" w:color="auto"/>
        <w:right w:val="none" w:sz="0" w:space="0" w:color="auto"/>
      </w:divBdr>
    </w:div>
    <w:div w:id="2070615920">
      <w:bodyDiv w:val="1"/>
      <w:marLeft w:val="0"/>
      <w:marRight w:val="0"/>
      <w:marTop w:val="0"/>
      <w:marBottom w:val="0"/>
      <w:divBdr>
        <w:top w:val="none" w:sz="0" w:space="0" w:color="auto"/>
        <w:left w:val="none" w:sz="0" w:space="0" w:color="auto"/>
        <w:bottom w:val="none" w:sz="0" w:space="0" w:color="auto"/>
        <w:right w:val="none" w:sz="0" w:space="0" w:color="auto"/>
      </w:divBdr>
    </w:div>
    <w:div w:id="207940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fi.lu/en-gb/news/alfi-responds-to-esma-consultation-paper-on-the-s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sv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0.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C4E53-59E2-43AA-BA20-EB615DCD6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2975</Words>
  <Characters>16959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Grosse-Strangmann</dc:creator>
  <cp:lastModifiedBy>David Zackenfels</cp:lastModifiedBy>
  <cp:revision>3</cp:revision>
  <cp:lastPrinted>2024-12-03T08:19:00Z</cp:lastPrinted>
  <dcterms:created xsi:type="dcterms:W3CDTF">2024-12-04T14:19:00Z</dcterms:created>
  <dcterms:modified xsi:type="dcterms:W3CDTF">2024-12-04T14:26:00Z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RT_DocNumber">
    <vt:lpwstr/>
  </property>
  <property fmtid="{D5CDD505-2E9C-101B-9397-08002B2CF9AE}" pid="3" name="NRT_DocVersion">
    <vt:lpwstr/>
  </property>
  <property fmtid="{D5CDD505-2E9C-101B-9397-08002B2CF9AE}" pid="4" name="NRT_DocName">
    <vt:lpwstr/>
  </property>
  <property fmtid="{D5CDD505-2E9C-101B-9397-08002B2CF9AE}" pid="5" name="NRT_AuthorDescription">
    <vt:lpwstr/>
  </property>
  <property fmtid="{D5CDD505-2E9C-101B-9397-08002B2CF9AE}" pid="6" name="NRT_Author">
    <vt:lpwstr/>
  </property>
  <property fmtid="{D5CDD505-2E9C-101B-9397-08002B2CF9AE}" pid="7" name="NRT_Operator">
    <vt:lpwstr/>
  </property>
  <property fmtid="{D5CDD505-2E9C-101B-9397-08002B2CF9AE}" pid="8" name="NRT_Database">
    <vt:lpwstr/>
  </property>
  <property fmtid="{D5CDD505-2E9C-101B-9397-08002B2CF9AE}" pid="9" name="NRT_ELITE_CLIENT">
    <vt:lpwstr/>
  </property>
  <property fmtid="{D5CDD505-2E9C-101B-9397-08002B2CF9AE}" pid="10" name="NRT_ELITE_MATTER">
    <vt:lpwstr/>
  </property>
  <property fmtid="{D5CDD505-2E9C-101B-9397-08002B2CF9AE}" pid="11" name="pDocRef">
    <vt:lpwstr/>
  </property>
  <property fmtid="{D5CDD505-2E9C-101B-9397-08002B2CF9AE}" pid="12" name="pDocNumber">
    <vt:lpwstr/>
  </property>
</Properties>
</file>