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5B660" w14:textId="77777777" w:rsidR="00524CAD" w:rsidRDefault="009D6E95">
      <w:pPr>
        <w:pStyle w:val="DocumentName"/>
      </w:pPr>
      <w:bookmarkStart w:id="0" w:name="MMC_Memo"/>
      <w:r>
        <w:t>Memo</w:t>
      </w:r>
      <w:bookmarkEnd w:id="0"/>
    </w:p>
    <w:p w14:paraId="75D24D13" w14:textId="77777777" w:rsidR="00524CAD" w:rsidRDefault="00524CAD" w:rsidP="001F0B16">
      <w:pPr>
        <w:pStyle w:val="Subject"/>
        <w:sectPr w:rsidR="00524CAD" w:rsidSect="009D6E95">
          <w:headerReference w:type="even" r:id="rId7"/>
          <w:headerReference w:type="default" r:id="rId8"/>
          <w:footerReference w:type="even" r:id="rId9"/>
          <w:footerReference w:type="default" r:id="rId10"/>
          <w:headerReference w:type="first" r:id="rId11"/>
          <w:footerReference w:type="first" r:id="rId12"/>
          <w:type w:val="continuous"/>
          <w:pgSz w:w="11909" w:h="16834" w:code="9"/>
          <w:pgMar w:top="-3402" w:right="850" w:bottom="2835" w:left="850" w:header="0" w:footer="480" w:gutter="0"/>
          <w:cols w:space="720"/>
          <w:titlePg/>
          <w:docGrid w:linePitch="299"/>
        </w:sectPr>
      </w:pPr>
    </w:p>
    <w:tbl>
      <w:tblPr>
        <w:tblW w:w="0" w:type="auto"/>
        <w:tblInd w:w="-8" w:type="dxa"/>
        <w:tblBorders>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9"/>
        <w:gridCol w:w="8481"/>
      </w:tblGrid>
      <w:tr w:rsidR="00524CAD" w14:paraId="7ABBF445" w14:textId="77777777" w:rsidTr="00DF0F6C">
        <w:tc>
          <w:tcPr>
            <w:tcW w:w="1439" w:type="dxa"/>
            <w:tcBorders>
              <w:bottom w:val="nil"/>
              <w:right w:val="nil"/>
            </w:tcBorders>
          </w:tcPr>
          <w:p w14:paraId="1FE3C7B1" w14:textId="77777777" w:rsidR="00524CAD" w:rsidRDefault="009D6E95">
            <w:pPr>
              <w:pStyle w:val="AddresseeInfo"/>
            </w:pPr>
            <w:bookmarkStart w:id="14" w:name="MMC_To"/>
            <w:r>
              <w:t>To</w:t>
            </w:r>
            <w:bookmarkEnd w:id="14"/>
            <w:r w:rsidR="00524CAD">
              <w:t>:</w:t>
            </w:r>
          </w:p>
        </w:tc>
        <w:tc>
          <w:tcPr>
            <w:tcW w:w="8481" w:type="dxa"/>
            <w:tcBorders>
              <w:top w:val="nil"/>
              <w:left w:val="nil"/>
              <w:bottom w:val="nil"/>
            </w:tcBorders>
          </w:tcPr>
          <w:p w14:paraId="00709976" w14:textId="4545D8AC" w:rsidR="00524CAD" w:rsidRDefault="009D6E95">
            <w:pPr>
              <w:pStyle w:val="Subject"/>
            </w:pPr>
            <w:bookmarkStart w:id="15" w:name="To"/>
            <w:r>
              <w:t xml:space="preserve">European Commission, </w:t>
            </w:r>
            <w:bookmarkEnd w:id="15"/>
            <w:r>
              <w:t>Directorate-General for Financial Services</w:t>
            </w:r>
          </w:p>
        </w:tc>
      </w:tr>
      <w:tr w:rsidR="00524CAD" w14:paraId="0D2283F7" w14:textId="77777777" w:rsidTr="00DF0F6C">
        <w:tc>
          <w:tcPr>
            <w:tcW w:w="1439" w:type="dxa"/>
            <w:tcBorders>
              <w:top w:val="nil"/>
              <w:bottom w:val="nil"/>
              <w:right w:val="nil"/>
            </w:tcBorders>
          </w:tcPr>
          <w:p w14:paraId="1796E1F2" w14:textId="77777777" w:rsidR="00524CAD" w:rsidRDefault="009D6E95">
            <w:pPr>
              <w:pStyle w:val="AddresseeInfo"/>
            </w:pPr>
            <w:bookmarkStart w:id="16" w:name="MMC_Date"/>
            <w:r>
              <w:t>Date</w:t>
            </w:r>
            <w:bookmarkEnd w:id="16"/>
            <w:r w:rsidR="00524CAD">
              <w:t>:</w:t>
            </w:r>
          </w:p>
        </w:tc>
        <w:tc>
          <w:tcPr>
            <w:tcW w:w="8481" w:type="dxa"/>
            <w:tcBorders>
              <w:top w:val="nil"/>
              <w:left w:val="nil"/>
              <w:bottom w:val="nil"/>
            </w:tcBorders>
          </w:tcPr>
          <w:p w14:paraId="1266CF11" w14:textId="77777777" w:rsidR="00524CAD" w:rsidRDefault="009D6E95">
            <w:pPr>
              <w:pStyle w:val="Subject"/>
            </w:pPr>
            <w:bookmarkStart w:id="17" w:name="MemoDate"/>
            <w:r>
              <w:t>4 December 2024</w:t>
            </w:r>
            <w:bookmarkEnd w:id="17"/>
          </w:p>
        </w:tc>
      </w:tr>
      <w:tr w:rsidR="00524CAD" w14:paraId="4EED4FB4" w14:textId="77777777" w:rsidTr="00DF0F6C">
        <w:tc>
          <w:tcPr>
            <w:tcW w:w="1439" w:type="dxa"/>
            <w:tcBorders>
              <w:top w:val="nil"/>
              <w:bottom w:val="nil"/>
              <w:right w:val="nil"/>
            </w:tcBorders>
          </w:tcPr>
          <w:p w14:paraId="002D4478" w14:textId="77777777" w:rsidR="00524CAD" w:rsidRDefault="009D6E95">
            <w:pPr>
              <w:pStyle w:val="AddresseeInfo"/>
            </w:pPr>
            <w:bookmarkStart w:id="18" w:name="MMC_From"/>
            <w:r>
              <w:t>From</w:t>
            </w:r>
            <w:bookmarkEnd w:id="18"/>
            <w:r w:rsidR="00524CAD">
              <w:t>:</w:t>
            </w:r>
          </w:p>
        </w:tc>
        <w:tc>
          <w:tcPr>
            <w:tcW w:w="8481" w:type="dxa"/>
            <w:tcBorders>
              <w:top w:val="nil"/>
              <w:left w:val="nil"/>
              <w:bottom w:val="nil"/>
            </w:tcBorders>
          </w:tcPr>
          <w:p w14:paraId="63A869BC" w14:textId="316A0B91" w:rsidR="00524CAD" w:rsidRDefault="009D6E95">
            <w:pPr>
              <w:pStyle w:val="Subject"/>
            </w:pPr>
            <w:bookmarkStart w:id="19" w:name="From"/>
            <w:r>
              <w:t>Aloïs Thiant</w:t>
            </w:r>
            <w:bookmarkEnd w:id="19"/>
            <w:r>
              <w:t>, Director of Government Relations for Europe</w:t>
            </w:r>
          </w:p>
        </w:tc>
      </w:tr>
      <w:tr w:rsidR="00524CAD" w14:paraId="5AA3B93E" w14:textId="77777777" w:rsidTr="00DF0F6C">
        <w:tc>
          <w:tcPr>
            <w:tcW w:w="1439" w:type="dxa"/>
            <w:tcBorders>
              <w:top w:val="nil"/>
              <w:bottom w:val="nil"/>
              <w:right w:val="nil"/>
            </w:tcBorders>
          </w:tcPr>
          <w:p w14:paraId="01177EAB" w14:textId="77777777" w:rsidR="00524CAD" w:rsidRDefault="009D6E95">
            <w:pPr>
              <w:pStyle w:val="AddresseeInfo"/>
            </w:pPr>
            <w:bookmarkStart w:id="20" w:name="MMC_Subject"/>
            <w:r>
              <w:t>Subject</w:t>
            </w:r>
            <w:bookmarkEnd w:id="20"/>
            <w:r w:rsidR="00524CAD">
              <w:t>:</w:t>
            </w:r>
          </w:p>
        </w:tc>
        <w:tc>
          <w:tcPr>
            <w:tcW w:w="8481" w:type="dxa"/>
            <w:tcBorders>
              <w:top w:val="nil"/>
              <w:left w:val="nil"/>
              <w:bottom w:val="nil"/>
            </w:tcBorders>
          </w:tcPr>
          <w:p w14:paraId="7D63042A" w14:textId="5F04756C" w:rsidR="00524CAD" w:rsidRDefault="009D6E95">
            <w:pPr>
              <w:pStyle w:val="Subject"/>
            </w:pPr>
            <w:r w:rsidRPr="009D6E95">
              <w:t>Targeted consultation on the functioning of the EU securitisation framework</w:t>
            </w:r>
          </w:p>
        </w:tc>
      </w:tr>
      <w:tr w:rsidR="00524CAD" w14:paraId="23D3DB3D" w14:textId="77777777" w:rsidTr="00DF0F6C">
        <w:tc>
          <w:tcPr>
            <w:tcW w:w="1439" w:type="dxa"/>
            <w:tcBorders>
              <w:top w:val="nil"/>
              <w:bottom w:val="nil"/>
              <w:right w:val="nil"/>
            </w:tcBorders>
          </w:tcPr>
          <w:p w14:paraId="560659D0" w14:textId="77777777" w:rsidR="00524CAD" w:rsidRDefault="00524CAD">
            <w:pPr>
              <w:pStyle w:val="AddresseeInfo"/>
            </w:pPr>
          </w:p>
        </w:tc>
        <w:tc>
          <w:tcPr>
            <w:tcW w:w="8481" w:type="dxa"/>
            <w:tcBorders>
              <w:top w:val="nil"/>
              <w:left w:val="nil"/>
              <w:bottom w:val="nil"/>
            </w:tcBorders>
          </w:tcPr>
          <w:p w14:paraId="4CB055AE" w14:textId="77777777" w:rsidR="00524CAD" w:rsidRDefault="00524CAD">
            <w:pPr>
              <w:pStyle w:val="Subject"/>
            </w:pPr>
          </w:p>
        </w:tc>
      </w:tr>
      <w:tr w:rsidR="00524CAD" w14:paraId="37788D8B" w14:textId="77777777" w:rsidTr="00DF0F6C">
        <w:trPr>
          <w:trHeight w:val="509"/>
        </w:trPr>
        <w:tc>
          <w:tcPr>
            <w:tcW w:w="1439" w:type="dxa"/>
            <w:tcBorders>
              <w:top w:val="nil"/>
              <w:bottom w:val="nil"/>
              <w:right w:val="nil"/>
            </w:tcBorders>
          </w:tcPr>
          <w:p w14:paraId="118E83A3" w14:textId="77777777" w:rsidR="00524CAD" w:rsidRPr="009D6E95" w:rsidRDefault="00524CAD">
            <w:pPr>
              <w:pStyle w:val="AddresseeInfo"/>
              <w:rPr>
                <w:lang w:val="en-US"/>
              </w:rPr>
            </w:pPr>
          </w:p>
        </w:tc>
        <w:tc>
          <w:tcPr>
            <w:tcW w:w="8481" w:type="dxa"/>
            <w:tcBorders>
              <w:top w:val="nil"/>
              <w:left w:val="nil"/>
              <w:bottom w:val="nil"/>
            </w:tcBorders>
          </w:tcPr>
          <w:p w14:paraId="235CBAD7" w14:textId="77777777" w:rsidR="00524CAD" w:rsidRDefault="00524CAD">
            <w:pPr>
              <w:pStyle w:val="Subject"/>
            </w:pPr>
          </w:p>
        </w:tc>
      </w:tr>
    </w:tbl>
    <w:p w14:paraId="51CCB9BD" w14:textId="77777777" w:rsidR="009D6E95" w:rsidRPr="00967F44" w:rsidRDefault="009D6E95" w:rsidP="009D6E95">
      <w:pPr>
        <w:jc w:val="both"/>
        <w:rPr>
          <w:b/>
          <w:bCs/>
          <w:u w:val="single"/>
        </w:rPr>
      </w:pPr>
      <w:bookmarkStart w:id="21" w:name="Start"/>
      <w:bookmarkEnd w:id="21"/>
      <w:r w:rsidRPr="00967F44">
        <w:rPr>
          <w:b/>
          <w:bCs/>
          <w:u w:val="single"/>
        </w:rPr>
        <w:t>About Marsh McLennan</w:t>
      </w:r>
    </w:p>
    <w:p w14:paraId="35FE73A2" w14:textId="77777777" w:rsidR="009D6E95" w:rsidRDefault="009D6E95" w:rsidP="009D6E95">
      <w:pPr>
        <w:jc w:val="both"/>
        <w:rPr>
          <w:lang w:val="en-US"/>
        </w:rPr>
      </w:pPr>
      <w:r w:rsidRPr="00225FAC">
        <w:rPr>
          <w:lang w:val="en-US"/>
        </w:rPr>
        <w:t xml:space="preserve">Marsh McLennan is the world’s leading professional services firm in the areas of risk, strategy and people. The Company’s more than 85,000 colleagues advise clients in 130 countries. </w:t>
      </w:r>
      <w:r>
        <w:rPr>
          <w:lang w:val="en-US"/>
        </w:rPr>
        <w:t xml:space="preserve"> We help</w:t>
      </w:r>
      <w:r w:rsidRPr="00225FAC">
        <w:rPr>
          <w:lang w:val="en-US"/>
        </w:rPr>
        <w:t xml:space="preserve"> clients navigate an increasingly dynamic and complex environment through four market-leading businesses</w:t>
      </w:r>
      <w:r>
        <w:rPr>
          <w:lang w:val="en-US"/>
        </w:rPr>
        <w:t>:</w:t>
      </w:r>
      <w:r w:rsidRPr="00225FAC">
        <w:rPr>
          <w:lang w:val="en-US"/>
        </w:rPr>
        <w:t> </w:t>
      </w:r>
    </w:p>
    <w:p w14:paraId="7DA6DDDF" w14:textId="77777777" w:rsidR="009D6E95" w:rsidRDefault="009D6E95" w:rsidP="009D6E95">
      <w:pPr>
        <w:pStyle w:val="ListParagraph"/>
        <w:numPr>
          <w:ilvl w:val="0"/>
          <w:numId w:val="16"/>
        </w:numPr>
        <w:spacing w:after="160" w:line="259" w:lineRule="auto"/>
        <w:jc w:val="both"/>
        <w:rPr>
          <w:lang w:val="en-US"/>
        </w:rPr>
      </w:pPr>
      <w:r w:rsidRPr="00225FAC">
        <w:rPr>
          <w:lang w:val="en-US"/>
        </w:rPr>
        <w:t>Marsh provides data-driven risk advisory services and insurance solutions to commercial and consumer clients. </w:t>
      </w:r>
    </w:p>
    <w:p w14:paraId="059AB3EB" w14:textId="77777777" w:rsidR="009D6E95" w:rsidRDefault="009D6E95" w:rsidP="009D6E95">
      <w:pPr>
        <w:pStyle w:val="ListParagraph"/>
        <w:numPr>
          <w:ilvl w:val="0"/>
          <w:numId w:val="16"/>
        </w:numPr>
        <w:spacing w:after="160" w:line="259" w:lineRule="auto"/>
        <w:jc w:val="both"/>
        <w:rPr>
          <w:lang w:val="en-US"/>
        </w:rPr>
      </w:pPr>
      <w:r w:rsidRPr="00225FAC">
        <w:rPr>
          <w:lang w:val="en-US"/>
        </w:rPr>
        <w:t>Guy Carpenter develops advanced risk, reinsurance and capital strategies that help clients grow profitably and pursue emerging opportunities. </w:t>
      </w:r>
    </w:p>
    <w:p w14:paraId="1AF4F43F" w14:textId="77777777" w:rsidR="009D6E95" w:rsidRDefault="009D6E95" w:rsidP="009D6E95">
      <w:pPr>
        <w:pStyle w:val="ListParagraph"/>
        <w:numPr>
          <w:ilvl w:val="0"/>
          <w:numId w:val="16"/>
        </w:numPr>
        <w:spacing w:after="160" w:line="259" w:lineRule="auto"/>
        <w:jc w:val="both"/>
        <w:rPr>
          <w:lang w:val="en-US"/>
        </w:rPr>
      </w:pPr>
      <w:r w:rsidRPr="00225FAC">
        <w:rPr>
          <w:lang w:val="en-US"/>
        </w:rPr>
        <w:t>Mercer delivers advice and technology-driven solutions that help organizations redefine the world of work, reshape retirement and investment outcomes, and unlock health and wellbeing for a changing workforce. </w:t>
      </w:r>
    </w:p>
    <w:p w14:paraId="424ADF5E" w14:textId="77777777" w:rsidR="009D6E95" w:rsidRPr="00225FAC" w:rsidRDefault="009D6E95" w:rsidP="009D6E95">
      <w:pPr>
        <w:pStyle w:val="ListParagraph"/>
        <w:numPr>
          <w:ilvl w:val="0"/>
          <w:numId w:val="16"/>
        </w:numPr>
        <w:spacing w:after="160" w:line="259" w:lineRule="auto"/>
        <w:jc w:val="both"/>
        <w:rPr>
          <w:lang w:val="en-US"/>
        </w:rPr>
      </w:pPr>
      <w:r w:rsidRPr="00225FAC">
        <w:rPr>
          <w:lang w:val="en-US"/>
        </w:rPr>
        <w:t>Oliver Wyman serves as a critical strategic, economic and brand advisor to private sector and governmental clients. </w:t>
      </w:r>
    </w:p>
    <w:p w14:paraId="3C290A4F" w14:textId="77777777" w:rsidR="009D6E95" w:rsidRPr="009D6E95" w:rsidRDefault="009D6E95" w:rsidP="009D6E95">
      <w:pPr>
        <w:jc w:val="both"/>
        <w:rPr>
          <w:lang w:val="en-US"/>
        </w:rPr>
      </w:pPr>
    </w:p>
    <w:p w14:paraId="1B922CC8" w14:textId="09AD56D0" w:rsidR="009D6E95" w:rsidRPr="009D6E95" w:rsidRDefault="009D6E95" w:rsidP="009D6E95">
      <w:pPr>
        <w:jc w:val="both"/>
        <w:rPr>
          <w:b/>
          <w:bCs/>
          <w:u w:val="single"/>
        </w:rPr>
      </w:pPr>
      <w:r w:rsidRPr="009D6E95">
        <w:rPr>
          <w:b/>
          <w:bCs/>
          <w:u w:val="single"/>
        </w:rPr>
        <w:t>About our response</w:t>
      </w:r>
    </w:p>
    <w:p w14:paraId="25F1C31D" w14:textId="457DB006" w:rsidR="009D6E95" w:rsidRDefault="009D6E95" w:rsidP="009D6E95">
      <w:pPr>
        <w:jc w:val="both"/>
        <w:rPr>
          <w:lang w:val="en-US"/>
        </w:rPr>
      </w:pPr>
      <w:r w:rsidRPr="5E19FD59">
        <w:t xml:space="preserve">This response is limited to on-balance-sheet synthetic securitisations as per </w:t>
      </w:r>
      <w:r>
        <w:t>definition set out in Article 2 of Regulation (EU) 2017/2402</w:t>
      </w:r>
      <w:r>
        <w:t>.  We</w:t>
      </w:r>
      <w:r>
        <w:rPr>
          <w:lang w:val="en-US"/>
        </w:rPr>
        <w:t xml:space="preserve"> provide response</w:t>
      </w:r>
      <w:r>
        <w:rPr>
          <w:lang w:val="en-US"/>
        </w:rPr>
        <w:t>s</w:t>
      </w:r>
      <w:r>
        <w:rPr>
          <w:lang w:val="en-US"/>
        </w:rPr>
        <w:t xml:space="preserve"> only to selected questions listed below.</w:t>
      </w:r>
      <w:r w:rsidRPr="00EB6ED0">
        <w:t xml:space="preserve"> </w:t>
      </w:r>
    </w:p>
    <w:p w14:paraId="251CF6A0" w14:textId="77777777" w:rsidR="009D6E95" w:rsidRPr="009D6E95" w:rsidRDefault="009D6E95" w:rsidP="009D6E95">
      <w:pPr>
        <w:jc w:val="both"/>
      </w:pPr>
    </w:p>
    <w:p w14:paraId="46D6F51B" w14:textId="77777777" w:rsidR="009D6E95" w:rsidRDefault="009D6E95" w:rsidP="009D6E95">
      <w:pPr>
        <w:jc w:val="both"/>
        <w:rPr>
          <w:lang w:val="en-US"/>
        </w:rPr>
      </w:pPr>
    </w:p>
    <w:p w14:paraId="3F85EC88" w14:textId="77777777" w:rsidR="009D6E95" w:rsidRDefault="009D6E95" w:rsidP="009D6E95">
      <w:pPr>
        <w:pStyle w:val="Heading2"/>
        <w:jc w:val="both"/>
        <w:rPr>
          <w:lang w:val="en-US"/>
        </w:rPr>
      </w:pPr>
      <w:r>
        <w:rPr>
          <w:lang w:val="en-US"/>
        </w:rPr>
        <w:lastRenderedPageBreak/>
        <w:t>Section 7. STS standard</w:t>
      </w:r>
    </w:p>
    <w:p w14:paraId="0FCFE5CA" w14:textId="77777777" w:rsidR="009D6E95" w:rsidRPr="00D94BF4" w:rsidRDefault="009D6E95" w:rsidP="009D6E95">
      <w:pPr>
        <w:jc w:val="both"/>
        <w:rPr>
          <w:lang w:val="en-US"/>
        </w:rPr>
      </w:pPr>
    </w:p>
    <w:p w14:paraId="35AF3BB1" w14:textId="77777777" w:rsidR="009D6E95" w:rsidRPr="00670AF5" w:rsidRDefault="009D6E95" w:rsidP="009D6E95">
      <w:pPr>
        <w:pStyle w:val="Heading3"/>
        <w:jc w:val="both"/>
        <w:rPr>
          <w:lang w:val="en-US"/>
        </w:rPr>
      </w:pPr>
      <w:r w:rsidRPr="00670AF5">
        <w:rPr>
          <w:lang w:val="en-US"/>
        </w:rPr>
        <w:t>Questions to stakeholders:</w:t>
      </w:r>
    </w:p>
    <w:p w14:paraId="1E91CFD1" w14:textId="77777777" w:rsidR="009D6E95" w:rsidRPr="00670AF5" w:rsidRDefault="009D6E95" w:rsidP="009D6E95">
      <w:pPr>
        <w:jc w:val="both"/>
        <w:rPr>
          <w:lang w:val="en-US"/>
        </w:rPr>
      </w:pPr>
      <w:r w:rsidRPr="00670AF5">
        <w:rPr>
          <w:b/>
          <w:bCs/>
          <w:lang w:val="en-US"/>
        </w:rPr>
        <w:t>7.1.</w:t>
      </w:r>
      <w:r w:rsidRPr="001E5AAA">
        <w:rPr>
          <w:b/>
          <w:bCs/>
          <w:lang w:val="en-US"/>
        </w:rPr>
        <w:t xml:space="preserve"> </w:t>
      </w:r>
      <w:r w:rsidRPr="001130E8">
        <w:rPr>
          <w:b/>
          <w:bCs/>
          <w:lang w:val="en-US"/>
        </w:rPr>
        <w:t xml:space="preserve">Do you think that the STS label in its current form has the potential to significantly scale up the EU </w:t>
      </w:r>
      <w:proofErr w:type="spellStart"/>
      <w:r w:rsidRPr="001130E8">
        <w:rPr>
          <w:b/>
          <w:bCs/>
          <w:lang w:val="en-US"/>
        </w:rPr>
        <w:t>securitisation</w:t>
      </w:r>
      <w:proofErr w:type="spellEnd"/>
      <w:r w:rsidRPr="001130E8">
        <w:rPr>
          <w:b/>
          <w:bCs/>
          <w:lang w:val="en-US"/>
        </w:rPr>
        <w:t xml:space="preserve"> market?</w:t>
      </w:r>
    </w:p>
    <w:p w14:paraId="5ADE4896" w14:textId="77777777" w:rsidR="009D6E95" w:rsidRPr="00DD558F" w:rsidRDefault="009D6E95" w:rsidP="009D6E95">
      <w:pPr>
        <w:jc w:val="both"/>
        <w:rPr>
          <w:b/>
          <w:lang w:val="en-US"/>
        </w:rPr>
      </w:pPr>
      <w:r w:rsidRPr="007B726A">
        <w:rPr>
          <w:b/>
          <w:lang w:val="en-US"/>
        </w:rPr>
        <w:t xml:space="preserve"> </w:t>
      </w:r>
      <w:r w:rsidRPr="00DD558F">
        <w:rPr>
          <w:b/>
          <w:lang w:val="en-US"/>
        </w:rPr>
        <w:t>Response:</w:t>
      </w:r>
    </w:p>
    <w:p w14:paraId="1C937D28" w14:textId="77777777" w:rsidR="009D6E95" w:rsidRDefault="009D6E95" w:rsidP="009D6E95">
      <w:pPr>
        <w:jc w:val="both"/>
        <w:rPr>
          <w:lang w:val="en-US"/>
        </w:rPr>
      </w:pPr>
      <w:r>
        <w:rPr>
          <w:lang w:val="en-US"/>
        </w:rPr>
        <w:t xml:space="preserve">In its current form, no.  With regards to on-balance sheet synthetic </w:t>
      </w:r>
      <w:proofErr w:type="spellStart"/>
      <w:r>
        <w:rPr>
          <w:lang w:val="en-US"/>
        </w:rPr>
        <w:t>securitisations</w:t>
      </w:r>
      <w:proofErr w:type="spellEnd"/>
      <w:r>
        <w:rPr>
          <w:lang w:val="en-US"/>
        </w:rPr>
        <w:t xml:space="preserve"> / SRT, this is for two primary reasons:</w:t>
      </w:r>
    </w:p>
    <w:p w14:paraId="61353920" w14:textId="77777777" w:rsidR="009D6E95" w:rsidRDefault="009D6E95" w:rsidP="009D6E95">
      <w:pPr>
        <w:pStyle w:val="ListNumber"/>
        <w:jc w:val="both"/>
        <w:rPr>
          <w:lang w:val="en-US"/>
        </w:rPr>
      </w:pPr>
      <w:r>
        <w:rPr>
          <w:lang w:val="en-US"/>
        </w:rPr>
        <w:t xml:space="preserve">Unlevel playing field for issuing banks across the EU – the STS framework </w:t>
      </w:r>
      <w:proofErr w:type="spellStart"/>
      <w:r>
        <w:rPr>
          <w:lang w:val="en-US"/>
        </w:rPr>
        <w:t>favours</w:t>
      </w:r>
      <w:proofErr w:type="spellEnd"/>
      <w:r>
        <w:rPr>
          <w:lang w:val="en-US"/>
        </w:rPr>
        <w:t xml:space="preserve"> regional banks and the largest domestic banks under the IRB approach who will have sufficiently large loan portfolios to select efficient portfolios that satisfy the current homogeneity requirements, or can issue sufficiently large SRT transactions to absorb the cost of compliance / verification of compliance of the STS criteria.  Banks that are less frequent issuers (including a number of the larger domestically focused IRB banks under JST supervision), banks under the </w:t>
      </w:r>
      <w:proofErr w:type="spellStart"/>
      <w:r>
        <w:rPr>
          <w:lang w:val="en-US"/>
        </w:rPr>
        <w:t>Standardised</w:t>
      </w:r>
      <w:proofErr w:type="spellEnd"/>
      <w:r>
        <w:rPr>
          <w:lang w:val="en-US"/>
        </w:rPr>
        <w:t xml:space="preserve"> Approach (in general domestic banks, challenger banks, etc.) are disadvantaged relative to their regional peers as meeting STS criteria can be both costly and inefficient; and</w:t>
      </w:r>
    </w:p>
    <w:p w14:paraId="51DD7969" w14:textId="77777777" w:rsidR="009D6E95" w:rsidRDefault="009D6E95" w:rsidP="009D6E95">
      <w:pPr>
        <w:pStyle w:val="ListNumber"/>
        <w:jc w:val="both"/>
        <w:rPr>
          <w:lang w:val="en-US"/>
        </w:rPr>
      </w:pPr>
      <w:r>
        <w:rPr>
          <w:lang w:val="en-US"/>
        </w:rPr>
        <w:t xml:space="preserve">Unlevel playing field for private investors – a crucial source of capital from well </w:t>
      </w:r>
      <w:proofErr w:type="spellStart"/>
      <w:r>
        <w:rPr>
          <w:lang w:val="en-US"/>
        </w:rPr>
        <w:t>capitalised</w:t>
      </w:r>
      <w:proofErr w:type="spellEnd"/>
      <w:r>
        <w:rPr>
          <w:lang w:val="en-US"/>
        </w:rPr>
        <w:t xml:space="preserve"> and prudentially regulated (re)insurance undertakings is currently not allowed for unfunded STS transactions, whereas 0% risk weighted entities (being public and quasi-public sector entities) are able to participate in such transactions.  This can lead to increased reliance on such public sector entities where private market solutions, at efficient pricing, exist.  Furthermore, this limits the extent to which (re)insurance companies can diversify their exposure to SRT risks and may have the unintended consequence of impacting further growth and participation from the (re)insurance sector.</w:t>
      </w:r>
    </w:p>
    <w:p w14:paraId="3887837E" w14:textId="77777777" w:rsidR="009D6E95" w:rsidRDefault="009D6E95" w:rsidP="009D6E95">
      <w:pPr>
        <w:pStyle w:val="ListNumber"/>
        <w:numPr>
          <w:ilvl w:val="0"/>
          <w:numId w:val="0"/>
        </w:numPr>
        <w:jc w:val="both"/>
        <w:rPr>
          <w:lang w:val="en-US"/>
        </w:rPr>
      </w:pPr>
      <w:r>
        <w:rPr>
          <w:lang w:val="en-US"/>
        </w:rPr>
        <w:t>We note that (re)insurance companies bring a diversifying source of capital to the SRT market which is much needed for certain asset classes (e.g. residential mortgages) and certain tranches (e.g. senior mezzanine) to make transactions more efficient, and in some cases economically viable.</w:t>
      </w:r>
    </w:p>
    <w:p w14:paraId="41CC4427" w14:textId="77777777" w:rsidR="009D6E95" w:rsidRDefault="009D6E95" w:rsidP="009D6E95">
      <w:pPr>
        <w:pStyle w:val="ListNumber"/>
        <w:numPr>
          <w:ilvl w:val="0"/>
          <w:numId w:val="0"/>
        </w:numPr>
        <w:jc w:val="both"/>
        <w:rPr>
          <w:b/>
          <w:bCs/>
          <w:lang w:val="en-US"/>
        </w:rPr>
      </w:pPr>
      <w:r>
        <w:rPr>
          <w:lang w:val="en-US"/>
        </w:rPr>
        <w:t>We expand on the above and our thoughts regarding changes to the STS framework to promote healthy market development.</w:t>
      </w:r>
    </w:p>
    <w:p w14:paraId="545F5BAA" w14:textId="77777777" w:rsidR="009D6E95" w:rsidRDefault="009D6E95" w:rsidP="009D6E95">
      <w:pPr>
        <w:pStyle w:val="ListNumber"/>
        <w:numPr>
          <w:ilvl w:val="0"/>
          <w:numId w:val="0"/>
        </w:numPr>
        <w:jc w:val="both"/>
        <w:rPr>
          <w:b/>
          <w:bCs/>
          <w:lang w:val="en-US"/>
        </w:rPr>
      </w:pPr>
    </w:p>
    <w:p w14:paraId="694C7E3E" w14:textId="77777777" w:rsidR="009D6E95" w:rsidRDefault="009D6E95" w:rsidP="009D6E95">
      <w:pPr>
        <w:pStyle w:val="ListNumber"/>
        <w:numPr>
          <w:ilvl w:val="0"/>
          <w:numId w:val="0"/>
        </w:numPr>
        <w:jc w:val="both"/>
        <w:rPr>
          <w:b/>
          <w:bCs/>
          <w:lang w:val="en-US"/>
        </w:rPr>
      </w:pPr>
    </w:p>
    <w:p w14:paraId="36940989" w14:textId="77777777" w:rsidR="009D6E95" w:rsidRPr="00670AF5" w:rsidRDefault="009D6E95" w:rsidP="009D6E95">
      <w:pPr>
        <w:jc w:val="both"/>
        <w:rPr>
          <w:lang w:val="en-US"/>
        </w:rPr>
      </w:pPr>
      <w:r w:rsidRPr="00670AF5">
        <w:rPr>
          <w:b/>
          <w:bCs/>
          <w:lang w:val="en-US"/>
        </w:rPr>
        <w:t>7.2.</w:t>
      </w:r>
      <w:r w:rsidRPr="001E5AAA">
        <w:rPr>
          <w:b/>
          <w:bCs/>
          <w:lang w:val="en-US"/>
        </w:rPr>
        <w:t xml:space="preserve"> </w:t>
      </w:r>
      <w:r w:rsidRPr="001130E8">
        <w:rPr>
          <w:b/>
          <w:bCs/>
          <w:lang w:val="en-US"/>
        </w:rPr>
        <w:t>Which of the below factors, if any, do you consider as holding back the expansion of the STS standard in the EU?</w:t>
      </w:r>
    </w:p>
    <w:p w14:paraId="683E8DA8" w14:textId="77777777" w:rsidR="009D6E95" w:rsidRPr="001130E8" w:rsidRDefault="009D6E95" w:rsidP="009D6E95">
      <w:pPr>
        <w:ind w:firstLine="567"/>
        <w:jc w:val="both"/>
        <w:rPr>
          <w:b/>
          <w:lang w:val="en-US"/>
        </w:rPr>
      </w:pPr>
      <w:r w:rsidRPr="001130E8">
        <w:rPr>
          <w:b/>
          <w:lang w:val="en-US"/>
        </w:rPr>
        <w:t>•</w:t>
      </w:r>
      <w:r w:rsidRPr="001130E8">
        <w:rPr>
          <w:b/>
          <w:lang w:val="en-US"/>
        </w:rPr>
        <w:tab/>
        <w:t>Overly restrictive and costly STS criteria</w:t>
      </w:r>
    </w:p>
    <w:p w14:paraId="42CD4B69" w14:textId="77777777" w:rsidR="009D6E95" w:rsidRPr="00DF5F28" w:rsidRDefault="009D6E95" w:rsidP="009D6E95">
      <w:pPr>
        <w:ind w:firstLine="567"/>
        <w:jc w:val="both"/>
        <w:rPr>
          <w:lang w:val="en-US"/>
        </w:rPr>
      </w:pPr>
      <w:r w:rsidRPr="00DF5F28">
        <w:rPr>
          <w:lang w:val="en-US"/>
        </w:rPr>
        <w:lastRenderedPageBreak/>
        <w:t>•</w:t>
      </w:r>
      <w:r w:rsidRPr="00DF5F28">
        <w:rPr>
          <w:lang w:val="en-US"/>
        </w:rPr>
        <w:tab/>
      </w:r>
      <w:r w:rsidRPr="001130E8">
        <w:rPr>
          <w:b/>
          <w:lang w:val="en-US"/>
        </w:rPr>
        <w:t>High capital charges</w:t>
      </w:r>
    </w:p>
    <w:p w14:paraId="58D2CBC4" w14:textId="77777777" w:rsidR="009D6E95" w:rsidRPr="001130E8" w:rsidRDefault="009D6E95" w:rsidP="009D6E95">
      <w:pPr>
        <w:jc w:val="both"/>
        <w:rPr>
          <w:b/>
          <w:lang w:val="en-US"/>
        </w:rPr>
      </w:pPr>
      <w:r w:rsidRPr="001130E8">
        <w:rPr>
          <w:b/>
          <w:lang w:val="en-US"/>
        </w:rPr>
        <w:t>Response:</w:t>
      </w:r>
    </w:p>
    <w:p w14:paraId="29E00921" w14:textId="77777777" w:rsidR="009D6E95" w:rsidRPr="008A44A4" w:rsidRDefault="009D6E95" w:rsidP="009D6E95">
      <w:pPr>
        <w:jc w:val="both"/>
        <w:rPr>
          <w:lang w:val="en-US"/>
        </w:rPr>
      </w:pPr>
      <w:r w:rsidRPr="008A44A4">
        <w:rPr>
          <w:lang w:val="en-US"/>
        </w:rPr>
        <w:t xml:space="preserve">The expansion of the STS </w:t>
      </w:r>
      <w:proofErr w:type="spellStart"/>
      <w:r w:rsidRPr="008A44A4">
        <w:rPr>
          <w:lang w:val="en-US"/>
        </w:rPr>
        <w:t>securitisation</w:t>
      </w:r>
      <w:proofErr w:type="spellEnd"/>
      <w:r w:rsidRPr="008A44A4">
        <w:rPr>
          <w:lang w:val="en-US"/>
        </w:rPr>
        <w:t xml:space="preserve"> framework in the EU is constrained by several key factors that impact its economic viability and practical accessibility for both originators</w:t>
      </w:r>
      <w:r>
        <w:rPr>
          <w:lang w:val="en-US"/>
        </w:rPr>
        <w:t>, in particular domestic banking groups,</w:t>
      </w:r>
      <w:r w:rsidRPr="008A44A4">
        <w:rPr>
          <w:lang w:val="en-US"/>
        </w:rPr>
        <w:t xml:space="preserve"> and investors</w:t>
      </w:r>
      <w:r>
        <w:rPr>
          <w:lang w:val="en-US"/>
        </w:rPr>
        <w:t>, in particular prudentially regulated (re)insurance undertakings</w:t>
      </w:r>
      <w:r w:rsidRPr="008A44A4">
        <w:rPr>
          <w:lang w:val="en-US"/>
        </w:rPr>
        <w:t>.</w:t>
      </w:r>
    </w:p>
    <w:p w14:paraId="12CAF22F" w14:textId="77777777" w:rsidR="009D6E95" w:rsidRPr="008A44A4" w:rsidRDefault="009D6E95" w:rsidP="009D6E95">
      <w:pPr>
        <w:jc w:val="both"/>
        <w:rPr>
          <w:lang w:val="en-US"/>
        </w:rPr>
      </w:pPr>
      <w:r w:rsidRPr="008A44A4">
        <w:rPr>
          <w:lang w:val="en-US"/>
        </w:rPr>
        <w:t xml:space="preserve">One significant barrier is the exclusion of </w:t>
      </w:r>
      <w:r>
        <w:rPr>
          <w:lang w:val="en-US"/>
        </w:rPr>
        <w:t xml:space="preserve">private </w:t>
      </w:r>
      <w:r w:rsidRPr="008A44A4">
        <w:rPr>
          <w:lang w:val="en-US"/>
        </w:rPr>
        <w:t xml:space="preserve">unfunded credit protection providers, such as </w:t>
      </w:r>
      <w:r>
        <w:rPr>
          <w:lang w:val="en-US"/>
        </w:rPr>
        <w:t>(re)</w:t>
      </w:r>
      <w:r w:rsidRPr="008A44A4">
        <w:rPr>
          <w:lang w:val="en-US"/>
        </w:rPr>
        <w:t>insurers regulated under Solvency II</w:t>
      </w:r>
      <w:r>
        <w:rPr>
          <w:lang w:val="en-US"/>
        </w:rPr>
        <w:t>,</w:t>
      </w:r>
      <w:r w:rsidRPr="008A44A4">
        <w:rPr>
          <w:lang w:val="en-US"/>
        </w:rPr>
        <w:t xml:space="preserve"> or equivalent</w:t>
      </w:r>
      <w:r>
        <w:rPr>
          <w:lang w:val="en-US"/>
        </w:rPr>
        <w:t>,</w:t>
      </w:r>
      <w:r w:rsidRPr="008A44A4">
        <w:rPr>
          <w:lang w:val="en-US"/>
        </w:rPr>
        <w:t xml:space="preserve"> frameworks. </w:t>
      </w:r>
      <w:r>
        <w:rPr>
          <w:lang w:val="en-US"/>
        </w:rPr>
        <w:t xml:space="preserve"> These well </w:t>
      </w:r>
      <w:proofErr w:type="spellStart"/>
      <w:r>
        <w:rPr>
          <w:lang w:val="en-US"/>
        </w:rPr>
        <w:t>capitalised</w:t>
      </w:r>
      <w:proofErr w:type="spellEnd"/>
      <w:r>
        <w:rPr>
          <w:lang w:val="en-US"/>
        </w:rPr>
        <w:t xml:space="preserve"> and highly regulated companies</w:t>
      </w:r>
      <w:r w:rsidRPr="008A44A4">
        <w:rPr>
          <w:lang w:val="en-US"/>
        </w:rPr>
        <w:t xml:space="preserve"> are critical for broadening the</w:t>
      </w:r>
      <w:r>
        <w:rPr>
          <w:lang w:val="en-US"/>
        </w:rPr>
        <w:t xml:space="preserve"> STS</w:t>
      </w:r>
      <w:r w:rsidRPr="008A44A4">
        <w:rPr>
          <w:lang w:val="en-US"/>
        </w:rPr>
        <w:t xml:space="preserve"> </w:t>
      </w:r>
      <w:r>
        <w:rPr>
          <w:lang w:val="en-US"/>
        </w:rPr>
        <w:t xml:space="preserve">SRT </w:t>
      </w:r>
      <w:r w:rsidRPr="008A44A4">
        <w:rPr>
          <w:lang w:val="en-US"/>
        </w:rPr>
        <w:t>investor base and ensuring cost-effective protection</w:t>
      </w:r>
      <w:r>
        <w:rPr>
          <w:lang w:val="en-US"/>
        </w:rPr>
        <w:t xml:space="preserve">, where in addition to increasing competition to regular capital market investors, they can offer capacity </w:t>
      </w:r>
      <w:r w:rsidRPr="008A44A4">
        <w:rPr>
          <w:lang w:val="en-US"/>
        </w:rPr>
        <w:t>for senior mezzanine tranches and lower-risk portfolios</w:t>
      </w:r>
      <w:r>
        <w:rPr>
          <w:lang w:val="en-US"/>
        </w:rPr>
        <w:t xml:space="preserve"> that are crucial to the real economy (e.g. residential mortgage portfolios)</w:t>
      </w:r>
      <w:r w:rsidRPr="008A44A4">
        <w:rPr>
          <w:lang w:val="en-US"/>
        </w:rPr>
        <w:t xml:space="preserve">. </w:t>
      </w:r>
      <w:r>
        <w:rPr>
          <w:lang w:val="en-US"/>
        </w:rPr>
        <w:t xml:space="preserve"> </w:t>
      </w:r>
      <w:r w:rsidRPr="008A44A4">
        <w:rPr>
          <w:lang w:val="en-US"/>
        </w:rPr>
        <w:t>Their inclusion would foster competition and innovation, especially for portfolios that are not economically viable in a fully funded format.</w:t>
      </w:r>
    </w:p>
    <w:p w14:paraId="0EB9BB96" w14:textId="77777777" w:rsidR="009D6E95" w:rsidRPr="008A44A4" w:rsidRDefault="009D6E95" w:rsidP="009D6E95">
      <w:pPr>
        <w:jc w:val="both"/>
        <w:rPr>
          <w:lang w:val="en-US"/>
        </w:rPr>
      </w:pPr>
      <w:r w:rsidRPr="008A44A4">
        <w:rPr>
          <w:lang w:val="en-US"/>
        </w:rPr>
        <w:t>Additionally, the current capital requirements under the STS framework are insufficiently risk-sensitive. The high RW floors and the overly conservative calibration of the (p) factor in the SEC-SA methodology impose disproportionately high capital charges.</w:t>
      </w:r>
      <w:r>
        <w:rPr>
          <w:lang w:val="en-US"/>
        </w:rPr>
        <w:t xml:space="preserve"> </w:t>
      </w:r>
      <w:r w:rsidRPr="008A44A4">
        <w:rPr>
          <w:lang w:val="en-US"/>
        </w:rPr>
        <w:t xml:space="preserve"> This particularly disincentivizes </w:t>
      </w:r>
      <w:r>
        <w:rPr>
          <w:lang w:val="en-US"/>
        </w:rPr>
        <w:t>domestic</w:t>
      </w:r>
      <w:r w:rsidRPr="008A44A4">
        <w:rPr>
          <w:lang w:val="en-US"/>
        </w:rPr>
        <w:t xml:space="preserve"> banks from engaging in </w:t>
      </w:r>
      <w:r>
        <w:rPr>
          <w:lang w:val="en-US"/>
        </w:rPr>
        <w:t>securitization</w:t>
      </w:r>
      <w:r w:rsidRPr="008A44A4">
        <w:rPr>
          <w:lang w:val="en-US"/>
        </w:rPr>
        <w:t>, as the transactions become too costly to justify from a capital efficiency perspective.</w:t>
      </w:r>
    </w:p>
    <w:p w14:paraId="065E1A0D" w14:textId="77777777" w:rsidR="009D6E95" w:rsidRPr="008A44A4" w:rsidRDefault="009D6E95" w:rsidP="009D6E95">
      <w:pPr>
        <w:jc w:val="both"/>
        <w:rPr>
          <w:lang w:val="en-US"/>
        </w:rPr>
      </w:pPr>
      <w:r w:rsidRPr="008A44A4">
        <w:rPr>
          <w:lang w:val="en-US"/>
        </w:rPr>
        <w:t xml:space="preserve">The stringent homogeneity requirements further restrict participation. </w:t>
      </w:r>
      <w:r>
        <w:rPr>
          <w:lang w:val="en-US"/>
        </w:rPr>
        <w:t xml:space="preserve"> </w:t>
      </w:r>
      <w:r w:rsidRPr="008A44A4">
        <w:rPr>
          <w:lang w:val="en-US"/>
        </w:rPr>
        <w:t xml:space="preserve">While intended to simplify </w:t>
      </w:r>
      <w:proofErr w:type="spellStart"/>
      <w:r w:rsidRPr="008A44A4">
        <w:rPr>
          <w:lang w:val="en-US"/>
        </w:rPr>
        <w:t>securitisation</w:t>
      </w:r>
      <w:proofErr w:type="spellEnd"/>
      <w:r w:rsidRPr="008A44A4">
        <w:rPr>
          <w:lang w:val="en-US"/>
        </w:rPr>
        <w:t xml:space="preserve"> structures, these requirements are overly rigid, excluding portfolios that share consistent risk profiles but do not fit narrow asset-type definitions.</w:t>
      </w:r>
      <w:r>
        <w:rPr>
          <w:lang w:val="en-US"/>
        </w:rPr>
        <w:t xml:space="preserve"> </w:t>
      </w:r>
      <w:r w:rsidRPr="008A44A4">
        <w:rPr>
          <w:lang w:val="en-US"/>
        </w:rPr>
        <w:t xml:space="preserve"> This disproportionately affects smaller institutions, limiting their ability to participate in the STS market.</w:t>
      </w:r>
    </w:p>
    <w:p w14:paraId="631A0CCF" w14:textId="77777777" w:rsidR="009D6E95" w:rsidRPr="008A44A4" w:rsidRDefault="009D6E95" w:rsidP="009D6E95">
      <w:pPr>
        <w:jc w:val="both"/>
        <w:rPr>
          <w:lang w:val="en-US"/>
        </w:rPr>
      </w:pPr>
      <w:r w:rsidRPr="008A44A4">
        <w:rPr>
          <w:lang w:val="en-US"/>
        </w:rPr>
        <w:t>Finally, the fragmented regulatory approach across jurisdictions and the lack of standardization in demonstrating compliance with STS and Significant Risk Transfer (SRT) criteria</w:t>
      </w:r>
      <w:r>
        <w:rPr>
          <w:lang w:val="en-US"/>
        </w:rPr>
        <w:t xml:space="preserve"> with respect to non-JST supervised banks</w:t>
      </w:r>
      <w:r w:rsidRPr="008A44A4">
        <w:rPr>
          <w:lang w:val="en-US"/>
        </w:rPr>
        <w:t xml:space="preserve"> result in high structuring and operational costs.</w:t>
      </w:r>
      <w:r>
        <w:rPr>
          <w:lang w:val="en-US"/>
        </w:rPr>
        <w:t xml:space="preserve"> </w:t>
      </w:r>
      <w:r w:rsidRPr="008A44A4">
        <w:rPr>
          <w:lang w:val="en-US"/>
        </w:rPr>
        <w:t xml:space="preserve"> These costs are particularly prohibitive for smaller banks</w:t>
      </w:r>
      <w:r>
        <w:rPr>
          <w:lang w:val="en-US"/>
        </w:rPr>
        <w:t xml:space="preserve"> in addition to costs associated with verification check in relation to STS label</w:t>
      </w:r>
      <w:r w:rsidRPr="008A44A4">
        <w:rPr>
          <w:lang w:val="en-US"/>
        </w:rPr>
        <w:t>, which lack the scale to justify such expenses.</w:t>
      </w:r>
    </w:p>
    <w:p w14:paraId="796A41DB" w14:textId="77777777" w:rsidR="009D6E95" w:rsidRDefault="009D6E95" w:rsidP="009D6E95">
      <w:pPr>
        <w:jc w:val="both"/>
        <w:rPr>
          <w:b/>
          <w:bCs/>
          <w:lang w:val="en-US"/>
        </w:rPr>
      </w:pPr>
      <w:r w:rsidRPr="008A44A4">
        <w:rPr>
          <w:lang w:val="en-US"/>
        </w:rPr>
        <w:t xml:space="preserve">Addressing these challenges through the inclusion of unfunded credit protection providers, recalibration of capital requirements, greater flexibility in homogeneity criteria, and harmonization of regulatory </w:t>
      </w:r>
      <w:r>
        <w:rPr>
          <w:lang w:val="en-US"/>
        </w:rPr>
        <w:t>assessment</w:t>
      </w:r>
      <w:r w:rsidRPr="008A44A4">
        <w:rPr>
          <w:lang w:val="en-US"/>
        </w:rPr>
        <w:t xml:space="preserve"> would enhance the attractiveness of STS </w:t>
      </w:r>
      <w:proofErr w:type="spellStart"/>
      <w:r w:rsidRPr="008A44A4">
        <w:rPr>
          <w:lang w:val="en-US"/>
        </w:rPr>
        <w:t>securitisations</w:t>
      </w:r>
      <w:proofErr w:type="spellEnd"/>
      <w:r>
        <w:rPr>
          <w:lang w:val="en-US"/>
        </w:rPr>
        <w:t xml:space="preserve"> for issuers</w:t>
      </w:r>
      <w:r w:rsidRPr="008A44A4">
        <w:rPr>
          <w:lang w:val="en-US"/>
        </w:rPr>
        <w:t xml:space="preserve">, fostering broader market participation </w:t>
      </w:r>
      <w:r>
        <w:rPr>
          <w:lang w:val="en-US"/>
        </w:rPr>
        <w:t>on both the originator and investor side</w:t>
      </w:r>
      <w:r w:rsidRPr="008A44A4">
        <w:rPr>
          <w:lang w:val="en-US"/>
        </w:rPr>
        <w:t>.</w:t>
      </w:r>
    </w:p>
    <w:p w14:paraId="7C6D5488" w14:textId="77777777" w:rsidR="009D6E95" w:rsidRDefault="009D6E95" w:rsidP="009D6E95">
      <w:pPr>
        <w:jc w:val="both"/>
        <w:rPr>
          <w:b/>
          <w:bCs/>
          <w:lang w:val="en-US"/>
        </w:rPr>
      </w:pPr>
    </w:p>
    <w:p w14:paraId="0950EDDB" w14:textId="77777777" w:rsidR="009D6E95" w:rsidRDefault="009D6E95" w:rsidP="009D6E95">
      <w:pPr>
        <w:jc w:val="both"/>
        <w:rPr>
          <w:b/>
          <w:bCs/>
          <w:lang w:val="en-US"/>
        </w:rPr>
      </w:pPr>
    </w:p>
    <w:p w14:paraId="00C19532" w14:textId="77777777" w:rsidR="009D6E95" w:rsidRPr="001130E8" w:rsidRDefault="009D6E95" w:rsidP="009D6E95">
      <w:pPr>
        <w:jc w:val="both"/>
        <w:rPr>
          <w:b/>
          <w:bCs/>
          <w:lang w:val="en-US"/>
        </w:rPr>
      </w:pPr>
      <w:r w:rsidRPr="00670AF5">
        <w:rPr>
          <w:b/>
          <w:bCs/>
          <w:lang w:val="en-US"/>
        </w:rPr>
        <w:t xml:space="preserve">7.3. </w:t>
      </w:r>
      <w:r w:rsidRPr="001130E8">
        <w:rPr>
          <w:b/>
          <w:bCs/>
          <w:lang w:val="en-US"/>
        </w:rPr>
        <w:t xml:space="preserve">How can the attractiveness of the EU STS standard be increased, for EU and non-EU investors? </w:t>
      </w:r>
    </w:p>
    <w:p w14:paraId="1D856034" w14:textId="77777777" w:rsidR="009D6E95" w:rsidRPr="00A9733E" w:rsidRDefault="009D6E95" w:rsidP="009D6E95">
      <w:pPr>
        <w:jc w:val="both"/>
        <w:rPr>
          <w:b/>
          <w:bCs/>
          <w:lang w:val="en-US"/>
        </w:rPr>
      </w:pPr>
      <w:r>
        <w:rPr>
          <w:b/>
          <w:bCs/>
          <w:lang w:val="en-US"/>
        </w:rPr>
        <w:t>Response:</w:t>
      </w:r>
    </w:p>
    <w:p w14:paraId="20C877D8" w14:textId="77777777" w:rsidR="009D6E95" w:rsidRPr="00E564AE" w:rsidRDefault="009D6E95" w:rsidP="009D6E95">
      <w:pPr>
        <w:jc w:val="both"/>
        <w:rPr>
          <w:lang w:val="en-US"/>
        </w:rPr>
      </w:pPr>
      <w:r w:rsidRPr="00E564AE">
        <w:rPr>
          <w:lang w:val="en-US"/>
        </w:rPr>
        <w:lastRenderedPageBreak/>
        <w:t>To enhance the attractiveness of the EU STS standard for investors</w:t>
      </w:r>
      <w:r>
        <w:rPr>
          <w:lang w:val="en-US"/>
        </w:rPr>
        <w:t>,</w:t>
      </w:r>
      <w:r w:rsidRPr="00E564AE">
        <w:rPr>
          <w:lang w:val="en-US"/>
        </w:rPr>
        <w:t xml:space="preserve"> we propose </w:t>
      </w:r>
      <w:r>
        <w:rPr>
          <w:lang w:val="en-US"/>
        </w:rPr>
        <w:t>the addition of</w:t>
      </w:r>
      <w:r w:rsidRPr="00E564AE">
        <w:rPr>
          <w:lang w:val="en-US"/>
        </w:rPr>
        <w:t xml:space="preserve"> </w:t>
      </w:r>
      <w:r>
        <w:rPr>
          <w:lang w:val="en-US"/>
        </w:rPr>
        <w:t xml:space="preserve">(re)insurance companies as eligible </w:t>
      </w:r>
      <w:r w:rsidRPr="00E564AE">
        <w:rPr>
          <w:lang w:val="en-US"/>
        </w:rPr>
        <w:t xml:space="preserve">unfunded credit protection </w:t>
      </w:r>
      <w:r>
        <w:rPr>
          <w:lang w:val="en-US"/>
        </w:rPr>
        <w:t>providers (</w:t>
      </w:r>
      <w:r w:rsidRPr="00E564AE">
        <w:rPr>
          <w:lang w:val="en-US"/>
        </w:rPr>
        <w:t>rated CQS2 or better at transaction inception and CQS3 or better thereafter</w:t>
      </w:r>
      <w:r>
        <w:rPr>
          <w:lang w:val="en-US"/>
        </w:rPr>
        <w:t>)</w:t>
      </w:r>
      <w:r w:rsidRPr="00E564AE">
        <w:rPr>
          <w:lang w:val="en-US"/>
        </w:rPr>
        <w:t xml:space="preserve"> under the on-balance sheet STS framework. </w:t>
      </w:r>
      <w:r>
        <w:rPr>
          <w:lang w:val="en-US"/>
        </w:rPr>
        <w:t xml:space="preserve"> </w:t>
      </w:r>
      <w:r w:rsidRPr="00E564AE">
        <w:rPr>
          <w:lang w:val="en-US"/>
        </w:rPr>
        <w:t>This would increase issuance volumes by</w:t>
      </w:r>
      <w:r>
        <w:rPr>
          <w:lang w:val="en-US"/>
        </w:rPr>
        <w:t xml:space="preserve"> broadening the investor base, increasing competitive pricing, reducing execution risk and reducing the risk of cliff effects.</w:t>
      </w:r>
    </w:p>
    <w:p w14:paraId="45AA6D5A" w14:textId="77777777" w:rsidR="009D6E95" w:rsidRDefault="009D6E95" w:rsidP="009D6E95">
      <w:pPr>
        <w:jc w:val="both"/>
        <w:rPr>
          <w:lang w:val="en-US"/>
        </w:rPr>
      </w:pPr>
      <w:r w:rsidRPr="00E564AE">
        <w:rPr>
          <w:lang w:val="en-US"/>
        </w:rPr>
        <w:t xml:space="preserve">In addition, we </w:t>
      </w:r>
      <w:r>
        <w:rPr>
          <w:lang w:val="en-US"/>
        </w:rPr>
        <w:t xml:space="preserve">encourage the following further changes, which will prudently enable a broader set of banks to issue on-balance sheet </w:t>
      </w:r>
      <w:proofErr w:type="spellStart"/>
      <w:r>
        <w:rPr>
          <w:lang w:val="en-US"/>
        </w:rPr>
        <w:t>securitisations</w:t>
      </w:r>
      <w:proofErr w:type="spellEnd"/>
      <w:r>
        <w:rPr>
          <w:lang w:val="en-US"/>
        </w:rPr>
        <w:t xml:space="preserve"> under the STS framework, helping to level the playing field for EU banks as well as for private unfunded investors (as only </w:t>
      </w:r>
      <w:proofErr w:type="spellStart"/>
      <w:r>
        <w:rPr>
          <w:lang w:val="en-US"/>
        </w:rPr>
        <w:t>quasi public</w:t>
      </w:r>
      <w:proofErr w:type="spellEnd"/>
      <w:r>
        <w:rPr>
          <w:lang w:val="en-US"/>
        </w:rPr>
        <w:t xml:space="preserve"> entities can currently participate in STS transactions on an unfunded basis) who will then be able to better diversify their SRT underwriting:</w:t>
      </w:r>
    </w:p>
    <w:p w14:paraId="3631E9A7" w14:textId="77777777" w:rsidR="009D6E95" w:rsidRDefault="009D6E95" w:rsidP="009D6E95">
      <w:pPr>
        <w:pStyle w:val="ListBullet"/>
        <w:jc w:val="both"/>
        <w:rPr>
          <w:lang w:val="en-US"/>
        </w:rPr>
      </w:pPr>
      <w:r w:rsidRPr="00E564AE">
        <w:rPr>
          <w:lang w:val="en-US"/>
        </w:rPr>
        <w:t>decreasing the RW floors</w:t>
      </w:r>
      <w:r>
        <w:rPr>
          <w:lang w:val="en-US"/>
        </w:rPr>
        <w:t xml:space="preserve"> for senior tranches</w:t>
      </w:r>
      <w:r w:rsidRPr="00E564AE">
        <w:rPr>
          <w:lang w:val="en-US"/>
        </w:rPr>
        <w:t xml:space="preserve"> without introducing further eligibility criteria</w:t>
      </w:r>
      <w:r>
        <w:rPr>
          <w:lang w:val="en-US"/>
        </w:rPr>
        <w:t xml:space="preserve"> (which</w:t>
      </w:r>
      <w:r w:rsidRPr="00E564AE">
        <w:rPr>
          <w:lang w:val="en-US"/>
        </w:rPr>
        <w:t xml:space="preserve"> </w:t>
      </w:r>
      <w:r>
        <w:rPr>
          <w:lang w:val="en-US"/>
        </w:rPr>
        <w:t>may have the unwanted consequence of introducing more complexity);</w:t>
      </w:r>
    </w:p>
    <w:p w14:paraId="33DD86A2" w14:textId="77777777" w:rsidR="009D6E95" w:rsidRDefault="009D6E95" w:rsidP="009D6E95">
      <w:pPr>
        <w:pStyle w:val="ListBullet"/>
        <w:jc w:val="both"/>
        <w:rPr>
          <w:lang w:val="en-US"/>
        </w:rPr>
      </w:pPr>
      <w:r>
        <w:rPr>
          <w:lang w:val="en-US"/>
        </w:rPr>
        <w:t>s</w:t>
      </w:r>
      <w:r w:rsidRPr="00E564AE">
        <w:rPr>
          <w:lang w:val="en-US"/>
        </w:rPr>
        <w:t xml:space="preserve">caling down the (p) factor, particularly for banks using the </w:t>
      </w:r>
      <w:proofErr w:type="spellStart"/>
      <w:r w:rsidRPr="00E564AE">
        <w:rPr>
          <w:lang w:val="en-US"/>
        </w:rPr>
        <w:t>standardi</w:t>
      </w:r>
      <w:r>
        <w:rPr>
          <w:lang w:val="en-US"/>
        </w:rPr>
        <w:t>s</w:t>
      </w:r>
      <w:r w:rsidRPr="00E564AE">
        <w:rPr>
          <w:lang w:val="en-US"/>
        </w:rPr>
        <w:t>ed</w:t>
      </w:r>
      <w:proofErr w:type="spellEnd"/>
      <w:r w:rsidRPr="00E564AE">
        <w:rPr>
          <w:lang w:val="en-US"/>
        </w:rPr>
        <w:t xml:space="preserve"> approach, would </w:t>
      </w:r>
      <w:r>
        <w:rPr>
          <w:lang w:val="en-US"/>
        </w:rPr>
        <w:t xml:space="preserve">allow for increased issuance volume, improving domestic banks’ ability to structure </w:t>
      </w:r>
      <w:proofErr w:type="spellStart"/>
      <w:r>
        <w:rPr>
          <w:lang w:val="en-US"/>
        </w:rPr>
        <w:t>securitisations</w:t>
      </w:r>
      <w:proofErr w:type="spellEnd"/>
      <w:r>
        <w:rPr>
          <w:lang w:val="en-US"/>
        </w:rPr>
        <w:t xml:space="preserve"> more cost effectively,</w:t>
      </w:r>
    </w:p>
    <w:p w14:paraId="5482BBF5" w14:textId="77777777" w:rsidR="009D6E95" w:rsidRDefault="009D6E95" w:rsidP="009D6E95">
      <w:pPr>
        <w:pStyle w:val="ListBullet"/>
        <w:jc w:val="both"/>
        <w:rPr>
          <w:lang w:val="en-US"/>
        </w:rPr>
      </w:pPr>
      <w:r>
        <w:rPr>
          <w:lang w:val="en-US"/>
        </w:rPr>
        <w:t>reviewing and relaxing homogeneity requirements, to level the playing field for domestic banks who would otherwise struggle to identify sufficiently efficient portfolios under the current homogeneity rules; and</w:t>
      </w:r>
    </w:p>
    <w:p w14:paraId="36718E4E" w14:textId="77777777" w:rsidR="009D6E95" w:rsidRPr="001130E8" w:rsidRDefault="009D6E95" w:rsidP="009D6E95">
      <w:pPr>
        <w:pStyle w:val="ListBullet"/>
        <w:jc w:val="both"/>
        <w:rPr>
          <w:lang w:val="en-US"/>
        </w:rPr>
      </w:pPr>
      <w:r>
        <w:rPr>
          <w:lang w:val="en-US"/>
        </w:rPr>
        <w:t xml:space="preserve">proposing a unified </w:t>
      </w:r>
      <w:proofErr w:type="spellStart"/>
      <w:r>
        <w:rPr>
          <w:lang w:val="en-US"/>
        </w:rPr>
        <w:t>standardised</w:t>
      </w:r>
      <w:proofErr w:type="spellEnd"/>
      <w:r>
        <w:rPr>
          <w:lang w:val="en-US"/>
        </w:rPr>
        <w:t xml:space="preserve"> approach from a regulatory perspective across jurisdictions as well as originators (not differentiating between G-SIB and domestic banks not supervised by JST), when assessing new issuances.</w:t>
      </w:r>
    </w:p>
    <w:p w14:paraId="3D6D1A2E" w14:textId="77777777" w:rsidR="009D6E95" w:rsidRPr="001130E8" w:rsidRDefault="009D6E95" w:rsidP="009D6E95">
      <w:pPr>
        <w:pStyle w:val="Heading3"/>
        <w:jc w:val="both"/>
        <w:rPr>
          <w:lang w:val="en-US"/>
        </w:rPr>
      </w:pPr>
    </w:p>
    <w:p w14:paraId="1D923A5E" w14:textId="77777777" w:rsidR="009D6E95" w:rsidRPr="001130E8" w:rsidRDefault="009D6E95" w:rsidP="009D6E95">
      <w:pPr>
        <w:pStyle w:val="Heading3"/>
        <w:jc w:val="both"/>
        <w:rPr>
          <w:lang w:val="en-US"/>
        </w:rPr>
      </w:pPr>
    </w:p>
    <w:p w14:paraId="0DD5F1F5" w14:textId="77777777" w:rsidR="009D6E95" w:rsidRPr="00670AF5" w:rsidRDefault="009D6E95" w:rsidP="009D6E95">
      <w:pPr>
        <w:pStyle w:val="Heading3"/>
        <w:jc w:val="both"/>
        <w:rPr>
          <w:lang w:val="en-US"/>
        </w:rPr>
      </w:pPr>
      <w:r w:rsidRPr="00670AF5">
        <w:rPr>
          <w:lang w:val="de-CH"/>
        </w:rPr>
        <w:t xml:space="preserve">STS </w:t>
      </w:r>
      <w:proofErr w:type="spellStart"/>
      <w:r w:rsidRPr="00670AF5">
        <w:rPr>
          <w:lang w:val="de-CH"/>
        </w:rPr>
        <w:t>criteria</w:t>
      </w:r>
      <w:proofErr w:type="spellEnd"/>
    </w:p>
    <w:p w14:paraId="63AFF442" w14:textId="77777777" w:rsidR="009D6E95" w:rsidRPr="001F6668" w:rsidRDefault="009D6E95" w:rsidP="009D6E95">
      <w:pPr>
        <w:jc w:val="both"/>
        <w:rPr>
          <w:b/>
          <w:bCs/>
          <w:lang w:val="en-US"/>
        </w:rPr>
      </w:pPr>
      <w:r w:rsidRPr="00670AF5">
        <w:rPr>
          <w:b/>
          <w:bCs/>
          <w:lang w:val="en-US"/>
        </w:rPr>
        <w:t>7.4. In the case of an unfunded credit protection agreement where the protection provider provides no collateral to cover his potential future liabilities, should such an agreement be eligible for the STS label, to facilitate on</w:t>
      </w:r>
      <w:r w:rsidRPr="00670AF5">
        <w:rPr>
          <w:b/>
          <w:bCs/>
          <w:lang w:val="en-US"/>
        </w:rPr>
        <w:noBreakHyphen/>
        <w:t>balance</w:t>
      </w:r>
      <w:r w:rsidRPr="00670AF5">
        <w:rPr>
          <w:b/>
          <w:bCs/>
          <w:lang w:val="en-US"/>
        </w:rPr>
        <w:noBreakHyphen/>
        <w:t xml:space="preserve">sheet STS </w:t>
      </w:r>
      <w:proofErr w:type="spellStart"/>
      <w:r w:rsidRPr="00670AF5">
        <w:rPr>
          <w:b/>
          <w:bCs/>
          <w:lang w:val="en-US"/>
        </w:rPr>
        <w:t>securitisations</w:t>
      </w:r>
      <w:proofErr w:type="spellEnd"/>
      <w:r w:rsidRPr="00670AF5">
        <w:rPr>
          <w:b/>
          <w:bCs/>
          <w:lang w:val="en-US"/>
        </w:rPr>
        <w:t>?</w:t>
      </w:r>
    </w:p>
    <w:p w14:paraId="703A60EA" w14:textId="77777777" w:rsidR="009D6E95" w:rsidRPr="001F6668" w:rsidRDefault="009D6E95" w:rsidP="009D6E95">
      <w:pPr>
        <w:jc w:val="both"/>
        <w:rPr>
          <w:b/>
          <w:bCs/>
          <w:lang w:val="en-US"/>
        </w:rPr>
      </w:pPr>
      <w:r w:rsidRPr="001F6668">
        <w:rPr>
          <w:b/>
          <w:bCs/>
          <w:lang w:val="en-US"/>
        </w:rPr>
        <w:t>Response:</w:t>
      </w:r>
    </w:p>
    <w:p w14:paraId="0AA4E227" w14:textId="77777777" w:rsidR="009D6E95" w:rsidRDefault="009D6E95" w:rsidP="009D6E95">
      <w:pPr>
        <w:jc w:val="both"/>
        <w:rPr>
          <w:lang w:val="en-US"/>
        </w:rPr>
      </w:pPr>
      <w:r>
        <w:rPr>
          <w:lang w:val="en-US"/>
        </w:rPr>
        <w:t>Yes</w:t>
      </w:r>
    </w:p>
    <w:p w14:paraId="7284B06E" w14:textId="77777777" w:rsidR="009D6E95" w:rsidRDefault="009D6E95" w:rsidP="009D6E95">
      <w:pPr>
        <w:jc w:val="both"/>
        <w:rPr>
          <w:lang w:val="en-US"/>
        </w:rPr>
      </w:pPr>
    </w:p>
    <w:p w14:paraId="677169FD" w14:textId="77777777" w:rsidR="009D6E95" w:rsidRPr="00670AF5" w:rsidRDefault="009D6E95" w:rsidP="009D6E95">
      <w:pPr>
        <w:jc w:val="both"/>
        <w:rPr>
          <w:lang w:val="en-US"/>
        </w:rPr>
      </w:pPr>
    </w:p>
    <w:p w14:paraId="04FBFCD5" w14:textId="77777777" w:rsidR="009D6E95" w:rsidRPr="00670AF5" w:rsidRDefault="009D6E95" w:rsidP="009D6E95">
      <w:pPr>
        <w:jc w:val="both"/>
        <w:rPr>
          <w:b/>
          <w:bCs/>
          <w:lang w:val="en-US"/>
        </w:rPr>
      </w:pPr>
      <w:r w:rsidRPr="00670AF5">
        <w:rPr>
          <w:b/>
          <w:bCs/>
          <w:lang w:val="en-US"/>
        </w:rPr>
        <w:t>7.5. If you answered yes to question 7.4., what safeguards should be put in place to prevent the build-up of financial stability risks arising from the provision of unfunded credit protection?</w:t>
      </w:r>
      <w:r w:rsidRPr="00670AF5">
        <w:rPr>
          <w:lang w:val="en-US"/>
        </w:rPr>
        <w:t xml:space="preserve"> </w:t>
      </w:r>
    </w:p>
    <w:p w14:paraId="521F3CC3" w14:textId="77777777" w:rsidR="009D6E95" w:rsidRPr="00CD4F0E" w:rsidRDefault="009D6E95" w:rsidP="009D6E95">
      <w:pPr>
        <w:jc w:val="both"/>
        <w:rPr>
          <w:b/>
          <w:bCs/>
          <w:lang w:val="en-US"/>
        </w:rPr>
      </w:pPr>
      <w:r w:rsidRPr="00CD4F0E">
        <w:rPr>
          <w:b/>
          <w:bCs/>
          <w:lang w:val="en-US"/>
        </w:rPr>
        <w:lastRenderedPageBreak/>
        <w:t>Response:</w:t>
      </w:r>
    </w:p>
    <w:p w14:paraId="136AE653" w14:textId="77777777" w:rsidR="009D6E95" w:rsidRPr="009D6202" w:rsidRDefault="009D6E95" w:rsidP="009D6E95">
      <w:pPr>
        <w:jc w:val="both"/>
      </w:pPr>
      <w:r w:rsidRPr="009D6202">
        <w:t xml:space="preserve">Unfunded credit protection providers play a crucial role in the synthetic securitisation markets, with (re)insurance companies emerging as pivotal players in diversifying the investor base over the past 6 years.  In particular, (re)insurance companies have provided banks with a valuable source of capital to address the thicker </w:t>
      </w:r>
      <w:proofErr w:type="spellStart"/>
      <w:r w:rsidRPr="009D6202">
        <w:t>tranching</w:t>
      </w:r>
      <w:proofErr w:type="spellEnd"/>
      <w:r w:rsidRPr="009D6202">
        <w:t xml:space="preserve"> requirements to achieve SRT resulting from Regulation (EU) 2017/240</w:t>
      </w:r>
      <w:r w:rsidRPr="001130E8">
        <w:t>1</w:t>
      </w:r>
      <w:r w:rsidRPr="009D6202">
        <w:t xml:space="preserve">, as they are able to price the tranches according to the risk of the tranche rather than being subject to the same minimum absolute return hurdles that credit opportunity funds can be subject to.  </w:t>
      </w:r>
    </w:p>
    <w:p w14:paraId="0712BDB2" w14:textId="77777777" w:rsidR="009D6E95" w:rsidRPr="009D6202" w:rsidRDefault="009D6E95" w:rsidP="009D6E95">
      <w:pPr>
        <w:jc w:val="both"/>
        <w:rPr>
          <w:lang w:val="en-US"/>
        </w:rPr>
      </w:pPr>
      <w:r w:rsidRPr="009D6202">
        <w:rPr>
          <w:lang w:val="en-US"/>
        </w:rPr>
        <w:t xml:space="preserve">By excluding (re)insurers from participating in STS synthetic </w:t>
      </w:r>
      <w:proofErr w:type="spellStart"/>
      <w:r w:rsidRPr="009D6202">
        <w:rPr>
          <w:lang w:val="en-US"/>
        </w:rPr>
        <w:t>securitisation</w:t>
      </w:r>
      <w:proofErr w:type="spellEnd"/>
      <w:r w:rsidRPr="009D6202">
        <w:rPr>
          <w:lang w:val="en-US"/>
        </w:rPr>
        <w:t xml:space="preserve"> transactions, the regulatory framework inadvertently limits the development of the EU </w:t>
      </w:r>
      <w:proofErr w:type="spellStart"/>
      <w:r w:rsidRPr="009D6202">
        <w:rPr>
          <w:lang w:val="en-US"/>
        </w:rPr>
        <w:t>securitisation</w:t>
      </w:r>
      <w:proofErr w:type="spellEnd"/>
      <w:r w:rsidRPr="009D6202">
        <w:rPr>
          <w:lang w:val="en-US"/>
        </w:rPr>
        <w:t xml:space="preserve"> market, contradicting its goal of fostering market growth.  Moreover, (re)insurance companies are now a well-established investor base in non-STS synthetic </w:t>
      </w:r>
      <w:proofErr w:type="spellStart"/>
      <w:r w:rsidRPr="009D6202">
        <w:rPr>
          <w:lang w:val="en-US"/>
        </w:rPr>
        <w:t>securitisations</w:t>
      </w:r>
      <w:proofErr w:type="spellEnd"/>
      <w:r w:rsidRPr="009D6202">
        <w:rPr>
          <w:lang w:val="en-US"/>
        </w:rPr>
        <w:t xml:space="preserve"> without any indication of increasing financial stability risks.</w:t>
      </w:r>
    </w:p>
    <w:p w14:paraId="75040A56" w14:textId="77777777" w:rsidR="009D6E95" w:rsidRPr="009D6202" w:rsidRDefault="009D6E95" w:rsidP="009D6E95">
      <w:pPr>
        <w:jc w:val="both"/>
        <w:rPr>
          <w:lang w:val="en-US"/>
        </w:rPr>
      </w:pPr>
      <w:r w:rsidRPr="009D6202">
        <w:rPr>
          <w:lang w:val="en-US"/>
        </w:rPr>
        <w:t>Allowing (re)insurance companies to participate as unfunded credit protection providers in synthetic STS transactions builds on their established capabilities and further diversifies their portfolio of risks.  (Re)insurance companies who participate in the credit market are regulated under the robust Solvency II framework (and equivalent in third jurisdictions), which equips them with sophisticated risk management practices, including comprehensive credit risk assessment models, underwriting frameworks, and stringent capital requirements.  As such they are well-suited to participate in both synthetic STS and non-STS transactions.</w:t>
      </w:r>
    </w:p>
    <w:p w14:paraId="370D79AE" w14:textId="77777777" w:rsidR="009D6E95" w:rsidRPr="009D6202" w:rsidRDefault="009D6E95" w:rsidP="009D6E95">
      <w:pPr>
        <w:jc w:val="both"/>
        <w:rPr>
          <w:lang w:val="en-US"/>
        </w:rPr>
      </w:pPr>
      <w:r w:rsidRPr="009D6202">
        <w:t>It is worth emphasizing that the STS label is fundamentally about creating a high</w:t>
      </w:r>
      <w:r>
        <w:t xml:space="preserve"> </w:t>
      </w:r>
      <w:r w:rsidRPr="009D6202">
        <w:t xml:space="preserve">quality standard of securitisation transactions to attract more investor appetite.  By excluding (re)insurance companies from participating in synthetic STS, the market loses much needed access to a critical investor base that has steadily developed over recent years. </w:t>
      </w:r>
      <w:r w:rsidRPr="009D6202" w:rsidDel="00956DA9">
        <w:t xml:space="preserve"> </w:t>
      </w:r>
      <w:r w:rsidRPr="009D6202">
        <w:t>(Re)insurers</w:t>
      </w:r>
      <w:r w:rsidRPr="009D6202">
        <w:rPr>
          <w:lang w:val="en-US"/>
        </w:rPr>
        <w:t xml:space="preserve"> introduces competition among different groups of protection providers (approximately 15 insurance companies actively participate in SRT transactions and around 30 frequent capital market investors) resulting in more efficient pricing and risk distribution.</w:t>
      </w:r>
    </w:p>
    <w:p w14:paraId="1B01EC8B" w14:textId="77777777" w:rsidR="009D6E95" w:rsidRPr="009D6202" w:rsidRDefault="009D6E95" w:rsidP="009D6E95">
      <w:pPr>
        <w:jc w:val="both"/>
        <w:rPr>
          <w:lang w:val="en-US"/>
        </w:rPr>
      </w:pPr>
      <w:r w:rsidRPr="009D6202">
        <w:rPr>
          <w:lang w:val="en-US"/>
        </w:rPr>
        <w:t xml:space="preserve">Moreover, (re)insurance companies have shown strong appetite for mezzanine tranches, which are generally less attractive to the funded SRT investors.  This is particularly beneficial for banks operating under the </w:t>
      </w:r>
      <w:proofErr w:type="spellStart"/>
      <w:r w:rsidRPr="009D6202">
        <w:rPr>
          <w:lang w:val="en-US"/>
        </w:rPr>
        <w:t>Standardised</w:t>
      </w:r>
      <w:proofErr w:type="spellEnd"/>
      <w:r w:rsidRPr="009D6202">
        <w:rPr>
          <w:lang w:val="en-US"/>
        </w:rPr>
        <w:t xml:space="preserve"> Approach, as they often need to place thicker tranches for corporate and SME portfolios.  Retail mortgage portfolios, with their relatively low-risk weights, also benefit significantly from the participation of (re)insurers, who have a long track record in the asset class, as funded protection may not always be cost-effective for these portfolios.</w:t>
      </w:r>
    </w:p>
    <w:p w14:paraId="33DC4C4A" w14:textId="77777777" w:rsidR="009D6E95" w:rsidRPr="009D6202" w:rsidRDefault="009D6E95" w:rsidP="009D6E95">
      <w:pPr>
        <w:jc w:val="both"/>
        <w:rPr>
          <w:lang w:val="en-US"/>
        </w:rPr>
      </w:pPr>
      <w:r w:rsidRPr="009D6202">
        <w:rPr>
          <w:lang w:val="en-US"/>
        </w:rPr>
        <w:t>We also note that (re)insurance companies routinely reinsure their exposures, thereby syndicating risks across a broad base of reinsurance companies with highly diversified balance sheets (where credit risk typically represents &lt;10% of their liabilities).  This natural risk-sharing mechanism adds another layer of diversification, reducing systemic risks in the process.</w:t>
      </w:r>
    </w:p>
    <w:p w14:paraId="25678AC7" w14:textId="77777777" w:rsidR="009D6E95" w:rsidRPr="009D6202" w:rsidRDefault="009D6E95" w:rsidP="009D6E95">
      <w:pPr>
        <w:jc w:val="both"/>
        <w:rPr>
          <w:lang w:val="en-US"/>
        </w:rPr>
      </w:pPr>
      <w:r w:rsidRPr="009D6202">
        <w:rPr>
          <w:lang w:val="en-US"/>
        </w:rPr>
        <w:t>For these above reasons, we argue that allowing (re)insurance companies to participate in STS transactions on an unfunded basis will lead to more efficient pricing, greater liquidity, diversification of capital, broader distribution of risks and therefore reduced financial stability system risk</w:t>
      </w:r>
    </w:p>
    <w:p w14:paraId="1043AA3F" w14:textId="77777777" w:rsidR="009D6E95" w:rsidRPr="009D6202" w:rsidRDefault="009D6E95" w:rsidP="009D6E95">
      <w:pPr>
        <w:jc w:val="both"/>
        <w:rPr>
          <w:lang w:val="en-US"/>
        </w:rPr>
      </w:pPr>
      <w:r w:rsidRPr="009D6202">
        <w:lastRenderedPageBreak/>
        <w:t xml:space="preserve">With regards to safeguards, we strongly argue that any additional requirements be principles based rather than prescriptive.  </w:t>
      </w:r>
      <w:r w:rsidRPr="009D6202">
        <w:rPr>
          <w:lang w:val="en-US"/>
        </w:rPr>
        <w:t xml:space="preserve">Under the CRR, banks already manage counterparty risk with respect to protection received from insurance companies.  These existing rules, which specify eligibility criteria and prescribe capital treatment for insurance counterparties, should logically extend to STS </w:t>
      </w:r>
      <w:proofErr w:type="spellStart"/>
      <w:r w:rsidRPr="009D6202">
        <w:rPr>
          <w:lang w:val="en-US"/>
        </w:rPr>
        <w:t>securitisations</w:t>
      </w:r>
      <w:proofErr w:type="spellEnd"/>
      <w:r w:rsidRPr="009D6202">
        <w:rPr>
          <w:lang w:val="en-US"/>
        </w:rPr>
        <w:t xml:space="preserve"> without additional restrictions.</w:t>
      </w:r>
    </w:p>
    <w:p w14:paraId="0EE6DDF9" w14:textId="77777777" w:rsidR="009D6E95" w:rsidRPr="009D6202" w:rsidRDefault="009D6E95" w:rsidP="009D6E95">
      <w:pPr>
        <w:jc w:val="both"/>
        <w:rPr>
          <w:lang w:val="en-US"/>
        </w:rPr>
      </w:pPr>
      <w:r w:rsidRPr="009D6202">
        <w:rPr>
          <w:lang w:val="en-US"/>
        </w:rPr>
        <w:t xml:space="preserve">The existing safeguards, particularly the minimum credit rating requirements, sufficiently mitigate financial stability risks.  Under the CRR, unfunded credit protection providers are required to hold at least a credit quality step of CQS2 (equivalent to an A- rating) at transaction inception and at least CQS3 (equivalent to BBB-) thereafter.  Unfunded credit insurance has been used by banks for decades, and the claims paying track record of insurers, and their financial / ratings stability (see responses to questions </w:t>
      </w:r>
      <w:r w:rsidRPr="001130E8">
        <w:rPr>
          <w:lang w:val="en-US"/>
        </w:rPr>
        <w:t>7.6</w:t>
      </w:r>
      <w:r w:rsidRPr="009D6202">
        <w:rPr>
          <w:lang w:val="en-US"/>
        </w:rPr>
        <w:t>), demonstrates that the existing credit rating thresholds are sufficient.  The capital requirements imposed on (re)insurance companies under Solvency II further bolster their resilience, as they ensure that (re)insurers maintain sufficient capital buffers to honor their obligations and maintain diversification of risks on their balance sheet.</w:t>
      </w:r>
    </w:p>
    <w:p w14:paraId="49DE5DF1" w14:textId="77777777" w:rsidR="009D6E95" w:rsidRPr="009D6202" w:rsidRDefault="009D6E95" w:rsidP="009D6E95">
      <w:pPr>
        <w:jc w:val="both"/>
        <w:rPr>
          <w:lang w:val="en-US"/>
        </w:rPr>
      </w:pPr>
      <w:r w:rsidRPr="009D6202">
        <w:rPr>
          <w:lang w:val="en-US"/>
        </w:rPr>
        <w:t xml:space="preserve">Introducing additional restrictions, such as limits on the amount of </w:t>
      </w:r>
      <w:proofErr w:type="spellStart"/>
      <w:r w:rsidRPr="009D6202">
        <w:rPr>
          <w:lang w:val="en-US"/>
        </w:rPr>
        <w:t>securitisation</w:t>
      </w:r>
      <w:proofErr w:type="spellEnd"/>
      <w:r w:rsidRPr="009D6202">
        <w:rPr>
          <w:lang w:val="en-US"/>
        </w:rPr>
        <w:t xml:space="preserve"> activity a (re)insurer can undertake, or limits on the amount of unfunded STS an originator can execute with a (re)insurance company, is unnecessary.  The existing requirements ensure that only financially stable and well-</w:t>
      </w:r>
      <w:proofErr w:type="spellStart"/>
      <w:r w:rsidRPr="009D6202">
        <w:rPr>
          <w:lang w:val="en-US"/>
        </w:rPr>
        <w:t>capitalised</w:t>
      </w:r>
      <w:proofErr w:type="spellEnd"/>
      <w:r w:rsidRPr="009D6202">
        <w:rPr>
          <w:lang w:val="en-US"/>
        </w:rPr>
        <w:t xml:space="preserve"> institutions can participate in unfunded STS transactions.  It is worth noting that rating agencies, assigning rating to (re)insurance companies, already incorporate consideration of product and geographical concentration in their assessments, providing another layer of protection against systemic risks.  Furthermore, banks who issue SRT transactions will already prudently assess and manage their counterparty risk.  If any additional safeguard is sought, then at most it should be principles based and for the SRT issuing bank to set out in its SRT self-assessment how it has adequately considered, and will manage, the incremental counterparty risk it would be taking.</w:t>
      </w:r>
    </w:p>
    <w:p w14:paraId="72C6C123" w14:textId="77777777" w:rsidR="009D6E95" w:rsidRPr="00670AF5" w:rsidRDefault="009D6E95" w:rsidP="009D6E95">
      <w:pPr>
        <w:jc w:val="both"/>
        <w:rPr>
          <w:lang w:val="en-US"/>
        </w:rPr>
      </w:pPr>
      <w:r w:rsidRPr="009D6202">
        <w:rPr>
          <w:lang w:val="en-US"/>
        </w:rPr>
        <w:t xml:space="preserve">To </w:t>
      </w:r>
      <w:proofErr w:type="spellStart"/>
      <w:r w:rsidRPr="009D6202">
        <w:rPr>
          <w:lang w:val="en-US"/>
        </w:rPr>
        <w:t>summarise</w:t>
      </w:r>
      <w:proofErr w:type="spellEnd"/>
      <w:r w:rsidRPr="009D6202">
        <w:rPr>
          <w:lang w:val="en-US"/>
        </w:rPr>
        <w:t xml:space="preserve">, (re)insurance companies, are well-equipped to participate in unfunded STS synthetic </w:t>
      </w:r>
      <w:proofErr w:type="spellStart"/>
      <w:r w:rsidRPr="009D6202">
        <w:rPr>
          <w:lang w:val="en-US"/>
        </w:rPr>
        <w:t>securitisation</w:t>
      </w:r>
      <w:proofErr w:type="spellEnd"/>
      <w:r w:rsidRPr="009D6202">
        <w:rPr>
          <w:lang w:val="en-US"/>
        </w:rPr>
        <w:t xml:space="preserve"> transactions without posing undue risks to financial stability.  The existing safeguards, particularly minimum credit rating requirements, are sufficient to mitigate potential risks to well rated and highly regulated (re)insurance undertakings.  Additional restrictions would hinder market development, limit competition and increasing costs for banks.  To foster the growth of the EU </w:t>
      </w:r>
      <w:proofErr w:type="spellStart"/>
      <w:r w:rsidRPr="009D6202">
        <w:rPr>
          <w:lang w:val="en-US"/>
        </w:rPr>
        <w:t>securitisation</w:t>
      </w:r>
      <w:proofErr w:type="spellEnd"/>
      <w:r w:rsidRPr="009D6202">
        <w:rPr>
          <w:lang w:val="en-US"/>
        </w:rPr>
        <w:t xml:space="preserve"> market and align with its objectives, regulators should permit (re)</w:t>
      </w:r>
      <w:proofErr w:type="spellStart"/>
      <w:r w:rsidRPr="009D6202">
        <w:rPr>
          <w:lang w:val="en-US"/>
        </w:rPr>
        <w:t>inurers</w:t>
      </w:r>
      <w:proofErr w:type="spellEnd"/>
      <w:r w:rsidRPr="009D6202">
        <w:rPr>
          <w:lang w:val="en-US"/>
        </w:rPr>
        <w:t xml:space="preserve"> to participate as unfunded credit protection within the STS framework.</w:t>
      </w:r>
    </w:p>
    <w:p w14:paraId="4DEC4CB5" w14:textId="77777777" w:rsidR="009D6E95" w:rsidRDefault="009D6E95" w:rsidP="009D6E95">
      <w:pPr>
        <w:jc w:val="both"/>
        <w:rPr>
          <w:b/>
          <w:bCs/>
          <w:lang w:val="en-US"/>
        </w:rPr>
      </w:pPr>
    </w:p>
    <w:p w14:paraId="7D47924B" w14:textId="77777777" w:rsidR="009D6E95" w:rsidRDefault="009D6E95" w:rsidP="009D6E95">
      <w:pPr>
        <w:jc w:val="both"/>
        <w:rPr>
          <w:b/>
          <w:bCs/>
          <w:lang w:val="en-US"/>
        </w:rPr>
      </w:pPr>
    </w:p>
    <w:p w14:paraId="3DC43F95" w14:textId="77777777" w:rsidR="009D6E95" w:rsidRPr="003E3904" w:rsidRDefault="009D6E95" w:rsidP="009D6E95">
      <w:pPr>
        <w:jc w:val="both"/>
        <w:rPr>
          <w:b/>
          <w:bCs/>
          <w:lang w:val="en-US"/>
        </w:rPr>
      </w:pPr>
      <w:r w:rsidRPr="00670AF5">
        <w:rPr>
          <w:b/>
          <w:bCs/>
          <w:lang w:val="en-US"/>
        </w:rPr>
        <w:t>7.6. What would be the implications for EU financial stability of allowing unfunded credit protection to be eligible for the STS label and the associated preferential capital treatment?</w:t>
      </w:r>
    </w:p>
    <w:p w14:paraId="2CC8062E" w14:textId="77777777" w:rsidR="009D6E95" w:rsidRPr="003E3904" w:rsidRDefault="009D6E95" w:rsidP="009D6E95">
      <w:pPr>
        <w:jc w:val="both"/>
        <w:rPr>
          <w:b/>
          <w:bCs/>
          <w:lang w:val="en-US"/>
        </w:rPr>
      </w:pPr>
      <w:r w:rsidRPr="003E3904">
        <w:rPr>
          <w:b/>
          <w:bCs/>
          <w:lang w:val="en-US"/>
        </w:rPr>
        <w:t>Response:</w:t>
      </w:r>
    </w:p>
    <w:p w14:paraId="10A1DE64" w14:textId="77777777" w:rsidR="009D6E95" w:rsidRPr="003018F7" w:rsidRDefault="009D6E95" w:rsidP="009D6E95">
      <w:pPr>
        <w:jc w:val="both"/>
        <w:rPr>
          <w:lang w:val="en-US"/>
        </w:rPr>
      </w:pPr>
      <w:r w:rsidRPr="003E3904">
        <w:rPr>
          <w:lang w:val="en-US"/>
        </w:rPr>
        <w:lastRenderedPageBreak/>
        <w:t xml:space="preserve">Allowing unfunded credit protection from </w:t>
      </w:r>
      <w:r>
        <w:rPr>
          <w:lang w:val="en-US"/>
        </w:rPr>
        <w:t>(re)</w:t>
      </w:r>
      <w:r w:rsidRPr="003E3904">
        <w:rPr>
          <w:lang w:val="en-US"/>
        </w:rPr>
        <w:t xml:space="preserve">insurance companies to be eligible for the STS label and the associated preferential capital treatment </w:t>
      </w:r>
      <w:r>
        <w:rPr>
          <w:lang w:val="en-US"/>
        </w:rPr>
        <w:t>will</w:t>
      </w:r>
      <w:r w:rsidRPr="003E3904">
        <w:rPr>
          <w:lang w:val="en-US"/>
        </w:rPr>
        <w:t xml:space="preserve"> have several positive implications for EU financial stability, supporting the broader objectives of enhancing the </w:t>
      </w:r>
      <w:proofErr w:type="spellStart"/>
      <w:r>
        <w:rPr>
          <w:lang w:val="en-US"/>
        </w:rPr>
        <w:t>securitisation</w:t>
      </w:r>
      <w:proofErr w:type="spellEnd"/>
      <w:r w:rsidRPr="003E3904">
        <w:rPr>
          <w:lang w:val="en-US"/>
        </w:rPr>
        <w:t xml:space="preserve"> market</w:t>
      </w:r>
      <w:r>
        <w:rPr>
          <w:lang w:val="en-US"/>
        </w:rPr>
        <w:t xml:space="preserve">.  </w:t>
      </w:r>
      <w:r w:rsidRPr="003018F7">
        <w:rPr>
          <w:lang w:val="en-US"/>
        </w:rPr>
        <w:t xml:space="preserve">By allowing </w:t>
      </w:r>
      <w:r>
        <w:rPr>
          <w:lang w:val="en-US"/>
        </w:rPr>
        <w:t>(re)</w:t>
      </w:r>
      <w:r w:rsidRPr="003018F7">
        <w:rPr>
          <w:lang w:val="en-US"/>
        </w:rPr>
        <w:t xml:space="preserve">insurance companies to </w:t>
      </w:r>
      <w:r>
        <w:rPr>
          <w:lang w:val="en-US"/>
        </w:rPr>
        <w:t>participate in unfunded STS transactions</w:t>
      </w:r>
      <w:r w:rsidRPr="003018F7">
        <w:rPr>
          <w:lang w:val="en-US"/>
        </w:rPr>
        <w:t xml:space="preserve">, the market </w:t>
      </w:r>
      <w:r>
        <w:rPr>
          <w:lang w:val="en-US"/>
        </w:rPr>
        <w:t xml:space="preserve">is able to access </w:t>
      </w:r>
      <w:r w:rsidRPr="003018F7">
        <w:rPr>
          <w:lang w:val="en-US"/>
        </w:rPr>
        <w:t xml:space="preserve">a broader base of counterparties rather than </w:t>
      </w:r>
      <w:r>
        <w:rPr>
          <w:lang w:val="en-US"/>
        </w:rPr>
        <w:t>relying</w:t>
      </w:r>
      <w:r w:rsidRPr="003018F7">
        <w:rPr>
          <w:lang w:val="en-US"/>
        </w:rPr>
        <w:t xml:space="preserve"> solely on capital market investors</w:t>
      </w:r>
      <w:r>
        <w:rPr>
          <w:lang w:val="en-US"/>
        </w:rPr>
        <w:t>, or certain 0% risk weighted entities</w:t>
      </w:r>
      <w:r w:rsidRPr="003018F7">
        <w:rPr>
          <w:lang w:val="en-US"/>
        </w:rPr>
        <w:t>. This reduces systemic risk by dispersing credit exposure</w:t>
      </w:r>
      <w:r>
        <w:rPr>
          <w:lang w:val="en-US"/>
        </w:rPr>
        <w:t>s</w:t>
      </w:r>
      <w:r w:rsidRPr="003018F7">
        <w:rPr>
          <w:lang w:val="en-US"/>
        </w:rPr>
        <w:t xml:space="preserve"> across a more varied set of entities with differing risk profiles.</w:t>
      </w:r>
    </w:p>
    <w:p w14:paraId="2CDD6757" w14:textId="77777777" w:rsidR="009D6E95" w:rsidRDefault="009D6E95" w:rsidP="009D6E95">
      <w:pPr>
        <w:jc w:val="both"/>
        <w:rPr>
          <w:lang w:val="en-US"/>
        </w:rPr>
      </w:pPr>
      <w:r>
        <w:rPr>
          <w:lang w:val="en-US"/>
        </w:rPr>
        <w:t>(Re)i</w:t>
      </w:r>
      <w:r w:rsidRPr="003018F7">
        <w:rPr>
          <w:lang w:val="en-US"/>
        </w:rPr>
        <w:t>nsurance companies are inherently set up to underwrite and manage risks, including credit risk.</w:t>
      </w:r>
      <w:r>
        <w:rPr>
          <w:lang w:val="en-US"/>
        </w:rPr>
        <w:t xml:space="preserve"> </w:t>
      </w:r>
      <w:r w:rsidRPr="003018F7">
        <w:rPr>
          <w:lang w:val="en-US"/>
        </w:rPr>
        <w:t xml:space="preserve"> Their participation complements the funded market by addressing gaps in demand, particularly for </w:t>
      </w:r>
      <w:r>
        <w:rPr>
          <w:lang w:val="en-US"/>
        </w:rPr>
        <w:t xml:space="preserve">mortgage portfolios, and </w:t>
      </w:r>
      <w:r w:rsidRPr="003018F7">
        <w:rPr>
          <w:lang w:val="en-US"/>
        </w:rPr>
        <w:t>mezzanine tranches, and provides</w:t>
      </w:r>
      <w:r>
        <w:rPr>
          <w:lang w:val="en-US"/>
        </w:rPr>
        <w:t xml:space="preserve"> a broader base of</w:t>
      </w:r>
      <w:r w:rsidRPr="003018F7">
        <w:rPr>
          <w:lang w:val="en-US"/>
        </w:rPr>
        <w:t xml:space="preserve"> banks</w:t>
      </w:r>
      <w:r>
        <w:rPr>
          <w:lang w:val="en-US"/>
        </w:rPr>
        <w:t xml:space="preserve">, including those under the </w:t>
      </w:r>
      <w:proofErr w:type="spellStart"/>
      <w:r>
        <w:rPr>
          <w:lang w:val="en-US"/>
        </w:rPr>
        <w:t>Standardised</w:t>
      </w:r>
      <w:proofErr w:type="spellEnd"/>
      <w:r>
        <w:rPr>
          <w:lang w:val="en-US"/>
        </w:rPr>
        <w:t xml:space="preserve"> Approach,</w:t>
      </w:r>
      <w:r w:rsidRPr="003018F7">
        <w:rPr>
          <w:lang w:val="en-US"/>
        </w:rPr>
        <w:t xml:space="preserve"> with more tools to achieve effective risk transfer</w:t>
      </w:r>
      <w:r>
        <w:rPr>
          <w:lang w:val="en-US"/>
        </w:rPr>
        <w:t xml:space="preserve"> at efficient pricing.</w:t>
      </w:r>
    </w:p>
    <w:p w14:paraId="44D2333F" w14:textId="77777777" w:rsidR="009D6E95" w:rsidRDefault="009D6E95" w:rsidP="009D6E95">
      <w:pPr>
        <w:jc w:val="both"/>
        <w:rPr>
          <w:lang w:val="en-US"/>
        </w:rPr>
      </w:pPr>
      <w:r w:rsidRPr="00BF4859">
        <w:rPr>
          <w:lang w:val="en-US"/>
        </w:rPr>
        <w:t xml:space="preserve">The </w:t>
      </w:r>
      <w:r>
        <w:rPr>
          <w:lang w:val="en-US"/>
        </w:rPr>
        <w:t xml:space="preserve">vast </w:t>
      </w:r>
      <w:r w:rsidRPr="00BF4859">
        <w:rPr>
          <w:lang w:val="en-US"/>
        </w:rPr>
        <w:t xml:space="preserve">majority of claims submitted to insurance companies are covered and settled in a timely manner, reflecting efficient processes and adherence to policy terms. </w:t>
      </w:r>
      <w:r>
        <w:rPr>
          <w:lang w:val="en-US"/>
        </w:rPr>
        <w:t xml:space="preserve"> </w:t>
      </w:r>
      <w:r w:rsidRPr="00BF4859">
        <w:rPr>
          <w:lang w:val="en-US"/>
        </w:rPr>
        <w:t>Only a small fraction, approximately 2.5%, remain uncovered due to the insured party not fulfilling specific terms or obligations outlined in their insurance policy.</w:t>
      </w:r>
      <w:r>
        <w:rPr>
          <w:lang w:val="en-US"/>
        </w:rPr>
        <w:t xml:space="preserve">  Please, refer below to the statistics in relation to Financial Institution claims data collected jointly by a number of insurance brokers:</w:t>
      </w:r>
    </w:p>
    <w:p w14:paraId="4F04CC08" w14:textId="77777777" w:rsidR="009D6E95" w:rsidRPr="00CD4F0E" w:rsidRDefault="009D6E95" w:rsidP="009D6E95">
      <w:pPr>
        <w:jc w:val="both"/>
        <w:rPr>
          <w:highlight w:val="yellow"/>
          <w:lang w:val="de-CH"/>
        </w:rPr>
      </w:pPr>
      <w:r w:rsidRPr="00CD4F0E">
        <w:rPr>
          <w:noProof/>
          <w:highlight w:val="yellow"/>
          <w:lang w:val="de-CH"/>
        </w:rPr>
        <w:drawing>
          <wp:inline distT="0" distB="0" distL="0" distR="0" wp14:anchorId="33F180D8" wp14:editId="0F101811">
            <wp:extent cx="6543675" cy="3680816"/>
            <wp:effectExtent l="0" t="0" r="0" b="0"/>
            <wp:docPr id="1744628232" name="Picture 2" descr="A screenshot of a re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628232" name="Picture 2" descr="A screenshot of a repor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51551" cy="3685246"/>
                    </a:xfrm>
                    <a:prstGeom prst="rect">
                      <a:avLst/>
                    </a:prstGeom>
                    <a:noFill/>
                    <a:ln>
                      <a:noFill/>
                    </a:ln>
                  </pic:spPr>
                </pic:pic>
              </a:graphicData>
            </a:graphic>
          </wp:inline>
        </w:drawing>
      </w:r>
    </w:p>
    <w:p w14:paraId="06142813" w14:textId="77777777" w:rsidR="009D6E95" w:rsidRPr="00CD4F0E" w:rsidRDefault="009D6E95" w:rsidP="009D6E95">
      <w:pPr>
        <w:jc w:val="both"/>
        <w:rPr>
          <w:highlight w:val="yellow"/>
          <w:lang w:val="de-CH"/>
        </w:rPr>
      </w:pPr>
      <w:r w:rsidRPr="00972B5A">
        <w:rPr>
          <w:noProof/>
          <w:lang w:val="de-CH"/>
        </w:rPr>
        <w:lastRenderedPageBreak/>
        <w:drawing>
          <wp:inline distT="0" distB="0" distL="0" distR="0" wp14:anchorId="4455677C" wp14:editId="1B6FD5EB">
            <wp:extent cx="6480810" cy="4206240"/>
            <wp:effectExtent l="0" t="0" r="0" b="3810"/>
            <wp:docPr id="15869547"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9547" name="Picture 1" descr="A screenshot of a graph&#10;&#10;Description automatically generated"/>
                    <pic:cNvPicPr/>
                  </pic:nvPicPr>
                  <pic:blipFill>
                    <a:blip r:embed="rId14"/>
                    <a:stretch>
                      <a:fillRect/>
                    </a:stretch>
                  </pic:blipFill>
                  <pic:spPr>
                    <a:xfrm>
                      <a:off x="0" y="0"/>
                      <a:ext cx="6480810" cy="4206240"/>
                    </a:xfrm>
                    <a:prstGeom prst="rect">
                      <a:avLst/>
                    </a:prstGeom>
                  </pic:spPr>
                </pic:pic>
              </a:graphicData>
            </a:graphic>
          </wp:inline>
        </w:drawing>
      </w:r>
    </w:p>
    <w:p w14:paraId="4E521A39" w14:textId="77777777" w:rsidR="009D6E95" w:rsidRDefault="009D6E95" w:rsidP="009D6E95">
      <w:pPr>
        <w:jc w:val="both"/>
        <w:rPr>
          <w:lang w:val="en-US"/>
        </w:rPr>
      </w:pPr>
      <w:r>
        <w:rPr>
          <w:lang w:val="en-US"/>
        </w:rPr>
        <w:t>Furthermore, from the global average transition rates extracted from publicly available credit research by S&amp;P</w:t>
      </w:r>
      <w:r>
        <w:rPr>
          <w:rStyle w:val="FootnoteReference"/>
          <w:lang w:val="en-US"/>
        </w:rPr>
        <w:footnoteReference w:id="1"/>
      </w:r>
      <w:r>
        <w:rPr>
          <w:lang w:val="en-US"/>
        </w:rPr>
        <w:t xml:space="preserve"> with respect to insurance companies, we observe that during the period 1981 – 2023, out of 565 credit ratings issued to insurance companies rated A- and above, only 1 was downgraded to BB+ or worse, and only 10 ratings observed migration to BBB+ or BBB.  Note, that while</w:t>
      </w:r>
      <w:r w:rsidRPr="00C458F6">
        <w:rPr>
          <w:lang w:val="en-US"/>
        </w:rPr>
        <w:t xml:space="preserve"> default</w:t>
      </w:r>
      <w:r>
        <w:rPr>
          <w:lang w:val="en-US"/>
        </w:rPr>
        <w:t>ing entities</w:t>
      </w:r>
      <w:r w:rsidRPr="00C458F6">
        <w:rPr>
          <w:lang w:val="en-US"/>
        </w:rPr>
        <w:t xml:space="preserve"> that </w:t>
      </w:r>
      <w:r>
        <w:rPr>
          <w:lang w:val="en-US"/>
        </w:rPr>
        <w:t>were</w:t>
      </w:r>
      <w:r w:rsidRPr="00C458F6">
        <w:rPr>
          <w:lang w:val="en-US"/>
        </w:rPr>
        <w:t xml:space="preserve"> not rated (NR) are not always captured in the default rate calculations for the year of default, </w:t>
      </w:r>
      <w:r>
        <w:rPr>
          <w:lang w:val="en-US"/>
        </w:rPr>
        <w:t>S&amp;P</w:t>
      </w:r>
      <w:r w:rsidRPr="00C458F6">
        <w:rPr>
          <w:lang w:val="en-US"/>
        </w:rPr>
        <w:t xml:space="preserve"> capture</w:t>
      </w:r>
      <w:r>
        <w:rPr>
          <w:lang w:val="en-US"/>
        </w:rPr>
        <w:t>s</w:t>
      </w:r>
      <w:r w:rsidRPr="00C458F6">
        <w:rPr>
          <w:lang w:val="en-US"/>
        </w:rPr>
        <w:t xml:space="preserve"> them in the longer-term cumulative default rate statistics, which are tied back to the year in which defaulte</w:t>
      </w:r>
      <w:r>
        <w:rPr>
          <w:lang w:val="en-US"/>
        </w:rPr>
        <w:t>d entities</w:t>
      </w:r>
      <w:r w:rsidRPr="00C458F6">
        <w:rPr>
          <w:lang w:val="en-US"/>
        </w:rPr>
        <w:t xml:space="preserve"> were last rated.</w:t>
      </w:r>
    </w:p>
    <w:p w14:paraId="3EC4D4D3" w14:textId="77777777" w:rsidR="009D6E95" w:rsidRDefault="009D6E95" w:rsidP="009D6E95">
      <w:pPr>
        <w:ind w:left="-142"/>
        <w:jc w:val="both"/>
        <w:rPr>
          <w:lang w:val="en-US"/>
        </w:rPr>
      </w:pPr>
      <w:r w:rsidRPr="00EE3EF5">
        <w:rPr>
          <w:noProof/>
          <w:lang w:val="en-US"/>
        </w:rPr>
        <w:lastRenderedPageBreak/>
        <w:drawing>
          <wp:inline distT="0" distB="0" distL="0" distR="0" wp14:anchorId="2C6E51FE" wp14:editId="1F4C4AE7">
            <wp:extent cx="6480810" cy="2263775"/>
            <wp:effectExtent l="0" t="0" r="0" b="3175"/>
            <wp:docPr id="2128437172"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437172" name="Picture 1" descr="A screenshot of a graph&#10;&#10;Description automatically generated"/>
                    <pic:cNvPicPr/>
                  </pic:nvPicPr>
                  <pic:blipFill>
                    <a:blip r:embed="rId15"/>
                    <a:stretch>
                      <a:fillRect/>
                    </a:stretch>
                  </pic:blipFill>
                  <pic:spPr>
                    <a:xfrm>
                      <a:off x="0" y="0"/>
                      <a:ext cx="6480810" cy="2263775"/>
                    </a:xfrm>
                    <a:prstGeom prst="rect">
                      <a:avLst/>
                    </a:prstGeom>
                  </pic:spPr>
                </pic:pic>
              </a:graphicData>
            </a:graphic>
          </wp:inline>
        </w:drawing>
      </w:r>
    </w:p>
    <w:p w14:paraId="20256D82" w14:textId="77777777" w:rsidR="009D6E95" w:rsidRPr="001130E8" w:rsidRDefault="009D6E95" w:rsidP="009D6E95">
      <w:pPr>
        <w:ind w:left="-142"/>
        <w:jc w:val="both"/>
        <w:rPr>
          <w:i/>
          <w:iCs/>
          <w:sz w:val="18"/>
          <w:szCs w:val="18"/>
          <w:lang w:val="en-US"/>
        </w:rPr>
      </w:pPr>
      <w:r w:rsidRPr="001130E8">
        <w:rPr>
          <w:i/>
          <w:iCs/>
          <w:sz w:val="18"/>
          <w:szCs w:val="18"/>
          <w:lang w:val="en-US"/>
        </w:rPr>
        <w:t>Source: S&amp;P</w:t>
      </w:r>
    </w:p>
    <w:p w14:paraId="56E6D94F" w14:textId="77777777" w:rsidR="009D6E95" w:rsidRDefault="009D6E95" w:rsidP="009D6E95">
      <w:pPr>
        <w:ind w:left="-142"/>
        <w:jc w:val="both"/>
        <w:rPr>
          <w:lang w:val="en-US"/>
        </w:rPr>
      </w:pPr>
      <w:r w:rsidRPr="00811222">
        <w:rPr>
          <w:noProof/>
          <w:lang w:val="en-US"/>
        </w:rPr>
        <w:drawing>
          <wp:inline distT="0" distB="0" distL="0" distR="0" wp14:anchorId="4CE23A49" wp14:editId="1DE2EF78">
            <wp:extent cx="6480810" cy="2579370"/>
            <wp:effectExtent l="0" t="0" r="0" b="0"/>
            <wp:docPr id="1142775090" name="Picture 1" descr="A screenshot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75090" name="Picture 1" descr="A screenshot of a screen&#10;&#10;Description automatically generated"/>
                    <pic:cNvPicPr/>
                  </pic:nvPicPr>
                  <pic:blipFill>
                    <a:blip r:embed="rId16"/>
                    <a:stretch>
                      <a:fillRect/>
                    </a:stretch>
                  </pic:blipFill>
                  <pic:spPr>
                    <a:xfrm>
                      <a:off x="0" y="0"/>
                      <a:ext cx="6480810" cy="2579370"/>
                    </a:xfrm>
                    <a:prstGeom prst="rect">
                      <a:avLst/>
                    </a:prstGeom>
                  </pic:spPr>
                </pic:pic>
              </a:graphicData>
            </a:graphic>
          </wp:inline>
        </w:drawing>
      </w:r>
    </w:p>
    <w:p w14:paraId="712B97AB" w14:textId="77777777" w:rsidR="009D6E95" w:rsidRPr="00DD558F" w:rsidRDefault="009D6E95" w:rsidP="009D6E95">
      <w:pPr>
        <w:ind w:left="-142"/>
        <w:jc w:val="both"/>
        <w:rPr>
          <w:i/>
          <w:iCs/>
          <w:sz w:val="18"/>
          <w:szCs w:val="18"/>
          <w:lang w:val="en-US"/>
        </w:rPr>
      </w:pPr>
      <w:r w:rsidRPr="00DD558F">
        <w:rPr>
          <w:i/>
          <w:iCs/>
          <w:sz w:val="18"/>
          <w:szCs w:val="18"/>
          <w:lang w:val="en-US"/>
        </w:rPr>
        <w:t>Source: S&amp;P</w:t>
      </w:r>
    </w:p>
    <w:p w14:paraId="30667182" w14:textId="77777777" w:rsidR="009D6E95" w:rsidRDefault="009D6E95" w:rsidP="009D6E95">
      <w:pPr>
        <w:ind w:left="-142"/>
        <w:jc w:val="both"/>
        <w:rPr>
          <w:lang w:val="en-US"/>
        </w:rPr>
      </w:pPr>
    </w:p>
    <w:p w14:paraId="651D61C4" w14:textId="77777777" w:rsidR="009D6E95" w:rsidRDefault="009D6E95" w:rsidP="009D6E95">
      <w:pPr>
        <w:jc w:val="both"/>
        <w:rPr>
          <w:lang w:val="en-US"/>
        </w:rPr>
      </w:pPr>
      <w:r>
        <w:rPr>
          <w:noProof/>
          <w:lang w:val="en-US"/>
        </w:rPr>
        <w:lastRenderedPageBreak/>
        <w:drawing>
          <wp:inline distT="0" distB="0" distL="0" distR="0" wp14:anchorId="2609861E" wp14:editId="0B698738">
            <wp:extent cx="5724525" cy="3433129"/>
            <wp:effectExtent l="0" t="0" r="0" b="0"/>
            <wp:docPr id="625990242" name="Picture 4" descr="A graph showing the number of insurance sec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990242" name="Picture 4" descr="A graph showing the number of insurance sector&#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5476" cy="3439697"/>
                    </a:xfrm>
                    <a:prstGeom prst="rect">
                      <a:avLst/>
                    </a:prstGeom>
                    <a:noFill/>
                  </pic:spPr>
                </pic:pic>
              </a:graphicData>
            </a:graphic>
          </wp:inline>
        </w:drawing>
      </w:r>
    </w:p>
    <w:p w14:paraId="333C785E" w14:textId="77777777" w:rsidR="009D6E95" w:rsidRPr="00DD558F" w:rsidRDefault="009D6E95" w:rsidP="009D6E95">
      <w:pPr>
        <w:ind w:left="-142"/>
        <w:jc w:val="both"/>
        <w:rPr>
          <w:i/>
          <w:iCs/>
          <w:sz w:val="18"/>
          <w:szCs w:val="18"/>
          <w:lang w:val="en-US"/>
        </w:rPr>
      </w:pPr>
      <w:r w:rsidRPr="00DD558F">
        <w:rPr>
          <w:i/>
          <w:iCs/>
          <w:sz w:val="18"/>
          <w:szCs w:val="18"/>
          <w:lang w:val="en-US"/>
        </w:rPr>
        <w:t>Source: S&amp;P</w:t>
      </w:r>
    </w:p>
    <w:p w14:paraId="31E271A9" w14:textId="77777777" w:rsidR="009D6E95" w:rsidRDefault="009D6E95" w:rsidP="009D6E95">
      <w:pPr>
        <w:jc w:val="both"/>
        <w:rPr>
          <w:lang w:val="en-US"/>
        </w:rPr>
      </w:pPr>
    </w:p>
    <w:p w14:paraId="572F2D1F" w14:textId="77777777" w:rsidR="009D6E95" w:rsidRDefault="009D6E95" w:rsidP="009D6E95">
      <w:pPr>
        <w:jc w:val="both"/>
        <w:rPr>
          <w:lang w:val="en-US"/>
        </w:rPr>
      </w:pPr>
    </w:p>
    <w:p w14:paraId="47E2D81A" w14:textId="77777777" w:rsidR="009D6E95" w:rsidRPr="00670AF5" w:rsidRDefault="009D6E95" w:rsidP="009D6E95">
      <w:pPr>
        <w:jc w:val="both"/>
        <w:rPr>
          <w:lang w:val="en-US"/>
        </w:rPr>
      </w:pPr>
    </w:p>
    <w:p w14:paraId="64892F1E" w14:textId="77777777" w:rsidR="009D6E95" w:rsidRDefault="009D6E95" w:rsidP="009D6E95">
      <w:pPr>
        <w:jc w:val="both"/>
        <w:rPr>
          <w:lang w:val="en-US"/>
        </w:rPr>
      </w:pPr>
      <w:r w:rsidRPr="00670AF5">
        <w:rPr>
          <w:b/>
          <w:bCs/>
          <w:lang w:val="en-US"/>
        </w:rPr>
        <w:t xml:space="preserve">7.7. How would allowing unfunded credit protection to be eligible for the STS label and the associated preferential capital treatment impact EU insurers’ business model of providing credit protection via synthetic </w:t>
      </w:r>
      <w:proofErr w:type="spellStart"/>
      <w:r w:rsidRPr="00670AF5">
        <w:rPr>
          <w:b/>
          <w:bCs/>
          <w:lang w:val="en-US"/>
        </w:rPr>
        <w:t>securitisation</w:t>
      </w:r>
      <w:proofErr w:type="spellEnd"/>
      <w:r w:rsidRPr="00670AF5">
        <w:rPr>
          <w:b/>
          <w:bCs/>
          <w:lang w:val="en-US"/>
        </w:rPr>
        <w:t xml:space="preserve"> (for example, would EU insurers account such transactions as assets or as liabilities)?</w:t>
      </w:r>
    </w:p>
    <w:p w14:paraId="7DE16B49" w14:textId="77777777" w:rsidR="009D6E95" w:rsidRPr="001130E8" w:rsidRDefault="009D6E95" w:rsidP="009D6E95">
      <w:pPr>
        <w:jc w:val="both"/>
        <w:rPr>
          <w:b/>
          <w:bCs/>
          <w:lang w:val="en-US"/>
        </w:rPr>
      </w:pPr>
      <w:r w:rsidRPr="001130E8">
        <w:rPr>
          <w:b/>
          <w:bCs/>
          <w:lang w:val="en-US"/>
        </w:rPr>
        <w:t>Response</w:t>
      </w:r>
    </w:p>
    <w:p w14:paraId="4BDDC41C" w14:textId="77777777" w:rsidR="009D6E95" w:rsidRDefault="009D6E95" w:rsidP="009D6E95">
      <w:pPr>
        <w:jc w:val="both"/>
        <w:rPr>
          <w:lang w:val="en-US"/>
        </w:rPr>
      </w:pPr>
      <w:r>
        <w:rPr>
          <w:lang w:val="en-US"/>
        </w:rPr>
        <w:t xml:space="preserve">The business model of (re)insurance companies is to write insurance policies on the liability side of their balance sheet in </w:t>
      </w:r>
      <w:proofErr w:type="spellStart"/>
      <w:r>
        <w:rPr>
          <w:lang w:val="en-US"/>
        </w:rPr>
        <w:t>favour</w:t>
      </w:r>
      <w:proofErr w:type="spellEnd"/>
      <w:r>
        <w:rPr>
          <w:lang w:val="en-US"/>
        </w:rPr>
        <w:t xml:space="preserve"> of their clients.  (Re)insurers have been active in providing credit insurance for decades and have been active in the bank unfunded SRT market since 2018.  Allowing (re)insurers to participate in unfunded SRT with the STS label will not alter this fundamental aspect of their business model and so they will continue to use the liability side of their balance sheet for this business.</w:t>
      </w:r>
    </w:p>
    <w:p w14:paraId="15B931ED" w14:textId="77777777" w:rsidR="009D6E95" w:rsidRPr="001130E8" w:rsidRDefault="009D6E95" w:rsidP="009D6E95">
      <w:pPr>
        <w:jc w:val="both"/>
      </w:pPr>
      <w:r w:rsidRPr="7D428138">
        <w:lastRenderedPageBreak/>
        <w:t xml:space="preserve">It is worth noting that enabling (re)insurers to participate in unfunded SRT with the STS label will lead to greater diversification within their credit portfolio.  It will also increase pricing consistency between </w:t>
      </w:r>
      <w:r w:rsidRPr="001130E8">
        <w:rPr>
          <w:lang w:val="en-US"/>
        </w:rPr>
        <w:t xml:space="preserve">STS </w:t>
      </w:r>
      <w:r w:rsidRPr="7D428138">
        <w:t>and</w:t>
      </w:r>
      <w:r w:rsidRPr="001130E8">
        <w:rPr>
          <w:lang w:val="en-US"/>
        </w:rPr>
        <w:t xml:space="preserve"> Non-STS </w:t>
      </w:r>
      <w:r w:rsidRPr="7D428138">
        <w:t>transaction</w:t>
      </w:r>
      <w:r w:rsidRPr="001130E8">
        <w:rPr>
          <w:lang w:val="en-US"/>
        </w:rPr>
        <w:t xml:space="preserve"> and </w:t>
      </w:r>
      <w:r w:rsidRPr="7D428138">
        <w:t>reduce the</w:t>
      </w:r>
      <w:r w:rsidRPr="001130E8">
        <w:rPr>
          <w:lang w:val="en-US"/>
        </w:rPr>
        <w:t xml:space="preserve"> cliff effects between structures.</w:t>
      </w:r>
    </w:p>
    <w:p w14:paraId="7CBD1D12" w14:textId="77777777" w:rsidR="009D6E95" w:rsidRPr="00670AF5" w:rsidRDefault="009D6E95" w:rsidP="009D6E95">
      <w:pPr>
        <w:jc w:val="both"/>
        <w:rPr>
          <w:lang w:val="en-US"/>
        </w:rPr>
      </w:pPr>
      <w:r w:rsidRPr="001130E8">
        <w:rPr>
          <w:lang w:val="en-US"/>
        </w:rPr>
        <w:t xml:space="preserve">Please note, that </w:t>
      </w:r>
      <w:r>
        <w:rPr>
          <w:lang w:val="en-US"/>
        </w:rPr>
        <w:t xml:space="preserve">the </w:t>
      </w:r>
      <w:r w:rsidRPr="001130E8">
        <w:rPr>
          <w:lang w:val="en-US"/>
        </w:rPr>
        <w:t xml:space="preserve">credit insurance policies written by specialist </w:t>
      </w:r>
      <w:r>
        <w:rPr>
          <w:lang w:val="en-US"/>
        </w:rPr>
        <w:t>(re)</w:t>
      </w:r>
      <w:r w:rsidRPr="001130E8">
        <w:rPr>
          <w:lang w:val="en-US"/>
        </w:rPr>
        <w:t>insurer</w:t>
      </w:r>
      <w:r>
        <w:rPr>
          <w:lang w:val="en-US"/>
        </w:rPr>
        <w:t>s</w:t>
      </w:r>
      <w:r w:rsidRPr="001130E8">
        <w:rPr>
          <w:lang w:val="en-US"/>
        </w:rPr>
        <w:t xml:space="preserve"> as part of their </w:t>
      </w:r>
      <w:r>
        <w:rPr>
          <w:lang w:val="en-US"/>
        </w:rPr>
        <w:t xml:space="preserve">standard </w:t>
      </w:r>
      <w:r w:rsidRPr="001130E8">
        <w:rPr>
          <w:lang w:val="en-US"/>
        </w:rPr>
        <w:t>business on the liability side is very different from investment</w:t>
      </w:r>
      <w:r>
        <w:rPr>
          <w:lang w:val="en-US"/>
        </w:rPr>
        <w:t>s</w:t>
      </w:r>
      <w:r w:rsidRPr="001130E8">
        <w:rPr>
          <w:lang w:val="en-US"/>
        </w:rPr>
        <w:t xml:space="preserve"> </w:t>
      </w:r>
      <w:r>
        <w:rPr>
          <w:lang w:val="en-US"/>
        </w:rPr>
        <w:t xml:space="preserve">that they make </w:t>
      </w:r>
      <w:r w:rsidRPr="001130E8">
        <w:rPr>
          <w:lang w:val="en-US"/>
        </w:rPr>
        <w:t>on the asset side</w:t>
      </w:r>
      <w:r>
        <w:rPr>
          <w:lang w:val="en-US"/>
        </w:rPr>
        <w:t>, which are used as a</w:t>
      </w:r>
      <w:r w:rsidRPr="001130E8">
        <w:rPr>
          <w:lang w:val="en-US"/>
        </w:rPr>
        <w:t xml:space="preserve"> reserve against insurance liabilities </w:t>
      </w:r>
      <w:r>
        <w:rPr>
          <w:lang w:val="en-US"/>
        </w:rPr>
        <w:t>and must have a sufficient liquidity profile in order to pay claims in a timely fashion.</w:t>
      </w:r>
    </w:p>
    <w:p w14:paraId="7E1142C8" w14:textId="77777777" w:rsidR="009D6E95" w:rsidRDefault="009D6E95" w:rsidP="009D6E95">
      <w:pPr>
        <w:jc w:val="both"/>
        <w:rPr>
          <w:lang w:val="en-US"/>
        </w:rPr>
      </w:pPr>
    </w:p>
    <w:p w14:paraId="773BED9C" w14:textId="77777777" w:rsidR="009D6E95" w:rsidRPr="00670AF5" w:rsidRDefault="009D6E95" w:rsidP="009D6E95">
      <w:pPr>
        <w:jc w:val="both"/>
        <w:rPr>
          <w:lang w:val="en-US"/>
        </w:rPr>
      </w:pPr>
    </w:p>
    <w:p w14:paraId="51177CB9" w14:textId="77777777" w:rsidR="009D6E95" w:rsidRPr="00D316A2" w:rsidRDefault="009D6E95" w:rsidP="009D6E95">
      <w:pPr>
        <w:spacing w:after="0"/>
        <w:jc w:val="both"/>
        <w:rPr>
          <w:b/>
          <w:bCs/>
          <w:lang w:val="en-US"/>
        </w:rPr>
      </w:pPr>
      <w:r w:rsidRPr="00D316A2">
        <w:rPr>
          <w:b/>
          <w:bCs/>
          <w:lang w:val="en-US"/>
        </w:rPr>
        <w:t>7.12.</w:t>
      </w:r>
      <w:r w:rsidRPr="00D316A2">
        <w:rPr>
          <w:b/>
          <w:bCs/>
          <w:lang w:val="en-US"/>
        </w:rPr>
        <w:tab/>
        <w:t xml:space="preserve">Do the homogeneity requirements for STS transactions represent an undue burden for the </w:t>
      </w:r>
      <w:proofErr w:type="spellStart"/>
      <w:r w:rsidRPr="00D316A2">
        <w:rPr>
          <w:b/>
          <w:bCs/>
          <w:lang w:val="en-US"/>
        </w:rPr>
        <w:t>securitisation</w:t>
      </w:r>
      <w:proofErr w:type="spellEnd"/>
      <w:r w:rsidRPr="00D316A2">
        <w:rPr>
          <w:b/>
          <w:bCs/>
          <w:lang w:val="en-US"/>
        </w:rPr>
        <w:t xml:space="preserve"> of corporate loans, including SMEs? Please explain your answer.</w:t>
      </w:r>
    </w:p>
    <w:p w14:paraId="0D189336" w14:textId="77777777" w:rsidR="009D6E95" w:rsidRPr="008D0D82" w:rsidRDefault="009D6E95" w:rsidP="009D6E95">
      <w:pPr>
        <w:jc w:val="both"/>
        <w:rPr>
          <w:b/>
          <w:bCs/>
          <w:lang w:val="en-US"/>
        </w:rPr>
      </w:pPr>
      <w:r w:rsidRPr="008D0D82">
        <w:rPr>
          <w:b/>
          <w:bCs/>
          <w:lang w:val="en-US"/>
        </w:rPr>
        <w:t>Response:</w:t>
      </w:r>
    </w:p>
    <w:p w14:paraId="02D43578" w14:textId="77777777" w:rsidR="009D6E95" w:rsidRPr="00797789" w:rsidRDefault="009D6E95" w:rsidP="009D6E95">
      <w:pPr>
        <w:jc w:val="both"/>
        <w:rPr>
          <w:lang w:val="en-US"/>
        </w:rPr>
      </w:pPr>
      <w:r w:rsidRPr="00797789">
        <w:rPr>
          <w:lang w:val="en-US"/>
        </w:rPr>
        <w:t>The current homogeneity requirements under the STS framework present substantial challenges for small</w:t>
      </w:r>
      <w:r>
        <w:rPr>
          <w:lang w:val="en-US"/>
        </w:rPr>
        <w:t xml:space="preserve"> to medium sized regional </w:t>
      </w:r>
      <w:r w:rsidRPr="00797789">
        <w:rPr>
          <w:lang w:val="en-US"/>
        </w:rPr>
        <w:t>banks</w:t>
      </w:r>
      <w:r>
        <w:rPr>
          <w:lang w:val="en-US"/>
        </w:rPr>
        <w:t>, and even for some large domestic EU banks</w:t>
      </w:r>
      <w:r w:rsidRPr="00797789">
        <w:rPr>
          <w:lang w:val="en-US"/>
        </w:rPr>
        <w:t xml:space="preserve">, due to the fragmented nature of their loan books. </w:t>
      </w:r>
      <w:r>
        <w:rPr>
          <w:lang w:val="en-US"/>
        </w:rPr>
        <w:t xml:space="preserve"> </w:t>
      </w:r>
      <w:r w:rsidRPr="00797789">
        <w:rPr>
          <w:lang w:val="en-US"/>
        </w:rPr>
        <w:t xml:space="preserve">These banks often </w:t>
      </w:r>
      <w:r>
        <w:rPr>
          <w:lang w:val="en-US"/>
        </w:rPr>
        <w:t>lack sufficiently large loan books</w:t>
      </w:r>
      <w:r w:rsidRPr="00797789">
        <w:rPr>
          <w:lang w:val="en-US"/>
        </w:rPr>
        <w:t xml:space="preserve"> </w:t>
      </w:r>
      <w:r>
        <w:rPr>
          <w:lang w:val="en-US"/>
        </w:rPr>
        <w:t>of</w:t>
      </w:r>
      <w:r w:rsidRPr="00797789">
        <w:rPr>
          <w:lang w:val="en-US"/>
        </w:rPr>
        <w:t xml:space="preserve"> corporate, SME, commercial real estate (CRE), and project finance exposures</w:t>
      </w:r>
      <w:r>
        <w:rPr>
          <w:lang w:val="en-US"/>
        </w:rPr>
        <w:t xml:space="preserve"> to select an efficient and homogenous portfolio for structuring synthetic on-balance sheet </w:t>
      </w:r>
      <w:proofErr w:type="spellStart"/>
      <w:r>
        <w:rPr>
          <w:lang w:val="en-US"/>
        </w:rPr>
        <w:t>securitisations</w:t>
      </w:r>
      <w:proofErr w:type="spellEnd"/>
      <w:r w:rsidRPr="00797789">
        <w:rPr>
          <w:lang w:val="en-US"/>
        </w:rPr>
        <w:t xml:space="preserve">. </w:t>
      </w:r>
      <w:r>
        <w:rPr>
          <w:lang w:val="en-US"/>
        </w:rPr>
        <w:t xml:space="preserve"> </w:t>
      </w:r>
      <w:r w:rsidRPr="00797789">
        <w:rPr>
          <w:lang w:val="en-US"/>
        </w:rPr>
        <w:t>The strict segmentation required to meet homogeneity criteria</w:t>
      </w:r>
      <w:r>
        <w:rPr>
          <w:lang w:val="en-US"/>
        </w:rPr>
        <w:t xml:space="preserve">, </w:t>
      </w:r>
      <w:r w:rsidRPr="00797789">
        <w:rPr>
          <w:lang w:val="en-US"/>
        </w:rPr>
        <w:t>such as asset class, obligor type, or jurisdiction</w:t>
      </w:r>
      <w:r>
        <w:rPr>
          <w:lang w:val="en-US"/>
        </w:rPr>
        <w:t xml:space="preserve">, </w:t>
      </w:r>
      <w:r w:rsidRPr="00797789">
        <w:rPr>
          <w:lang w:val="en-US"/>
        </w:rPr>
        <w:t>forces smaller institutions into inefficiencies that make achieving the STS label particularly burdensome.</w:t>
      </w:r>
    </w:p>
    <w:p w14:paraId="2213EE93" w14:textId="77777777" w:rsidR="009D6E95" w:rsidRPr="00797789" w:rsidRDefault="009D6E95" w:rsidP="009D6E95">
      <w:pPr>
        <w:jc w:val="both"/>
        <w:rPr>
          <w:lang w:val="en-US"/>
        </w:rPr>
      </w:pPr>
      <w:r>
        <w:rPr>
          <w:lang w:val="en-US"/>
        </w:rPr>
        <w:t xml:space="preserve">Domestic </w:t>
      </w:r>
      <w:r w:rsidRPr="00797789">
        <w:rPr>
          <w:lang w:val="en-US"/>
        </w:rPr>
        <w:t xml:space="preserve">banks typically lack the extensive and diverse portfolios of larger institutions. </w:t>
      </w:r>
      <w:r>
        <w:rPr>
          <w:lang w:val="en-US"/>
        </w:rPr>
        <w:t xml:space="preserve"> </w:t>
      </w:r>
      <w:r w:rsidRPr="00797789">
        <w:rPr>
          <w:lang w:val="en-US"/>
        </w:rPr>
        <w:t xml:space="preserve">To meet homogeneity requirements, these banks would need to segment their already limited loan book into </w:t>
      </w:r>
      <w:r>
        <w:rPr>
          <w:lang w:val="en-US"/>
        </w:rPr>
        <w:t xml:space="preserve"> </w:t>
      </w:r>
      <w:r w:rsidRPr="00797789">
        <w:rPr>
          <w:lang w:val="en-US"/>
        </w:rPr>
        <w:t xml:space="preserve">narrowly defined asset pools. </w:t>
      </w:r>
      <w:r>
        <w:rPr>
          <w:lang w:val="en-US"/>
        </w:rPr>
        <w:t xml:space="preserve"> </w:t>
      </w:r>
      <w:r w:rsidRPr="00797789">
        <w:rPr>
          <w:lang w:val="en-US"/>
        </w:rPr>
        <w:t>This results in either:</w:t>
      </w:r>
    </w:p>
    <w:p w14:paraId="71B436CC" w14:textId="77777777" w:rsidR="009D6E95" w:rsidRDefault="009D6E95" w:rsidP="009D6E95">
      <w:pPr>
        <w:pStyle w:val="ListBullet"/>
        <w:jc w:val="both"/>
        <w:rPr>
          <w:lang w:val="en-US"/>
        </w:rPr>
      </w:pPr>
      <w:r w:rsidRPr="00797789">
        <w:rPr>
          <w:lang w:val="en-US"/>
        </w:rPr>
        <w:t xml:space="preserve">Multiple </w:t>
      </w:r>
      <w:r>
        <w:rPr>
          <w:lang w:val="en-US"/>
        </w:rPr>
        <w:t>i</w:t>
      </w:r>
      <w:r w:rsidRPr="00797789">
        <w:rPr>
          <w:lang w:val="en-US"/>
        </w:rPr>
        <w:t xml:space="preserve">ssuances: </w:t>
      </w:r>
      <w:r>
        <w:rPr>
          <w:lang w:val="en-US"/>
        </w:rPr>
        <w:t>s</w:t>
      </w:r>
      <w:r w:rsidRPr="00797789">
        <w:rPr>
          <w:lang w:val="en-US"/>
        </w:rPr>
        <w:t xml:space="preserve">maller banks would need to issue several </w:t>
      </w:r>
      <w:proofErr w:type="spellStart"/>
      <w:r w:rsidRPr="00797789">
        <w:rPr>
          <w:lang w:val="en-US"/>
        </w:rPr>
        <w:t>securitisations</w:t>
      </w:r>
      <w:proofErr w:type="spellEnd"/>
      <w:r w:rsidRPr="00797789">
        <w:rPr>
          <w:lang w:val="en-US"/>
        </w:rPr>
        <w:t>, each tailored to meet homogeneity criteria, to cover the spectrum of their portfolios.</w:t>
      </w:r>
      <w:r>
        <w:rPr>
          <w:lang w:val="en-US"/>
        </w:rPr>
        <w:t xml:space="preserve"> </w:t>
      </w:r>
      <w:r w:rsidRPr="00797789">
        <w:rPr>
          <w:lang w:val="en-US"/>
        </w:rPr>
        <w:t xml:space="preserve"> This approach significantly increases costs related to structuring, legal, and compliance efforts</w:t>
      </w:r>
      <w:r>
        <w:rPr>
          <w:lang w:val="en-US"/>
        </w:rPr>
        <w:t>; or</w:t>
      </w:r>
    </w:p>
    <w:p w14:paraId="29A72633" w14:textId="77777777" w:rsidR="009D6E95" w:rsidRDefault="009D6E95" w:rsidP="009D6E95">
      <w:pPr>
        <w:pStyle w:val="ListBullet"/>
        <w:jc w:val="both"/>
        <w:rPr>
          <w:lang w:val="en-US"/>
        </w:rPr>
      </w:pPr>
      <w:r w:rsidRPr="00693BE3">
        <w:rPr>
          <w:lang w:val="en-US"/>
        </w:rPr>
        <w:t>Non-</w:t>
      </w:r>
      <w:r>
        <w:rPr>
          <w:lang w:val="en-US"/>
        </w:rPr>
        <w:t>g</w:t>
      </w:r>
      <w:r w:rsidRPr="00693BE3">
        <w:rPr>
          <w:lang w:val="en-US"/>
        </w:rPr>
        <w:t xml:space="preserve">ranular </w:t>
      </w:r>
      <w:r>
        <w:rPr>
          <w:lang w:val="en-US"/>
        </w:rPr>
        <w:t>p</w:t>
      </w:r>
      <w:r w:rsidRPr="00693BE3">
        <w:rPr>
          <w:lang w:val="en-US"/>
        </w:rPr>
        <w:t xml:space="preserve">ools: </w:t>
      </w:r>
      <w:r>
        <w:rPr>
          <w:lang w:val="en-US"/>
        </w:rPr>
        <w:t>such</w:t>
      </w:r>
      <w:r w:rsidRPr="00693BE3">
        <w:rPr>
          <w:lang w:val="en-US"/>
        </w:rPr>
        <w:t xml:space="preserve"> banks </w:t>
      </w:r>
      <w:r>
        <w:rPr>
          <w:lang w:val="en-US"/>
        </w:rPr>
        <w:t xml:space="preserve">may not be able to put together a sufficiently granular / diversified portfolio for </w:t>
      </w:r>
      <w:proofErr w:type="spellStart"/>
      <w:r>
        <w:rPr>
          <w:lang w:val="en-US"/>
        </w:rPr>
        <w:t>securitisation</w:t>
      </w:r>
      <w:proofErr w:type="spellEnd"/>
      <w:r w:rsidRPr="00693BE3">
        <w:rPr>
          <w:lang w:val="en-US"/>
        </w:rPr>
        <w:t>, which may not satisfy regulatory standards for risk diversification or investor preferences</w:t>
      </w:r>
      <w:r>
        <w:rPr>
          <w:lang w:val="en-US"/>
        </w:rPr>
        <w:t xml:space="preserve">, and thus not being able to originate STS </w:t>
      </w:r>
      <w:proofErr w:type="spellStart"/>
      <w:r>
        <w:rPr>
          <w:lang w:val="en-US"/>
        </w:rPr>
        <w:t>securitisation</w:t>
      </w:r>
      <w:proofErr w:type="spellEnd"/>
      <w:r w:rsidRPr="00693BE3">
        <w:rPr>
          <w:lang w:val="en-US"/>
        </w:rPr>
        <w:t>.</w:t>
      </w:r>
    </w:p>
    <w:p w14:paraId="0C713032" w14:textId="77777777" w:rsidR="009D6E95" w:rsidRPr="00A40DCF" w:rsidRDefault="009D6E95" w:rsidP="009D6E95">
      <w:pPr>
        <w:pStyle w:val="ListBullet"/>
        <w:numPr>
          <w:ilvl w:val="0"/>
          <w:numId w:val="0"/>
        </w:numPr>
        <w:jc w:val="both"/>
        <w:rPr>
          <w:lang w:val="en-US"/>
        </w:rPr>
      </w:pPr>
      <w:r w:rsidRPr="00A40DCF">
        <w:rPr>
          <w:lang w:val="en-US"/>
        </w:rPr>
        <w:t xml:space="preserve">Both outcomes reduce the cost-efficiency and practicality of achieving STS compliance for </w:t>
      </w:r>
      <w:r>
        <w:rPr>
          <w:lang w:val="en-US"/>
        </w:rPr>
        <w:t>these</w:t>
      </w:r>
      <w:r w:rsidRPr="00A40DCF">
        <w:rPr>
          <w:lang w:val="en-US"/>
        </w:rPr>
        <w:t xml:space="preserve"> institutions</w:t>
      </w:r>
      <w:r>
        <w:rPr>
          <w:lang w:val="en-US"/>
        </w:rPr>
        <w:t xml:space="preserve"> and places them at a competitive disadvantage to their larger regional peers.</w:t>
      </w:r>
    </w:p>
    <w:p w14:paraId="6D52B472" w14:textId="77777777" w:rsidR="009D6E95" w:rsidRDefault="009D6E95" w:rsidP="009D6E95">
      <w:pPr>
        <w:jc w:val="both"/>
        <w:rPr>
          <w:lang w:val="en-US"/>
        </w:rPr>
      </w:pPr>
      <w:r w:rsidRPr="00797789">
        <w:rPr>
          <w:lang w:val="en-US"/>
        </w:rPr>
        <w:t>While alternative asset classes</w:t>
      </w:r>
      <w:r>
        <w:rPr>
          <w:lang w:val="en-US"/>
        </w:rPr>
        <w:t>,</w:t>
      </w:r>
      <w:r w:rsidRPr="00797789">
        <w:rPr>
          <w:lang w:val="en-US"/>
        </w:rPr>
        <w:t xml:space="preserve"> like retail mortgages or consumer loans</w:t>
      </w:r>
      <w:r>
        <w:rPr>
          <w:lang w:val="en-US"/>
        </w:rPr>
        <w:t>,</w:t>
      </w:r>
      <w:r w:rsidRPr="00797789">
        <w:rPr>
          <w:lang w:val="en-US"/>
        </w:rPr>
        <w:t xml:space="preserve"> could technically meet homogeneity requirements, they often do not align with </w:t>
      </w:r>
      <w:r>
        <w:rPr>
          <w:lang w:val="en-US"/>
        </w:rPr>
        <w:t xml:space="preserve">the structuring </w:t>
      </w:r>
      <w:r w:rsidRPr="00797789">
        <w:rPr>
          <w:lang w:val="en-US"/>
        </w:rPr>
        <w:t>objectives:</w:t>
      </w:r>
    </w:p>
    <w:p w14:paraId="18E161CB" w14:textId="77777777" w:rsidR="009D6E95" w:rsidRDefault="009D6E95" w:rsidP="009D6E95">
      <w:pPr>
        <w:pStyle w:val="ListBullet"/>
        <w:jc w:val="both"/>
        <w:rPr>
          <w:lang w:val="en-US"/>
        </w:rPr>
      </w:pPr>
      <w:r w:rsidRPr="00797789">
        <w:rPr>
          <w:lang w:val="en-US"/>
        </w:rPr>
        <w:t xml:space="preserve">Retail </w:t>
      </w:r>
      <w:r>
        <w:rPr>
          <w:lang w:val="en-US"/>
        </w:rPr>
        <w:t>m</w:t>
      </w:r>
      <w:r w:rsidRPr="00797789">
        <w:rPr>
          <w:lang w:val="en-US"/>
        </w:rPr>
        <w:t>ortgages</w:t>
      </w:r>
      <w:r>
        <w:rPr>
          <w:lang w:val="en-US"/>
        </w:rPr>
        <w:t xml:space="preserve"> </w:t>
      </w:r>
      <w:r w:rsidRPr="00797789">
        <w:rPr>
          <w:lang w:val="en-US"/>
        </w:rPr>
        <w:t xml:space="preserve">carry low risk weight densities, providing limited capital relief, which diminishes the value of </w:t>
      </w:r>
      <w:proofErr w:type="spellStart"/>
      <w:r w:rsidRPr="00797789">
        <w:rPr>
          <w:lang w:val="en-US"/>
        </w:rPr>
        <w:t>securitisation</w:t>
      </w:r>
      <w:proofErr w:type="spellEnd"/>
      <w:r w:rsidRPr="00797789">
        <w:rPr>
          <w:lang w:val="en-US"/>
        </w:rPr>
        <w:t xml:space="preserve"> as a capital </w:t>
      </w:r>
      <w:proofErr w:type="spellStart"/>
      <w:r w:rsidRPr="00797789">
        <w:rPr>
          <w:lang w:val="en-US"/>
        </w:rPr>
        <w:t>optimisation</w:t>
      </w:r>
      <w:proofErr w:type="spellEnd"/>
      <w:r w:rsidRPr="00797789">
        <w:rPr>
          <w:lang w:val="en-US"/>
        </w:rPr>
        <w:t xml:space="preserve"> tool</w:t>
      </w:r>
      <w:r>
        <w:rPr>
          <w:lang w:val="en-US"/>
        </w:rPr>
        <w:t>;</w:t>
      </w:r>
    </w:p>
    <w:p w14:paraId="19715D46" w14:textId="77777777" w:rsidR="009D6E95" w:rsidRPr="00280E86" w:rsidRDefault="009D6E95" w:rsidP="009D6E95">
      <w:pPr>
        <w:pStyle w:val="ListBullet"/>
        <w:jc w:val="both"/>
        <w:rPr>
          <w:lang w:val="en-US"/>
        </w:rPr>
      </w:pPr>
      <w:r w:rsidRPr="00280E86">
        <w:rPr>
          <w:lang w:val="en-US"/>
        </w:rPr>
        <w:lastRenderedPageBreak/>
        <w:t xml:space="preserve">Consumer </w:t>
      </w:r>
      <w:r>
        <w:rPr>
          <w:lang w:val="en-US"/>
        </w:rPr>
        <w:t>l</w:t>
      </w:r>
      <w:r w:rsidRPr="00280E86">
        <w:rPr>
          <w:lang w:val="en-US"/>
        </w:rPr>
        <w:t xml:space="preserve">oans typically exhibit higher </w:t>
      </w:r>
      <w:r>
        <w:rPr>
          <w:lang w:val="en-US"/>
        </w:rPr>
        <w:t>credit risk (higher PD and LGD), while SEC-IRBA formula for retail exposures is calibrated in a more conservative way</w:t>
      </w:r>
      <w:r w:rsidRPr="00280E86">
        <w:rPr>
          <w:lang w:val="en-US"/>
        </w:rPr>
        <w:t xml:space="preserve">, making </w:t>
      </w:r>
      <w:r>
        <w:rPr>
          <w:lang w:val="en-US"/>
        </w:rPr>
        <w:t>these exposures less</w:t>
      </w:r>
      <w:r w:rsidRPr="00280E86">
        <w:rPr>
          <w:lang w:val="en-US"/>
        </w:rPr>
        <w:t xml:space="preserve"> attractive for </w:t>
      </w:r>
      <w:proofErr w:type="spellStart"/>
      <w:r w:rsidRPr="00280E86">
        <w:rPr>
          <w:lang w:val="en-US"/>
        </w:rPr>
        <w:t>securitisation</w:t>
      </w:r>
      <w:proofErr w:type="spellEnd"/>
      <w:r w:rsidRPr="00280E86">
        <w:rPr>
          <w:lang w:val="en-US"/>
        </w:rPr>
        <w:t xml:space="preserve"> due to increased </w:t>
      </w:r>
      <w:r>
        <w:rPr>
          <w:lang w:val="en-US"/>
        </w:rPr>
        <w:t>transaction costs</w:t>
      </w:r>
      <w:r w:rsidRPr="00280E86">
        <w:rPr>
          <w:lang w:val="en-US"/>
        </w:rPr>
        <w:t>.</w:t>
      </w:r>
    </w:p>
    <w:p w14:paraId="2D140692" w14:textId="77777777" w:rsidR="009D6E95" w:rsidRDefault="009D6E95" w:rsidP="009D6E95">
      <w:pPr>
        <w:jc w:val="both"/>
        <w:rPr>
          <w:lang w:val="en-US"/>
        </w:rPr>
      </w:pPr>
      <w:r w:rsidRPr="00797789">
        <w:rPr>
          <w:lang w:val="en-US"/>
        </w:rPr>
        <w:t xml:space="preserve">To enable </w:t>
      </w:r>
      <w:r>
        <w:rPr>
          <w:lang w:val="en-US"/>
        </w:rPr>
        <w:t>domestic and regional</w:t>
      </w:r>
      <w:r w:rsidRPr="00797789">
        <w:rPr>
          <w:lang w:val="en-US"/>
        </w:rPr>
        <w:t xml:space="preserve"> banks to </w:t>
      </w:r>
      <w:r>
        <w:rPr>
          <w:lang w:val="en-US"/>
        </w:rPr>
        <w:t xml:space="preserve">more readily </w:t>
      </w:r>
      <w:r w:rsidRPr="00797789">
        <w:rPr>
          <w:lang w:val="en-US"/>
        </w:rPr>
        <w:t xml:space="preserve">benefit from STS synthetic </w:t>
      </w:r>
      <w:proofErr w:type="spellStart"/>
      <w:r w:rsidRPr="00797789">
        <w:rPr>
          <w:lang w:val="en-US"/>
        </w:rPr>
        <w:t>securitisations</w:t>
      </w:r>
      <w:proofErr w:type="spellEnd"/>
      <w:r w:rsidRPr="00797789">
        <w:rPr>
          <w:lang w:val="en-US"/>
        </w:rPr>
        <w:t xml:space="preserve"> without undue burden, we </w:t>
      </w:r>
      <w:r>
        <w:rPr>
          <w:lang w:val="en-US"/>
        </w:rPr>
        <w:t>would propose to relax the homogeneity</w:t>
      </w:r>
      <w:r w:rsidRPr="00797789">
        <w:rPr>
          <w:lang w:val="en-US"/>
        </w:rPr>
        <w:t xml:space="preserve"> requirements to ensure that </w:t>
      </w:r>
      <w:r>
        <w:rPr>
          <w:lang w:val="en-US"/>
        </w:rPr>
        <w:t>they</w:t>
      </w:r>
      <w:r w:rsidRPr="00797789">
        <w:rPr>
          <w:lang w:val="en-US"/>
        </w:rPr>
        <w:t xml:space="preserve"> </w:t>
      </w:r>
      <w:r>
        <w:rPr>
          <w:lang w:val="en-US"/>
        </w:rPr>
        <w:t xml:space="preserve">can originate STS </w:t>
      </w:r>
      <w:proofErr w:type="spellStart"/>
      <w:r>
        <w:rPr>
          <w:lang w:val="en-US"/>
        </w:rPr>
        <w:t>securitisations</w:t>
      </w:r>
      <w:proofErr w:type="spellEnd"/>
      <w:r>
        <w:rPr>
          <w:lang w:val="en-US"/>
        </w:rPr>
        <w:t xml:space="preserve"> at reasonable costs, for example by allowing</w:t>
      </w:r>
      <w:r w:rsidRPr="00797789">
        <w:rPr>
          <w:lang w:val="en-US"/>
        </w:rPr>
        <w:t xml:space="preserve"> </w:t>
      </w:r>
      <w:r>
        <w:rPr>
          <w:lang w:val="en-US"/>
        </w:rPr>
        <w:t xml:space="preserve">portfolios </w:t>
      </w:r>
      <w:r w:rsidRPr="00797789">
        <w:rPr>
          <w:lang w:val="en-US"/>
        </w:rPr>
        <w:t xml:space="preserve">blended </w:t>
      </w:r>
      <w:r>
        <w:rPr>
          <w:lang w:val="en-US"/>
        </w:rPr>
        <w:t>across different but similar credit asset classes</w:t>
      </w:r>
      <w:r w:rsidRPr="00797789">
        <w:rPr>
          <w:lang w:val="en-US"/>
        </w:rPr>
        <w:t xml:space="preserve"> (e.g., combining SME and corporate loans).</w:t>
      </w:r>
      <w:r>
        <w:rPr>
          <w:lang w:val="en-US"/>
        </w:rPr>
        <w:t xml:space="preserve">  It is worth noting that issuers and investors in SRT are broadly aligned on this point.</w:t>
      </w:r>
    </w:p>
    <w:p w14:paraId="744CD518" w14:textId="77777777" w:rsidR="009D6E95" w:rsidRDefault="009D6E95" w:rsidP="009D6E95">
      <w:pPr>
        <w:jc w:val="both"/>
        <w:rPr>
          <w:lang w:val="en-US"/>
        </w:rPr>
      </w:pPr>
      <w:r>
        <w:rPr>
          <w:b/>
          <w:lang w:val="en-US"/>
        </w:rPr>
        <w:br w:type="page"/>
      </w:r>
    </w:p>
    <w:p w14:paraId="4297F38D" w14:textId="77777777" w:rsidR="009D6E95" w:rsidRDefault="009D6E95" w:rsidP="009D6E95">
      <w:pPr>
        <w:pStyle w:val="Heading2"/>
        <w:jc w:val="both"/>
        <w:rPr>
          <w:lang w:val="en-US"/>
        </w:rPr>
      </w:pPr>
      <w:r>
        <w:rPr>
          <w:lang w:val="en-US"/>
        </w:rPr>
        <w:lastRenderedPageBreak/>
        <w:t xml:space="preserve">Section 9. </w:t>
      </w:r>
      <w:r>
        <w:t>Prudential</w:t>
      </w:r>
      <w:r>
        <w:rPr>
          <w:spacing w:val="-3"/>
        </w:rPr>
        <w:t xml:space="preserve"> </w:t>
      </w:r>
      <w:r>
        <w:t>and</w:t>
      </w:r>
      <w:r>
        <w:rPr>
          <w:spacing w:val="-2"/>
        </w:rPr>
        <w:t xml:space="preserve"> </w:t>
      </w:r>
      <w:r>
        <w:t>liquidity</w:t>
      </w:r>
      <w:r>
        <w:rPr>
          <w:spacing w:val="-1"/>
        </w:rPr>
        <w:t xml:space="preserve"> </w:t>
      </w:r>
      <w:r>
        <w:t>risk</w:t>
      </w:r>
      <w:r>
        <w:rPr>
          <w:spacing w:val="-1"/>
        </w:rPr>
        <w:t xml:space="preserve"> </w:t>
      </w:r>
      <w:r>
        <w:t>treatment</w:t>
      </w:r>
      <w:r>
        <w:rPr>
          <w:spacing w:val="-2"/>
        </w:rPr>
        <w:t xml:space="preserve"> </w:t>
      </w:r>
      <w:r>
        <w:t>of</w:t>
      </w:r>
      <w:r>
        <w:rPr>
          <w:spacing w:val="-2"/>
        </w:rPr>
        <w:t xml:space="preserve"> </w:t>
      </w:r>
      <w:r>
        <w:t>securitisation</w:t>
      </w:r>
      <w:r>
        <w:rPr>
          <w:spacing w:val="-1"/>
        </w:rPr>
        <w:t xml:space="preserve"> </w:t>
      </w:r>
      <w:r>
        <w:t>for</w:t>
      </w:r>
      <w:r>
        <w:rPr>
          <w:spacing w:val="-3"/>
        </w:rPr>
        <w:t xml:space="preserve"> </w:t>
      </w:r>
      <w:r>
        <w:rPr>
          <w:spacing w:val="-2"/>
        </w:rPr>
        <w:t>banks</w:t>
      </w:r>
    </w:p>
    <w:p w14:paraId="5A674F8C" w14:textId="77777777" w:rsidR="009D6E95" w:rsidRDefault="009D6E95" w:rsidP="009D6E95">
      <w:pPr>
        <w:spacing w:after="0"/>
        <w:jc w:val="both"/>
        <w:rPr>
          <w:b/>
          <w:bCs/>
          <w:lang w:val="en-US"/>
        </w:rPr>
      </w:pPr>
    </w:p>
    <w:p w14:paraId="48639A35" w14:textId="77777777" w:rsidR="009D6E95" w:rsidRDefault="009D6E95" w:rsidP="009D6E95">
      <w:pPr>
        <w:spacing w:after="0"/>
        <w:jc w:val="both"/>
        <w:rPr>
          <w:b/>
          <w:lang w:val="en-US"/>
        </w:rPr>
      </w:pPr>
      <w:r>
        <w:rPr>
          <w:b/>
          <w:bCs/>
          <w:lang w:val="en-US"/>
        </w:rPr>
        <w:t>9.11</w:t>
      </w:r>
      <w:r w:rsidRPr="00D316A2">
        <w:rPr>
          <w:b/>
          <w:bCs/>
          <w:lang w:val="en-US"/>
        </w:rPr>
        <w:t>.</w:t>
      </w:r>
      <w:r w:rsidRPr="00D316A2">
        <w:rPr>
          <w:b/>
          <w:bCs/>
          <w:lang w:val="en-US"/>
        </w:rPr>
        <w:tab/>
      </w:r>
      <w:r w:rsidRPr="00380258">
        <w:rPr>
          <w:b/>
          <w:bCs/>
          <w:lang w:val="en-US"/>
        </w:rPr>
        <w:t xml:space="preserve">Do you agree that </w:t>
      </w:r>
      <w:proofErr w:type="spellStart"/>
      <w:r w:rsidRPr="00380258">
        <w:rPr>
          <w:b/>
          <w:bCs/>
          <w:lang w:val="en-US"/>
        </w:rPr>
        <w:t>securitisation</w:t>
      </w:r>
      <w:proofErr w:type="spellEnd"/>
      <w:r w:rsidRPr="00380258">
        <w:rPr>
          <w:b/>
          <w:bCs/>
          <w:lang w:val="en-US"/>
        </w:rPr>
        <w:t xml:space="preserve"> entails a higher structural model risk compared to other financial assets (loans, leases, mortgages) due to, for example, the inherent </w:t>
      </w:r>
      <w:proofErr w:type="spellStart"/>
      <w:r w:rsidRPr="00380258">
        <w:rPr>
          <w:b/>
          <w:bCs/>
          <w:lang w:val="en-US"/>
        </w:rPr>
        <w:t>tranching</w:t>
      </w:r>
      <w:proofErr w:type="spellEnd"/>
      <w:r w:rsidRPr="00380258">
        <w:rPr>
          <w:b/>
          <w:bCs/>
          <w:lang w:val="en-US"/>
        </w:rPr>
        <w:t xml:space="preserve">? </w:t>
      </w:r>
      <w:r>
        <w:rPr>
          <w:b/>
          <w:bCs/>
          <w:lang w:val="en-US"/>
        </w:rPr>
        <w:t xml:space="preserve"> </w:t>
      </w:r>
      <w:r w:rsidRPr="00380258">
        <w:rPr>
          <w:b/>
          <w:bCs/>
          <w:lang w:val="en-US"/>
        </w:rPr>
        <w:t>Please explain your answer.</w:t>
      </w:r>
    </w:p>
    <w:p w14:paraId="301FAFC2" w14:textId="77777777" w:rsidR="009D6E95" w:rsidRDefault="009D6E95" w:rsidP="009D6E95">
      <w:pPr>
        <w:spacing w:after="0"/>
        <w:jc w:val="both"/>
        <w:rPr>
          <w:lang w:val="en-US"/>
        </w:rPr>
      </w:pPr>
    </w:p>
    <w:p w14:paraId="4AA66A69" w14:textId="77777777" w:rsidR="009D6E95" w:rsidRPr="0014386A" w:rsidRDefault="009D6E95" w:rsidP="009D6E95">
      <w:pPr>
        <w:jc w:val="both"/>
        <w:rPr>
          <w:b/>
        </w:rPr>
      </w:pPr>
      <w:r w:rsidRPr="008D0D82">
        <w:rPr>
          <w:b/>
          <w:bCs/>
          <w:lang w:val="en-US"/>
        </w:rPr>
        <w:t>Response:</w:t>
      </w:r>
    </w:p>
    <w:p w14:paraId="6D4D1C2D" w14:textId="77777777" w:rsidR="009D6E95" w:rsidRDefault="009D6E95" w:rsidP="009D6E95">
      <w:pPr>
        <w:pStyle w:val="BodyText"/>
        <w:jc w:val="both"/>
        <w:rPr>
          <w:rFonts w:ascii="Arial" w:eastAsia="Times New Roman" w:hAnsi="Arial" w:cs="Arial"/>
          <w:color w:val="202020" w:themeColor="text1"/>
        </w:rPr>
      </w:pPr>
      <w:r w:rsidRPr="001130E8">
        <w:rPr>
          <w:rFonts w:ascii="Arial" w:eastAsia="Times New Roman" w:hAnsi="Arial" w:cs="Arial"/>
          <w:color w:val="202020" w:themeColor="text1"/>
        </w:rPr>
        <w:t>No</w:t>
      </w:r>
      <w:r>
        <w:rPr>
          <w:rFonts w:ascii="Arial" w:eastAsia="Times New Roman" w:hAnsi="Arial" w:cs="Arial"/>
          <w:color w:val="202020" w:themeColor="text1"/>
        </w:rPr>
        <w:t>.</w:t>
      </w:r>
    </w:p>
    <w:p w14:paraId="423EE8FA" w14:textId="77777777" w:rsidR="009D6E95" w:rsidRDefault="009D6E95" w:rsidP="009D6E95">
      <w:pPr>
        <w:pStyle w:val="BodyText"/>
        <w:jc w:val="both"/>
        <w:rPr>
          <w:rFonts w:ascii="Arial" w:eastAsia="Times New Roman" w:hAnsi="Arial" w:cs="Arial"/>
          <w:color w:val="202020" w:themeColor="text1"/>
        </w:rPr>
      </w:pPr>
      <w:proofErr w:type="spellStart"/>
      <w:r>
        <w:rPr>
          <w:rFonts w:ascii="Arial" w:eastAsia="Times New Roman" w:hAnsi="Arial" w:cs="Arial"/>
          <w:color w:val="202020" w:themeColor="text1"/>
        </w:rPr>
        <w:t>S</w:t>
      </w:r>
      <w:r w:rsidRPr="001130E8">
        <w:rPr>
          <w:rFonts w:ascii="Arial" w:eastAsia="Times New Roman" w:hAnsi="Arial" w:cs="Arial"/>
          <w:color w:val="202020" w:themeColor="text1"/>
        </w:rPr>
        <w:t>ecuriti</w:t>
      </w:r>
      <w:r>
        <w:rPr>
          <w:rFonts w:ascii="Arial" w:eastAsia="Times New Roman" w:hAnsi="Arial" w:cs="Arial"/>
          <w:color w:val="202020" w:themeColor="text1"/>
        </w:rPr>
        <w:t>s</w:t>
      </w:r>
      <w:r w:rsidRPr="001130E8">
        <w:rPr>
          <w:rFonts w:ascii="Arial" w:eastAsia="Times New Roman" w:hAnsi="Arial" w:cs="Arial"/>
          <w:color w:val="202020" w:themeColor="text1"/>
        </w:rPr>
        <w:t>ation</w:t>
      </w:r>
      <w:proofErr w:type="spellEnd"/>
      <w:r w:rsidRPr="001130E8">
        <w:rPr>
          <w:rFonts w:ascii="Arial" w:eastAsia="Times New Roman" w:hAnsi="Arial" w:cs="Arial"/>
          <w:color w:val="202020" w:themeColor="text1"/>
        </w:rPr>
        <w:t xml:space="preserve"> add</w:t>
      </w:r>
      <w:r>
        <w:rPr>
          <w:rFonts w:ascii="Arial" w:eastAsia="Times New Roman" w:hAnsi="Arial" w:cs="Arial"/>
          <w:color w:val="202020" w:themeColor="text1"/>
        </w:rPr>
        <w:t>s</w:t>
      </w:r>
      <w:r w:rsidRPr="001130E8">
        <w:rPr>
          <w:rFonts w:ascii="Arial" w:eastAsia="Times New Roman" w:hAnsi="Arial" w:cs="Arial"/>
          <w:color w:val="202020" w:themeColor="text1"/>
        </w:rPr>
        <w:t xml:space="preserve"> a structural </w:t>
      </w:r>
      <w:r>
        <w:rPr>
          <w:rFonts w:ascii="Arial" w:eastAsia="Times New Roman" w:hAnsi="Arial" w:cs="Arial"/>
          <w:color w:val="202020" w:themeColor="text1"/>
        </w:rPr>
        <w:t xml:space="preserve">layer to </w:t>
      </w:r>
      <w:r w:rsidRPr="001130E8">
        <w:rPr>
          <w:rFonts w:ascii="Arial" w:eastAsia="Times New Roman" w:hAnsi="Arial" w:cs="Arial"/>
          <w:color w:val="202020" w:themeColor="text1"/>
        </w:rPr>
        <w:t xml:space="preserve">a direct investment. </w:t>
      </w:r>
      <w:r>
        <w:rPr>
          <w:rFonts w:ascii="Arial" w:eastAsia="Times New Roman" w:hAnsi="Arial" w:cs="Arial"/>
          <w:color w:val="202020" w:themeColor="text1"/>
        </w:rPr>
        <w:t xml:space="preserve"> </w:t>
      </w:r>
      <w:r w:rsidRPr="001130E8">
        <w:rPr>
          <w:rFonts w:ascii="Arial" w:eastAsia="Times New Roman" w:hAnsi="Arial" w:cs="Arial"/>
          <w:color w:val="202020" w:themeColor="text1"/>
        </w:rPr>
        <w:t>However, this is true for other asset backed transaction</w:t>
      </w:r>
      <w:r>
        <w:rPr>
          <w:rFonts w:ascii="Arial" w:eastAsia="Times New Roman" w:hAnsi="Arial" w:cs="Arial"/>
          <w:color w:val="202020" w:themeColor="text1"/>
        </w:rPr>
        <w:t>s</w:t>
      </w:r>
      <w:r w:rsidRPr="001130E8">
        <w:rPr>
          <w:rFonts w:ascii="Arial" w:eastAsia="Times New Roman" w:hAnsi="Arial" w:cs="Arial"/>
          <w:color w:val="202020" w:themeColor="text1"/>
        </w:rPr>
        <w:t xml:space="preserve"> like covered bonds or infrastructure debt (e.g. project financing)</w:t>
      </w:r>
      <w:r>
        <w:rPr>
          <w:rFonts w:ascii="Arial" w:eastAsia="Times New Roman" w:hAnsi="Arial" w:cs="Arial"/>
          <w:color w:val="202020" w:themeColor="text1"/>
        </w:rPr>
        <w:t xml:space="preserve"> as well</w:t>
      </w:r>
      <w:r w:rsidRPr="001130E8">
        <w:rPr>
          <w:rFonts w:ascii="Arial" w:eastAsia="Times New Roman" w:hAnsi="Arial" w:cs="Arial"/>
          <w:color w:val="202020" w:themeColor="text1"/>
        </w:rPr>
        <w:t>.</w:t>
      </w:r>
      <w:r>
        <w:rPr>
          <w:rFonts w:ascii="Arial" w:eastAsia="Times New Roman" w:hAnsi="Arial" w:cs="Arial"/>
          <w:color w:val="202020" w:themeColor="text1"/>
        </w:rPr>
        <w:t xml:space="preserve"> </w:t>
      </w:r>
      <w:r w:rsidRPr="001130E8">
        <w:rPr>
          <w:rFonts w:ascii="Arial" w:eastAsia="Times New Roman" w:hAnsi="Arial" w:cs="Arial"/>
          <w:color w:val="202020" w:themeColor="text1"/>
        </w:rPr>
        <w:t xml:space="preserve"> The senior tranche of a </w:t>
      </w:r>
      <w:proofErr w:type="spellStart"/>
      <w:r w:rsidRPr="001130E8">
        <w:rPr>
          <w:rFonts w:ascii="Arial" w:eastAsia="Times New Roman" w:hAnsi="Arial" w:cs="Arial"/>
          <w:color w:val="202020" w:themeColor="text1"/>
        </w:rPr>
        <w:t>securitisation</w:t>
      </w:r>
      <w:proofErr w:type="spellEnd"/>
      <w:r w:rsidRPr="001130E8">
        <w:rPr>
          <w:rFonts w:ascii="Arial" w:eastAsia="Times New Roman" w:hAnsi="Arial" w:cs="Arial"/>
          <w:color w:val="202020" w:themeColor="text1"/>
        </w:rPr>
        <w:t xml:space="preserve"> is not dissimilar to a covered bond</w:t>
      </w:r>
      <w:r>
        <w:rPr>
          <w:rFonts w:ascii="Arial" w:eastAsia="Times New Roman" w:hAnsi="Arial" w:cs="Arial"/>
          <w:color w:val="202020" w:themeColor="text1"/>
        </w:rPr>
        <w:t xml:space="preserve"> - </w:t>
      </w:r>
      <w:r w:rsidRPr="001130E8">
        <w:rPr>
          <w:rFonts w:ascii="Arial" w:eastAsia="Times New Roman" w:hAnsi="Arial" w:cs="Arial"/>
          <w:color w:val="202020" w:themeColor="text1"/>
        </w:rPr>
        <w:t xml:space="preserve">while the </w:t>
      </w:r>
      <w:proofErr w:type="spellStart"/>
      <w:r w:rsidRPr="001130E8">
        <w:rPr>
          <w:rFonts w:ascii="Arial" w:eastAsia="Times New Roman" w:hAnsi="Arial" w:cs="Arial"/>
          <w:color w:val="202020" w:themeColor="text1"/>
        </w:rPr>
        <w:t>securitisation</w:t>
      </w:r>
      <w:proofErr w:type="spellEnd"/>
      <w:r w:rsidRPr="001130E8">
        <w:rPr>
          <w:rFonts w:ascii="Arial" w:eastAsia="Times New Roman" w:hAnsi="Arial" w:cs="Arial"/>
          <w:color w:val="202020" w:themeColor="text1"/>
        </w:rPr>
        <w:t xml:space="preserve"> benefits from credit enhancement in the form of contractually subordinated capital at risk</w:t>
      </w:r>
      <w:r>
        <w:rPr>
          <w:rFonts w:ascii="Arial" w:eastAsia="Times New Roman" w:hAnsi="Arial" w:cs="Arial"/>
          <w:color w:val="202020" w:themeColor="text1"/>
        </w:rPr>
        <w:t>,</w:t>
      </w:r>
      <w:r w:rsidRPr="001130E8">
        <w:rPr>
          <w:rFonts w:ascii="Arial" w:eastAsia="Times New Roman" w:hAnsi="Arial" w:cs="Arial"/>
          <w:color w:val="202020" w:themeColor="text1"/>
        </w:rPr>
        <w:t xml:space="preserve"> for covered bond</w:t>
      </w:r>
      <w:r>
        <w:rPr>
          <w:rFonts w:ascii="Arial" w:eastAsia="Times New Roman" w:hAnsi="Arial" w:cs="Arial"/>
          <w:color w:val="202020" w:themeColor="text1"/>
        </w:rPr>
        <w:t>s</w:t>
      </w:r>
      <w:r w:rsidRPr="001130E8">
        <w:rPr>
          <w:rFonts w:ascii="Arial" w:eastAsia="Times New Roman" w:hAnsi="Arial" w:cs="Arial"/>
          <w:color w:val="202020" w:themeColor="text1"/>
        </w:rPr>
        <w:t xml:space="preserve"> the reduction in risk relative to a direct investment in the underlying assets flows from overcollateralization and recourse to </w:t>
      </w:r>
      <w:r>
        <w:rPr>
          <w:rFonts w:ascii="Arial" w:eastAsia="Times New Roman" w:hAnsi="Arial" w:cs="Arial"/>
          <w:color w:val="202020" w:themeColor="text1"/>
        </w:rPr>
        <w:t>the issuer.</w:t>
      </w:r>
      <w:r w:rsidRPr="009910B5">
        <w:rPr>
          <w:rFonts w:ascii="Arial" w:eastAsia="Times New Roman" w:hAnsi="Arial" w:cs="Arial"/>
          <w:color w:val="202020" w:themeColor="text1"/>
        </w:rPr>
        <w:t xml:space="preserve"> </w:t>
      </w:r>
      <w:r>
        <w:rPr>
          <w:rFonts w:ascii="Arial" w:eastAsia="Times New Roman" w:hAnsi="Arial" w:cs="Arial"/>
          <w:color w:val="202020" w:themeColor="text1"/>
        </w:rPr>
        <w:t xml:space="preserve">For project finance, the reduction in risk relative to a direct investment is achieved a cashflow waterfall (as with </w:t>
      </w:r>
      <w:proofErr w:type="spellStart"/>
      <w:r>
        <w:rPr>
          <w:rFonts w:ascii="Arial" w:eastAsia="Times New Roman" w:hAnsi="Arial" w:cs="Arial"/>
          <w:color w:val="202020" w:themeColor="text1"/>
        </w:rPr>
        <w:t>securitisations</w:t>
      </w:r>
      <w:proofErr w:type="spellEnd"/>
      <w:r>
        <w:rPr>
          <w:rFonts w:ascii="Arial" w:eastAsia="Times New Roman" w:hAnsi="Arial" w:cs="Arial"/>
          <w:color w:val="202020" w:themeColor="text1"/>
        </w:rPr>
        <w:t xml:space="preserve">) and </w:t>
      </w:r>
      <w:r w:rsidRPr="001130E8">
        <w:rPr>
          <w:rFonts w:ascii="Arial" w:eastAsia="Times New Roman" w:hAnsi="Arial" w:cs="Arial"/>
          <w:color w:val="202020" w:themeColor="text1"/>
        </w:rPr>
        <w:t>robust debt service coverage</w:t>
      </w:r>
      <w:r>
        <w:rPr>
          <w:rFonts w:ascii="Arial" w:eastAsia="Times New Roman" w:hAnsi="Arial" w:cs="Arial"/>
          <w:color w:val="202020" w:themeColor="text1"/>
        </w:rPr>
        <w:t>.</w:t>
      </w:r>
    </w:p>
    <w:p w14:paraId="027C97C4" w14:textId="77777777" w:rsidR="009D6E95" w:rsidRDefault="009D6E95" w:rsidP="009D6E95">
      <w:pPr>
        <w:pStyle w:val="BodyText"/>
        <w:jc w:val="both"/>
        <w:rPr>
          <w:rFonts w:ascii="Arial" w:eastAsia="Times New Roman" w:hAnsi="Arial" w:cs="Arial"/>
          <w:color w:val="202020" w:themeColor="text1"/>
          <w:lang w:val="en-GB"/>
        </w:rPr>
      </w:pPr>
      <w:r w:rsidRPr="001130E8">
        <w:rPr>
          <w:rFonts w:ascii="Arial" w:eastAsia="Times New Roman" w:hAnsi="Arial" w:cs="Arial"/>
          <w:color w:val="202020" w:themeColor="text1"/>
        </w:rPr>
        <w:t xml:space="preserve">In </w:t>
      </w:r>
      <w:proofErr w:type="spellStart"/>
      <w:r w:rsidRPr="001130E8">
        <w:rPr>
          <w:rFonts w:ascii="Arial" w:eastAsia="Times New Roman" w:hAnsi="Arial" w:cs="Arial"/>
          <w:color w:val="202020" w:themeColor="text1"/>
        </w:rPr>
        <w:t>securitisation</w:t>
      </w:r>
      <w:proofErr w:type="spellEnd"/>
      <w:r w:rsidRPr="001130E8">
        <w:rPr>
          <w:rFonts w:ascii="Arial" w:eastAsia="Times New Roman" w:hAnsi="Arial" w:cs="Arial"/>
          <w:color w:val="202020" w:themeColor="text1"/>
        </w:rPr>
        <w:t xml:space="preserve"> and project financing, the impact of the waterfall used to allocate asset cashflows to investors needs to be </w:t>
      </w:r>
      <w:r w:rsidRPr="6B04654A">
        <w:rPr>
          <w:rFonts w:ascii="Arial" w:eastAsia="Times New Roman" w:hAnsi="Arial" w:cs="Arial"/>
          <w:color w:val="202020" w:themeColor="text1"/>
          <w:lang w:val="en-GB"/>
        </w:rPr>
        <w:t>analysed</w:t>
      </w:r>
      <w:r w:rsidRPr="001130E8">
        <w:rPr>
          <w:rFonts w:ascii="Arial" w:eastAsia="Times New Roman" w:hAnsi="Arial" w:cs="Arial"/>
          <w:color w:val="202020" w:themeColor="text1"/>
        </w:rPr>
        <w:t xml:space="preserve"> by investors.</w:t>
      </w:r>
    </w:p>
    <w:p w14:paraId="00D6DE9F" w14:textId="77777777" w:rsidR="009D6E95" w:rsidRDefault="009D6E95" w:rsidP="009D6E95">
      <w:pPr>
        <w:pStyle w:val="BodyText"/>
        <w:jc w:val="both"/>
        <w:rPr>
          <w:rFonts w:ascii="Arial" w:eastAsia="Times New Roman" w:hAnsi="Arial" w:cs="Arial"/>
          <w:color w:val="202020" w:themeColor="text1"/>
          <w:lang w:val="en-GB"/>
        </w:rPr>
      </w:pPr>
      <w:r w:rsidRPr="001130E8">
        <w:rPr>
          <w:rFonts w:ascii="Arial" w:eastAsia="Times New Roman" w:hAnsi="Arial" w:cs="Arial"/>
          <w:color w:val="202020" w:themeColor="text1"/>
          <w:lang w:val="en-GB"/>
        </w:rPr>
        <w:t>In a covered bond, both the double default risk, including potential correlation between covered bond issuer and collateral assets, and the over-collateralization need to be assessed in order to understand the risk.</w:t>
      </w:r>
      <w:r w:rsidRPr="6B04654A">
        <w:rPr>
          <w:rFonts w:ascii="Arial" w:eastAsia="Times New Roman" w:hAnsi="Arial" w:cs="Arial"/>
          <w:color w:val="202020" w:themeColor="text1"/>
          <w:lang w:val="en-GB"/>
        </w:rPr>
        <w:t xml:space="preserve"> </w:t>
      </w:r>
      <w:r>
        <w:rPr>
          <w:rFonts w:ascii="Arial" w:eastAsia="Times New Roman" w:hAnsi="Arial" w:cs="Arial"/>
          <w:color w:val="202020" w:themeColor="text1"/>
          <w:lang w:val="en-GB"/>
        </w:rPr>
        <w:t>While covered</w:t>
      </w:r>
      <w:r w:rsidRPr="001130E8">
        <w:rPr>
          <w:rFonts w:ascii="Arial" w:eastAsia="Times New Roman" w:hAnsi="Arial" w:cs="Arial"/>
          <w:color w:val="202020" w:themeColor="text1"/>
          <w:lang w:val="en-GB"/>
        </w:rPr>
        <w:t xml:space="preserve"> bonds as an asset </w:t>
      </w:r>
      <w:r>
        <w:rPr>
          <w:rFonts w:ascii="Arial" w:eastAsia="Times New Roman" w:hAnsi="Arial" w:cs="Arial"/>
          <w:color w:val="202020" w:themeColor="text1"/>
          <w:lang w:val="en-GB"/>
        </w:rPr>
        <w:t>have regulatory disclosure requirements, there are proportional and are not further specified in the context of due diligence.</w:t>
      </w:r>
    </w:p>
    <w:p w14:paraId="4E2737E1" w14:textId="77777777" w:rsidR="009D6E95" w:rsidRDefault="009D6E95" w:rsidP="009D6E95">
      <w:pPr>
        <w:pStyle w:val="BodyText"/>
        <w:jc w:val="both"/>
        <w:rPr>
          <w:rFonts w:ascii="Arial" w:eastAsia="Times New Roman" w:hAnsi="Arial" w:cs="Arial"/>
          <w:color w:val="202020" w:themeColor="text1"/>
          <w:lang w:val="en-GB"/>
        </w:rPr>
      </w:pPr>
      <w:r w:rsidRPr="001130E8">
        <w:rPr>
          <w:rFonts w:ascii="Arial" w:eastAsia="Times New Roman" w:hAnsi="Arial" w:cs="Arial"/>
          <w:color w:val="202020" w:themeColor="text1"/>
          <w:lang w:val="en-GB"/>
        </w:rPr>
        <w:t xml:space="preserve">In </w:t>
      </w:r>
      <w:r w:rsidRPr="6B04654A">
        <w:rPr>
          <w:rFonts w:ascii="Arial" w:eastAsia="Times New Roman" w:hAnsi="Arial" w:cs="Arial"/>
          <w:color w:val="202020" w:themeColor="text1"/>
          <w:lang w:val="en-GB"/>
        </w:rPr>
        <w:t>general,</w:t>
      </w:r>
      <w:r w:rsidRPr="001130E8">
        <w:rPr>
          <w:rFonts w:ascii="Arial" w:eastAsia="Times New Roman" w:hAnsi="Arial" w:cs="Arial"/>
          <w:color w:val="202020" w:themeColor="text1"/>
          <w:lang w:val="en-GB"/>
        </w:rPr>
        <w:t xml:space="preserve"> the structural layer rather protects investors due to structural enhancement</w:t>
      </w:r>
      <w:r w:rsidRPr="6B04654A">
        <w:rPr>
          <w:rFonts w:ascii="Arial" w:eastAsia="Times New Roman" w:hAnsi="Arial" w:cs="Arial"/>
          <w:color w:val="202020" w:themeColor="text1"/>
          <w:lang w:val="en-GB"/>
        </w:rPr>
        <w:t>,</w:t>
      </w:r>
      <w:r w:rsidRPr="001130E8">
        <w:rPr>
          <w:rFonts w:ascii="Arial" w:eastAsia="Times New Roman" w:hAnsi="Arial" w:cs="Arial"/>
          <w:color w:val="202020" w:themeColor="text1"/>
          <w:lang w:val="en-GB"/>
        </w:rPr>
        <w:t xml:space="preserve"> eligibility criteria and further covenants regarding the underlying</w:t>
      </w:r>
      <w:r w:rsidRPr="6B04654A">
        <w:rPr>
          <w:rFonts w:ascii="Arial" w:eastAsia="Times New Roman" w:hAnsi="Arial" w:cs="Arial"/>
          <w:color w:val="202020" w:themeColor="text1"/>
          <w:lang w:val="en-GB"/>
        </w:rPr>
        <w:t xml:space="preserve"> asset class</w:t>
      </w:r>
      <w:r w:rsidRPr="001130E8">
        <w:rPr>
          <w:rFonts w:ascii="Arial" w:eastAsia="Times New Roman" w:hAnsi="Arial" w:cs="Arial"/>
          <w:color w:val="202020" w:themeColor="text1"/>
          <w:lang w:val="en-GB"/>
        </w:rPr>
        <w:t>.</w:t>
      </w:r>
      <w:r w:rsidRPr="6B04654A">
        <w:rPr>
          <w:rFonts w:ascii="Arial" w:eastAsia="Times New Roman" w:hAnsi="Arial" w:cs="Arial"/>
          <w:color w:val="202020" w:themeColor="text1"/>
          <w:lang w:val="en-GB"/>
        </w:rPr>
        <w:t xml:space="preserve">  </w:t>
      </w:r>
      <w:r w:rsidRPr="001130E8">
        <w:rPr>
          <w:rFonts w:ascii="Arial" w:eastAsia="Times New Roman" w:hAnsi="Arial" w:cs="Arial"/>
          <w:color w:val="202020" w:themeColor="text1"/>
          <w:lang w:val="en-GB"/>
        </w:rPr>
        <w:t>In addition, exposure to systemic risk present for mezz tranches in securitisation is also present for certain corporate loans depending on the corporate</w:t>
      </w:r>
      <w:r w:rsidRPr="6B04654A">
        <w:rPr>
          <w:rFonts w:ascii="Arial" w:eastAsia="Times New Roman" w:hAnsi="Arial" w:cs="Arial"/>
          <w:color w:val="202020" w:themeColor="text1"/>
          <w:lang w:val="en-GB"/>
        </w:rPr>
        <w:t>,</w:t>
      </w:r>
      <w:r w:rsidRPr="001130E8">
        <w:rPr>
          <w:rFonts w:ascii="Arial" w:eastAsia="Times New Roman" w:hAnsi="Arial" w:cs="Arial"/>
          <w:color w:val="202020" w:themeColor="text1"/>
          <w:lang w:val="en-GB"/>
        </w:rPr>
        <w:t xml:space="preserve"> refinancing structure and mezz tranches </w:t>
      </w:r>
      <w:r w:rsidRPr="6B04654A">
        <w:rPr>
          <w:rFonts w:ascii="Arial" w:eastAsia="Times New Roman" w:hAnsi="Arial" w:cs="Arial"/>
          <w:color w:val="202020" w:themeColor="text1"/>
          <w:lang w:val="en-GB"/>
        </w:rPr>
        <w:t xml:space="preserve">for, e.g. </w:t>
      </w:r>
      <w:r w:rsidRPr="001130E8">
        <w:rPr>
          <w:rFonts w:ascii="Arial" w:eastAsia="Times New Roman" w:hAnsi="Arial" w:cs="Arial"/>
          <w:color w:val="202020" w:themeColor="text1"/>
          <w:lang w:val="en-GB"/>
        </w:rPr>
        <w:t>project financings.</w:t>
      </w:r>
    </w:p>
    <w:p w14:paraId="51979377" w14:textId="77777777" w:rsidR="009D6E95" w:rsidRDefault="009D6E95" w:rsidP="009D6E95">
      <w:pPr>
        <w:pStyle w:val="BodyText"/>
        <w:jc w:val="both"/>
        <w:rPr>
          <w:rFonts w:ascii="Arial" w:eastAsia="Times New Roman" w:hAnsi="Arial" w:cs="Arial"/>
          <w:color w:val="202020" w:themeColor="text1"/>
        </w:rPr>
      </w:pPr>
    </w:p>
    <w:p w14:paraId="3F011612" w14:textId="77777777" w:rsidR="009D6E95" w:rsidRPr="002A6B7F" w:rsidRDefault="009D6E95" w:rsidP="009D6E95">
      <w:pPr>
        <w:pStyle w:val="BodyText"/>
        <w:jc w:val="both"/>
      </w:pPr>
    </w:p>
    <w:p w14:paraId="27B88236" w14:textId="77777777" w:rsidR="009D6E95" w:rsidRPr="008D0D82" w:rsidRDefault="009D6E95" w:rsidP="009D6E95">
      <w:pPr>
        <w:spacing w:after="0"/>
        <w:jc w:val="both"/>
        <w:rPr>
          <w:b/>
          <w:bCs/>
          <w:lang w:val="en-US"/>
        </w:rPr>
      </w:pPr>
      <w:r>
        <w:rPr>
          <w:b/>
          <w:bCs/>
          <w:lang w:val="en-US"/>
        </w:rPr>
        <w:t>9.20</w:t>
      </w:r>
      <w:r w:rsidRPr="00D316A2">
        <w:rPr>
          <w:b/>
          <w:bCs/>
          <w:lang w:val="en-US"/>
        </w:rPr>
        <w:t>.</w:t>
      </w:r>
      <w:r w:rsidRPr="00D316A2">
        <w:rPr>
          <w:b/>
          <w:bCs/>
          <w:lang w:val="en-US"/>
        </w:rPr>
        <w:tab/>
      </w:r>
      <w:r w:rsidRPr="00EB60E8">
        <w:rPr>
          <w:b/>
          <w:bCs/>
          <w:lang w:val="en-US"/>
        </w:rPr>
        <w:t xml:space="preserve">Do you consider that the current levels of the (p) factor adequately address structural risks embedded in </w:t>
      </w:r>
      <w:proofErr w:type="spellStart"/>
      <w:r w:rsidRPr="00EB60E8">
        <w:rPr>
          <w:b/>
          <w:bCs/>
          <w:lang w:val="en-US"/>
        </w:rPr>
        <w:t>securitisation</w:t>
      </w:r>
      <w:proofErr w:type="spellEnd"/>
      <w:r w:rsidRPr="00EB60E8">
        <w:rPr>
          <w:b/>
          <w:bCs/>
          <w:lang w:val="en-US"/>
        </w:rPr>
        <w:t>, such as model risk, agency risk and to some extent correlation, as well as the cliff effects?</w:t>
      </w:r>
    </w:p>
    <w:p w14:paraId="6C682B01" w14:textId="77777777" w:rsidR="009D6E95" w:rsidRDefault="009D6E95" w:rsidP="009D6E95">
      <w:pPr>
        <w:spacing w:after="0"/>
        <w:jc w:val="both"/>
        <w:rPr>
          <w:b/>
          <w:bCs/>
          <w:lang w:val="en-US"/>
        </w:rPr>
      </w:pPr>
    </w:p>
    <w:p w14:paraId="7346B9F3" w14:textId="77777777" w:rsidR="009D6E95" w:rsidRDefault="009D6E95" w:rsidP="009D6E95">
      <w:pPr>
        <w:spacing w:after="0"/>
        <w:jc w:val="both"/>
        <w:rPr>
          <w:b/>
          <w:bCs/>
          <w:lang w:val="en-US"/>
        </w:rPr>
      </w:pPr>
      <w:r w:rsidRPr="008D0D82">
        <w:rPr>
          <w:b/>
          <w:bCs/>
          <w:lang w:val="en-US"/>
        </w:rPr>
        <w:t>Response:</w:t>
      </w:r>
    </w:p>
    <w:p w14:paraId="7B589164" w14:textId="77777777" w:rsidR="009D6E95" w:rsidRDefault="009D6E95" w:rsidP="009D6E95">
      <w:pPr>
        <w:spacing w:after="0"/>
        <w:jc w:val="both"/>
        <w:rPr>
          <w:b/>
          <w:bCs/>
          <w:lang w:val="en-US"/>
        </w:rPr>
      </w:pPr>
    </w:p>
    <w:p w14:paraId="0FCE9BBF" w14:textId="77777777" w:rsidR="009D6E95" w:rsidRDefault="009D6E95" w:rsidP="009D6E95">
      <w:pPr>
        <w:spacing w:after="0"/>
        <w:jc w:val="both"/>
        <w:rPr>
          <w:lang w:val="en-US"/>
        </w:rPr>
      </w:pPr>
      <w:r w:rsidRPr="001130E8">
        <w:rPr>
          <w:lang w:val="en-US"/>
        </w:rPr>
        <w:t>No</w:t>
      </w:r>
    </w:p>
    <w:p w14:paraId="0439AFF4" w14:textId="77777777" w:rsidR="009D6E95" w:rsidRDefault="009D6E95" w:rsidP="009D6E95">
      <w:pPr>
        <w:spacing w:after="0"/>
        <w:jc w:val="both"/>
        <w:rPr>
          <w:lang w:val="en-US"/>
        </w:rPr>
      </w:pPr>
    </w:p>
    <w:p w14:paraId="341FD4A5" w14:textId="77777777" w:rsidR="009D6E95" w:rsidRDefault="009D6E95" w:rsidP="009D6E95">
      <w:pPr>
        <w:spacing w:after="0"/>
        <w:jc w:val="both"/>
        <w:rPr>
          <w:lang w:val="en-US"/>
        </w:rPr>
      </w:pPr>
    </w:p>
    <w:p w14:paraId="442D8FD7" w14:textId="77777777" w:rsidR="009D6E95" w:rsidRPr="00491E35" w:rsidRDefault="009D6E95" w:rsidP="009D6E95">
      <w:pPr>
        <w:spacing w:after="0"/>
        <w:jc w:val="both"/>
        <w:rPr>
          <w:b/>
          <w:bCs/>
          <w:lang w:val="en-US"/>
        </w:rPr>
      </w:pPr>
      <w:r>
        <w:rPr>
          <w:b/>
          <w:bCs/>
          <w:lang w:val="en-US"/>
        </w:rPr>
        <w:lastRenderedPageBreak/>
        <w:t>9.21.</w:t>
      </w:r>
      <w:r>
        <w:rPr>
          <w:b/>
          <w:bCs/>
          <w:lang w:val="en-US"/>
        </w:rPr>
        <w:tab/>
      </w:r>
      <w:r w:rsidRPr="001130E8">
        <w:rPr>
          <w:b/>
          <w:bCs/>
          <w:lang w:val="en-US"/>
        </w:rPr>
        <w:t xml:space="preserve">If you answered no to question 9.20., please provide the justification, and provide quantitative and qualitative data, for whether and how the (p) factor overestimates the risks and inappropriately mitigates the cliff-effects, for specific types of </w:t>
      </w:r>
      <w:proofErr w:type="spellStart"/>
      <w:r w:rsidRPr="001130E8">
        <w:rPr>
          <w:b/>
          <w:bCs/>
          <w:lang w:val="en-US"/>
        </w:rPr>
        <w:t>securitisation</w:t>
      </w:r>
      <w:proofErr w:type="spellEnd"/>
      <w:r w:rsidRPr="001130E8">
        <w:rPr>
          <w:b/>
          <w:bCs/>
          <w:lang w:val="en-US"/>
        </w:rPr>
        <w:t xml:space="preserve"> exposures</w:t>
      </w:r>
    </w:p>
    <w:p w14:paraId="22F3F30A" w14:textId="77777777" w:rsidR="009D6E95" w:rsidRDefault="009D6E95" w:rsidP="009D6E95">
      <w:pPr>
        <w:jc w:val="both"/>
        <w:rPr>
          <w:b/>
          <w:bCs/>
          <w:lang w:val="en-US"/>
        </w:rPr>
      </w:pPr>
    </w:p>
    <w:p w14:paraId="03BF8880" w14:textId="77777777" w:rsidR="009D6E95" w:rsidRPr="00823A9E" w:rsidRDefault="009D6E95" w:rsidP="009D6E95">
      <w:pPr>
        <w:jc w:val="both"/>
        <w:rPr>
          <w:b/>
          <w:bCs/>
          <w:lang w:val="en-US"/>
        </w:rPr>
      </w:pPr>
      <w:r w:rsidRPr="008D0D82">
        <w:rPr>
          <w:b/>
          <w:bCs/>
          <w:lang w:val="en-US"/>
        </w:rPr>
        <w:t>Response:</w:t>
      </w:r>
    </w:p>
    <w:p w14:paraId="65E43D03" w14:textId="77777777" w:rsidR="009D6E95" w:rsidRDefault="009D6E95" w:rsidP="009D6E95">
      <w:pPr>
        <w:spacing w:after="0"/>
        <w:rPr>
          <w:lang w:val="en-US"/>
        </w:rPr>
      </w:pPr>
    </w:p>
    <w:p w14:paraId="000583DF" w14:textId="77777777" w:rsidR="009D6E95" w:rsidRPr="00BF6163" w:rsidRDefault="009D6E95" w:rsidP="009D6E95">
      <w:pPr>
        <w:jc w:val="both"/>
        <w:rPr>
          <w:lang w:val="en-US"/>
        </w:rPr>
      </w:pPr>
      <w:r w:rsidRPr="00BF6163">
        <w:rPr>
          <w:lang w:val="en-US"/>
        </w:rPr>
        <w:t xml:space="preserve">At Marsh McLennan, we recognize that under the SEC-SA and SEC-IRBA frameworks, the p-factor plays a crucial role in determining the level of non-neutrality. </w:t>
      </w:r>
      <w:r>
        <w:rPr>
          <w:lang w:val="en-US"/>
        </w:rPr>
        <w:t xml:space="preserve"> </w:t>
      </w:r>
      <w:r w:rsidRPr="00BF6163">
        <w:rPr>
          <w:lang w:val="en-US"/>
        </w:rPr>
        <w:t xml:space="preserve">This non-neutrality reflects the extent to which the total capital requirements for </w:t>
      </w:r>
      <w:proofErr w:type="spellStart"/>
      <w:r w:rsidRPr="00BF6163">
        <w:rPr>
          <w:lang w:val="en-US"/>
        </w:rPr>
        <w:t>securitisation</w:t>
      </w:r>
      <w:proofErr w:type="spellEnd"/>
      <w:r w:rsidRPr="00BF6163">
        <w:rPr>
          <w:lang w:val="en-US"/>
        </w:rPr>
        <w:t xml:space="preserve"> tranches surpass those for the underlying assets. </w:t>
      </w:r>
      <w:r>
        <w:rPr>
          <w:lang w:val="en-US"/>
        </w:rPr>
        <w:t xml:space="preserve"> </w:t>
      </w:r>
      <w:r w:rsidRPr="00BF6163">
        <w:rPr>
          <w:lang w:val="en-US"/>
        </w:rPr>
        <w:t xml:space="preserve">Such a discrepancy has significant economic implications, as it results in capital requirements that are not directly tied to the risk profile of the underlying assets, thereby increasing their cost of holding. </w:t>
      </w:r>
      <w:r>
        <w:rPr>
          <w:lang w:val="en-US"/>
        </w:rPr>
        <w:t xml:space="preserve"> </w:t>
      </w:r>
      <w:r w:rsidRPr="00BF6163">
        <w:rPr>
          <w:lang w:val="en-US"/>
        </w:rPr>
        <w:t xml:space="preserve">Consequently, all else being equal, this capital non-neutrality can lead to a decline in </w:t>
      </w:r>
      <w:proofErr w:type="spellStart"/>
      <w:r w:rsidRPr="00BF6163">
        <w:rPr>
          <w:lang w:val="en-US"/>
        </w:rPr>
        <w:t>securitisation</w:t>
      </w:r>
      <w:proofErr w:type="spellEnd"/>
      <w:r w:rsidRPr="00BF6163">
        <w:rPr>
          <w:lang w:val="en-US"/>
        </w:rPr>
        <w:t xml:space="preserve"> issuance.</w:t>
      </w:r>
    </w:p>
    <w:p w14:paraId="6EA0A513" w14:textId="77777777" w:rsidR="009D6E95" w:rsidRDefault="009D6E95" w:rsidP="009D6E95">
      <w:pPr>
        <w:jc w:val="both"/>
        <w:rPr>
          <w:lang w:val="en-US"/>
        </w:rPr>
      </w:pPr>
      <w:r w:rsidRPr="00BF6163">
        <w:rPr>
          <w:lang w:val="en-US"/>
        </w:rPr>
        <w:t>We believe that the p-factors utilized in the SEC-IRBA and SEC-SA risk weighting formulas, particularly the p-factor in the SEC-SA, significantly overestimate</w:t>
      </w:r>
      <w:r>
        <w:rPr>
          <w:lang w:val="en-US"/>
        </w:rPr>
        <w:t>s</w:t>
      </w:r>
      <w:r w:rsidRPr="00BF6163">
        <w:rPr>
          <w:lang w:val="en-US"/>
        </w:rPr>
        <w:t xml:space="preserve"> the risks associated with </w:t>
      </w:r>
      <w:proofErr w:type="spellStart"/>
      <w:r w:rsidRPr="00BF6163">
        <w:rPr>
          <w:lang w:val="en-US"/>
        </w:rPr>
        <w:t>securitisation</w:t>
      </w:r>
      <w:proofErr w:type="spellEnd"/>
      <w:r w:rsidRPr="00BF6163">
        <w:rPr>
          <w:lang w:val="en-US"/>
        </w:rPr>
        <w:t xml:space="preserve"> positions, leading to capital requirements that are disproportionate to the actual risks involved. </w:t>
      </w:r>
      <w:r>
        <w:rPr>
          <w:lang w:val="en-US"/>
        </w:rPr>
        <w:t xml:space="preserve"> </w:t>
      </w:r>
      <w:r w:rsidRPr="00BF6163">
        <w:rPr>
          <w:lang w:val="en-US"/>
        </w:rPr>
        <w:t>This concern also extends to the non-neutrality present in the SEC-</w:t>
      </w:r>
      <w:r>
        <w:rPr>
          <w:lang w:val="en-US"/>
        </w:rPr>
        <w:t>E</w:t>
      </w:r>
      <w:r w:rsidRPr="00BF6163">
        <w:rPr>
          <w:lang w:val="en-US"/>
        </w:rPr>
        <w:t xml:space="preserve">RBA, which, while lacking explicit p-factors, still </w:t>
      </w:r>
      <w:r>
        <w:rPr>
          <w:lang w:val="en-US"/>
        </w:rPr>
        <w:t>exhibits</w:t>
      </w:r>
      <w:r w:rsidRPr="00BF6163">
        <w:rPr>
          <w:lang w:val="en-US"/>
        </w:rPr>
        <w:t xml:space="preserve"> similar issues.</w:t>
      </w:r>
      <w:r>
        <w:rPr>
          <w:lang w:val="en-US"/>
        </w:rPr>
        <w:t xml:space="preserve">  </w:t>
      </w:r>
      <w:r w:rsidRPr="00D7239C">
        <w:rPr>
          <w:lang w:val="en-US"/>
        </w:rPr>
        <w:t>The p-factor should ideally address the adequate allocation of capital between the tranches, capital neutrality and steepness of the cliff effect which is driven by systemic risk.</w:t>
      </w:r>
    </w:p>
    <w:p w14:paraId="23E9CA68" w14:textId="77777777" w:rsidR="009D6E95" w:rsidRPr="00BF6163" w:rsidRDefault="009D6E95" w:rsidP="009D6E95">
      <w:pPr>
        <w:jc w:val="both"/>
        <w:rPr>
          <w:lang w:val="en-US"/>
        </w:rPr>
      </w:pPr>
      <w:r w:rsidRPr="00BF6163">
        <w:rPr>
          <w:lang w:val="en-US"/>
        </w:rPr>
        <w:t>Furthermore, we note that the UK’s Prudential Regulation Authority (</w:t>
      </w:r>
      <w:r w:rsidRPr="00D7239C">
        <w:rPr>
          <w:lang w:val="en-US"/>
        </w:rPr>
        <w:t>PRA</w:t>
      </w:r>
      <w:r w:rsidRPr="00BF6163">
        <w:rPr>
          <w:lang w:val="en-US"/>
        </w:rPr>
        <w:t>)</w:t>
      </w:r>
      <w:r w:rsidRPr="00D7239C">
        <w:rPr>
          <w:lang w:val="en-US"/>
        </w:rPr>
        <w:t xml:space="preserve"> is proposing an alternative calculation </w:t>
      </w:r>
      <w:r w:rsidRPr="00BF6163">
        <w:rPr>
          <w:lang w:val="en-US"/>
        </w:rPr>
        <w:t>for</w:t>
      </w:r>
      <w:r w:rsidRPr="00D7239C">
        <w:rPr>
          <w:lang w:val="en-US"/>
        </w:rPr>
        <w:t xml:space="preserve"> the SEC-SA p</w:t>
      </w:r>
      <w:r w:rsidRPr="00BF6163">
        <w:rPr>
          <w:lang w:val="en-US"/>
        </w:rPr>
        <w:t>-</w:t>
      </w:r>
      <w:r w:rsidRPr="00D7239C">
        <w:rPr>
          <w:lang w:val="en-US"/>
        </w:rPr>
        <w:t xml:space="preserve">factor, </w:t>
      </w:r>
      <w:r w:rsidRPr="00BF6163">
        <w:rPr>
          <w:lang w:val="en-US"/>
        </w:rPr>
        <w:t>which would introduce</w:t>
      </w:r>
      <w:r w:rsidRPr="00D7239C">
        <w:rPr>
          <w:lang w:val="en-US"/>
        </w:rPr>
        <w:t xml:space="preserve"> floors of 0.5 for non-STS transactions and 0.3 for STS transactions</w:t>
      </w:r>
      <w:r w:rsidRPr="00BF6163">
        <w:rPr>
          <w:lang w:val="en-US"/>
        </w:rPr>
        <w:t xml:space="preserve">. </w:t>
      </w:r>
      <w:r>
        <w:rPr>
          <w:lang w:val="en-US"/>
        </w:rPr>
        <w:t xml:space="preserve"> </w:t>
      </w:r>
      <w:r w:rsidRPr="00BF6163">
        <w:rPr>
          <w:lang w:val="en-US"/>
        </w:rPr>
        <w:t>This</w:t>
      </w:r>
      <w:r w:rsidRPr="00D7239C">
        <w:rPr>
          <w:lang w:val="en-US"/>
        </w:rPr>
        <w:t xml:space="preserve"> calculation </w:t>
      </w:r>
      <w:r w:rsidRPr="00BF6163">
        <w:rPr>
          <w:lang w:val="en-US"/>
        </w:rPr>
        <w:t>is based on</w:t>
      </w:r>
      <w:r w:rsidRPr="00D7239C">
        <w:rPr>
          <w:lang w:val="en-US"/>
        </w:rPr>
        <w:t xml:space="preserve"> a formula </w:t>
      </w:r>
      <w:r w:rsidRPr="00BF6163">
        <w:rPr>
          <w:lang w:val="en-US"/>
        </w:rPr>
        <w:t xml:space="preserve">akin </w:t>
      </w:r>
      <w:r w:rsidRPr="00D7239C">
        <w:rPr>
          <w:lang w:val="en-US"/>
        </w:rPr>
        <w:t>to that used in the SEC-IRBA</w:t>
      </w:r>
      <w:r w:rsidRPr="00BF6163">
        <w:rPr>
          <w:lang w:val="en-US"/>
        </w:rPr>
        <w:t>.  The PRA suggests that this</w:t>
      </w:r>
      <w:r w:rsidRPr="00D7239C">
        <w:rPr>
          <w:lang w:val="en-US"/>
        </w:rPr>
        <w:t xml:space="preserve"> alternative SEC-SA p-factor </w:t>
      </w:r>
      <w:r w:rsidRPr="00BF6163">
        <w:rPr>
          <w:lang w:val="en-US"/>
        </w:rPr>
        <w:t>would significantly alter the incentives</w:t>
      </w:r>
      <w:r w:rsidRPr="00D7239C">
        <w:rPr>
          <w:lang w:val="en-US"/>
        </w:rPr>
        <w:t xml:space="preserve"> for synthetic SRT of </w:t>
      </w:r>
      <w:proofErr w:type="spellStart"/>
      <w:r w:rsidRPr="00BF6163">
        <w:rPr>
          <w:lang w:val="en-US"/>
        </w:rPr>
        <w:t>standardised</w:t>
      </w:r>
      <w:proofErr w:type="spellEnd"/>
      <w:r w:rsidRPr="00BF6163">
        <w:rPr>
          <w:lang w:val="en-US"/>
        </w:rPr>
        <w:t xml:space="preserve"> approach </w:t>
      </w:r>
      <w:r w:rsidRPr="00D7239C">
        <w:rPr>
          <w:lang w:val="en-US"/>
        </w:rPr>
        <w:t>exposures compared to the current fixed p-factor of 1</w:t>
      </w:r>
      <w:r w:rsidRPr="00BF6163">
        <w:rPr>
          <w:lang w:val="en-US"/>
        </w:rPr>
        <w:t>.</w:t>
      </w:r>
    </w:p>
    <w:p w14:paraId="5B06CCD3" w14:textId="77777777" w:rsidR="009D6E95" w:rsidRDefault="009D6E95" w:rsidP="009D6E95">
      <w:pPr>
        <w:spacing w:after="0"/>
        <w:rPr>
          <w:lang w:val="en-US"/>
        </w:rPr>
      </w:pPr>
      <w:r w:rsidRPr="00D7239C">
        <w:rPr>
          <w:lang w:val="en-US"/>
        </w:rPr>
        <w:t>As a consequence, this approach will represent</w:t>
      </w:r>
      <w:r>
        <w:rPr>
          <w:lang w:val="en-US"/>
        </w:rPr>
        <w:t>,</w:t>
      </w:r>
      <w:r w:rsidRPr="00D7239C">
        <w:rPr>
          <w:lang w:val="en-US"/>
        </w:rPr>
        <w:t xml:space="preserve"> if no adjustment will be implemented in the EU</w:t>
      </w:r>
      <w:r>
        <w:rPr>
          <w:lang w:val="en-US"/>
        </w:rPr>
        <w:t>,</w:t>
      </w:r>
      <w:r w:rsidRPr="00D7239C">
        <w:rPr>
          <w:lang w:val="en-US"/>
        </w:rPr>
        <w:t xml:space="preserve"> a competitive advantage for </w:t>
      </w:r>
      <w:r>
        <w:rPr>
          <w:lang w:val="en-US"/>
        </w:rPr>
        <w:t>SA</w:t>
      </w:r>
      <w:r w:rsidRPr="00D7239C">
        <w:rPr>
          <w:lang w:val="en-US"/>
        </w:rPr>
        <w:t xml:space="preserve"> banks and portfolios in the UK relative to EU peers.</w:t>
      </w:r>
    </w:p>
    <w:p w14:paraId="2EEC9AB6" w14:textId="77777777" w:rsidR="009D6E95" w:rsidRDefault="009D6E95" w:rsidP="009D6E95">
      <w:pPr>
        <w:spacing w:after="0"/>
        <w:rPr>
          <w:lang w:val="en-US"/>
        </w:rPr>
      </w:pPr>
    </w:p>
    <w:p w14:paraId="45F80CB6" w14:textId="77777777" w:rsidR="009D6E95" w:rsidRDefault="009D6E95" w:rsidP="009D6E95">
      <w:pPr>
        <w:spacing w:after="0"/>
        <w:rPr>
          <w:lang w:val="en-US"/>
        </w:rPr>
      </w:pPr>
    </w:p>
    <w:p w14:paraId="580C7EBA" w14:textId="77777777" w:rsidR="009D6E95" w:rsidRPr="00434061" w:rsidRDefault="009D6E95" w:rsidP="009D6E95">
      <w:pPr>
        <w:spacing w:after="0"/>
        <w:jc w:val="both"/>
        <w:rPr>
          <w:b/>
          <w:bCs/>
          <w:lang w:val="en-US"/>
        </w:rPr>
      </w:pPr>
      <w:r>
        <w:rPr>
          <w:b/>
          <w:bCs/>
          <w:lang w:val="en-US"/>
        </w:rPr>
        <w:t>9.22.</w:t>
      </w:r>
      <w:r>
        <w:rPr>
          <w:b/>
          <w:bCs/>
          <w:lang w:val="en-US"/>
        </w:rPr>
        <w:tab/>
      </w:r>
      <w:r w:rsidRPr="00434061">
        <w:rPr>
          <w:b/>
          <w:bCs/>
          <w:lang w:val="en-US"/>
        </w:rPr>
        <w:t xml:space="preserve">Do you consider that potential targeted and limited reductions to the (p) factor may increase </w:t>
      </w:r>
      <w:proofErr w:type="spellStart"/>
      <w:r w:rsidRPr="00434061">
        <w:rPr>
          <w:b/>
          <w:bCs/>
          <w:lang w:val="en-US"/>
        </w:rPr>
        <w:t>securitisation</w:t>
      </w:r>
      <w:proofErr w:type="spellEnd"/>
      <w:r w:rsidRPr="00434061">
        <w:rPr>
          <w:b/>
          <w:bCs/>
          <w:lang w:val="en-US"/>
        </w:rPr>
        <w:t xml:space="preserve"> issuance and investment in the EU, while at the same time keeping the </w:t>
      </w:r>
      <w:proofErr w:type="spellStart"/>
      <w:r w:rsidRPr="00434061">
        <w:rPr>
          <w:b/>
          <w:bCs/>
          <w:lang w:val="en-US"/>
        </w:rPr>
        <w:t>capitalisation</w:t>
      </w:r>
      <w:proofErr w:type="spellEnd"/>
      <w:r w:rsidRPr="00434061">
        <w:rPr>
          <w:b/>
          <w:bCs/>
          <w:lang w:val="en-US"/>
        </w:rPr>
        <w:t xml:space="preserve"> of the </w:t>
      </w:r>
      <w:proofErr w:type="spellStart"/>
      <w:r w:rsidRPr="00434061">
        <w:rPr>
          <w:b/>
          <w:bCs/>
          <w:lang w:val="en-US"/>
        </w:rPr>
        <w:t>securitisation</w:t>
      </w:r>
      <w:proofErr w:type="spellEnd"/>
      <w:r w:rsidRPr="00434061">
        <w:rPr>
          <w:b/>
          <w:bCs/>
          <w:lang w:val="en-US"/>
        </w:rPr>
        <w:t xml:space="preserve"> tranches at a sufficiently prudent level?</w:t>
      </w:r>
    </w:p>
    <w:p w14:paraId="726692E3" w14:textId="77777777" w:rsidR="009D6E95" w:rsidRDefault="009D6E95" w:rsidP="009D6E95">
      <w:pPr>
        <w:spacing w:after="0"/>
        <w:rPr>
          <w:b/>
          <w:bCs/>
          <w:lang w:val="en-US"/>
        </w:rPr>
      </w:pPr>
    </w:p>
    <w:p w14:paraId="641E0F31" w14:textId="77777777" w:rsidR="009D6E95" w:rsidRPr="00823A9E" w:rsidRDefault="009D6E95" w:rsidP="009D6E95">
      <w:pPr>
        <w:jc w:val="both"/>
        <w:rPr>
          <w:b/>
          <w:bCs/>
          <w:lang w:val="en-US"/>
        </w:rPr>
      </w:pPr>
      <w:r w:rsidRPr="008D0D82">
        <w:rPr>
          <w:b/>
          <w:bCs/>
          <w:lang w:val="en-US"/>
        </w:rPr>
        <w:t>Response:</w:t>
      </w:r>
    </w:p>
    <w:p w14:paraId="7039A709" w14:textId="77777777" w:rsidR="009D6E95" w:rsidRDefault="009D6E95" w:rsidP="009D6E95">
      <w:pPr>
        <w:spacing w:after="0"/>
        <w:rPr>
          <w:lang w:val="en-US"/>
        </w:rPr>
      </w:pPr>
      <w:r w:rsidRPr="00625148">
        <w:rPr>
          <w:lang w:val="en-US"/>
        </w:rPr>
        <w:t>Yes</w:t>
      </w:r>
    </w:p>
    <w:p w14:paraId="6EC9F51C" w14:textId="77777777" w:rsidR="009D6E95" w:rsidRDefault="009D6E95" w:rsidP="009D6E95">
      <w:pPr>
        <w:spacing w:after="0"/>
        <w:jc w:val="both"/>
        <w:rPr>
          <w:lang w:val="en-US"/>
        </w:rPr>
      </w:pPr>
    </w:p>
    <w:p w14:paraId="54CD224A" w14:textId="77777777" w:rsidR="009D6E95" w:rsidRDefault="009D6E95" w:rsidP="009D6E95">
      <w:pPr>
        <w:spacing w:after="0"/>
        <w:jc w:val="both"/>
        <w:rPr>
          <w:lang w:val="en-US"/>
        </w:rPr>
      </w:pPr>
      <w:r>
        <w:rPr>
          <w:lang w:val="en-US"/>
        </w:rPr>
        <w:t>O</w:t>
      </w:r>
      <w:r w:rsidRPr="00625148">
        <w:rPr>
          <w:lang w:val="en-US"/>
        </w:rPr>
        <w:t xml:space="preserve">vercoming excessive capital non-neutrality would lead to a level playing field against other Asset-based financing </w:t>
      </w:r>
      <w:r>
        <w:rPr>
          <w:lang w:val="en-US"/>
        </w:rPr>
        <w:t>markets</w:t>
      </w:r>
      <w:r w:rsidRPr="00625148">
        <w:rPr>
          <w:lang w:val="en-US"/>
        </w:rPr>
        <w:t xml:space="preserve">.  Our preferred proposal to overcome in particular, excessive capitalization for some mezzanine </w:t>
      </w:r>
      <w:proofErr w:type="spellStart"/>
      <w:r w:rsidRPr="00625148">
        <w:rPr>
          <w:lang w:val="en-US"/>
        </w:rPr>
        <w:t>securitisation</w:t>
      </w:r>
      <w:proofErr w:type="spellEnd"/>
      <w:r w:rsidRPr="00625148">
        <w:rPr>
          <w:lang w:val="en-US"/>
        </w:rPr>
        <w:t xml:space="preserve"> positions, is not to amend </w:t>
      </w:r>
      <w:r>
        <w:rPr>
          <w:lang w:val="en-US"/>
        </w:rPr>
        <w:t xml:space="preserve">the </w:t>
      </w:r>
      <w:r w:rsidRPr="00625148">
        <w:rPr>
          <w:lang w:val="en-US"/>
        </w:rPr>
        <w:t>p</w:t>
      </w:r>
      <w:r>
        <w:rPr>
          <w:lang w:val="en-US"/>
        </w:rPr>
        <w:t>-</w:t>
      </w:r>
      <w:r w:rsidRPr="00625148">
        <w:rPr>
          <w:lang w:val="en-US"/>
        </w:rPr>
        <w:t xml:space="preserve">factor directly (other than capping the SEC-IRBA p), but to reduce the steepness of the curve in capital requirements generated by p by applying a scaling </w:t>
      </w:r>
      <w:r w:rsidRPr="00625148">
        <w:rPr>
          <w:lang w:val="en-US"/>
        </w:rPr>
        <w:lastRenderedPageBreak/>
        <w:t>factor to the underlying asset capital requirement (tranches detaching up to which are subject to 1,250% risk weighting or deduction) before its insertion into the SEC-SA formula.  With the scaling factor set at 0.5, one gets capital neutrality, removing the capital surcharge but leading to slight undercapitalization for some mezz position.  An adequate level would be 0.65 (with ‘p factors’ remaining at current levels/set to 1</w:t>
      </w:r>
      <w:r>
        <w:rPr>
          <w:lang w:val="en-US"/>
        </w:rPr>
        <w:t>.0</w:t>
      </w:r>
      <w:r w:rsidRPr="00625148">
        <w:rPr>
          <w:lang w:val="en-US"/>
        </w:rPr>
        <w:t xml:space="preserve">). </w:t>
      </w:r>
      <w:r>
        <w:rPr>
          <w:lang w:val="en-US"/>
        </w:rPr>
        <w:t xml:space="preserve"> </w:t>
      </w:r>
      <w:r w:rsidRPr="00625148">
        <w:rPr>
          <w:lang w:val="en-US"/>
        </w:rPr>
        <w:t>A similar approach could helpfully be adopted in relation to the SEC-IRBA. This proposal would remove a significant source of non-neutrality in the framework and mitigate excess non-neutrality while guarding against potential cliff effects flowing from a simple reduction in p.</w:t>
      </w:r>
    </w:p>
    <w:p w14:paraId="5CA9591B" w14:textId="77777777" w:rsidR="009D6E95" w:rsidRPr="00625148" w:rsidRDefault="009D6E95" w:rsidP="009D6E95">
      <w:pPr>
        <w:spacing w:after="0"/>
        <w:jc w:val="both"/>
        <w:rPr>
          <w:lang w:val="en-US"/>
        </w:rPr>
      </w:pPr>
    </w:p>
    <w:p w14:paraId="67CC540C" w14:textId="77777777" w:rsidR="009D6E95" w:rsidRDefault="009D6E95" w:rsidP="009D6E95">
      <w:pPr>
        <w:spacing w:after="0"/>
        <w:jc w:val="both"/>
        <w:rPr>
          <w:lang w:val="en-US"/>
        </w:rPr>
      </w:pPr>
      <w:r w:rsidRPr="00625148">
        <w:rPr>
          <w:lang w:val="en-US"/>
        </w:rPr>
        <w:t>If no such scaling factor is implemented, similar to others in the industry</w:t>
      </w:r>
      <w:r>
        <w:rPr>
          <w:lang w:val="en-US"/>
        </w:rPr>
        <w:t>,</w:t>
      </w:r>
      <w:r w:rsidRPr="00625148">
        <w:rPr>
          <w:lang w:val="en-US"/>
        </w:rPr>
        <w:t xml:space="preserve"> we would support, in the CRR, on a permanent basis </w:t>
      </w:r>
      <w:r>
        <w:rPr>
          <w:lang w:val="en-US"/>
        </w:rPr>
        <w:t>whenever</w:t>
      </w:r>
      <w:r w:rsidRPr="00625148">
        <w:rPr>
          <w:lang w:val="en-US"/>
        </w:rPr>
        <w:t xml:space="preserve"> applying the SEC-SA module (i.e. a change benefitting SA banks/portfolios, and not merely IRB banks for purposes of calculating the output floor) that the p-factor is adjusted from 1 to 0.5, for non-STS transactions, and from 0.5 to 0.25, for STS transactions.  Given the underlying principle of the output floor, there is no reason wh</w:t>
      </w:r>
      <w:r>
        <w:rPr>
          <w:lang w:val="en-US"/>
        </w:rPr>
        <w:t>y</w:t>
      </w:r>
      <w:r w:rsidRPr="00625148">
        <w:rPr>
          <w:lang w:val="en-US"/>
        </w:rPr>
        <w:t xml:space="preserve"> SA banks should be discriminated against </w:t>
      </w:r>
      <w:r>
        <w:rPr>
          <w:lang w:val="en-US"/>
        </w:rPr>
        <w:t xml:space="preserve">vs </w:t>
      </w:r>
      <w:r w:rsidRPr="00625148">
        <w:rPr>
          <w:lang w:val="en-US"/>
        </w:rPr>
        <w:t xml:space="preserve">IRB banks </w:t>
      </w:r>
      <w:r>
        <w:rPr>
          <w:lang w:val="en-US"/>
        </w:rPr>
        <w:t>given the capitalization differentiation is already covered in the application of the output floor itself.</w:t>
      </w:r>
    </w:p>
    <w:p w14:paraId="24C13823" w14:textId="77777777" w:rsidR="009D6E95" w:rsidRPr="00625148" w:rsidRDefault="009D6E95" w:rsidP="009D6E95">
      <w:pPr>
        <w:spacing w:after="0"/>
        <w:rPr>
          <w:lang w:val="en-US"/>
        </w:rPr>
      </w:pPr>
    </w:p>
    <w:p w14:paraId="23936026" w14:textId="77777777" w:rsidR="009D6E95" w:rsidRDefault="009D6E95" w:rsidP="009D6E95">
      <w:pPr>
        <w:spacing w:after="0"/>
        <w:rPr>
          <w:lang w:val="en-US"/>
        </w:rPr>
      </w:pPr>
    </w:p>
    <w:p w14:paraId="67DC4594" w14:textId="77777777" w:rsidR="009D6E95" w:rsidRPr="005151CA" w:rsidRDefault="009D6E95" w:rsidP="009D6E95">
      <w:pPr>
        <w:spacing w:after="0"/>
        <w:jc w:val="both"/>
        <w:rPr>
          <w:b/>
          <w:bCs/>
          <w:lang w:val="en-US"/>
        </w:rPr>
      </w:pPr>
      <w:r w:rsidRPr="005151CA">
        <w:rPr>
          <w:b/>
          <w:bCs/>
          <w:lang w:val="en-US"/>
        </w:rPr>
        <w:t xml:space="preserve">9.26 Do you consider that the current approach to non-neutrality of capital requirements as one of core elements of the </w:t>
      </w:r>
      <w:proofErr w:type="spellStart"/>
      <w:r w:rsidRPr="005151CA">
        <w:rPr>
          <w:b/>
          <w:bCs/>
          <w:lang w:val="en-US"/>
        </w:rPr>
        <w:t>securitisation</w:t>
      </w:r>
      <w:proofErr w:type="spellEnd"/>
      <w:r w:rsidRPr="005151CA">
        <w:rPr>
          <w:b/>
          <w:bCs/>
          <w:lang w:val="en-US"/>
        </w:rPr>
        <w:t xml:space="preserve"> prudential framework, leads to undue </w:t>
      </w:r>
      <w:proofErr w:type="spellStart"/>
      <w:r w:rsidRPr="005151CA">
        <w:rPr>
          <w:b/>
          <w:bCs/>
          <w:lang w:val="en-US"/>
        </w:rPr>
        <w:t>overcapitalisation</w:t>
      </w:r>
      <w:proofErr w:type="spellEnd"/>
      <w:r w:rsidRPr="005151CA">
        <w:rPr>
          <w:b/>
          <w:bCs/>
          <w:lang w:val="en-US"/>
        </w:rPr>
        <w:t xml:space="preserve"> (or </w:t>
      </w:r>
      <w:proofErr w:type="spellStart"/>
      <w:r w:rsidRPr="005151CA">
        <w:rPr>
          <w:b/>
          <w:bCs/>
          <w:lang w:val="en-US"/>
        </w:rPr>
        <w:t>undercapitalisation</w:t>
      </w:r>
      <w:proofErr w:type="spellEnd"/>
      <w:r w:rsidRPr="005151CA">
        <w:rPr>
          <w:b/>
          <w:bCs/>
          <w:lang w:val="en-US"/>
        </w:rPr>
        <w:t xml:space="preserve">) of the </w:t>
      </w:r>
      <w:proofErr w:type="spellStart"/>
      <w:r w:rsidRPr="005151CA">
        <w:rPr>
          <w:b/>
          <w:bCs/>
          <w:lang w:val="en-US"/>
        </w:rPr>
        <w:t>securitisation</w:t>
      </w:r>
      <w:proofErr w:type="spellEnd"/>
      <w:r w:rsidRPr="005151CA">
        <w:rPr>
          <w:b/>
          <w:bCs/>
          <w:lang w:val="en-US"/>
        </w:rPr>
        <w:t xml:space="preserve"> exposures, in particular when compared to the </w:t>
      </w:r>
      <w:proofErr w:type="spellStart"/>
      <w:r w:rsidRPr="005151CA">
        <w:rPr>
          <w:b/>
          <w:bCs/>
          <w:lang w:val="en-US"/>
        </w:rPr>
        <w:t>realised</w:t>
      </w:r>
      <w:proofErr w:type="spellEnd"/>
      <w:r w:rsidRPr="005151CA">
        <w:rPr>
          <w:b/>
          <w:bCs/>
          <w:lang w:val="en-US"/>
        </w:rPr>
        <w:t xml:space="preserve"> losses and distribution of the losses across the capital structure (different tranches of </w:t>
      </w:r>
      <w:proofErr w:type="spellStart"/>
      <w:r w:rsidRPr="005151CA">
        <w:rPr>
          <w:b/>
          <w:bCs/>
          <w:lang w:val="en-US"/>
        </w:rPr>
        <w:t>securitisation</w:t>
      </w:r>
      <w:proofErr w:type="spellEnd"/>
      <w:r w:rsidRPr="005151CA">
        <w:rPr>
          <w:b/>
          <w:bCs/>
          <w:lang w:val="en-US"/>
        </w:rPr>
        <w:t>) over a full economic cycle? Please explain your answer.</w:t>
      </w:r>
    </w:p>
    <w:p w14:paraId="08662C51" w14:textId="77777777" w:rsidR="009D6E95" w:rsidRDefault="009D6E95" w:rsidP="009D6E95">
      <w:pPr>
        <w:spacing w:after="0"/>
        <w:rPr>
          <w:b/>
          <w:bCs/>
          <w:lang w:val="en-US"/>
        </w:rPr>
      </w:pPr>
    </w:p>
    <w:p w14:paraId="52BEC1F8" w14:textId="77777777" w:rsidR="009D6E95" w:rsidRPr="0014386A" w:rsidRDefault="009D6E95" w:rsidP="009D6E95">
      <w:pPr>
        <w:jc w:val="both"/>
        <w:rPr>
          <w:b/>
        </w:rPr>
      </w:pPr>
      <w:r w:rsidRPr="008D0D82">
        <w:rPr>
          <w:b/>
          <w:bCs/>
          <w:lang w:val="en-US"/>
        </w:rPr>
        <w:t>Response:</w:t>
      </w:r>
    </w:p>
    <w:p w14:paraId="7B2416D0" w14:textId="77777777" w:rsidR="009D6E95" w:rsidRDefault="009D6E95" w:rsidP="009D6E95">
      <w:pPr>
        <w:spacing w:after="0"/>
        <w:rPr>
          <w:lang w:val="en-US"/>
        </w:rPr>
      </w:pPr>
      <w:r w:rsidRPr="00823A9E">
        <w:rPr>
          <w:lang w:val="en-US"/>
        </w:rPr>
        <w:t>Yes</w:t>
      </w:r>
    </w:p>
    <w:p w14:paraId="328C33F5" w14:textId="77777777" w:rsidR="009D6E95" w:rsidRDefault="009D6E95" w:rsidP="009D6E95">
      <w:pPr>
        <w:spacing w:after="0"/>
        <w:jc w:val="both"/>
        <w:rPr>
          <w:lang w:val="en-US"/>
        </w:rPr>
      </w:pPr>
    </w:p>
    <w:p w14:paraId="47B2045D" w14:textId="77777777" w:rsidR="009D6E95" w:rsidRDefault="009D6E95" w:rsidP="009D6E95">
      <w:pPr>
        <w:spacing w:after="0"/>
        <w:jc w:val="both"/>
        <w:rPr>
          <w:lang w:val="en-US"/>
        </w:rPr>
      </w:pPr>
      <w:r>
        <w:rPr>
          <w:lang w:val="en-US"/>
        </w:rPr>
        <w:t>W</w:t>
      </w:r>
      <w:r w:rsidRPr="00823A9E">
        <w:rPr>
          <w:lang w:val="en-US"/>
        </w:rPr>
        <w:t>e refer to IACPM and other exhaustive analys</w:t>
      </w:r>
      <w:r>
        <w:rPr>
          <w:lang w:val="en-US"/>
        </w:rPr>
        <w:t>e</w:t>
      </w:r>
      <w:r w:rsidRPr="00823A9E">
        <w:rPr>
          <w:lang w:val="en-US"/>
        </w:rPr>
        <w:t>s on default and loss statistics of securitizations in Europe and US (e.g. “</w:t>
      </w:r>
      <w:r w:rsidRPr="00B16B65">
        <w:rPr>
          <w:i/>
          <w:lang w:val="en-US"/>
        </w:rPr>
        <w:t>S&amp;P Default, Transition, and Recovery: 2023 Annual Global Structured Finance Default And Rating Transition Study</w:t>
      </w:r>
      <w:r w:rsidRPr="00823A9E">
        <w:rPr>
          <w:lang w:val="en-US"/>
        </w:rPr>
        <w:t xml:space="preserve">”) demonstrating lower default and loss rates </w:t>
      </w:r>
      <w:r>
        <w:rPr>
          <w:lang w:val="en-US"/>
        </w:rPr>
        <w:t>compared to most</w:t>
      </w:r>
      <w:r w:rsidRPr="00823A9E">
        <w:rPr>
          <w:lang w:val="en-US"/>
        </w:rPr>
        <w:t xml:space="preserve"> underlying markets</w:t>
      </w:r>
      <w:r>
        <w:rPr>
          <w:lang w:val="en-US"/>
        </w:rPr>
        <w:t>:</w:t>
      </w:r>
    </w:p>
    <w:p w14:paraId="135E2CC5" w14:textId="77777777" w:rsidR="009D6E95" w:rsidRDefault="009D6E95" w:rsidP="009D6E95">
      <w:pPr>
        <w:spacing w:after="0"/>
        <w:rPr>
          <w:lang w:val="en-US"/>
        </w:rPr>
      </w:pPr>
    </w:p>
    <w:p w14:paraId="1EE831E6" w14:textId="77777777" w:rsidR="009D6E95" w:rsidRPr="00BC6BE4" w:rsidRDefault="009D6E95" w:rsidP="009D6E95">
      <w:pPr>
        <w:spacing w:after="0"/>
        <w:rPr>
          <w:b/>
          <w:bCs/>
          <w:lang w:val="en-US"/>
        </w:rPr>
      </w:pPr>
      <w:r>
        <w:rPr>
          <w:b/>
          <w:bCs/>
          <w:lang w:val="en-US"/>
        </w:rPr>
        <w:t xml:space="preserve">Historical </w:t>
      </w:r>
      <w:r w:rsidRPr="00BC6BE4">
        <w:rPr>
          <w:b/>
          <w:bCs/>
          <w:lang w:val="en-US"/>
        </w:rPr>
        <w:t>Cumulative Default Rate</w:t>
      </w:r>
      <w:r>
        <w:rPr>
          <w:b/>
          <w:bCs/>
          <w:lang w:val="en-US"/>
        </w:rPr>
        <w:t>s of European SF vs. Corporate</w:t>
      </w:r>
      <w:r w:rsidRPr="00BC6BE4">
        <w:rPr>
          <w:b/>
          <w:bCs/>
          <w:lang w:val="en-US"/>
        </w:rPr>
        <w:t xml:space="preserve"> for 1, 5 and 10 yrs</w:t>
      </w:r>
    </w:p>
    <w:p w14:paraId="4CCEFE19" w14:textId="77777777" w:rsidR="009D6E95" w:rsidRDefault="009D6E95" w:rsidP="009D6E95">
      <w:pPr>
        <w:spacing w:after="0"/>
        <w:rPr>
          <w:lang w:val="en-US"/>
        </w:rPr>
      </w:pPr>
    </w:p>
    <w:p w14:paraId="3BF6F21A" w14:textId="77777777" w:rsidR="009D6E95" w:rsidRDefault="009D6E95" w:rsidP="009D6E95">
      <w:pPr>
        <w:spacing w:after="0"/>
        <w:rPr>
          <w:lang w:val="en-US"/>
        </w:rPr>
      </w:pPr>
      <w:r>
        <w:rPr>
          <w:noProof/>
          <w:highlight w:val="yellow"/>
          <w:lang w:val="en-US"/>
        </w:rPr>
        <w:lastRenderedPageBreak/>
        <w:drawing>
          <wp:inline distT="0" distB="0" distL="0" distR="0" wp14:anchorId="609B4D1A" wp14:editId="6A752D88">
            <wp:extent cx="6602395" cy="3242945"/>
            <wp:effectExtent l="0" t="0" r="8255" b="0"/>
            <wp:docPr id="2003730429" name="Picture 1" descr="A graph with green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30429" name="Picture 1" descr="A graph with green bars&#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16469" cy="3249858"/>
                    </a:xfrm>
                    <a:prstGeom prst="rect">
                      <a:avLst/>
                    </a:prstGeom>
                    <a:noFill/>
                  </pic:spPr>
                </pic:pic>
              </a:graphicData>
            </a:graphic>
          </wp:inline>
        </w:drawing>
      </w:r>
    </w:p>
    <w:p w14:paraId="0BB2B44D" w14:textId="77777777" w:rsidR="009D6E95" w:rsidRDefault="009D6E95" w:rsidP="009D6E95">
      <w:pPr>
        <w:spacing w:after="0"/>
        <w:rPr>
          <w:b/>
          <w:bCs/>
          <w:lang w:val="en-US"/>
        </w:rPr>
      </w:pPr>
    </w:p>
    <w:p w14:paraId="61BBB42E" w14:textId="77777777" w:rsidR="009D6E95" w:rsidRDefault="009D6E95" w:rsidP="009D6E95">
      <w:pPr>
        <w:spacing w:after="0"/>
        <w:rPr>
          <w:b/>
          <w:bCs/>
          <w:lang w:val="en-US"/>
        </w:rPr>
      </w:pPr>
    </w:p>
    <w:p w14:paraId="78FC2A1D" w14:textId="77777777" w:rsidR="009D6E95" w:rsidRDefault="009D6E95" w:rsidP="009D6E95">
      <w:pPr>
        <w:spacing w:after="0"/>
        <w:jc w:val="both"/>
        <w:rPr>
          <w:b/>
          <w:bCs/>
          <w:lang w:val="en-US"/>
        </w:rPr>
      </w:pPr>
      <w:r w:rsidRPr="005151CA">
        <w:rPr>
          <w:b/>
          <w:bCs/>
          <w:lang w:val="en-US"/>
        </w:rPr>
        <w:t>9.2</w:t>
      </w:r>
      <w:r>
        <w:rPr>
          <w:b/>
          <w:bCs/>
          <w:lang w:val="en-US"/>
        </w:rPr>
        <w:t>7</w:t>
      </w:r>
      <w:r w:rsidRPr="005151CA">
        <w:rPr>
          <w:b/>
          <w:bCs/>
          <w:lang w:val="en-US"/>
        </w:rPr>
        <w:t xml:space="preserve"> </w:t>
      </w:r>
      <w:r w:rsidRPr="000C25FC">
        <w:rPr>
          <w:b/>
          <w:bCs/>
          <w:lang w:val="en-US"/>
        </w:rPr>
        <w:t>If you answered yes to question 9.26, please justify your reasoning and provide quantitative and qualitative data to show the extent of the undue non-neutrality (</w:t>
      </w:r>
      <w:proofErr w:type="spellStart"/>
      <w:r w:rsidRPr="000C25FC">
        <w:rPr>
          <w:b/>
          <w:bCs/>
          <w:lang w:val="en-US"/>
        </w:rPr>
        <w:t>overcapitalisation</w:t>
      </w:r>
      <w:proofErr w:type="spellEnd"/>
      <w:r w:rsidRPr="000C25FC">
        <w:rPr>
          <w:b/>
          <w:bCs/>
          <w:lang w:val="en-US"/>
        </w:rPr>
        <w:t xml:space="preserve"> or </w:t>
      </w:r>
      <w:proofErr w:type="spellStart"/>
      <w:r w:rsidRPr="000C25FC">
        <w:rPr>
          <w:b/>
          <w:bCs/>
          <w:lang w:val="en-US"/>
        </w:rPr>
        <w:t>undercapitalisation</w:t>
      </w:r>
      <w:proofErr w:type="spellEnd"/>
      <w:r w:rsidRPr="000C25FC">
        <w:rPr>
          <w:b/>
          <w:bCs/>
          <w:lang w:val="en-US"/>
        </w:rPr>
        <w:t xml:space="preserve">), in particular when compared to the </w:t>
      </w:r>
      <w:proofErr w:type="spellStart"/>
      <w:r w:rsidRPr="000C25FC">
        <w:rPr>
          <w:b/>
          <w:bCs/>
          <w:lang w:val="en-US"/>
        </w:rPr>
        <w:t>realised</w:t>
      </w:r>
      <w:proofErr w:type="spellEnd"/>
      <w:r w:rsidRPr="000C25FC">
        <w:rPr>
          <w:b/>
          <w:bCs/>
          <w:lang w:val="en-US"/>
        </w:rPr>
        <w:t xml:space="preserve"> losses and distribution of the losses across the capital structure, taking into consideration the need to cover a full economic cycle.</w:t>
      </w:r>
    </w:p>
    <w:p w14:paraId="7CE89FD4" w14:textId="77777777" w:rsidR="009D6E95" w:rsidRDefault="009D6E95" w:rsidP="009D6E95">
      <w:pPr>
        <w:spacing w:after="0"/>
        <w:rPr>
          <w:lang w:val="en-US"/>
        </w:rPr>
      </w:pPr>
    </w:p>
    <w:p w14:paraId="03488D9E" w14:textId="77777777" w:rsidR="009D6E95" w:rsidRPr="005514EA" w:rsidRDefault="009D6E95" w:rsidP="009D6E95">
      <w:pPr>
        <w:jc w:val="both"/>
        <w:rPr>
          <w:b/>
          <w:bCs/>
          <w:lang w:val="en-US"/>
        </w:rPr>
      </w:pPr>
      <w:r w:rsidRPr="008D0D82">
        <w:rPr>
          <w:b/>
          <w:bCs/>
          <w:lang w:val="en-US"/>
        </w:rPr>
        <w:t>Response:</w:t>
      </w:r>
    </w:p>
    <w:p w14:paraId="116D94C8" w14:textId="77777777" w:rsidR="009D6E95" w:rsidRPr="001130E8" w:rsidRDefault="009D6E95" w:rsidP="009D6E95">
      <w:pPr>
        <w:jc w:val="both"/>
        <w:rPr>
          <w:lang w:val="en-US"/>
        </w:rPr>
      </w:pPr>
      <w:r w:rsidRPr="005514EA">
        <w:rPr>
          <w:lang w:val="en-US"/>
        </w:rPr>
        <w:t xml:space="preserve">The current design of the </w:t>
      </w:r>
      <w:proofErr w:type="spellStart"/>
      <w:r w:rsidRPr="005514EA">
        <w:rPr>
          <w:lang w:val="en-US"/>
        </w:rPr>
        <w:t>securitisation</w:t>
      </w:r>
      <w:proofErr w:type="spellEnd"/>
      <w:r w:rsidRPr="005514EA">
        <w:rPr>
          <w:lang w:val="en-US"/>
        </w:rPr>
        <w:t xml:space="preserve"> risk weighting formulae (SEC-SA and SEC-ERBA) embeds known weaknesses. For example, in SEC-SA, with p set at 1.0: p </w:t>
      </w:r>
      <w:proofErr w:type="spellStart"/>
      <w:r w:rsidRPr="005514EA">
        <w:rPr>
          <w:lang w:val="en-US"/>
        </w:rPr>
        <w:t>overcapitalises</w:t>
      </w:r>
      <w:proofErr w:type="spellEnd"/>
      <w:r w:rsidRPr="005514EA">
        <w:rPr>
          <w:lang w:val="en-US"/>
        </w:rPr>
        <w:t xml:space="preserve"> tranches </w:t>
      </w:r>
      <w:r>
        <w:rPr>
          <w:lang w:val="en-US"/>
        </w:rPr>
        <w:t xml:space="preserve">in particular </w:t>
      </w:r>
      <w:r w:rsidRPr="005514EA">
        <w:rPr>
          <w:lang w:val="en-US"/>
        </w:rPr>
        <w:t>from 0.0x to 2.5x K</w:t>
      </w:r>
      <w:r w:rsidRPr="001130E8">
        <w:rPr>
          <w:vertAlign w:val="subscript"/>
          <w:lang w:val="en-US"/>
        </w:rPr>
        <w:t>A</w:t>
      </w:r>
      <w:r w:rsidRPr="005514EA">
        <w:rPr>
          <w:lang w:val="en-US"/>
        </w:rPr>
        <w:t xml:space="preserve">. In the </w:t>
      </w:r>
      <w:r>
        <w:rPr>
          <w:lang w:val="en-US"/>
        </w:rPr>
        <w:t>range</w:t>
      </w:r>
      <w:r w:rsidRPr="005514EA">
        <w:rPr>
          <w:lang w:val="en-US"/>
        </w:rPr>
        <w:t xml:space="preserve"> 1.0x - 2.0x K</w:t>
      </w:r>
      <w:r w:rsidRPr="001130E8">
        <w:rPr>
          <w:vertAlign w:val="subscript"/>
          <w:lang w:val="en-US"/>
        </w:rPr>
        <w:t>A</w:t>
      </w:r>
      <w:r w:rsidRPr="005514EA">
        <w:rPr>
          <w:lang w:val="en-US"/>
        </w:rPr>
        <w:t xml:space="preserve">, the capital burden for what is considered a fairly safe tranche in investment terms has a higher level of capital requirement than a delinquent asset that is implicitly risk weighted at 625%. There are no </w:t>
      </w:r>
      <w:r>
        <w:rPr>
          <w:lang w:val="en-US"/>
        </w:rPr>
        <w:t>ranges</w:t>
      </w:r>
      <w:r w:rsidRPr="005514EA">
        <w:rPr>
          <w:lang w:val="en-US"/>
        </w:rPr>
        <w:t xml:space="preserve"> of </w:t>
      </w:r>
      <w:proofErr w:type="spellStart"/>
      <w:r w:rsidRPr="005514EA">
        <w:rPr>
          <w:lang w:val="en-US"/>
        </w:rPr>
        <w:t>undercapitalisation</w:t>
      </w:r>
      <w:proofErr w:type="spellEnd"/>
      <w:r>
        <w:rPr>
          <w:lang w:val="en-US"/>
        </w:rPr>
        <w:t>.</w:t>
      </w:r>
      <w:r w:rsidRPr="005514EA">
        <w:rPr>
          <w:lang w:val="en-US"/>
        </w:rPr>
        <w:t xml:space="preserve"> Under this calibration there is 100% more capital. The SEC-SA fails at each tranche and </w:t>
      </w:r>
      <w:r>
        <w:rPr>
          <w:lang w:val="en-US"/>
        </w:rPr>
        <w:t xml:space="preserve">capital </w:t>
      </w:r>
      <w:r w:rsidRPr="005514EA">
        <w:rPr>
          <w:lang w:val="en-US"/>
        </w:rPr>
        <w:t>neutrality</w:t>
      </w:r>
      <w:r w:rsidRPr="00BA1690">
        <w:rPr>
          <w:lang w:val="en-US"/>
        </w:rPr>
        <w:t xml:space="preserve"> </w:t>
      </w:r>
      <w:r w:rsidRPr="005514EA">
        <w:rPr>
          <w:lang w:val="en-US"/>
        </w:rPr>
        <w:t>overall</w:t>
      </w:r>
      <w:r>
        <w:rPr>
          <w:lang w:val="en-US"/>
        </w:rPr>
        <w:t>.</w:t>
      </w:r>
    </w:p>
    <w:p w14:paraId="33E74293" w14:textId="77777777" w:rsidR="002D5E6A" w:rsidRPr="009D6E95" w:rsidRDefault="002D5E6A">
      <w:pPr>
        <w:rPr>
          <w:lang w:val="en-US"/>
        </w:rPr>
      </w:pPr>
    </w:p>
    <w:p w14:paraId="5D2CF9F0" w14:textId="63679586" w:rsidR="00524CAD" w:rsidRPr="009D6E95" w:rsidRDefault="009D6E95" w:rsidP="009D6E95">
      <w:pPr>
        <w:pStyle w:val="Filestamp"/>
        <w:jc w:val="center"/>
        <w:rPr>
          <w:sz w:val="22"/>
        </w:rPr>
      </w:pPr>
      <w:r w:rsidRPr="009D6E95">
        <w:rPr>
          <w:sz w:val="22"/>
        </w:rPr>
        <w:t>-- ENDS --</w:t>
      </w:r>
    </w:p>
    <w:sectPr w:rsidR="00524CAD" w:rsidRPr="009D6E95" w:rsidSect="009D6E95">
      <w:type w:val="continuous"/>
      <w:pgSz w:w="11909" w:h="16834" w:code="9"/>
      <w:pgMar w:top="2835" w:right="850" w:bottom="2835" w:left="850" w:header="919" w:footer="4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48155" w14:textId="77777777" w:rsidR="009D6E95" w:rsidRDefault="009D6E95">
      <w:r>
        <w:separator/>
      </w:r>
    </w:p>
  </w:endnote>
  <w:endnote w:type="continuationSeparator" w:id="0">
    <w:p w14:paraId="5130BEC5" w14:textId="77777777" w:rsidR="009D6E95" w:rsidRDefault="009D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14E7" w14:textId="77777777" w:rsidR="009D6E95" w:rsidRDefault="009D6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23DC4" w14:textId="77777777" w:rsidR="009D6E95" w:rsidRDefault="009D6E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209"/>
    </w:tblGrid>
    <w:tr w:rsidR="009D6E95" w14:paraId="20A43EA0" w14:textId="77777777" w:rsidTr="009D6E95">
      <w:trPr>
        <w:trHeight w:val="720"/>
      </w:trPr>
      <w:tc>
        <w:tcPr>
          <w:tcW w:w="3402" w:type="dxa"/>
          <w:vAlign w:val="bottom"/>
        </w:tcPr>
        <w:p w14:paraId="7E5BBE66" w14:textId="77777777" w:rsidR="009D6E95" w:rsidRDefault="009D6E95" w:rsidP="006906B2">
          <w:pPr>
            <w:pStyle w:val="Legalcopy"/>
          </w:pPr>
          <w:bookmarkStart w:id="12" w:name="LegalText"/>
          <w:bookmarkEnd w:id="12"/>
        </w:p>
      </w:tc>
    </w:tr>
    <w:tr w:rsidR="009D6E95" w14:paraId="108B8DD7" w14:textId="77777777" w:rsidTr="009D6E95">
      <w:trPr>
        <w:trHeight w:hRule="exact" w:val="600"/>
      </w:trPr>
      <w:tc>
        <w:tcPr>
          <w:tcW w:w="3402" w:type="dxa"/>
          <w:vAlign w:val="bottom"/>
        </w:tcPr>
        <w:p w14:paraId="5803456F" w14:textId="77777777" w:rsidR="009D6E95" w:rsidRDefault="009D6E95" w:rsidP="006906B2">
          <w:pPr>
            <w:pStyle w:val="BusinessLine"/>
          </w:pPr>
          <w:bookmarkStart w:id="13" w:name="Endorsement"/>
          <w:r>
            <w:drawing>
              <wp:inline distT="0" distB="0" distL="0" distR="0" wp14:anchorId="4EB2B2BD" wp14:editId="387FCC29">
                <wp:extent cx="2160270" cy="96520"/>
                <wp:effectExtent l="0" t="0" r="0" b="0"/>
                <wp:docPr id="1987200181" name="Picture 1" descr="A logo showing all the companies in the Marsh McLennan group."/>
                <wp:cNvGraphicFramePr/>
                <a:graphic xmlns:a="http://schemas.openxmlformats.org/drawingml/2006/main">
                  <a:graphicData uri="http://schemas.openxmlformats.org/drawingml/2006/picture">
                    <pic:pic xmlns:pic="http://schemas.openxmlformats.org/drawingml/2006/picture">
                      <pic:nvPicPr>
                        <pic:cNvPr id="1987200181" name="Picture 1" descr="A logo showing all the companies in the Marsh McLennan group."/>
                        <pic:cNvPicPr/>
                      </pic:nvPicPr>
                      <pic:blipFill>
                        <a:blip r:embed="rId1">
                          <a:extLst>
                            <a:ext uri="{28A0092B-C50C-407E-A947-70E740481C1C}">
                              <a14:useLocalDpi xmlns:a14="http://schemas.microsoft.com/office/drawing/2010/main" val="0"/>
                            </a:ext>
                          </a:extLst>
                        </a:blip>
                        <a:stretch>
                          <a:fillRect/>
                        </a:stretch>
                      </pic:blipFill>
                      <pic:spPr>
                        <a:xfrm>
                          <a:off x="0" y="0"/>
                          <a:ext cx="2160270" cy="96520"/>
                        </a:xfrm>
                        <a:prstGeom prst="rect">
                          <a:avLst/>
                        </a:prstGeom>
                      </pic:spPr>
                    </pic:pic>
                  </a:graphicData>
                </a:graphic>
              </wp:inline>
            </w:drawing>
          </w:r>
          <w:r>
            <w:t xml:space="preserve"> </w:t>
          </w:r>
          <w:bookmarkEnd w:id="13"/>
          <w:r>
            <w:t xml:space="preserve"> </w:t>
          </w:r>
        </w:p>
      </w:tc>
    </w:tr>
  </w:tbl>
  <w:p w14:paraId="54CD34C4" w14:textId="77777777" w:rsidR="006906B2" w:rsidRDefault="006906B2" w:rsidP="006906B2">
    <w:pPr>
      <w:tabs>
        <w:tab w:val="left" w:pos="3473"/>
      </w:tabs>
      <w:spacing w:line="20" w:lineRule="exact"/>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E5640" w14:textId="77777777" w:rsidR="009D6E95" w:rsidRDefault="009D6E95">
      <w:r>
        <w:separator/>
      </w:r>
    </w:p>
  </w:footnote>
  <w:footnote w:type="continuationSeparator" w:id="0">
    <w:p w14:paraId="668C3FB1" w14:textId="77777777" w:rsidR="009D6E95" w:rsidRDefault="009D6E95">
      <w:r>
        <w:continuationSeparator/>
      </w:r>
    </w:p>
  </w:footnote>
  <w:footnote w:id="1">
    <w:p w14:paraId="629A2B51" w14:textId="77777777" w:rsidR="009D6E95" w:rsidRPr="006B0B21" w:rsidRDefault="009D6E95" w:rsidP="009D6E95">
      <w:pPr>
        <w:pStyle w:val="FootnoteText"/>
        <w:rPr>
          <w:lang w:val="en-US"/>
        </w:rPr>
      </w:pPr>
      <w:r>
        <w:rPr>
          <w:rStyle w:val="FootnoteReference"/>
        </w:rPr>
        <w:footnoteRef/>
      </w:r>
      <w:r>
        <w:t xml:space="preserve"> </w:t>
      </w:r>
      <w:r w:rsidRPr="006B0B21">
        <w:t>Default, Transition, and Recovery: 2023 Annual Global Financial Services Default And Rating Transition Study</w:t>
      </w:r>
      <w:r>
        <w:t xml:space="preserve">; S&amp;P; </w:t>
      </w:r>
      <w:r w:rsidRPr="006B0B21">
        <w:t>https://www.spglobal.com/ratings/en/research/articles/240624-default-transition-and-recovery-2023-annual-global-financial-services-default-and-rating-transition-study-13137806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DBB5B" w14:textId="77777777" w:rsidR="009D6E95" w:rsidRDefault="009D6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A069" w14:textId="77777777" w:rsidR="00A400BF" w:rsidRPr="008D1045" w:rsidRDefault="009D6E95" w:rsidP="008D1045">
    <w:pPr>
      <w:pStyle w:val="Page2Heading"/>
    </w:pPr>
    <w:bookmarkStart w:id="1" w:name="MMC_Page"/>
    <w:r>
      <w:t>Page</w:t>
    </w:r>
    <w:bookmarkEnd w:id="1"/>
    <w:r w:rsidR="00A400BF" w:rsidRPr="008D1045">
      <w:t xml:space="preserve"> </w:t>
    </w:r>
    <w:r w:rsidR="00A400BF" w:rsidRPr="008D1045">
      <w:fldChar w:fldCharType="begin"/>
    </w:r>
    <w:r w:rsidR="00A400BF" w:rsidRPr="008D1045">
      <w:instrText xml:space="preserve"> PAGE </w:instrText>
    </w:r>
    <w:r w:rsidR="00A400BF" w:rsidRPr="008D1045">
      <w:fldChar w:fldCharType="separate"/>
    </w:r>
    <w:r w:rsidR="002D5E6A">
      <w:rPr>
        <w:noProof/>
      </w:rPr>
      <w:t>2</w:t>
    </w:r>
    <w:r w:rsidR="00A400BF" w:rsidRPr="008D1045">
      <w:fldChar w:fldCharType="end"/>
    </w:r>
  </w:p>
  <w:p w14:paraId="67ADB8E7" w14:textId="77777777" w:rsidR="00A400BF" w:rsidRDefault="009D6E95">
    <w:pPr>
      <w:pStyle w:val="Page2Heading"/>
    </w:pPr>
    <w:bookmarkStart w:id="2" w:name="Date"/>
    <w:r>
      <w:t>4 December 2024</w:t>
    </w:r>
    <w:bookmarkEnd w:id="2"/>
  </w:p>
  <w:p w14:paraId="0E9B712E" w14:textId="77777777" w:rsidR="00A400BF" w:rsidRDefault="009D6E95">
    <w:pPr>
      <w:pStyle w:val="Page2Heading"/>
    </w:pPr>
    <w:bookmarkStart w:id="3" w:name="ToHeader"/>
    <w:r>
      <w:t>European Commission, DG FISMA</w:t>
    </w:r>
    <w:bookmarkEnd w:id="3"/>
  </w:p>
  <w:p w14:paraId="7C519D77" w14:textId="77777777" w:rsidR="00A400BF" w:rsidRDefault="00A400BF">
    <w:pPr>
      <w:pStyle w:val="Page2Headi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AB165" w14:textId="77777777" w:rsidR="001A4426" w:rsidRDefault="009D6E95" w:rsidP="001A4426">
    <w:pPr>
      <w:pStyle w:val="LogoHide"/>
    </w:pPr>
    <w:bookmarkStart w:id="4" w:name="Logo"/>
    <w:r>
      <w:drawing>
        <wp:anchor distT="0" distB="0" distL="114300" distR="114300" simplePos="0" relativeHeight="251658240" behindDoc="0" locked="0" layoutInCell="1" allowOverlap="1" wp14:anchorId="2DF6064F" wp14:editId="525CD70B">
          <wp:simplePos x="0" y="0"/>
          <wp:positionH relativeFrom="page">
            <wp:posOffset>539750</wp:posOffset>
          </wp:positionH>
          <wp:positionV relativeFrom="page">
            <wp:posOffset>582930</wp:posOffset>
          </wp:positionV>
          <wp:extent cx="2489835" cy="207010"/>
          <wp:effectExtent l="0" t="0" r="5715" b="2540"/>
          <wp:wrapNone/>
          <wp:docPr id="490452408" name="MMC_Logo_None_1" descr="The Marsh McLennan company logo."/>
          <wp:cNvGraphicFramePr/>
          <a:graphic xmlns:a="http://schemas.openxmlformats.org/drawingml/2006/main">
            <a:graphicData uri="http://schemas.openxmlformats.org/drawingml/2006/picture">
              <pic:pic xmlns:pic="http://schemas.openxmlformats.org/drawingml/2006/picture">
                <pic:nvPicPr>
                  <pic:cNvPr id="490452408" name="MMC_Logo_None_1" descr="The Marsh McLennan company logo."/>
                  <pic:cNvPicPr/>
                </pic:nvPicPr>
                <pic:blipFill>
                  <a:blip r:embed="rId1">
                    <a:extLst>
                      <a:ext uri="{28A0092B-C50C-407E-A947-70E740481C1C}">
                        <a14:useLocalDpi xmlns:a14="http://schemas.microsoft.com/office/drawing/2010/main" val="0"/>
                      </a:ext>
                    </a:extLst>
                  </a:blip>
                  <a:stretch>
                    <a:fillRect/>
                  </a:stretch>
                </pic:blipFill>
                <pic:spPr>
                  <a:xfrm>
                    <a:off x="0" y="0"/>
                    <a:ext cx="2489835" cy="207010"/>
                  </a:xfrm>
                  <a:prstGeom prst="rect">
                    <a:avLst/>
                  </a:prstGeom>
                </pic:spPr>
              </pic:pic>
            </a:graphicData>
          </a:graphic>
        </wp:anchor>
      </w:drawing>
    </w:r>
    <w:r w:rsidR="001A4426">
      <w:t xml:space="preserve">    </w:t>
    </w:r>
    <w:bookmarkEnd w:id="4"/>
  </w:p>
  <w:p w14:paraId="1BB43A2C" w14:textId="77777777" w:rsidR="001A4426" w:rsidRDefault="001A4426" w:rsidP="001A4426">
    <w:pPr>
      <w:pStyle w:val="OperatingUnitBusinessLine"/>
    </w:pPr>
    <w:bookmarkStart w:id="5" w:name="UpperRightText"/>
    <w:bookmarkEnd w:id="5"/>
  </w:p>
  <w:p w14:paraId="6C287296" w14:textId="77777777" w:rsidR="00A400BF" w:rsidRDefault="009D6E95">
    <w:pPr>
      <w:pStyle w:val="AddressBlock"/>
      <w:rPr>
        <w:noProof/>
      </w:rPr>
    </w:pPr>
    <w:bookmarkStart w:id="6" w:name="CompanyName"/>
    <w:r>
      <w:rPr>
        <w:noProof/>
      </w:rPr>
      <w:t>Marsh &amp; McLennan Companies, Inc</w:t>
    </w:r>
    <w:bookmarkEnd w:id="6"/>
  </w:p>
  <w:p w14:paraId="66C0E511" w14:textId="77777777" w:rsidR="009D6E95" w:rsidRDefault="009D6E95">
    <w:pPr>
      <w:pStyle w:val="AddressBlock"/>
      <w:rPr>
        <w:noProof/>
      </w:rPr>
    </w:pPr>
    <w:bookmarkStart w:id="7" w:name="OfficeAddress"/>
    <w:r>
      <w:rPr>
        <w:noProof/>
      </w:rPr>
      <w:t>Avenue Herrmann-Debrouxlaan 2</w:t>
    </w:r>
  </w:p>
  <w:p w14:paraId="1120B1B1" w14:textId="77777777" w:rsidR="00A400BF" w:rsidRPr="009D6E95" w:rsidRDefault="009D6E95">
    <w:pPr>
      <w:pStyle w:val="AddressBlock"/>
      <w:rPr>
        <w:noProof/>
        <w:lang w:val="fr-BE"/>
      </w:rPr>
    </w:pPr>
    <w:r w:rsidRPr="009D6E95">
      <w:rPr>
        <w:noProof/>
        <w:lang w:val="fr-BE"/>
      </w:rPr>
      <w:t>B - 1160 Brussels</w:t>
    </w:r>
    <w:bookmarkEnd w:id="7"/>
  </w:p>
  <w:p w14:paraId="2E4D9816" w14:textId="77777777" w:rsidR="00024F27" w:rsidRPr="009D6E95" w:rsidRDefault="009D6E95">
    <w:pPr>
      <w:pStyle w:val="AddressBlock"/>
      <w:rPr>
        <w:noProof/>
        <w:lang w:val="fr-BE"/>
      </w:rPr>
    </w:pPr>
    <w:bookmarkStart w:id="8" w:name="PhoneNumberLabel"/>
    <w:r w:rsidRPr="009D6E95">
      <w:rPr>
        <w:lang w:val="fr-BE"/>
      </w:rPr>
      <w:t>T</w:t>
    </w:r>
    <w:bookmarkEnd w:id="8"/>
    <w:r w:rsidR="009944C0" w:rsidRPr="009D6E95">
      <w:rPr>
        <w:lang w:val="fr-BE"/>
      </w:rPr>
      <w:t xml:space="preserve"> </w:t>
    </w:r>
    <w:bookmarkStart w:id="9" w:name="PhoneNumber"/>
    <w:r w:rsidRPr="009D6E95">
      <w:rPr>
        <w:lang w:val="fr-BE"/>
      </w:rPr>
      <w:t>+32 4 83 16 93 90</w:t>
    </w:r>
    <w:bookmarkEnd w:id="9"/>
    <w:r w:rsidR="009944C0" w:rsidRPr="009D6E95">
      <w:rPr>
        <w:lang w:val="fr-BE"/>
      </w:rPr>
      <w:t xml:space="preserve">  </w:t>
    </w:r>
  </w:p>
  <w:p w14:paraId="71D05416" w14:textId="77777777" w:rsidR="00A400BF" w:rsidRPr="009D6E95" w:rsidRDefault="009D6E95">
    <w:pPr>
      <w:pStyle w:val="AddressBlock"/>
      <w:rPr>
        <w:noProof/>
        <w:lang w:val="fr-BE"/>
      </w:rPr>
    </w:pPr>
    <w:bookmarkStart w:id="10" w:name="EmailAddress"/>
    <w:r w:rsidRPr="009D6E95">
      <w:rPr>
        <w:noProof/>
        <w:lang w:val="fr-BE"/>
      </w:rPr>
      <w:t>alois.thiant@mmc.com</w:t>
    </w:r>
    <w:bookmarkEnd w:id="10"/>
  </w:p>
  <w:p w14:paraId="6036D6DD" w14:textId="77777777" w:rsidR="00A400BF" w:rsidRDefault="009D6E95">
    <w:pPr>
      <w:pStyle w:val="AddressBlock"/>
      <w:rPr>
        <w:noProof/>
      </w:rPr>
    </w:pPr>
    <w:bookmarkStart w:id="11" w:name="WebsiteAddress"/>
    <w:r>
      <w:rPr>
        <w:noProof/>
      </w:rPr>
      <w:t>www.mmc.com</w: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3AA67742"/>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07EA0864"/>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DE946EC0"/>
    <w:lvl w:ilvl="0">
      <w:start w:val="1"/>
      <w:numFmt w:val="decimal"/>
      <w:lvlText w:val="%1."/>
      <w:lvlJc w:val="left"/>
      <w:pPr>
        <w:tabs>
          <w:tab w:val="num" w:pos="643"/>
        </w:tabs>
        <w:ind w:left="643" w:hanging="360"/>
      </w:pPr>
    </w:lvl>
  </w:abstractNum>
  <w:abstractNum w:abstractNumId="3" w15:restartNumberingAfterBreak="0">
    <w:nsid w:val="FFFFFF81"/>
    <w:multiLevelType w:val="singleLevel"/>
    <w:tmpl w:val="9476E69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77603B6"/>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2160AEA"/>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E7BE0840"/>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41DAD35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13219"/>
    <w:multiLevelType w:val="singleLevel"/>
    <w:tmpl w:val="031C8666"/>
    <w:name w:val="SectionStart"/>
    <w:lvl w:ilvl="0">
      <w:start w:val="1"/>
      <w:numFmt w:val="decimal"/>
      <w:lvlRestart w:val="0"/>
      <w:suff w:val="nothing"/>
      <w:lvlText w:val="Section %1"/>
      <w:lvlJc w:val="left"/>
      <w:pPr>
        <w:tabs>
          <w:tab w:val="num" w:pos="360"/>
        </w:tabs>
        <w:ind w:left="360" w:hanging="360"/>
      </w:pPr>
    </w:lvl>
  </w:abstractNum>
  <w:abstractNum w:abstractNumId="9" w15:restartNumberingAfterBreak="0">
    <w:nsid w:val="1BCF04B6"/>
    <w:multiLevelType w:val="multilevel"/>
    <w:tmpl w:val="692C3A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tabs>
          <w:tab w:val="num" w:pos="720"/>
        </w:tabs>
        <w:ind w:left="720" w:hanging="720"/>
      </w:pPr>
      <w:rPr>
        <w:b/>
        <w:i w:val="0"/>
        <w:caps w:val="0"/>
        <w:smallCaps w:val="0"/>
        <w:vanish w:val="0"/>
        <w:u w:val="none"/>
      </w:rPr>
    </w:lvl>
    <w:lvl w:ilvl="5">
      <w:start w:val="1"/>
      <w:numFmt w:val="decimal"/>
      <w:lvlText w:val="%5.%6."/>
      <w:lvlJc w:val="left"/>
      <w:pPr>
        <w:tabs>
          <w:tab w:val="num" w:pos="840"/>
        </w:tabs>
        <w:ind w:left="840" w:hanging="840"/>
      </w:pPr>
      <w:rPr>
        <w:b w:val="0"/>
        <w:i w:val="0"/>
        <w:caps w:val="0"/>
        <w:smallCaps w:val="0"/>
        <w:vanish w:val="0"/>
        <w:u w:val="none"/>
      </w:rPr>
    </w:lvl>
    <w:lvl w:ilvl="6">
      <w:start w:val="1"/>
      <w:numFmt w:val="decimal"/>
      <w:lvlText w:val="%5.%6.%7."/>
      <w:lvlJc w:val="left"/>
      <w:pPr>
        <w:tabs>
          <w:tab w:val="num" w:pos="1080"/>
        </w:tabs>
        <w:ind w:left="1080" w:hanging="1080"/>
      </w:pPr>
      <w:rPr>
        <w:b w:val="0"/>
        <w:i w:val="0"/>
        <w:caps w:val="0"/>
        <w:smallCaps w:val="0"/>
        <w:vanish w:val="0"/>
        <w:u w:val="none"/>
      </w:rPr>
    </w:lvl>
    <w:lvl w:ilvl="7">
      <w:start w:val="1"/>
      <w:numFmt w:val="decimal"/>
      <w:lvlText w:val="%5.%6.%7.%8."/>
      <w:lvlJc w:val="left"/>
      <w:pPr>
        <w:tabs>
          <w:tab w:val="num" w:pos="1080"/>
        </w:tabs>
        <w:ind w:left="1080" w:hanging="1080"/>
      </w:pPr>
      <w:rPr>
        <w:b w:val="0"/>
        <w:i w:val="0"/>
        <w:caps w:val="0"/>
        <w:smallCaps w:val="0"/>
        <w:vanish w:val="0"/>
        <w:u w:val="none"/>
      </w:rPr>
    </w:lvl>
    <w:lvl w:ilvl="8">
      <w:start w:val="1"/>
      <w:numFmt w:val="decimal"/>
      <w:lvlText w:val="%5.%6.%7.%8.%9"/>
      <w:lvlJc w:val="left"/>
      <w:pPr>
        <w:tabs>
          <w:tab w:val="num" w:pos="1080"/>
        </w:tabs>
        <w:ind w:left="1080" w:hanging="1080"/>
      </w:pPr>
      <w:rPr>
        <w:b w:val="0"/>
        <w:i w:val="0"/>
        <w:caps w:val="0"/>
        <w:smallCaps w:val="0"/>
        <w:vanish w:val="0"/>
        <w:u w:val="none"/>
      </w:rPr>
    </w:lvl>
  </w:abstractNum>
  <w:abstractNum w:abstractNumId="10" w15:restartNumberingAfterBreak="0">
    <w:nsid w:val="1D4D4015"/>
    <w:multiLevelType w:val="multilevel"/>
    <w:tmpl w:val="0354F444"/>
    <w:name w:val="NumHeadingList"/>
    <w:lvl w:ilvl="0">
      <w:start w:val="1"/>
      <w:numFmt w:val="decimal"/>
      <w:pStyle w:val="ListNumber"/>
      <w:lvlText w:val="%1."/>
      <w:lvlJc w:val="left"/>
      <w:pPr>
        <w:tabs>
          <w:tab w:val="num" w:pos="360"/>
        </w:tabs>
        <w:ind w:left="360" w:hanging="360"/>
      </w:pPr>
      <w:rPr>
        <w:rFonts w:ascii="Arial" w:hAnsi="Arial" w:cs="Arial"/>
        <w:b w:val="0"/>
        <w:i w:val="0"/>
        <w:caps w:val="0"/>
        <w:smallCaps w:val="0"/>
        <w:vanish w:val="0"/>
        <w:sz w:val="22"/>
        <w:u w:val="none"/>
      </w:rPr>
    </w:lvl>
    <w:lvl w:ilvl="1">
      <w:start w:val="1"/>
      <w:numFmt w:val="upperLetter"/>
      <w:pStyle w:val="ListNumber2"/>
      <w:lvlText w:val="%2."/>
      <w:lvlJc w:val="left"/>
      <w:pPr>
        <w:tabs>
          <w:tab w:val="num" w:pos="720"/>
        </w:tabs>
        <w:ind w:left="720" w:hanging="360"/>
      </w:pPr>
      <w:rPr>
        <w:rFonts w:ascii="Arial" w:hAnsi="Arial" w:cs="Arial"/>
        <w:b w:val="0"/>
        <w:i w:val="0"/>
        <w:caps w:val="0"/>
        <w:smallCaps w:val="0"/>
        <w:vanish w:val="0"/>
        <w:sz w:val="22"/>
        <w:u w:val="none"/>
      </w:rPr>
    </w:lvl>
    <w:lvl w:ilvl="2">
      <w:start w:val="1"/>
      <w:numFmt w:val="lowerRoman"/>
      <w:pStyle w:val="ListNumber3"/>
      <w:lvlText w:val="%3."/>
      <w:lvlJc w:val="left"/>
      <w:pPr>
        <w:tabs>
          <w:tab w:val="num" w:pos="1080"/>
        </w:tabs>
        <w:ind w:left="1080" w:hanging="360"/>
      </w:pPr>
      <w:rPr>
        <w:rFonts w:ascii="Arial" w:hAnsi="Arial" w:cs="Arial"/>
        <w:b w:val="0"/>
        <w:i w:val="0"/>
        <w:caps w:val="0"/>
        <w:smallCaps w:val="0"/>
        <w:vanish w:val="0"/>
        <w:sz w:val="22"/>
        <w:u w:val="none"/>
      </w:rPr>
    </w:lvl>
    <w:lvl w:ilvl="3">
      <w:start w:val="1"/>
      <w:numFmt w:val="lowerLetter"/>
      <w:pStyle w:val="ListNumber4"/>
      <w:lvlText w:val="%4."/>
      <w:lvlJc w:val="left"/>
      <w:pPr>
        <w:tabs>
          <w:tab w:val="num" w:pos="1440"/>
        </w:tabs>
        <w:ind w:left="1440" w:hanging="360"/>
      </w:pPr>
      <w:rPr>
        <w:rFonts w:ascii="Arial" w:hAnsi="Arial" w:cs="Arial"/>
        <w:b w:val="0"/>
        <w:i w:val="0"/>
        <w:caps w:val="0"/>
        <w:smallCaps w:val="0"/>
        <w:vanish w:val="0"/>
        <w:sz w:val="22"/>
        <w:u w:val="none"/>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0B38D9"/>
    <w:multiLevelType w:val="multilevel"/>
    <w:tmpl w:val="6A5E30BE"/>
    <w:name w:val="HeadingNumberDoc"/>
    <w:lvl w:ilvl="0">
      <w:start w:val="1"/>
      <w:numFmt w:val="decimal"/>
      <w:lvlText w:val="%1."/>
      <w:lvlJc w:val="left"/>
      <w:pPr>
        <w:tabs>
          <w:tab w:val="num" w:pos="720"/>
        </w:tabs>
        <w:ind w:left="720" w:hanging="720"/>
      </w:pPr>
    </w:lvl>
    <w:lvl w:ilvl="1">
      <w:start w:val="1"/>
      <w:numFmt w:val="decimal"/>
      <w:lvlText w:val="%1.%2."/>
      <w:lvlJc w:val="left"/>
      <w:pPr>
        <w:tabs>
          <w:tab w:val="num" w:pos="840"/>
        </w:tabs>
        <w:ind w:left="840" w:hanging="84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320"/>
        </w:tabs>
        <w:ind w:left="1320" w:hanging="13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571ADA"/>
    <w:multiLevelType w:val="multilevel"/>
    <w:tmpl w:val="8BD842AE"/>
    <w:name w:val="TableBulletList"/>
    <w:lvl w:ilvl="0">
      <w:start w:val="1"/>
      <w:numFmt w:val="decimal"/>
      <w:pStyle w:val="TableBullet1"/>
      <w:lvlText w:val="•"/>
      <w:lvlJc w:val="left"/>
      <w:pPr>
        <w:tabs>
          <w:tab w:val="num" w:pos="360"/>
        </w:tabs>
        <w:ind w:left="360" w:hanging="360"/>
      </w:pPr>
      <w:rPr>
        <w:rFonts w:ascii="Arial" w:hAnsi="Arial" w:cs="Arial"/>
        <w:b w:val="0"/>
        <w:i w:val="0"/>
        <w:caps w:val="0"/>
        <w:smallCaps w:val="0"/>
        <w:vanish w:val="0"/>
        <w:sz w:val="22"/>
        <w:u w:val="none"/>
      </w:rPr>
    </w:lvl>
    <w:lvl w:ilvl="1">
      <w:start w:val="1"/>
      <w:numFmt w:val="lowerLetter"/>
      <w:pStyle w:val="TableBullet2"/>
      <w:lvlText w:val="─"/>
      <w:lvlJc w:val="left"/>
      <w:pPr>
        <w:tabs>
          <w:tab w:val="num" w:pos="720"/>
        </w:tabs>
        <w:ind w:left="720" w:hanging="360"/>
      </w:pPr>
      <w:rPr>
        <w:rFonts w:ascii="Arial" w:hAnsi="Arial" w:cs="Arial"/>
        <w:b w:val="0"/>
        <w:i w:val="0"/>
        <w:caps w:val="0"/>
        <w:smallCaps w:val="0"/>
        <w:vanish w:val="0"/>
        <w:sz w:val="22"/>
        <w:u w:val="none"/>
      </w:rPr>
    </w:lvl>
    <w:lvl w:ilvl="2">
      <w:start w:val="1"/>
      <w:numFmt w:val="lowerRoman"/>
      <w:pStyle w:val="TableBullet3"/>
      <w:lvlText w:val="•"/>
      <w:lvlJc w:val="left"/>
      <w:pPr>
        <w:tabs>
          <w:tab w:val="num" w:pos="1080"/>
        </w:tabs>
        <w:ind w:left="1080" w:hanging="360"/>
      </w:pPr>
      <w:rPr>
        <w:rFonts w:ascii="Arial" w:hAnsi="Arial" w:cs="Arial"/>
        <w:b w:val="0"/>
        <w:i w:val="0"/>
        <w:caps w:val="0"/>
        <w:smallCaps w:val="0"/>
        <w:vanish w:val="0"/>
        <w:sz w:val="22"/>
        <w:u w:val="none"/>
      </w:rPr>
    </w:lvl>
    <w:lvl w:ilvl="3">
      <w:start w:val="1"/>
      <w:numFmt w:val="decimal"/>
      <w:pStyle w:val="TableBullet4"/>
      <w:lvlText w:val="─"/>
      <w:lvlJc w:val="left"/>
      <w:pPr>
        <w:tabs>
          <w:tab w:val="num" w:pos="1440"/>
        </w:tabs>
        <w:ind w:left="1440" w:hanging="360"/>
      </w:pPr>
      <w:rPr>
        <w:rFonts w:ascii="Arial" w:hAnsi="Arial" w:cs="Arial"/>
        <w:b w:val="0"/>
        <w:i w:val="0"/>
        <w:caps w:val="0"/>
        <w:smallCaps w:val="0"/>
        <w:vanish w:val="0"/>
        <w:sz w:val="22"/>
        <w:u w:val="none"/>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BA6211"/>
    <w:multiLevelType w:val="multilevel"/>
    <w:tmpl w:val="A19C8EEC"/>
    <w:name w:val="BulletList"/>
    <w:lvl w:ilvl="0">
      <w:start w:val="1"/>
      <w:numFmt w:val="decimal"/>
      <w:pStyle w:val="ListBullet"/>
      <w:lvlText w:val="•"/>
      <w:lvlJc w:val="left"/>
      <w:pPr>
        <w:tabs>
          <w:tab w:val="num" w:pos="360"/>
        </w:tabs>
        <w:ind w:left="360" w:hanging="360"/>
      </w:pPr>
      <w:rPr>
        <w:rFonts w:ascii="Arial" w:hAnsi="Arial" w:cs="Arial"/>
        <w:b w:val="0"/>
        <w:i w:val="0"/>
        <w:caps w:val="0"/>
        <w:smallCaps w:val="0"/>
        <w:vanish w:val="0"/>
        <w:sz w:val="22"/>
        <w:u w:val="none"/>
      </w:rPr>
    </w:lvl>
    <w:lvl w:ilvl="1">
      <w:start w:val="1"/>
      <w:numFmt w:val="lowerLetter"/>
      <w:pStyle w:val="ListBullet2"/>
      <w:lvlText w:val="─"/>
      <w:lvlJc w:val="left"/>
      <w:pPr>
        <w:tabs>
          <w:tab w:val="num" w:pos="720"/>
        </w:tabs>
        <w:ind w:left="720" w:hanging="360"/>
      </w:pPr>
      <w:rPr>
        <w:rFonts w:ascii="Arial" w:hAnsi="Arial" w:cs="Arial"/>
        <w:b w:val="0"/>
        <w:i w:val="0"/>
        <w:caps w:val="0"/>
        <w:smallCaps w:val="0"/>
        <w:vanish w:val="0"/>
        <w:sz w:val="22"/>
        <w:u w:val="none"/>
      </w:rPr>
    </w:lvl>
    <w:lvl w:ilvl="2">
      <w:start w:val="1"/>
      <w:numFmt w:val="lowerRoman"/>
      <w:pStyle w:val="ListBullet3"/>
      <w:lvlText w:val="•"/>
      <w:lvlJc w:val="left"/>
      <w:pPr>
        <w:tabs>
          <w:tab w:val="num" w:pos="1080"/>
        </w:tabs>
        <w:ind w:left="1080" w:hanging="360"/>
      </w:pPr>
      <w:rPr>
        <w:rFonts w:ascii="Arial" w:hAnsi="Arial" w:cs="Arial"/>
        <w:b w:val="0"/>
        <w:i w:val="0"/>
        <w:caps w:val="0"/>
        <w:smallCaps w:val="0"/>
        <w:vanish w:val="0"/>
        <w:sz w:val="22"/>
        <w:u w:val="none"/>
      </w:rPr>
    </w:lvl>
    <w:lvl w:ilvl="3">
      <w:start w:val="1"/>
      <w:numFmt w:val="decimal"/>
      <w:pStyle w:val="ListBullet4"/>
      <w:lvlText w:val="─"/>
      <w:lvlJc w:val="left"/>
      <w:pPr>
        <w:tabs>
          <w:tab w:val="num" w:pos="1440"/>
        </w:tabs>
        <w:ind w:left="1440" w:hanging="360"/>
      </w:pPr>
      <w:rPr>
        <w:rFonts w:ascii="Arial" w:hAnsi="Arial" w:cs="Arial"/>
        <w:b w:val="0"/>
        <w:i w:val="0"/>
        <w:caps w:val="0"/>
        <w:smallCaps w:val="0"/>
        <w:vanish w:val="0"/>
        <w:sz w:val="22"/>
        <w:u w:val="none"/>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D463B4"/>
    <w:multiLevelType w:val="hybridMultilevel"/>
    <w:tmpl w:val="21DEC2A2"/>
    <w:lvl w:ilvl="0" w:tplc="E070CA3E">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EB64693"/>
    <w:multiLevelType w:val="singleLevel"/>
    <w:tmpl w:val="D2905F9A"/>
    <w:name w:val="Appendix"/>
    <w:lvl w:ilvl="0">
      <w:start w:val="1"/>
      <w:numFmt w:val="upperLetter"/>
      <w:lvlRestart w:val="0"/>
      <w:suff w:val="nothing"/>
      <w:lvlText w:val="Appendix %1"/>
      <w:lvlJc w:val="left"/>
      <w:pPr>
        <w:tabs>
          <w:tab w:val="num" w:pos="360"/>
        </w:tabs>
        <w:ind w:left="360" w:hanging="360"/>
      </w:pPr>
    </w:lvl>
  </w:abstractNum>
  <w:abstractNum w:abstractNumId="16" w15:restartNumberingAfterBreak="0">
    <w:nsid w:val="4B7A5431"/>
    <w:multiLevelType w:val="multilevel"/>
    <w:tmpl w:val="2690D660"/>
    <w:name w:val="HeadingNumberParagRep"/>
    <w:lvl w:ilvl="0">
      <w:start w:val="1"/>
      <w:numFmt w:val="decimal"/>
      <w:lvlText w:val="%1."/>
      <w:lvlJc w:val="left"/>
      <w:pPr>
        <w:tabs>
          <w:tab w:val="num" w:pos="0"/>
        </w:tabs>
        <w:ind w:left="0" w:firstLine="0"/>
      </w:pPr>
      <w:rPr>
        <w:vanish/>
      </w:rPr>
    </w:lvl>
    <w:lvl w:ilvl="1">
      <w:start w:val="1"/>
      <w:numFmt w:val="decimal"/>
      <w:lvlText w:val="%1.%2."/>
      <w:lvlJc w:val="left"/>
      <w:pPr>
        <w:tabs>
          <w:tab w:val="num" w:pos="840"/>
        </w:tabs>
        <w:ind w:left="840" w:hanging="84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800"/>
        </w:tabs>
        <w:ind w:left="1800" w:hanging="1800"/>
      </w:pPr>
    </w:lvl>
    <w:lvl w:ilvl="5">
      <w:start w:val="1"/>
      <w:numFmt w:val="decimal"/>
      <w:lvlText w:val="%1.%2.%3.%4.%5.%6."/>
      <w:lvlJc w:val="left"/>
      <w:pPr>
        <w:tabs>
          <w:tab w:val="num" w:pos="2160"/>
        </w:tabs>
        <w:ind w:left="2160" w:hanging="21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7A804D1"/>
    <w:multiLevelType w:val="multilevel"/>
    <w:tmpl w:val="4D24CE2A"/>
    <w:name w:val="HeadingNumberRep"/>
    <w:lvl w:ilvl="0">
      <w:start w:val="1"/>
      <w:numFmt w:val="decimal"/>
      <w:lvlText w:val="%1."/>
      <w:lvlJc w:val="left"/>
      <w:pPr>
        <w:tabs>
          <w:tab w:val="num" w:pos="0"/>
        </w:tabs>
        <w:ind w:left="0" w:firstLine="0"/>
      </w:pPr>
      <w:rPr>
        <w:vanish/>
      </w:rPr>
    </w:lvl>
    <w:lvl w:ilvl="1">
      <w:start w:val="1"/>
      <w:numFmt w:val="decimal"/>
      <w:lvlText w:val="%1.%2."/>
      <w:lvlJc w:val="left"/>
      <w:pPr>
        <w:tabs>
          <w:tab w:val="num" w:pos="840"/>
        </w:tabs>
        <w:ind w:left="840" w:hanging="84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320"/>
        </w:tabs>
        <w:ind w:left="1320" w:hanging="13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DAB26D0"/>
    <w:multiLevelType w:val="multilevel"/>
    <w:tmpl w:val="2B16487A"/>
    <w:name w:val="HeadingList"/>
    <w:lvl w:ilvl="0">
      <w:start w:val="1"/>
      <w:numFmt w:val="none"/>
      <w:pStyle w:val="Heading1"/>
      <w:suff w:val="nothing"/>
      <w:lvlText w:val=""/>
      <w:lvlJc w:val="left"/>
      <w:pPr>
        <w:tabs>
          <w:tab w:val="num" w:pos="0"/>
        </w:tabs>
        <w:ind w:left="0" w:firstLine="0"/>
      </w:pPr>
      <w:rPr>
        <w:rFonts w:ascii="Arial" w:hAnsi="Arial" w:cs="Arial"/>
        <w:b/>
        <w:i w:val="0"/>
        <w:caps w:val="0"/>
        <w:smallCaps w:val="0"/>
        <w:vanish w:val="0"/>
        <w:sz w:val="32"/>
        <w:u w:val="none"/>
      </w:rPr>
    </w:lvl>
    <w:lvl w:ilvl="1">
      <w:start w:val="1"/>
      <w:numFmt w:val="none"/>
      <w:pStyle w:val="Heading2"/>
      <w:suff w:val="nothing"/>
      <w:lvlText w:val=""/>
      <w:lvlJc w:val="left"/>
      <w:pPr>
        <w:tabs>
          <w:tab w:val="num" w:pos="0"/>
        </w:tabs>
        <w:ind w:left="0" w:firstLine="0"/>
      </w:pPr>
      <w:rPr>
        <w:rFonts w:ascii="Arial" w:hAnsi="Arial" w:cs="Arial"/>
        <w:b/>
        <w:i w:val="0"/>
        <w:caps w:val="0"/>
        <w:smallCaps w:val="0"/>
        <w:vanish w:val="0"/>
        <w:sz w:val="28"/>
        <w:u w:val="none"/>
      </w:rPr>
    </w:lvl>
    <w:lvl w:ilvl="2">
      <w:start w:val="1"/>
      <w:numFmt w:val="none"/>
      <w:pStyle w:val="Heading3"/>
      <w:suff w:val="nothing"/>
      <w:lvlText w:val=""/>
      <w:lvlJc w:val="left"/>
      <w:pPr>
        <w:tabs>
          <w:tab w:val="num" w:pos="0"/>
        </w:tabs>
        <w:ind w:left="0" w:firstLine="0"/>
      </w:pPr>
      <w:rPr>
        <w:rFonts w:ascii="Arial" w:hAnsi="Arial" w:cs="Arial"/>
        <w:b/>
        <w:i w:val="0"/>
        <w:caps w:val="0"/>
        <w:smallCaps w:val="0"/>
        <w:vanish w:val="0"/>
        <w:sz w:val="24"/>
        <w:u w:val="none"/>
      </w:rPr>
    </w:lvl>
    <w:lvl w:ilvl="3">
      <w:start w:val="1"/>
      <w:numFmt w:val="none"/>
      <w:pStyle w:val="Heading4"/>
      <w:suff w:val="nothing"/>
      <w:lvlText w:val=""/>
      <w:lvlJc w:val="left"/>
      <w:pPr>
        <w:tabs>
          <w:tab w:val="num" w:pos="0"/>
        </w:tabs>
        <w:ind w:left="0" w:firstLine="0"/>
      </w:pPr>
      <w:rPr>
        <w:rFonts w:ascii="Arial" w:hAnsi="Arial" w:cs="Arial"/>
        <w:b/>
        <w:i w:val="0"/>
        <w:caps w:val="0"/>
        <w:smallCaps w:val="0"/>
        <w:vanish w:val="0"/>
        <w:sz w:val="22"/>
        <w:u w:val="none"/>
      </w:rPr>
    </w:lvl>
    <w:lvl w:ilvl="4">
      <w:start w:val="1"/>
      <w:numFmt w:val="none"/>
      <w:suff w:val="nothing"/>
      <w:lvlText w:val=""/>
      <w:lvlJc w:val="left"/>
      <w:pPr>
        <w:tabs>
          <w:tab w:val="num" w:pos="0"/>
        </w:tabs>
        <w:ind w:left="0" w:firstLine="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A944F9F"/>
    <w:multiLevelType w:val="multilevel"/>
    <w:tmpl w:val="888CDBE4"/>
    <w:name w:val="AppHeadingNumberRep"/>
    <w:lvl w:ilvl="0">
      <w:start w:val="1"/>
      <w:numFmt w:val="upperLetter"/>
      <w:suff w:val="nothing"/>
      <w:lvlText w:val=""/>
      <w:lvlJc w:val="left"/>
      <w:pPr>
        <w:tabs>
          <w:tab w:val="num" w:pos="0"/>
        </w:tabs>
        <w:ind w:left="0" w:firstLine="0"/>
      </w:pPr>
    </w:lvl>
    <w:lvl w:ilvl="1">
      <w:start w:val="1"/>
      <w:numFmt w:val="decimal"/>
      <w:lvlText w:val="%1.%2."/>
      <w:lvlJc w:val="left"/>
      <w:pPr>
        <w:tabs>
          <w:tab w:val="num" w:pos="840"/>
        </w:tabs>
        <w:ind w:left="840" w:hanging="84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320"/>
        </w:tabs>
        <w:ind w:left="1320" w:hanging="13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28268733">
    <w:abstractNumId w:val="6"/>
  </w:num>
  <w:num w:numId="2" w16cid:durableId="1084686506">
    <w:abstractNumId w:val="2"/>
  </w:num>
  <w:num w:numId="3" w16cid:durableId="437144526">
    <w:abstractNumId w:val="7"/>
  </w:num>
  <w:num w:numId="4" w16cid:durableId="2115708880">
    <w:abstractNumId w:val="5"/>
  </w:num>
  <w:num w:numId="5" w16cid:durableId="1776443829">
    <w:abstractNumId w:val="4"/>
  </w:num>
  <w:num w:numId="6" w16cid:durableId="1021008416">
    <w:abstractNumId w:val="3"/>
  </w:num>
  <w:num w:numId="7" w16cid:durableId="261643703">
    <w:abstractNumId w:val="6"/>
  </w:num>
  <w:num w:numId="8" w16cid:durableId="635263020">
    <w:abstractNumId w:val="2"/>
  </w:num>
  <w:num w:numId="9" w16cid:durableId="552541007">
    <w:abstractNumId w:val="1"/>
  </w:num>
  <w:num w:numId="10" w16cid:durableId="110590158">
    <w:abstractNumId w:val="0"/>
  </w:num>
  <w:num w:numId="11" w16cid:durableId="783964866">
    <w:abstractNumId w:val="13"/>
  </w:num>
  <w:num w:numId="12" w16cid:durableId="1751803200">
    <w:abstractNumId w:val="18"/>
  </w:num>
  <w:num w:numId="13" w16cid:durableId="1686249239">
    <w:abstractNumId w:val="10"/>
  </w:num>
  <w:num w:numId="14" w16cid:durableId="1222060567">
    <w:abstractNumId w:val="12"/>
  </w:num>
  <w:num w:numId="15" w16cid:durableId="1362129789">
    <w:abstractNumId w:val="9"/>
  </w:num>
  <w:num w:numId="16" w16cid:durableId="4832027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LockTheme/>
  <w:styleLockQFSet/>
  <w:defaultTabStop w:val="360"/>
  <w:hyphenationZone w:val="425"/>
  <w:doNotHyphenateCaps/>
  <w:defaultTableStyle w:val="MMCTable"/>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95"/>
    <w:rsid w:val="0000724F"/>
    <w:rsid w:val="00012F88"/>
    <w:rsid w:val="00020D46"/>
    <w:rsid w:val="0002361C"/>
    <w:rsid w:val="00024F27"/>
    <w:rsid w:val="0003448D"/>
    <w:rsid w:val="00056216"/>
    <w:rsid w:val="000841C0"/>
    <w:rsid w:val="00091C30"/>
    <w:rsid w:val="00091CA3"/>
    <w:rsid w:val="000949B6"/>
    <w:rsid w:val="000E1064"/>
    <w:rsid w:val="001167D6"/>
    <w:rsid w:val="001347AB"/>
    <w:rsid w:val="00182A33"/>
    <w:rsid w:val="001944D4"/>
    <w:rsid w:val="001A4426"/>
    <w:rsid w:val="001D235D"/>
    <w:rsid w:val="001F0B16"/>
    <w:rsid w:val="002065C5"/>
    <w:rsid w:val="002161EA"/>
    <w:rsid w:val="0022092E"/>
    <w:rsid w:val="002376F2"/>
    <w:rsid w:val="002505EA"/>
    <w:rsid w:val="00261188"/>
    <w:rsid w:val="00270B85"/>
    <w:rsid w:val="00273F52"/>
    <w:rsid w:val="00277951"/>
    <w:rsid w:val="00283A60"/>
    <w:rsid w:val="00284361"/>
    <w:rsid w:val="00293D75"/>
    <w:rsid w:val="002A00DF"/>
    <w:rsid w:val="002A2876"/>
    <w:rsid w:val="002A5AEE"/>
    <w:rsid w:val="002B46BA"/>
    <w:rsid w:val="002D5E6A"/>
    <w:rsid w:val="00301793"/>
    <w:rsid w:val="00312933"/>
    <w:rsid w:val="00314106"/>
    <w:rsid w:val="00332BBC"/>
    <w:rsid w:val="0033498E"/>
    <w:rsid w:val="00345C0C"/>
    <w:rsid w:val="00345FA0"/>
    <w:rsid w:val="003671E2"/>
    <w:rsid w:val="003917AE"/>
    <w:rsid w:val="003B02A5"/>
    <w:rsid w:val="003C705C"/>
    <w:rsid w:val="004078F3"/>
    <w:rsid w:val="00424CF6"/>
    <w:rsid w:val="0045147C"/>
    <w:rsid w:val="00460A3E"/>
    <w:rsid w:val="004819CF"/>
    <w:rsid w:val="00485CC8"/>
    <w:rsid w:val="00485D6D"/>
    <w:rsid w:val="00490BF7"/>
    <w:rsid w:val="004940AB"/>
    <w:rsid w:val="005158C4"/>
    <w:rsid w:val="00524CAD"/>
    <w:rsid w:val="00541E98"/>
    <w:rsid w:val="00570388"/>
    <w:rsid w:val="005757D2"/>
    <w:rsid w:val="005926CC"/>
    <w:rsid w:val="00594E98"/>
    <w:rsid w:val="005B56BE"/>
    <w:rsid w:val="005C2AE3"/>
    <w:rsid w:val="005D6297"/>
    <w:rsid w:val="005D69BD"/>
    <w:rsid w:val="005F1C47"/>
    <w:rsid w:val="00621C85"/>
    <w:rsid w:val="00630E16"/>
    <w:rsid w:val="00641A1B"/>
    <w:rsid w:val="006427AB"/>
    <w:rsid w:val="00645DEC"/>
    <w:rsid w:val="006622A4"/>
    <w:rsid w:val="00682428"/>
    <w:rsid w:val="006906B2"/>
    <w:rsid w:val="006913DE"/>
    <w:rsid w:val="006B70B0"/>
    <w:rsid w:val="006E2D12"/>
    <w:rsid w:val="006E31DE"/>
    <w:rsid w:val="006E6FC0"/>
    <w:rsid w:val="006F197F"/>
    <w:rsid w:val="0071496F"/>
    <w:rsid w:val="00715636"/>
    <w:rsid w:val="00750678"/>
    <w:rsid w:val="007648E8"/>
    <w:rsid w:val="007938C5"/>
    <w:rsid w:val="007A2F67"/>
    <w:rsid w:val="007C5C40"/>
    <w:rsid w:val="007C74E6"/>
    <w:rsid w:val="008036B1"/>
    <w:rsid w:val="00850B35"/>
    <w:rsid w:val="008A2457"/>
    <w:rsid w:val="008C1186"/>
    <w:rsid w:val="008C3D84"/>
    <w:rsid w:val="008D1045"/>
    <w:rsid w:val="008E7DF0"/>
    <w:rsid w:val="00905A2F"/>
    <w:rsid w:val="009279F0"/>
    <w:rsid w:val="009520C3"/>
    <w:rsid w:val="00963CAB"/>
    <w:rsid w:val="009714C7"/>
    <w:rsid w:val="0097648F"/>
    <w:rsid w:val="00982A44"/>
    <w:rsid w:val="009944C0"/>
    <w:rsid w:val="00994C5B"/>
    <w:rsid w:val="009B039B"/>
    <w:rsid w:val="009D6E95"/>
    <w:rsid w:val="009E5D9C"/>
    <w:rsid w:val="009F723F"/>
    <w:rsid w:val="009F7A09"/>
    <w:rsid w:val="00A04AFE"/>
    <w:rsid w:val="00A400BF"/>
    <w:rsid w:val="00A46760"/>
    <w:rsid w:val="00A85690"/>
    <w:rsid w:val="00AB220F"/>
    <w:rsid w:val="00AC642B"/>
    <w:rsid w:val="00AC7419"/>
    <w:rsid w:val="00AE046F"/>
    <w:rsid w:val="00B01500"/>
    <w:rsid w:val="00B11897"/>
    <w:rsid w:val="00B127C4"/>
    <w:rsid w:val="00B41C36"/>
    <w:rsid w:val="00B53195"/>
    <w:rsid w:val="00B61CCE"/>
    <w:rsid w:val="00BA0925"/>
    <w:rsid w:val="00BA15A8"/>
    <w:rsid w:val="00BB649C"/>
    <w:rsid w:val="00BC6A86"/>
    <w:rsid w:val="00BD14B1"/>
    <w:rsid w:val="00BE3FB8"/>
    <w:rsid w:val="00BF2D7F"/>
    <w:rsid w:val="00C037E2"/>
    <w:rsid w:val="00C23E08"/>
    <w:rsid w:val="00C3427B"/>
    <w:rsid w:val="00C439C0"/>
    <w:rsid w:val="00CD667E"/>
    <w:rsid w:val="00CE3A83"/>
    <w:rsid w:val="00CE7127"/>
    <w:rsid w:val="00D32DA5"/>
    <w:rsid w:val="00D70966"/>
    <w:rsid w:val="00D72306"/>
    <w:rsid w:val="00D72CAA"/>
    <w:rsid w:val="00D93E83"/>
    <w:rsid w:val="00D9714F"/>
    <w:rsid w:val="00DD7FEB"/>
    <w:rsid w:val="00DE7C28"/>
    <w:rsid w:val="00DF0F6C"/>
    <w:rsid w:val="00DF28B4"/>
    <w:rsid w:val="00E00FAC"/>
    <w:rsid w:val="00E37D6E"/>
    <w:rsid w:val="00E44E15"/>
    <w:rsid w:val="00E464B1"/>
    <w:rsid w:val="00E6775B"/>
    <w:rsid w:val="00E77A11"/>
    <w:rsid w:val="00E80A4E"/>
    <w:rsid w:val="00EA6AE5"/>
    <w:rsid w:val="00EB0793"/>
    <w:rsid w:val="00EB15C6"/>
    <w:rsid w:val="00EB2E72"/>
    <w:rsid w:val="00EC6A95"/>
    <w:rsid w:val="00EE5E97"/>
    <w:rsid w:val="00F16E68"/>
    <w:rsid w:val="00F1730F"/>
    <w:rsid w:val="00F26518"/>
    <w:rsid w:val="00F7368A"/>
    <w:rsid w:val="00F73AE7"/>
    <w:rsid w:val="00F86927"/>
    <w:rsid w:val="00FA14B2"/>
    <w:rsid w:val="00FB5B73"/>
    <w:rsid w:val="00FB723C"/>
    <w:rsid w:val="00FC1A59"/>
    <w:rsid w:val="00FD2263"/>
    <w:rsid w:val="00FE6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4BD447"/>
  <w15:docId w15:val="{5A4E1BB4-5DC3-4CCF-939B-5B407BD83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202020" w:themeColor="text1"/>
        <w:sz w:val="22"/>
        <w:szCs w:val="22"/>
        <w:lang w:val="en-US" w:eastAsia="en-US" w:bidi="ar-SA"/>
      </w:rPr>
    </w:rPrDefault>
    <w:pPrDefault>
      <w:pPr>
        <w:spacing w:after="180" w:line="260" w:lineRule="atLeast"/>
      </w:pPr>
    </w:pPrDefault>
  </w:docDefaults>
  <w:latentStyles w:defLockedState="0" w:defUIPriority="0" w:defSemiHidden="0" w:defUnhideWhenUsed="0" w:defQFormat="0" w:count="376">
    <w:lsdException w:name="Normal" w:uiPriority="3"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qFormat="1"/>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uiPriority="99" w:qFormat="1"/>
    <w:lsdException w:name="table of authorities" w:semiHidden="1"/>
    <w:lsdException w:name="macro" w:semiHidden="1"/>
    <w:lsdException w:name="toa heading" w:semiHidden="1"/>
    <w:lsdException w:name="List" w:semiHidden="1" w:unhideWhenUsed="1"/>
    <w:lsdException w:name="List Bullet" w:semiHidden="1" w:uiPriority="4" w:unhideWhenUsed="1" w:qFormat="1"/>
    <w:lsdException w:name="List Number" w:uiPriority="4" w:qFormat="1"/>
    <w:lsdException w:name="List 2" w:semiHidden="1" w:unhideWhenUsed="1"/>
    <w:lsdException w:name="List 3"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iPriority="4" w:unhideWhenUsed="1" w:qFormat="1"/>
    <w:lsdException w:name="List Number 3" w:semiHidden="1" w:uiPriority="4" w:unhideWhenUsed="1" w:qFormat="1"/>
    <w:lsdException w:name="List Number 4" w:semiHidden="1" w:uiPriority="4"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9D6E95"/>
    <w:rPr>
      <w:rFonts w:cs="Arial"/>
      <w:lang w:val="en-GB"/>
    </w:rPr>
  </w:style>
  <w:style w:type="paragraph" w:styleId="Heading1">
    <w:name w:val="heading 1"/>
    <w:basedOn w:val="Normal"/>
    <w:next w:val="Normal"/>
    <w:uiPriority w:val="1"/>
    <w:qFormat/>
    <w:rsid w:val="009D6E95"/>
    <w:pPr>
      <w:keepNext/>
      <w:numPr>
        <w:numId w:val="12"/>
      </w:numPr>
      <w:spacing w:before="240" w:after="120" w:line="240" w:lineRule="auto"/>
      <w:outlineLvl w:val="0"/>
    </w:pPr>
    <w:rPr>
      <w:b/>
      <w:color w:val="002C77" w:themeColor="accent1"/>
      <w:sz w:val="32"/>
      <w:szCs w:val="28"/>
    </w:rPr>
  </w:style>
  <w:style w:type="paragraph" w:styleId="Heading2">
    <w:name w:val="heading 2"/>
    <w:basedOn w:val="Normal"/>
    <w:next w:val="Normal"/>
    <w:uiPriority w:val="1"/>
    <w:qFormat/>
    <w:rsid w:val="009D6E95"/>
    <w:pPr>
      <w:keepNext/>
      <w:numPr>
        <w:ilvl w:val="1"/>
        <w:numId w:val="12"/>
      </w:numPr>
      <w:spacing w:before="240" w:after="120" w:line="240" w:lineRule="auto"/>
      <w:outlineLvl w:val="1"/>
    </w:pPr>
    <w:rPr>
      <w:b/>
      <w:color w:val="009DE0" w:themeColor="accent2"/>
      <w:sz w:val="28"/>
    </w:rPr>
  </w:style>
  <w:style w:type="paragraph" w:styleId="Heading3">
    <w:name w:val="heading 3"/>
    <w:basedOn w:val="Normal"/>
    <w:next w:val="Normal"/>
    <w:uiPriority w:val="1"/>
    <w:qFormat/>
    <w:rsid w:val="009D6E95"/>
    <w:pPr>
      <w:keepNext/>
      <w:numPr>
        <w:ilvl w:val="2"/>
        <w:numId w:val="12"/>
      </w:numPr>
      <w:spacing w:before="240" w:after="120" w:line="240" w:lineRule="auto"/>
      <w:outlineLvl w:val="2"/>
    </w:pPr>
    <w:rPr>
      <w:b/>
      <w:color w:val="565656" w:themeColor="text2"/>
      <w:sz w:val="24"/>
    </w:rPr>
  </w:style>
  <w:style w:type="paragraph" w:styleId="Heading4">
    <w:name w:val="heading 4"/>
    <w:basedOn w:val="Normal"/>
    <w:next w:val="Normal"/>
    <w:uiPriority w:val="1"/>
    <w:qFormat/>
    <w:rsid w:val="009D6E95"/>
    <w:pPr>
      <w:keepNext/>
      <w:numPr>
        <w:ilvl w:val="3"/>
        <w:numId w:val="12"/>
      </w:numPr>
      <w:spacing w:before="240" w:after="120" w:line="240" w:lineRule="auto"/>
      <w:outlineLvl w:val="3"/>
    </w:pPr>
    <w:rPr>
      <w:b/>
      <w:bCs/>
      <w:color w:val="565656" w:themeColor="text2"/>
      <w:szCs w:val="28"/>
    </w:rPr>
  </w:style>
  <w:style w:type="character" w:default="1" w:styleId="DefaultParagraphFont">
    <w:name w:val="Default Paragraph Font"/>
    <w:uiPriority w:val="1"/>
    <w:unhideWhenUsed/>
    <w:rsid w:val="009D6E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rsid w:val="009D6E95"/>
  </w:style>
  <w:style w:type="paragraph" w:customStyle="1" w:styleId="Legalcopy">
    <w:name w:val="Legal copy"/>
    <w:basedOn w:val="Base"/>
    <w:uiPriority w:val="99"/>
    <w:rsid w:val="009D6E95"/>
    <w:pPr>
      <w:spacing w:after="60" w:line="132" w:lineRule="atLeast"/>
    </w:pPr>
    <w:rPr>
      <w:sz w:val="13"/>
    </w:rPr>
  </w:style>
  <w:style w:type="paragraph" w:customStyle="1" w:styleId="AddressBlock">
    <w:name w:val="Address Block"/>
    <w:basedOn w:val="Base"/>
    <w:uiPriority w:val="99"/>
    <w:semiHidden/>
    <w:rsid w:val="009D6E95"/>
    <w:pPr>
      <w:spacing w:after="0" w:line="210" w:lineRule="atLeast"/>
      <w:ind w:left="6110"/>
    </w:pPr>
    <w:rPr>
      <w:color w:val="002C77" w:themeColor="accent1"/>
      <w:sz w:val="17"/>
    </w:rPr>
  </w:style>
  <w:style w:type="paragraph" w:customStyle="1" w:styleId="DocumentName">
    <w:name w:val="Document Name"/>
    <w:basedOn w:val="Base"/>
    <w:next w:val="Normal"/>
    <w:uiPriority w:val="99"/>
    <w:rsid w:val="009D6E95"/>
    <w:pPr>
      <w:spacing w:after="360" w:line="270" w:lineRule="atLeast"/>
    </w:pPr>
    <w:rPr>
      <w:b/>
      <w:color w:val="002C77" w:themeColor="accent1"/>
      <w:sz w:val="56"/>
    </w:rPr>
  </w:style>
  <w:style w:type="paragraph" w:customStyle="1" w:styleId="Subject">
    <w:name w:val="Subject"/>
    <w:basedOn w:val="Base"/>
    <w:uiPriority w:val="99"/>
    <w:rsid w:val="009D6E95"/>
  </w:style>
  <w:style w:type="paragraph" w:customStyle="1" w:styleId="AddresseeInfo">
    <w:name w:val="Addressee Info"/>
    <w:basedOn w:val="Base"/>
    <w:uiPriority w:val="99"/>
    <w:rsid w:val="009D6E95"/>
    <w:rPr>
      <w:b/>
    </w:rPr>
  </w:style>
  <w:style w:type="paragraph" w:customStyle="1" w:styleId="Filestamp">
    <w:name w:val="Filestamp"/>
    <w:basedOn w:val="Base"/>
    <w:uiPriority w:val="99"/>
    <w:rsid w:val="009D6E95"/>
    <w:pPr>
      <w:spacing w:after="0" w:line="132" w:lineRule="atLeast"/>
    </w:pPr>
    <w:rPr>
      <w:noProof/>
      <w:sz w:val="13"/>
    </w:rPr>
  </w:style>
  <w:style w:type="paragraph" w:customStyle="1" w:styleId="Base">
    <w:name w:val="Base"/>
    <w:link w:val="BaseChar"/>
    <w:uiPriority w:val="99"/>
    <w:semiHidden/>
    <w:rsid w:val="009D6E95"/>
    <w:rPr>
      <w:rFonts w:cs="Arial"/>
      <w:lang w:val="en-GB"/>
    </w:rPr>
  </w:style>
  <w:style w:type="paragraph" w:customStyle="1" w:styleId="Page2Heading">
    <w:name w:val="Page 2 Heading"/>
    <w:basedOn w:val="Base"/>
    <w:uiPriority w:val="99"/>
    <w:semiHidden/>
    <w:rsid w:val="009D6E95"/>
    <w:pPr>
      <w:widowControl w:val="0"/>
      <w:spacing w:after="0" w:line="240" w:lineRule="auto"/>
    </w:pPr>
    <w:rPr>
      <w:sz w:val="20"/>
    </w:rPr>
  </w:style>
  <w:style w:type="character" w:customStyle="1" w:styleId="BaseChar">
    <w:name w:val="Base Char"/>
    <w:basedOn w:val="DefaultParagraphFont"/>
    <w:link w:val="Base"/>
    <w:rsid w:val="009D6E95"/>
    <w:rPr>
      <w:rFonts w:cs="Arial"/>
      <w:lang w:val="en-GB"/>
    </w:rPr>
  </w:style>
  <w:style w:type="paragraph" w:customStyle="1" w:styleId="LogoHide">
    <w:name w:val="Logo Hide"/>
    <w:basedOn w:val="Base"/>
    <w:uiPriority w:val="99"/>
    <w:semiHidden/>
    <w:rsid w:val="009D6E95"/>
    <w:pPr>
      <w:spacing w:line="20" w:lineRule="exact"/>
    </w:pPr>
    <w:rPr>
      <w:noProof/>
      <w:sz w:val="2"/>
    </w:rPr>
  </w:style>
  <w:style w:type="paragraph" w:customStyle="1" w:styleId="OperatingUnitBusinessLine">
    <w:name w:val="Operating Unit/Business Line"/>
    <w:basedOn w:val="Base"/>
    <w:uiPriority w:val="99"/>
    <w:semiHidden/>
    <w:rsid w:val="009D6E95"/>
    <w:pPr>
      <w:spacing w:before="1000" w:after="434" w:line="240" w:lineRule="auto"/>
      <w:ind w:left="6110"/>
    </w:pPr>
    <w:rPr>
      <w:noProof/>
      <w:color w:val="002C77" w:themeColor="accent1"/>
    </w:rPr>
  </w:style>
  <w:style w:type="table" w:styleId="TableGrid">
    <w:name w:val="Table Grid"/>
    <w:basedOn w:val="TableNormal"/>
    <w:rsid w:val="009D6E95"/>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sinessLine">
    <w:name w:val="Business Line"/>
    <w:basedOn w:val="Base"/>
    <w:uiPriority w:val="99"/>
    <w:semiHidden/>
    <w:rsid w:val="009D6E95"/>
    <w:pPr>
      <w:spacing w:after="0" w:line="240" w:lineRule="auto"/>
    </w:pPr>
    <w:rPr>
      <w:noProof/>
      <w:color w:val="002C77" w:themeColor="accent1"/>
    </w:rPr>
  </w:style>
  <w:style w:type="paragraph" w:customStyle="1" w:styleId="BusinessOf">
    <w:name w:val="Business Of"/>
    <w:basedOn w:val="Base"/>
    <w:uiPriority w:val="99"/>
    <w:semiHidden/>
    <w:rsid w:val="009D6E95"/>
    <w:pPr>
      <w:spacing w:after="0" w:line="240" w:lineRule="auto"/>
    </w:pPr>
    <w:rPr>
      <w:noProof/>
      <w:color w:val="002C77" w:themeColor="accent1"/>
      <w:sz w:val="19"/>
    </w:rPr>
  </w:style>
  <w:style w:type="paragraph" w:customStyle="1" w:styleId="ExternalEndorsement">
    <w:name w:val="External Endorsement"/>
    <w:basedOn w:val="Base"/>
    <w:next w:val="Normal"/>
    <w:uiPriority w:val="99"/>
    <w:semiHidden/>
    <w:rsid w:val="009D6E95"/>
    <w:pPr>
      <w:spacing w:after="0" w:line="240" w:lineRule="auto"/>
      <w:ind w:left="360"/>
      <w:jc w:val="right"/>
    </w:pPr>
  </w:style>
  <w:style w:type="paragraph" w:styleId="Header">
    <w:name w:val="header"/>
    <w:basedOn w:val="Normal"/>
    <w:link w:val="HeaderChar"/>
    <w:semiHidden/>
    <w:rsid w:val="009D6E95"/>
    <w:pPr>
      <w:tabs>
        <w:tab w:val="center" w:pos="4680"/>
        <w:tab w:val="right" w:pos="9360"/>
      </w:tabs>
      <w:spacing w:after="0" w:line="240" w:lineRule="auto"/>
    </w:pPr>
  </w:style>
  <w:style w:type="character" w:customStyle="1" w:styleId="HeaderChar">
    <w:name w:val="Header Char"/>
    <w:basedOn w:val="DefaultParagraphFont"/>
    <w:link w:val="Header"/>
    <w:rsid w:val="009D6E95"/>
  </w:style>
  <w:style w:type="paragraph" w:styleId="Footer">
    <w:name w:val="footer"/>
    <w:basedOn w:val="Normal"/>
    <w:link w:val="FooterChar"/>
    <w:semiHidden/>
    <w:rsid w:val="009D6E95"/>
    <w:pPr>
      <w:tabs>
        <w:tab w:val="center" w:pos="4680"/>
        <w:tab w:val="right" w:pos="9360"/>
      </w:tabs>
      <w:spacing w:after="0" w:line="240" w:lineRule="auto"/>
    </w:pPr>
  </w:style>
  <w:style w:type="character" w:customStyle="1" w:styleId="FooterChar">
    <w:name w:val="Footer Char"/>
    <w:basedOn w:val="DefaultParagraphFont"/>
    <w:link w:val="Footer"/>
    <w:rsid w:val="009D6E95"/>
  </w:style>
  <w:style w:type="table" w:customStyle="1" w:styleId="MMCTextTable">
    <w:name w:val="MMC Text Table"/>
    <w:basedOn w:val="MMCTable2"/>
    <w:uiPriority w:val="99"/>
    <w:rsid w:val="009D6E95"/>
    <w:tblPr/>
    <w:tcPr>
      <w:shd w:val="clear" w:color="auto" w:fill="auto"/>
    </w:tcPr>
    <w:tblStylePr w:type="firstRow">
      <w:pPr>
        <w:jc w:val="left"/>
      </w:pPr>
      <w:rPr>
        <w:rFonts w:ascii="Arial" w:hAnsi="Arial"/>
        <w:b/>
        <w:color w:val="002C77"/>
        <w:sz w:val="20"/>
      </w:rPr>
      <w:tblPr/>
      <w:trPr>
        <w:tblHeader/>
      </w:trPr>
      <w:tcPr>
        <w:tcBorders>
          <w:top w:val="nil"/>
          <w:left w:val="nil"/>
          <w:bottom w:val="single" w:sz="12" w:space="0" w:color="002C77"/>
          <w:right w:val="nil"/>
          <w:insideH w:val="nil"/>
          <w:insideV w:val="nil"/>
          <w:tl2br w:val="nil"/>
          <w:tr2bl w:val="nil"/>
        </w:tcBorders>
        <w:shd w:val="clear" w:color="auto" w:fill="auto"/>
      </w:tcPr>
    </w:tblStylePr>
    <w:tblStylePr w:type="lastRow">
      <w:rPr>
        <w:rFonts w:ascii="Arial" w:hAnsi="Arial"/>
        <w:b/>
        <w:color w:val="202020" w:themeColor="text1"/>
        <w:sz w:val="20"/>
      </w:rPr>
      <w:tblPr/>
      <w:tcPr>
        <w:tcBorders>
          <w:top w:val="single" w:sz="12" w:space="0" w:color="565656" w:themeColor="text2"/>
          <w:bottom w:val="single" w:sz="12" w:space="0" w:color="565656" w:themeColor="text2"/>
        </w:tcBorders>
        <w:shd w:val="clear" w:color="auto" w:fill="auto"/>
      </w:tcPr>
    </w:tblStylePr>
    <w:tblStylePr w:type="firstCol">
      <w:rPr>
        <w:b/>
        <w:color w:val="202020" w:themeColor="text1"/>
        <w:sz w:val="20"/>
      </w:rPr>
      <w:tblPr/>
      <w:tcPr>
        <w:tcBorders>
          <w:top w:val="single" w:sz="6" w:space="0" w:color="949494"/>
          <w:left w:val="nil"/>
          <w:bottom w:val="single" w:sz="6" w:space="0" w:color="949494"/>
          <w:right w:val="nil"/>
          <w:insideH w:val="single" w:sz="6" w:space="0" w:color="949494"/>
          <w:insideV w:val="nil"/>
        </w:tcBorders>
        <w:shd w:val="clear" w:color="auto" w:fill="FFFFFF" w:themeFill="background1"/>
      </w:tcPr>
    </w:tblStylePr>
    <w:tblStylePr w:type="lastCol">
      <w:rPr>
        <w:rFonts w:ascii="Arial" w:hAnsi="Arial"/>
        <w:b/>
        <w:color w:val="auto"/>
        <w:sz w:val="20"/>
      </w:rPr>
    </w:tblStylePr>
    <w:tblStylePr w:type="band2Vert">
      <w:tblPr/>
      <w:tcPr>
        <w:shd w:val="clear" w:color="auto" w:fill="DDDDDD"/>
      </w:tcPr>
    </w:tblStylePr>
    <w:tblStylePr w:type="nwCell">
      <w:pPr>
        <w:jc w:val="left"/>
      </w:pPr>
      <w:tblPr/>
      <w:tcPr>
        <w:vAlign w:val="center"/>
      </w:tcPr>
    </w:tblStylePr>
    <w:tblStylePr w:type="seCell">
      <w:rPr>
        <w:b/>
        <w:color w:val="auto"/>
      </w:rPr>
    </w:tblStylePr>
    <w:tblStylePr w:type="swCell">
      <w:rPr>
        <w:b/>
      </w:rPr>
    </w:tblStylePr>
  </w:style>
  <w:style w:type="table" w:customStyle="1" w:styleId="MMCTable2">
    <w:name w:val="MMC Table 2"/>
    <w:basedOn w:val="TableNormal"/>
    <w:uiPriority w:val="99"/>
    <w:rsid w:val="009D6E95"/>
    <w:pPr>
      <w:spacing w:before="40" w:after="40" w:line="240" w:lineRule="auto"/>
    </w:pPr>
    <w:rPr>
      <w:rFonts w:eastAsiaTheme="minorHAnsi" w:cstheme="minorBidi"/>
    </w:rPr>
    <w:tblPr>
      <w:tblStyleRowBandSize w:val="1"/>
      <w:tblStyleColBandSize w:val="1"/>
      <w:tblBorders>
        <w:top w:val="single" w:sz="6" w:space="0" w:color="949494"/>
        <w:bottom w:val="single" w:sz="6" w:space="0" w:color="949494"/>
        <w:insideH w:val="single" w:sz="6" w:space="0" w:color="949494"/>
      </w:tblBorders>
      <w:tblCellMar>
        <w:top w:w="28" w:type="dxa"/>
        <w:left w:w="57" w:type="dxa"/>
        <w:bottom w:w="28" w:type="dxa"/>
        <w:right w:w="57" w:type="dxa"/>
      </w:tblCellMar>
    </w:tblPr>
    <w:tcPr>
      <w:shd w:val="clear" w:color="auto" w:fill="auto"/>
    </w:tcPr>
    <w:tblStylePr w:type="firstRow">
      <w:pPr>
        <w:jc w:val="left"/>
      </w:pPr>
      <w:rPr>
        <w:rFonts w:ascii="Arial" w:hAnsi="Arial"/>
        <w:b/>
        <w:color w:val="FFFFFF" w:themeColor="background1"/>
        <w:sz w:val="22"/>
      </w:rPr>
      <w:tblPr/>
      <w:trPr>
        <w:tblHeader/>
      </w:trPr>
      <w:tcPr>
        <w:tcBorders>
          <w:top w:val="nil"/>
          <w:left w:val="nil"/>
          <w:bottom w:val="nil"/>
          <w:right w:val="nil"/>
          <w:insideH w:val="nil"/>
          <w:insideV w:val="single" w:sz="6" w:space="0" w:color="FFFFFF" w:themeColor="background1"/>
          <w:tl2br w:val="nil"/>
          <w:tr2bl w:val="nil"/>
        </w:tcBorders>
        <w:shd w:val="clear" w:color="auto" w:fill="002C77"/>
      </w:tcPr>
    </w:tblStylePr>
    <w:tblStylePr w:type="lastRow">
      <w:rPr>
        <w:rFonts w:ascii="Arial" w:hAnsi="Arial"/>
        <w:b/>
        <w:color w:val="202020" w:themeColor="text1"/>
        <w:sz w:val="22"/>
      </w:rPr>
      <w:tblPr/>
      <w:tcPr>
        <w:tcBorders>
          <w:top w:val="single" w:sz="12" w:space="0" w:color="565656" w:themeColor="text2"/>
          <w:bottom w:val="single" w:sz="12" w:space="0" w:color="565656" w:themeColor="text2"/>
        </w:tcBorders>
        <w:shd w:val="clear" w:color="auto" w:fill="auto"/>
      </w:tcPr>
    </w:tblStylePr>
    <w:tblStylePr w:type="firstCol">
      <w:rPr>
        <w:b/>
        <w:color w:val="202020" w:themeColor="text1"/>
        <w:sz w:val="22"/>
      </w:rPr>
    </w:tblStylePr>
    <w:tblStylePr w:type="lastCol">
      <w:rPr>
        <w:rFonts w:ascii="Arial" w:hAnsi="Arial"/>
        <w:b/>
        <w:color w:val="202020" w:themeColor="text1"/>
        <w:sz w:val="22"/>
      </w:rPr>
    </w:tblStylePr>
    <w:tblStylePr w:type="band2Vert">
      <w:tblPr/>
      <w:tcPr>
        <w:shd w:val="clear" w:color="auto" w:fill="DDDDDD"/>
      </w:tcPr>
    </w:tblStylePr>
    <w:tblStylePr w:type="nwCell">
      <w:pPr>
        <w:jc w:val="left"/>
      </w:pPr>
      <w:tblPr/>
      <w:tcPr>
        <w:vAlign w:val="center"/>
      </w:tcPr>
    </w:tblStylePr>
    <w:tblStylePr w:type="seCell">
      <w:rPr>
        <w:b/>
        <w:color w:val="202020" w:themeColor="text1"/>
      </w:rPr>
    </w:tblStylePr>
    <w:tblStylePr w:type="swCell">
      <w:rPr>
        <w:b/>
      </w:rPr>
    </w:tblStylePr>
  </w:style>
  <w:style w:type="table" w:styleId="PlainTable2">
    <w:name w:val="Plain Table 2"/>
    <w:basedOn w:val="TableNormal"/>
    <w:uiPriority w:val="42"/>
    <w:rsid w:val="009D6E95"/>
    <w:pPr>
      <w:spacing w:after="0" w:line="240" w:lineRule="auto"/>
    </w:pPr>
    <w:rPr>
      <w:rFonts w:eastAsiaTheme="minorHAnsi" w:cstheme="minorBidi"/>
    </w:rPr>
    <w:tblPr>
      <w:tblStyleRowBandSize w:val="1"/>
      <w:tblStyleColBandSize w:val="1"/>
      <w:tblBorders>
        <w:top w:val="single" w:sz="4" w:space="0" w:color="8F8F8F" w:themeColor="text1" w:themeTint="80"/>
        <w:bottom w:val="single" w:sz="4" w:space="0" w:color="8F8F8F" w:themeColor="text1" w:themeTint="80"/>
      </w:tblBorders>
    </w:tblPr>
    <w:tblStylePr w:type="firstRow">
      <w:rPr>
        <w:b/>
        <w:bCs/>
      </w:rPr>
      <w:tblPr/>
      <w:tcPr>
        <w:tcBorders>
          <w:bottom w:val="single" w:sz="4" w:space="0" w:color="8F8F8F" w:themeColor="text1" w:themeTint="80"/>
        </w:tcBorders>
      </w:tcPr>
    </w:tblStylePr>
    <w:tblStylePr w:type="lastRow">
      <w:rPr>
        <w:b/>
        <w:bCs/>
      </w:rPr>
      <w:tblPr/>
      <w:tcPr>
        <w:tcBorders>
          <w:top w:val="single" w:sz="4" w:space="0" w:color="8F8F8F" w:themeColor="text1" w:themeTint="80"/>
        </w:tcBorders>
      </w:tcPr>
    </w:tblStylePr>
    <w:tblStylePr w:type="firstCol">
      <w:rPr>
        <w:b/>
        <w:bCs/>
      </w:rPr>
    </w:tblStylePr>
    <w:tblStylePr w:type="lastCol">
      <w:rPr>
        <w:b/>
        <w:bCs/>
      </w:rPr>
    </w:tblStylePr>
    <w:tblStylePr w:type="band1Vert">
      <w:tblPr/>
      <w:tcPr>
        <w:tcBorders>
          <w:left w:val="single" w:sz="4" w:space="0" w:color="8F8F8F" w:themeColor="text1" w:themeTint="80"/>
          <w:right w:val="single" w:sz="4" w:space="0" w:color="8F8F8F" w:themeColor="text1" w:themeTint="80"/>
        </w:tcBorders>
      </w:tcPr>
    </w:tblStylePr>
    <w:tblStylePr w:type="band2Vert">
      <w:tblPr/>
      <w:tcPr>
        <w:tcBorders>
          <w:left w:val="single" w:sz="4" w:space="0" w:color="8F8F8F" w:themeColor="text1" w:themeTint="80"/>
          <w:right w:val="single" w:sz="4" w:space="0" w:color="8F8F8F" w:themeColor="text1" w:themeTint="80"/>
        </w:tcBorders>
      </w:tcPr>
    </w:tblStylePr>
    <w:tblStylePr w:type="band1Horz">
      <w:tblPr/>
      <w:tcPr>
        <w:tcBorders>
          <w:top w:val="single" w:sz="4" w:space="0" w:color="8F8F8F" w:themeColor="text1" w:themeTint="80"/>
          <w:bottom w:val="single" w:sz="4" w:space="0" w:color="8F8F8F" w:themeColor="text1" w:themeTint="80"/>
        </w:tcBorders>
      </w:tcPr>
    </w:tblStylePr>
  </w:style>
  <w:style w:type="table" w:customStyle="1" w:styleId="MMCTable">
    <w:name w:val="MMC Table"/>
    <w:basedOn w:val="MMCTable2"/>
    <w:uiPriority w:val="99"/>
    <w:rsid w:val="009D6E95"/>
    <w:tblPr>
      <w:tblBorders>
        <w:top w:val="none" w:sz="0" w:space="0" w:color="auto"/>
        <w:bottom w:val="none" w:sz="0" w:space="0" w:color="auto"/>
        <w:insideH w:val="none" w:sz="0" w:space="0" w:color="auto"/>
      </w:tblBorders>
    </w:tblPr>
    <w:tcPr>
      <w:shd w:val="clear" w:color="auto" w:fill="auto"/>
    </w:tcPr>
    <w:tblStylePr w:type="firstRow">
      <w:pPr>
        <w:jc w:val="left"/>
      </w:pPr>
      <w:rPr>
        <w:rFonts w:ascii="Arial" w:hAnsi="Arial"/>
        <w:b/>
        <w:color w:val="FFFFFF" w:themeColor="background1"/>
        <w:sz w:val="22"/>
      </w:rPr>
      <w:tblPr/>
      <w:trPr>
        <w:tblHeader/>
      </w:trPr>
      <w:tcPr>
        <w:tcBorders>
          <w:top w:val="nil"/>
          <w:left w:val="nil"/>
          <w:bottom w:val="nil"/>
          <w:right w:val="nil"/>
          <w:insideH w:val="nil"/>
          <w:insideV w:val="single" w:sz="4" w:space="0" w:color="FFFFFF" w:themeColor="background1"/>
          <w:tl2br w:val="nil"/>
          <w:tr2bl w:val="nil"/>
        </w:tcBorders>
        <w:shd w:val="clear" w:color="auto" w:fill="002C77"/>
      </w:tcPr>
    </w:tblStylePr>
    <w:tblStylePr w:type="lastRow">
      <w:rPr>
        <w:rFonts w:ascii="Arial" w:hAnsi="Arial"/>
        <w:b/>
        <w:color w:val="FFFFFF" w:themeColor="background1"/>
        <w:sz w:val="22"/>
      </w:rPr>
      <w:tblPr/>
      <w:tcPr>
        <w:tcBorders>
          <w:top w:val="nil"/>
          <w:left w:val="nil"/>
          <w:bottom w:val="nil"/>
          <w:right w:val="nil"/>
          <w:insideH w:val="nil"/>
          <w:insideV w:val="nil"/>
          <w:tl2br w:val="nil"/>
          <w:tr2bl w:val="nil"/>
        </w:tcBorders>
        <w:shd w:val="clear" w:color="auto" w:fill="565656" w:themeFill="text2"/>
      </w:tcPr>
    </w:tblStylePr>
    <w:tblStylePr w:type="firstCol">
      <w:rPr>
        <w:b/>
        <w:color w:val="202020" w:themeColor="text1"/>
        <w:sz w:val="22"/>
      </w:rPr>
    </w:tblStylePr>
    <w:tblStylePr w:type="lastCol">
      <w:rPr>
        <w:rFonts w:ascii="Arial" w:hAnsi="Arial"/>
        <w:b/>
        <w:color w:val="auto"/>
        <w:sz w:val="22"/>
      </w:rPr>
    </w:tblStylePr>
    <w:tblStylePr w:type="band2Vert">
      <w:tblPr/>
      <w:tcPr>
        <w:shd w:val="clear" w:color="auto" w:fill="DDDDDD"/>
      </w:tcPr>
    </w:tblStylePr>
    <w:tblStylePr w:type="band2Horz">
      <w:tblPr/>
      <w:tcPr>
        <w:shd w:val="clear" w:color="auto" w:fill="DDDDDD"/>
      </w:tcPr>
    </w:tblStylePr>
    <w:tblStylePr w:type="nwCell">
      <w:pPr>
        <w:jc w:val="left"/>
      </w:pPr>
      <w:tblPr/>
      <w:tcPr>
        <w:vAlign w:val="center"/>
      </w:tcPr>
    </w:tblStylePr>
    <w:tblStylePr w:type="seCell">
      <w:rPr>
        <w:b/>
        <w:color w:val="FFFFFF" w:themeColor="background1"/>
      </w:rPr>
      <w:tblPr/>
      <w:tcPr>
        <w:shd w:val="clear" w:color="auto" w:fill="565656" w:themeFill="text2"/>
      </w:tcPr>
    </w:tblStylePr>
    <w:tblStylePr w:type="swCell">
      <w:rPr>
        <w:b/>
      </w:rPr>
    </w:tblStylePr>
  </w:style>
  <w:style w:type="table" w:customStyle="1" w:styleId="MMCTable3">
    <w:name w:val="MMC Table 3"/>
    <w:basedOn w:val="MMCTable2"/>
    <w:uiPriority w:val="99"/>
    <w:rsid w:val="009D6E95"/>
    <w:tblPr/>
    <w:tcPr>
      <w:shd w:val="clear" w:color="auto" w:fill="auto"/>
    </w:tcPr>
    <w:tblStylePr w:type="firstRow">
      <w:pPr>
        <w:jc w:val="left"/>
      </w:pPr>
      <w:rPr>
        <w:rFonts w:ascii="Arial" w:hAnsi="Arial"/>
        <w:b/>
        <w:color w:val="FFFFFF" w:themeColor="background1"/>
        <w:sz w:val="22"/>
      </w:rPr>
      <w:tblPr/>
      <w:trPr>
        <w:tblHeader/>
      </w:trPr>
      <w:tcPr>
        <w:tcBorders>
          <w:top w:val="nil"/>
          <w:left w:val="nil"/>
          <w:bottom w:val="nil"/>
          <w:right w:val="nil"/>
          <w:insideH w:val="nil"/>
          <w:insideV w:val="single" w:sz="6" w:space="0" w:color="FFFFFF" w:themeColor="background1"/>
          <w:tl2br w:val="nil"/>
          <w:tr2bl w:val="nil"/>
        </w:tcBorders>
        <w:shd w:val="clear" w:color="auto" w:fill="002C77"/>
      </w:tcPr>
    </w:tblStylePr>
    <w:tblStylePr w:type="lastRow">
      <w:rPr>
        <w:rFonts w:ascii="Arial" w:hAnsi="Arial"/>
        <w:b/>
        <w:color w:val="202020" w:themeColor="text1"/>
        <w:sz w:val="22"/>
      </w:rPr>
      <w:tblPr/>
      <w:tcPr>
        <w:tcBorders>
          <w:top w:val="single" w:sz="12" w:space="0" w:color="565656" w:themeColor="text2"/>
          <w:bottom w:val="single" w:sz="12" w:space="0" w:color="565656" w:themeColor="text2"/>
        </w:tcBorders>
        <w:shd w:val="clear" w:color="auto" w:fill="auto"/>
      </w:tcPr>
    </w:tblStylePr>
    <w:tblStylePr w:type="firstCol">
      <w:rPr>
        <w:b/>
        <w:color w:val="FFFFFF" w:themeColor="background1"/>
        <w:sz w:val="22"/>
      </w:rPr>
      <w:tblPr/>
      <w:tcPr>
        <w:tcBorders>
          <w:top w:val="nil"/>
          <w:left w:val="nil"/>
          <w:bottom w:val="single" w:sz="4" w:space="0" w:color="F0F0F0" w:themeColor="background2"/>
          <w:right w:val="nil"/>
          <w:insideH w:val="single" w:sz="4" w:space="0" w:color="F0F0F0" w:themeColor="background2"/>
          <w:insideV w:val="nil"/>
          <w:tl2br w:val="nil"/>
          <w:tr2bl w:val="nil"/>
        </w:tcBorders>
        <w:shd w:val="clear" w:color="auto" w:fill="565656" w:themeFill="text2"/>
      </w:tcPr>
    </w:tblStylePr>
    <w:tblStylePr w:type="lastCol">
      <w:rPr>
        <w:rFonts w:ascii="Arial" w:hAnsi="Arial"/>
        <w:b/>
        <w:color w:val="auto"/>
        <w:sz w:val="22"/>
      </w:rPr>
    </w:tblStylePr>
    <w:tblStylePr w:type="band2Vert">
      <w:tblPr/>
      <w:tcPr>
        <w:shd w:val="clear" w:color="auto" w:fill="DDDDDD"/>
      </w:tcPr>
    </w:tblStylePr>
    <w:tblStylePr w:type="nwCell">
      <w:pPr>
        <w:jc w:val="left"/>
      </w:pPr>
      <w:tblPr/>
      <w:tcPr>
        <w:vAlign w:val="center"/>
      </w:tcPr>
    </w:tblStylePr>
    <w:tblStylePr w:type="seCell">
      <w:rPr>
        <w:b/>
        <w:color w:val="auto"/>
      </w:rPr>
    </w:tblStylePr>
    <w:tblStylePr w:type="swCell">
      <w:rPr>
        <w:b/>
        <w:color w:val="FFFFFF" w:themeColor="background1"/>
      </w:rPr>
      <w:tblPr/>
      <w:tcPr>
        <w:tcBorders>
          <w:top w:val="nil"/>
        </w:tcBorders>
        <w:shd w:val="clear" w:color="auto" w:fill="565656" w:themeFill="text2"/>
      </w:tcPr>
    </w:tblStylePr>
  </w:style>
  <w:style w:type="table" w:customStyle="1" w:styleId="MMCTable4">
    <w:name w:val="MMC Table 4"/>
    <w:basedOn w:val="MMCTable2"/>
    <w:uiPriority w:val="99"/>
    <w:rsid w:val="009D6E95"/>
    <w:tblPr>
      <w:tblBorders>
        <w:top w:val="none" w:sz="0" w:space="0" w:color="auto"/>
        <w:bottom w:val="none" w:sz="0" w:space="0" w:color="auto"/>
        <w:insideH w:val="single" w:sz="6" w:space="0" w:color="565656" w:themeColor="text2"/>
        <w:insideV w:val="single" w:sz="6" w:space="0" w:color="565656" w:themeColor="text2"/>
      </w:tblBorders>
    </w:tblPr>
    <w:tcPr>
      <w:shd w:val="clear" w:color="auto" w:fill="auto"/>
    </w:tcPr>
    <w:tblStylePr w:type="firstRow">
      <w:pPr>
        <w:jc w:val="left"/>
      </w:pPr>
      <w:rPr>
        <w:rFonts w:ascii="Arial" w:hAnsi="Arial"/>
        <w:b/>
        <w:color w:val="FFFFFF" w:themeColor="background1"/>
        <w:sz w:val="22"/>
      </w:rPr>
      <w:tblPr/>
      <w:trPr>
        <w:tblHeader/>
      </w:trPr>
      <w:tcPr>
        <w:tcBorders>
          <w:top w:val="nil"/>
          <w:left w:val="nil"/>
          <w:bottom w:val="nil"/>
          <w:right w:val="nil"/>
          <w:insideH w:val="nil"/>
          <w:insideV w:val="single" w:sz="4" w:space="0" w:color="FFFFFF" w:themeColor="background1"/>
          <w:tl2br w:val="nil"/>
          <w:tr2bl w:val="nil"/>
        </w:tcBorders>
        <w:shd w:val="clear" w:color="auto" w:fill="002C77"/>
      </w:tcPr>
    </w:tblStylePr>
    <w:tblStylePr w:type="lastRow">
      <w:rPr>
        <w:rFonts w:ascii="Arial" w:hAnsi="Arial"/>
        <w:b/>
        <w:color w:val="202020" w:themeColor="text1"/>
        <w:sz w:val="22"/>
      </w:rPr>
      <w:tblPr/>
      <w:tcPr>
        <w:tcBorders>
          <w:top w:val="single" w:sz="12" w:space="0" w:color="565656" w:themeColor="text2"/>
          <w:bottom w:val="single" w:sz="12" w:space="0" w:color="565656" w:themeColor="text2"/>
        </w:tcBorders>
        <w:shd w:val="clear" w:color="auto" w:fill="auto"/>
      </w:tcPr>
    </w:tblStylePr>
    <w:tblStylePr w:type="firstCol">
      <w:rPr>
        <w:b/>
        <w:color w:val="202020" w:themeColor="text1"/>
        <w:sz w:val="22"/>
      </w:rPr>
      <w:tblPr/>
      <w:tcPr>
        <w:tcBorders>
          <w:top w:val="nil"/>
          <w:left w:val="nil"/>
          <w:bottom w:val="nil"/>
          <w:right w:val="nil"/>
          <w:insideH w:val="single" w:sz="6" w:space="0" w:color="565656" w:themeColor="text2"/>
          <w:insideV w:val="nil"/>
          <w:tl2br w:val="nil"/>
          <w:tr2bl w:val="nil"/>
        </w:tcBorders>
        <w:shd w:val="clear" w:color="auto" w:fill="auto"/>
      </w:tcPr>
    </w:tblStylePr>
    <w:tblStylePr w:type="lastCol">
      <w:rPr>
        <w:rFonts w:ascii="Arial" w:hAnsi="Arial"/>
        <w:b/>
        <w:color w:val="FFFFFF" w:themeColor="background1"/>
        <w:sz w:val="22"/>
      </w:rPr>
      <w:tblPr/>
      <w:tcPr>
        <w:tcBorders>
          <w:insideH w:val="single" w:sz="4" w:space="0" w:color="FFFFFF" w:themeColor="background1"/>
        </w:tcBorders>
        <w:shd w:val="clear" w:color="auto" w:fill="565656" w:themeFill="text2"/>
      </w:tcPr>
    </w:tblStylePr>
    <w:tblStylePr w:type="band2Vert">
      <w:tblPr/>
      <w:tcPr>
        <w:shd w:val="clear" w:color="auto" w:fill="DDDDDD"/>
      </w:tcPr>
    </w:tblStylePr>
    <w:tblStylePr w:type="nwCell">
      <w:pPr>
        <w:jc w:val="left"/>
      </w:pPr>
      <w:tblPr/>
      <w:tcPr>
        <w:vAlign w:val="center"/>
      </w:tcPr>
    </w:tblStylePr>
    <w:tblStylePr w:type="seCell">
      <w:rPr>
        <w:b/>
        <w:color w:val="FFFFFF" w:themeColor="background1"/>
      </w:rPr>
      <w:tblPr/>
      <w:tcPr>
        <w:tcBorders>
          <w:top w:val="nil"/>
        </w:tcBorders>
        <w:shd w:val="clear" w:color="auto" w:fill="565656" w:themeFill="text2"/>
      </w:tcPr>
    </w:tblStylePr>
    <w:tblStylePr w:type="swCell">
      <w:rPr>
        <w:b/>
      </w:rPr>
    </w:tblStylePr>
  </w:style>
  <w:style w:type="paragraph" w:customStyle="1" w:styleId="BaseBold">
    <w:name w:val="Base Bold"/>
    <w:basedOn w:val="Normal"/>
    <w:next w:val="Base"/>
    <w:link w:val="BaseBoldChar"/>
    <w:uiPriority w:val="99"/>
    <w:semiHidden/>
    <w:rsid w:val="009D6E95"/>
    <w:rPr>
      <w:b/>
      <w:color w:val="002C77" w:themeColor="accent1"/>
    </w:rPr>
  </w:style>
  <w:style w:type="character" w:customStyle="1" w:styleId="BaseBoldChar">
    <w:name w:val="Base Bold Char"/>
    <w:basedOn w:val="DefaultParagraphFont"/>
    <w:link w:val="BaseBold"/>
    <w:rsid w:val="009D6E95"/>
    <w:rPr>
      <w:rFonts w:cs="Arial"/>
      <w:b/>
      <w:color w:val="002C77" w:themeColor="accent1"/>
      <w:lang w:val="en-GB"/>
    </w:rPr>
  </w:style>
  <w:style w:type="paragraph" w:styleId="ListBullet">
    <w:name w:val="List Bullet"/>
    <w:basedOn w:val="Normal"/>
    <w:uiPriority w:val="4"/>
    <w:unhideWhenUsed/>
    <w:qFormat/>
    <w:rsid w:val="009D6E95"/>
    <w:pPr>
      <w:numPr>
        <w:numId w:val="11"/>
      </w:numPr>
    </w:pPr>
  </w:style>
  <w:style w:type="paragraph" w:styleId="ListBullet2">
    <w:name w:val="List Bullet 2"/>
    <w:basedOn w:val="Normal"/>
    <w:uiPriority w:val="4"/>
    <w:unhideWhenUsed/>
    <w:qFormat/>
    <w:rsid w:val="009D6E95"/>
    <w:pPr>
      <w:numPr>
        <w:ilvl w:val="1"/>
        <w:numId w:val="11"/>
      </w:numPr>
    </w:pPr>
  </w:style>
  <w:style w:type="paragraph" w:styleId="ListBullet3">
    <w:name w:val="List Bullet 3"/>
    <w:basedOn w:val="Normal"/>
    <w:uiPriority w:val="4"/>
    <w:unhideWhenUsed/>
    <w:qFormat/>
    <w:rsid w:val="009D6E95"/>
    <w:pPr>
      <w:numPr>
        <w:ilvl w:val="2"/>
        <w:numId w:val="11"/>
      </w:numPr>
    </w:pPr>
  </w:style>
  <w:style w:type="paragraph" w:styleId="ListBullet4">
    <w:name w:val="List Bullet 4"/>
    <w:basedOn w:val="Normal"/>
    <w:uiPriority w:val="4"/>
    <w:unhideWhenUsed/>
    <w:qFormat/>
    <w:rsid w:val="009D6E95"/>
    <w:pPr>
      <w:numPr>
        <w:ilvl w:val="3"/>
        <w:numId w:val="11"/>
      </w:numPr>
    </w:pPr>
  </w:style>
  <w:style w:type="paragraph" w:styleId="EndnoteText">
    <w:name w:val="endnote text"/>
    <w:basedOn w:val="Normal"/>
    <w:link w:val="EndnoteTextChar"/>
    <w:uiPriority w:val="99"/>
    <w:semiHidden/>
    <w:qFormat/>
    <w:rsid w:val="009D6E95"/>
    <w:pPr>
      <w:spacing w:after="60" w:line="132" w:lineRule="atLeast"/>
    </w:pPr>
    <w:rPr>
      <w:sz w:val="13"/>
      <w:szCs w:val="20"/>
    </w:rPr>
  </w:style>
  <w:style w:type="character" w:customStyle="1" w:styleId="EndnoteTextChar">
    <w:name w:val="Endnote Text Char"/>
    <w:basedOn w:val="DefaultParagraphFont"/>
    <w:link w:val="EndnoteText"/>
    <w:semiHidden/>
    <w:rsid w:val="009D6E95"/>
    <w:rPr>
      <w:rFonts w:cs="Arial"/>
      <w:sz w:val="13"/>
      <w:szCs w:val="20"/>
      <w:lang w:val="en-GB"/>
    </w:rPr>
  </w:style>
  <w:style w:type="paragraph" w:styleId="FootnoteText">
    <w:name w:val="footnote text"/>
    <w:aliases w:val="Text Fußnote"/>
    <w:basedOn w:val="Normal"/>
    <w:link w:val="FootnoteTextChar"/>
    <w:uiPriority w:val="99"/>
    <w:semiHidden/>
    <w:qFormat/>
    <w:rsid w:val="009D6E95"/>
    <w:pPr>
      <w:spacing w:after="60" w:line="132" w:lineRule="atLeast"/>
    </w:pPr>
    <w:rPr>
      <w:sz w:val="13"/>
      <w:szCs w:val="20"/>
    </w:rPr>
  </w:style>
  <w:style w:type="character" w:customStyle="1" w:styleId="FootnoteTextChar">
    <w:name w:val="Footnote Text Char"/>
    <w:aliases w:val="Text Fußnote Char"/>
    <w:basedOn w:val="DefaultParagraphFont"/>
    <w:link w:val="FootnoteText"/>
    <w:semiHidden/>
    <w:rsid w:val="009D6E95"/>
    <w:rPr>
      <w:rFonts w:cs="Arial"/>
      <w:sz w:val="13"/>
      <w:szCs w:val="20"/>
      <w:lang w:val="en-GB"/>
    </w:rPr>
  </w:style>
  <w:style w:type="paragraph" w:customStyle="1" w:styleId="NormalIndent1">
    <w:name w:val="Normal Indent 1"/>
    <w:basedOn w:val="Normal"/>
    <w:link w:val="NormalIndent1Char"/>
    <w:uiPriority w:val="8"/>
    <w:qFormat/>
    <w:rsid w:val="009D6E95"/>
    <w:pPr>
      <w:spacing w:line="240" w:lineRule="auto"/>
      <w:ind w:left="360"/>
    </w:pPr>
  </w:style>
  <w:style w:type="character" w:customStyle="1" w:styleId="NormalIndent1Char">
    <w:name w:val="Normal Indent 1 Char"/>
    <w:basedOn w:val="DefaultParagraphFont"/>
    <w:link w:val="NormalIndent1"/>
    <w:rsid w:val="009D6E95"/>
    <w:rPr>
      <w:rFonts w:cs="Arial"/>
      <w:lang w:val="en-GB"/>
    </w:rPr>
  </w:style>
  <w:style w:type="paragraph" w:customStyle="1" w:styleId="NormalIndent2">
    <w:name w:val="Normal Indent 2"/>
    <w:basedOn w:val="Normal"/>
    <w:link w:val="NormalIndent2Char"/>
    <w:uiPriority w:val="8"/>
    <w:qFormat/>
    <w:rsid w:val="009D6E95"/>
    <w:pPr>
      <w:spacing w:line="240" w:lineRule="auto"/>
      <w:ind w:left="720"/>
    </w:pPr>
  </w:style>
  <w:style w:type="character" w:customStyle="1" w:styleId="NormalIndent2Char">
    <w:name w:val="Normal Indent 2 Char"/>
    <w:basedOn w:val="DefaultParagraphFont"/>
    <w:link w:val="NormalIndent2"/>
    <w:rsid w:val="009D6E95"/>
    <w:rPr>
      <w:rFonts w:cs="Arial"/>
      <w:lang w:val="en-GB"/>
    </w:rPr>
  </w:style>
  <w:style w:type="paragraph" w:customStyle="1" w:styleId="NormalIndent3">
    <w:name w:val="Normal Indent 3"/>
    <w:basedOn w:val="Normal"/>
    <w:link w:val="NormalIndent3Char"/>
    <w:uiPriority w:val="8"/>
    <w:qFormat/>
    <w:rsid w:val="009D6E95"/>
    <w:pPr>
      <w:spacing w:line="240" w:lineRule="auto"/>
      <w:ind w:left="1080"/>
    </w:pPr>
  </w:style>
  <w:style w:type="character" w:customStyle="1" w:styleId="NormalIndent3Char">
    <w:name w:val="Normal Indent 3 Char"/>
    <w:basedOn w:val="DefaultParagraphFont"/>
    <w:link w:val="NormalIndent3"/>
    <w:rsid w:val="009D6E95"/>
    <w:rPr>
      <w:rFonts w:cs="Arial"/>
      <w:lang w:val="en-GB"/>
    </w:rPr>
  </w:style>
  <w:style w:type="paragraph" w:customStyle="1" w:styleId="NormalIndent4">
    <w:name w:val="Normal Indent 4"/>
    <w:basedOn w:val="Normal"/>
    <w:link w:val="NormalIndent4Char"/>
    <w:uiPriority w:val="8"/>
    <w:qFormat/>
    <w:rsid w:val="009D6E95"/>
    <w:pPr>
      <w:spacing w:line="240" w:lineRule="auto"/>
      <w:ind w:left="1440"/>
    </w:pPr>
  </w:style>
  <w:style w:type="character" w:customStyle="1" w:styleId="NormalIndent4Char">
    <w:name w:val="Normal Indent 4 Char"/>
    <w:basedOn w:val="DefaultParagraphFont"/>
    <w:link w:val="NormalIndent4"/>
    <w:rsid w:val="009D6E95"/>
    <w:rPr>
      <w:rFonts w:cs="Arial"/>
      <w:lang w:val="en-GB"/>
    </w:rPr>
  </w:style>
  <w:style w:type="paragraph" w:styleId="ListNumber">
    <w:name w:val="List Number"/>
    <w:basedOn w:val="Normal"/>
    <w:uiPriority w:val="4"/>
    <w:qFormat/>
    <w:rsid w:val="009D6E95"/>
    <w:pPr>
      <w:numPr>
        <w:numId w:val="13"/>
      </w:numPr>
    </w:pPr>
  </w:style>
  <w:style w:type="paragraph" w:styleId="ListNumber2">
    <w:name w:val="List Number 2"/>
    <w:basedOn w:val="Normal"/>
    <w:uiPriority w:val="4"/>
    <w:unhideWhenUsed/>
    <w:qFormat/>
    <w:rsid w:val="009D6E95"/>
    <w:pPr>
      <w:numPr>
        <w:ilvl w:val="1"/>
        <w:numId w:val="13"/>
      </w:numPr>
    </w:pPr>
  </w:style>
  <w:style w:type="paragraph" w:styleId="ListNumber3">
    <w:name w:val="List Number 3"/>
    <w:basedOn w:val="Normal"/>
    <w:uiPriority w:val="4"/>
    <w:unhideWhenUsed/>
    <w:qFormat/>
    <w:rsid w:val="009D6E95"/>
    <w:pPr>
      <w:numPr>
        <w:ilvl w:val="2"/>
        <w:numId w:val="13"/>
      </w:numPr>
    </w:pPr>
  </w:style>
  <w:style w:type="paragraph" w:styleId="ListNumber4">
    <w:name w:val="List Number 4"/>
    <w:basedOn w:val="Normal"/>
    <w:uiPriority w:val="4"/>
    <w:unhideWhenUsed/>
    <w:qFormat/>
    <w:rsid w:val="009D6E95"/>
    <w:pPr>
      <w:numPr>
        <w:ilvl w:val="3"/>
        <w:numId w:val="13"/>
      </w:numPr>
    </w:pPr>
  </w:style>
  <w:style w:type="paragraph" w:styleId="Quote">
    <w:name w:val="Quote"/>
    <w:basedOn w:val="Normal"/>
    <w:next w:val="Normal"/>
    <w:link w:val="QuoteChar"/>
    <w:uiPriority w:val="99"/>
    <w:semiHidden/>
    <w:qFormat/>
    <w:rsid w:val="009D6E95"/>
    <w:pPr>
      <w:spacing w:line="320" w:lineRule="atLeast"/>
    </w:pPr>
    <w:rPr>
      <w:b/>
      <w:iCs/>
      <w:color w:val="009DE0" w:themeColor="accent2"/>
      <w:sz w:val="28"/>
    </w:rPr>
  </w:style>
  <w:style w:type="character" w:customStyle="1" w:styleId="QuoteChar">
    <w:name w:val="Quote Char"/>
    <w:basedOn w:val="DefaultParagraphFont"/>
    <w:link w:val="Quote"/>
    <w:uiPriority w:val="29"/>
    <w:rsid w:val="009D6E95"/>
    <w:rPr>
      <w:rFonts w:cs="Arial"/>
      <w:b/>
      <w:iCs/>
      <w:color w:val="009DE0" w:themeColor="accent2"/>
      <w:sz w:val="28"/>
      <w:lang w:val="en-GB"/>
    </w:rPr>
  </w:style>
  <w:style w:type="paragraph" w:customStyle="1" w:styleId="TableBullet1">
    <w:name w:val="Table Bullet 1"/>
    <w:basedOn w:val="Normal"/>
    <w:link w:val="TableBullet1Char"/>
    <w:uiPriority w:val="7"/>
    <w:semiHidden/>
    <w:unhideWhenUsed/>
    <w:qFormat/>
    <w:rsid w:val="009D6E95"/>
    <w:pPr>
      <w:numPr>
        <w:numId w:val="14"/>
      </w:numPr>
      <w:spacing w:before="40" w:after="40" w:line="240" w:lineRule="auto"/>
    </w:pPr>
  </w:style>
  <w:style w:type="character" w:customStyle="1" w:styleId="TableBullet1Char">
    <w:name w:val="Table Bullet 1 Char"/>
    <w:basedOn w:val="DefaultParagraphFont"/>
    <w:link w:val="TableBullet1"/>
    <w:rsid w:val="009D6E95"/>
    <w:rPr>
      <w:rFonts w:cs="Arial"/>
      <w:lang w:val="en-GB"/>
    </w:rPr>
  </w:style>
  <w:style w:type="paragraph" w:customStyle="1" w:styleId="TableBullet2">
    <w:name w:val="Table Bullet 2"/>
    <w:basedOn w:val="Normal"/>
    <w:link w:val="TableBullet2Char"/>
    <w:uiPriority w:val="7"/>
    <w:semiHidden/>
    <w:unhideWhenUsed/>
    <w:qFormat/>
    <w:rsid w:val="009D6E95"/>
    <w:pPr>
      <w:numPr>
        <w:ilvl w:val="1"/>
        <w:numId w:val="14"/>
      </w:numPr>
      <w:spacing w:before="40" w:after="40" w:line="240" w:lineRule="auto"/>
    </w:pPr>
  </w:style>
  <w:style w:type="character" w:customStyle="1" w:styleId="TableBullet2Char">
    <w:name w:val="Table Bullet 2 Char"/>
    <w:basedOn w:val="DefaultParagraphFont"/>
    <w:link w:val="TableBullet2"/>
    <w:rsid w:val="009D6E95"/>
    <w:rPr>
      <w:rFonts w:cs="Arial"/>
      <w:lang w:val="en-GB"/>
    </w:rPr>
  </w:style>
  <w:style w:type="paragraph" w:customStyle="1" w:styleId="TableBullet3">
    <w:name w:val="Table Bullet 3"/>
    <w:basedOn w:val="Normal"/>
    <w:link w:val="TableBullet3Char"/>
    <w:uiPriority w:val="7"/>
    <w:semiHidden/>
    <w:unhideWhenUsed/>
    <w:qFormat/>
    <w:rsid w:val="009D6E95"/>
    <w:pPr>
      <w:numPr>
        <w:ilvl w:val="2"/>
        <w:numId w:val="14"/>
      </w:numPr>
      <w:spacing w:before="40" w:after="40" w:line="240" w:lineRule="auto"/>
    </w:pPr>
  </w:style>
  <w:style w:type="character" w:customStyle="1" w:styleId="TableBullet3Char">
    <w:name w:val="Table Bullet 3 Char"/>
    <w:basedOn w:val="DefaultParagraphFont"/>
    <w:link w:val="TableBullet3"/>
    <w:rsid w:val="009D6E95"/>
    <w:rPr>
      <w:rFonts w:cs="Arial"/>
      <w:lang w:val="en-GB"/>
    </w:rPr>
  </w:style>
  <w:style w:type="paragraph" w:customStyle="1" w:styleId="TableBullet4">
    <w:name w:val="Table Bullet 4"/>
    <w:basedOn w:val="Normal"/>
    <w:link w:val="TableBullet4Char"/>
    <w:uiPriority w:val="7"/>
    <w:semiHidden/>
    <w:unhideWhenUsed/>
    <w:qFormat/>
    <w:rsid w:val="009D6E95"/>
    <w:pPr>
      <w:numPr>
        <w:ilvl w:val="3"/>
        <w:numId w:val="14"/>
      </w:numPr>
      <w:spacing w:before="40" w:after="40" w:line="240" w:lineRule="auto"/>
    </w:pPr>
  </w:style>
  <w:style w:type="character" w:customStyle="1" w:styleId="TableBullet4Char">
    <w:name w:val="Table Bullet 4 Char"/>
    <w:basedOn w:val="DefaultParagraphFont"/>
    <w:link w:val="TableBullet4"/>
    <w:rsid w:val="009D6E95"/>
    <w:rPr>
      <w:rFonts w:cs="Arial"/>
      <w:lang w:val="en-GB"/>
    </w:rPr>
  </w:style>
  <w:style w:type="paragraph" w:customStyle="1" w:styleId="TableHeadingText">
    <w:name w:val="Table Heading Text"/>
    <w:basedOn w:val="Normal"/>
    <w:link w:val="TableHeadingTextChar"/>
    <w:uiPriority w:val="6"/>
    <w:qFormat/>
    <w:rsid w:val="009D6E95"/>
    <w:pPr>
      <w:keepNext/>
      <w:spacing w:before="40" w:after="40" w:line="240" w:lineRule="auto"/>
    </w:pPr>
    <w:rPr>
      <w:b/>
      <w:color w:val="FFFFFF" w:themeColor="background1"/>
    </w:rPr>
  </w:style>
  <w:style w:type="character" w:customStyle="1" w:styleId="TableHeadingTextChar">
    <w:name w:val="Table Heading Text Char"/>
    <w:basedOn w:val="DefaultParagraphFont"/>
    <w:link w:val="TableHeadingText"/>
    <w:rsid w:val="009D6E95"/>
    <w:rPr>
      <w:rFonts w:cs="Arial"/>
      <w:b/>
      <w:color w:val="FFFFFF" w:themeColor="background1"/>
      <w:lang w:val="en-GB"/>
    </w:rPr>
  </w:style>
  <w:style w:type="paragraph" w:customStyle="1" w:styleId="TableText">
    <w:name w:val="Table Text"/>
    <w:basedOn w:val="Normal"/>
    <w:link w:val="TableTextChar"/>
    <w:uiPriority w:val="6"/>
    <w:qFormat/>
    <w:rsid w:val="009D6E95"/>
    <w:pPr>
      <w:spacing w:before="40" w:after="40" w:line="240" w:lineRule="auto"/>
    </w:pPr>
  </w:style>
  <w:style w:type="character" w:customStyle="1" w:styleId="TableTextChar">
    <w:name w:val="Table Text Char"/>
    <w:basedOn w:val="DefaultParagraphFont"/>
    <w:link w:val="TableText"/>
    <w:rsid w:val="009D6E95"/>
    <w:rPr>
      <w:rFonts w:cs="Arial"/>
      <w:lang w:val="en-GB"/>
    </w:rPr>
  </w:style>
  <w:style w:type="paragraph" w:customStyle="1" w:styleId="BioContactInfo">
    <w:name w:val="Bio Contact Info"/>
    <w:basedOn w:val="Base"/>
    <w:link w:val="BioContactInfoChar"/>
    <w:uiPriority w:val="99"/>
    <w:rsid w:val="009D6E95"/>
    <w:pPr>
      <w:spacing w:before="40" w:after="40" w:line="240" w:lineRule="auto"/>
    </w:pPr>
    <w:rPr>
      <w:sz w:val="20"/>
    </w:rPr>
  </w:style>
  <w:style w:type="character" w:customStyle="1" w:styleId="BioContactInfoChar">
    <w:name w:val="Bio Contact Info Char"/>
    <w:basedOn w:val="DefaultParagraphFont"/>
    <w:link w:val="BioContactInfo"/>
    <w:rsid w:val="009D6E95"/>
    <w:rPr>
      <w:rFonts w:cs="Arial"/>
      <w:sz w:val="20"/>
      <w:lang w:val="en-GB"/>
    </w:rPr>
  </w:style>
  <w:style w:type="paragraph" w:customStyle="1" w:styleId="BioName">
    <w:name w:val="Bio Name"/>
    <w:basedOn w:val="Base"/>
    <w:next w:val="BioTitle"/>
    <w:link w:val="BioNameChar"/>
    <w:uiPriority w:val="99"/>
    <w:rsid w:val="009D6E95"/>
    <w:pPr>
      <w:spacing w:after="0" w:line="240" w:lineRule="auto"/>
    </w:pPr>
    <w:rPr>
      <w:b/>
      <w:sz w:val="28"/>
    </w:rPr>
  </w:style>
  <w:style w:type="character" w:customStyle="1" w:styleId="BioNameChar">
    <w:name w:val="Bio Name Char"/>
    <w:basedOn w:val="DefaultParagraphFont"/>
    <w:link w:val="BioName"/>
    <w:rsid w:val="009D6E95"/>
    <w:rPr>
      <w:rFonts w:cs="Arial"/>
      <w:b/>
      <w:sz w:val="28"/>
      <w:lang w:val="en-GB"/>
    </w:rPr>
  </w:style>
  <w:style w:type="paragraph" w:customStyle="1" w:styleId="BioSectionHeading">
    <w:name w:val="Bio Section Heading"/>
    <w:basedOn w:val="Base"/>
    <w:next w:val="BioText"/>
    <w:link w:val="BioSectionHeadingChar"/>
    <w:uiPriority w:val="99"/>
    <w:rsid w:val="009D6E95"/>
    <w:rPr>
      <w:b/>
      <w:color w:val="002C77" w:themeColor="accent1"/>
    </w:rPr>
  </w:style>
  <w:style w:type="character" w:customStyle="1" w:styleId="BioSectionHeadingChar">
    <w:name w:val="Bio Section Heading Char"/>
    <w:basedOn w:val="DefaultParagraphFont"/>
    <w:link w:val="BioSectionHeading"/>
    <w:rsid w:val="009D6E95"/>
    <w:rPr>
      <w:rFonts w:cs="Arial"/>
      <w:b/>
      <w:color w:val="002C77" w:themeColor="accent1"/>
      <w:lang w:val="en-GB"/>
    </w:rPr>
  </w:style>
  <w:style w:type="paragraph" w:customStyle="1" w:styleId="BioText">
    <w:name w:val="Bio Text"/>
    <w:basedOn w:val="Base"/>
    <w:link w:val="BioTextChar"/>
    <w:uiPriority w:val="99"/>
    <w:rsid w:val="009D6E95"/>
  </w:style>
  <w:style w:type="character" w:customStyle="1" w:styleId="BioTextChar">
    <w:name w:val="Bio Text Char"/>
    <w:basedOn w:val="DefaultParagraphFont"/>
    <w:link w:val="BioText"/>
    <w:rsid w:val="009D6E95"/>
    <w:rPr>
      <w:rFonts w:cs="Arial"/>
      <w:lang w:val="en-GB"/>
    </w:rPr>
  </w:style>
  <w:style w:type="paragraph" w:customStyle="1" w:styleId="BioTitle">
    <w:name w:val="Bio Title"/>
    <w:basedOn w:val="Base"/>
    <w:next w:val="BioText"/>
    <w:link w:val="BioTitleChar"/>
    <w:uiPriority w:val="99"/>
    <w:rsid w:val="009D6E95"/>
    <w:pPr>
      <w:spacing w:after="80"/>
    </w:pPr>
  </w:style>
  <w:style w:type="character" w:customStyle="1" w:styleId="BioTitleChar">
    <w:name w:val="Bio Title Char"/>
    <w:basedOn w:val="DefaultParagraphFont"/>
    <w:link w:val="BioTitle"/>
    <w:rsid w:val="009D6E95"/>
    <w:rPr>
      <w:rFonts w:cs="Arial"/>
      <w:lang w:val="en-GB"/>
    </w:rPr>
  </w:style>
  <w:style w:type="paragraph" w:customStyle="1" w:styleId="CalloutBullet">
    <w:name w:val="Callout Bullet"/>
    <w:basedOn w:val="ListBullet"/>
    <w:link w:val="CalloutBulletChar"/>
    <w:uiPriority w:val="99"/>
    <w:rsid w:val="009D6E95"/>
    <w:pPr>
      <w:pBdr>
        <w:top w:val="single" w:sz="48" w:space="1" w:color="F0F0F0"/>
        <w:left w:val="single" w:sz="48" w:space="4" w:color="F0F0F0"/>
        <w:bottom w:val="single" w:sz="48" w:space="1" w:color="F0F0F0"/>
        <w:right w:val="single" w:sz="48" w:space="4" w:color="F0F0F0"/>
      </w:pBdr>
      <w:shd w:val="clear" w:color="auto" w:fill="F0F0F0"/>
      <w:tabs>
        <w:tab w:val="clear" w:pos="360"/>
        <w:tab w:val="num" w:pos="720"/>
      </w:tabs>
      <w:spacing w:after="80" w:line="240" w:lineRule="auto"/>
      <w:ind w:left="590" w:right="230"/>
    </w:pPr>
    <w:rPr>
      <w:color w:val="002C77" w:themeColor="accent1"/>
    </w:rPr>
  </w:style>
  <w:style w:type="character" w:customStyle="1" w:styleId="CalloutBulletChar">
    <w:name w:val="Callout Bullet Char"/>
    <w:basedOn w:val="DefaultParagraphFont"/>
    <w:link w:val="CalloutBullet"/>
    <w:rsid w:val="009D6E95"/>
    <w:rPr>
      <w:rFonts w:cs="Arial"/>
      <w:color w:val="002C77" w:themeColor="accent1"/>
      <w:shd w:val="clear" w:color="auto" w:fill="F0F0F0"/>
      <w:lang w:val="en-GB"/>
    </w:rPr>
  </w:style>
  <w:style w:type="paragraph" w:customStyle="1" w:styleId="CalloutHeading">
    <w:name w:val="Callout Heading"/>
    <w:basedOn w:val="Base"/>
    <w:next w:val="CalloutText"/>
    <w:link w:val="CalloutHeadingChar"/>
    <w:uiPriority w:val="99"/>
    <w:rsid w:val="009D6E95"/>
    <w:pPr>
      <w:pBdr>
        <w:top w:val="single" w:sz="48" w:space="1" w:color="F0F0F0"/>
        <w:left w:val="single" w:sz="48" w:space="4" w:color="F0F0F0"/>
        <w:bottom w:val="single" w:sz="48" w:space="1" w:color="F0F0F0"/>
        <w:right w:val="single" w:sz="48" w:space="4" w:color="F0F0F0"/>
      </w:pBdr>
      <w:shd w:val="clear" w:color="auto" w:fill="F0F0F0"/>
      <w:spacing w:before="200" w:line="240" w:lineRule="auto"/>
      <w:ind w:left="230" w:right="230"/>
    </w:pPr>
    <w:rPr>
      <w:b/>
      <w:color w:val="002C77" w:themeColor="accent1"/>
      <w:sz w:val="28"/>
    </w:rPr>
  </w:style>
  <w:style w:type="character" w:customStyle="1" w:styleId="CalloutHeadingChar">
    <w:name w:val="Callout Heading Char"/>
    <w:basedOn w:val="DefaultParagraphFont"/>
    <w:link w:val="CalloutHeading"/>
    <w:rsid w:val="009D6E95"/>
    <w:rPr>
      <w:rFonts w:cs="Arial"/>
      <w:b/>
      <w:color w:val="002C77" w:themeColor="accent1"/>
      <w:sz w:val="28"/>
      <w:shd w:val="clear" w:color="auto" w:fill="F0F0F0"/>
      <w:lang w:val="en-GB"/>
    </w:rPr>
  </w:style>
  <w:style w:type="paragraph" w:customStyle="1" w:styleId="CalloutText">
    <w:name w:val="Callout Text"/>
    <w:basedOn w:val="Base"/>
    <w:link w:val="CalloutTextChar"/>
    <w:uiPriority w:val="99"/>
    <w:rsid w:val="009D6E95"/>
    <w:pPr>
      <w:pBdr>
        <w:top w:val="single" w:sz="48" w:space="1" w:color="F0F0F0"/>
        <w:left w:val="single" w:sz="48" w:space="4" w:color="F0F0F0"/>
        <w:bottom w:val="single" w:sz="48" w:space="1" w:color="F0F0F0"/>
        <w:right w:val="single" w:sz="48" w:space="4" w:color="F0F0F0"/>
      </w:pBdr>
      <w:shd w:val="clear" w:color="auto" w:fill="F0F0F0"/>
      <w:spacing w:line="240" w:lineRule="atLeast"/>
      <w:ind w:left="230" w:right="230"/>
    </w:pPr>
    <w:rPr>
      <w:color w:val="002C77" w:themeColor="accent1"/>
    </w:rPr>
  </w:style>
  <w:style w:type="character" w:customStyle="1" w:styleId="CalloutTextChar">
    <w:name w:val="Callout Text Char"/>
    <w:basedOn w:val="DefaultParagraphFont"/>
    <w:link w:val="CalloutText"/>
    <w:rsid w:val="009D6E95"/>
    <w:rPr>
      <w:rFonts w:cs="Arial"/>
      <w:color w:val="002C77" w:themeColor="accent1"/>
      <w:shd w:val="clear" w:color="auto" w:fill="F0F0F0"/>
      <w:lang w:val="en-GB"/>
    </w:rPr>
  </w:style>
  <w:style w:type="paragraph" w:customStyle="1" w:styleId="CaseStudyBullet">
    <w:name w:val="Case Study Bullet"/>
    <w:basedOn w:val="ListBullet"/>
    <w:link w:val="CaseStudyBulletChar"/>
    <w:uiPriority w:val="99"/>
    <w:rsid w:val="009D6E95"/>
    <w:pPr>
      <w:pBdr>
        <w:top w:val="single" w:sz="48" w:space="1" w:color="202020"/>
        <w:left w:val="single" w:sz="48" w:space="4" w:color="202020"/>
        <w:bottom w:val="single" w:sz="48" w:space="1" w:color="202020"/>
        <w:right w:val="single" w:sz="48" w:space="4" w:color="202020"/>
      </w:pBdr>
      <w:shd w:val="clear" w:color="auto" w:fill="202020"/>
      <w:tabs>
        <w:tab w:val="clear" w:pos="360"/>
        <w:tab w:val="num" w:pos="720"/>
      </w:tabs>
      <w:spacing w:after="80" w:line="240" w:lineRule="auto"/>
      <w:ind w:left="590" w:right="230"/>
    </w:pPr>
    <w:rPr>
      <w:color w:val="FFFFFF" w:themeColor="background1"/>
    </w:rPr>
  </w:style>
  <w:style w:type="character" w:customStyle="1" w:styleId="CaseStudyBulletChar">
    <w:name w:val="Case Study Bullet Char"/>
    <w:basedOn w:val="DefaultParagraphFont"/>
    <w:link w:val="CaseStudyBullet"/>
    <w:rsid w:val="009D6E95"/>
    <w:rPr>
      <w:rFonts w:cs="Arial"/>
      <w:color w:val="FFFFFF" w:themeColor="background1"/>
      <w:shd w:val="clear" w:color="auto" w:fill="202020"/>
      <w:lang w:val="en-GB"/>
    </w:rPr>
  </w:style>
  <w:style w:type="paragraph" w:customStyle="1" w:styleId="CaseStudyHeading">
    <w:name w:val="Case Study Heading"/>
    <w:basedOn w:val="Base"/>
    <w:next w:val="CaseStudyText"/>
    <w:link w:val="CaseStudyHeadingChar"/>
    <w:uiPriority w:val="99"/>
    <w:rsid w:val="009D6E95"/>
    <w:pPr>
      <w:pBdr>
        <w:top w:val="single" w:sz="48" w:space="1" w:color="202020"/>
        <w:left w:val="single" w:sz="48" w:space="4" w:color="202020"/>
        <w:bottom w:val="single" w:sz="48" w:space="1" w:color="202020"/>
        <w:right w:val="single" w:sz="48" w:space="4" w:color="202020"/>
      </w:pBdr>
      <w:shd w:val="clear" w:color="auto" w:fill="202020"/>
      <w:spacing w:before="200" w:line="240" w:lineRule="auto"/>
      <w:ind w:left="230" w:right="230"/>
    </w:pPr>
    <w:rPr>
      <w:b/>
      <w:color w:val="FFFFFF" w:themeColor="background1"/>
      <w:sz w:val="28"/>
    </w:rPr>
  </w:style>
  <w:style w:type="character" w:customStyle="1" w:styleId="CaseStudyHeadingChar">
    <w:name w:val="Case Study Heading Char"/>
    <w:basedOn w:val="DefaultParagraphFont"/>
    <w:link w:val="CaseStudyHeading"/>
    <w:rsid w:val="009D6E95"/>
    <w:rPr>
      <w:rFonts w:cs="Arial"/>
      <w:b/>
      <w:color w:val="FFFFFF" w:themeColor="background1"/>
      <w:sz w:val="28"/>
      <w:shd w:val="clear" w:color="auto" w:fill="202020"/>
      <w:lang w:val="en-GB"/>
    </w:rPr>
  </w:style>
  <w:style w:type="paragraph" w:customStyle="1" w:styleId="CaseStudySubheading">
    <w:name w:val="Case Study Subheading"/>
    <w:basedOn w:val="Base"/>
    <w:next w:val="CaseStudyText"/>
    <w:link w:val="CaseStudySubheadingChar"/>
    <w:uiPriority w:val="99"/>
    <w:rsid w:val="009D6E95"/>
    <w:pPr>
      <w:pBdr>
        <w:top w:val="single" w:sz="48" w:space="1" w:color="202020"/>
        <w:left w:val="single" w:sz="48" w:space="4" w:color="202020"/>
        <w:bottom w:val="single" w:sz="48" w:space="1" w:color="202020"/>
        <w:right w:val="single" w:sz="48" w:space="4" w:color="202020"/>
      </w:pBdr>
      <w:shd w:val="clear" w:color="auto" w:fill="202020"/>
      <w:spacing w:after="120" w:line="240" w:lineRule="auto"/>
      <w:ind w:left="230" w:right="230"/>
    </w:pPr>
    <w:rPr>
      <w:b/>
      <w:color w:val="FFFFFF" w:themeColor="background1"/>
    </w:rPr>
  </w:style>
  <w:style w:type="character" w:customStyle="1" w:styleId="CaseStudySubheadingChar">
    <w:name w:val="Case Study Subheading Char"/>
    <w:basedOn w:val="DefaultParagraphFont"/>
    <w:link w:val="CaseStudySubheading"/>
    <w:rsid w:val="009D6E95"/>
    <w:rPr>
      <w:rFonts w:cs="Arial"/>
      <w:b/>
      <w:color w:val="FFFFFF" w:themeColor="background1"/>
      <w:shd w:val="clear" w:color="auto" w:fill="202020"/>
      <w:lang w:val="en-GB"/>
    </w:rPr>
  </w:style>
  <w:style w:type="paragraph" w:customStyle="1" w:styleId="CaseStudyText">
    <w:name w:val="Case Study Text"/>
    <w:basedOn w:val="Base"/>
    <w:link w:val="CaseStudyTextChar"/>
    <w:uiPriority w:val="99"/>
    <w:rsid w:val="009D6E95"/>
    <w:pPr>
      <w:pBdr>
        <w:top w:val="single" w:sz="48" w:space="1" w:color="202020"/>
        <w:left w:val="single" w:sz="48" w:space="4" w:color="202020"/>
        <w:bottom w:val="single" w:sz="48" w:space="1" w:color="202020"/>
        <w:right w:val="single" w:sz="48" w:space="4" w:color="202020"/>
      </w:pBdr>
      <w:shd w:val="clear" w:color="auto" w:fill="202020"/>
      <w:spacing w:line="240" w:lineRule="atLeast"/>
      <w:ind w:left="230" w:right="230"/>
    </w:pPr>
    <w:rPr>
      <w:color w:val="FFFFFF" w:themeColor="background1"/>
    </w:rPr>
  </w:style>
  <w:style w:type="character" w:customStyle="1" w:styleId="CaseStudyTextChar">
    <w:name w:val="Case Study Text Char"/>
    <w:basedOn w:val="DefaultParagraphFont"/>
    <w:link w:val="CaseStudyText"/>
    <w:rsid w:val="009D6E95"/>
    <w:rPr>
      <w:rFonts w:cs="Arial"/>
      <w:color w:val="FFFFFF" w:themeColor="background1"/>
      <w:shd w:val="clear" w:color="auto" w:fill="202020"/>
      <w:lang w:val="en-GB"/>
    </w:rPr>
  </w:style>
  <w:style w:type="paragraph" w:customStyle="1" w:styleId="DividerText">
    <w:name w:val="Divider Text"/>
    <w:basedOn w:val="Base"/>
    <w:link w:val="DividerTextChar"/>
    <w:uiPriority w:val="99"/>
    <w:rsid w:val="009D6E95"/>
    <w:pPr>
      <w:ind w:right="2268"/>
    </w:pPr>
    <w:rPr>
      <w:b/>
      <w:color w:val="FFFFFF" w:themeColor="background1"/>
      <w:sz w:val="68"/>
    </w:rPr>
  </w:style>
  <w:style w:type="character" w:customStyle="1" w:styleId="DividerTextChar">
    <w:name w:val="Divider Text Char"/>
    <w:basedOn w:val="DefaultParagraphFont"/>
    <w:link w:val="DividerText"/>
    <w:rsid w:val="009D6E95"/>
    <w:rPr>
      <w:rFonts w:cs="Arial"/>
      <w:b/>
      <w:color w:val="FFFFFF" w:themeColor="background1"/>
      <w:sz w:val="68"/>
      <w:lang w:val="en-GB"/>
    </w:rPr>
  </w:style>
  <w:style w:type="character" w:styleId="FollowedHyperlink">
    <w:name w:val="FollowedHyperlink"/>
    <w:basedOn w:val="DefaultParagraphFont"/>
    <w:uiPriority w:val="99"/>
    <w:semiHidden/>
    <w:unhideWhenUsed/>
    <w:rsid w:val="009D6E95"/>
    <w:rPr>
      <w:b w:val="0"/>
      <w:i w:val="0"/>
      <w:caps w:val="0"/>
      <w:smallCaps w:val="0"/>
      <w:vanish w:val="0"/>
      <w:color w:val="8246AF" w:themeColor="followedHyperlink"/>
      <w:u w:val="none"/>
    </w:rPr>
  </w:style>
  <w:style w:type="character" w:styleId="Hyperlink">
    <w:name w:val="Hyperlink"/>
    <w:basedOn w:val="DefaultParagraphFont"/>
    <w:uiPriority w:val="99"/>
    <w:semiHidden/>
    <w:unhideWhenUsed/>
    <w:rsid w:val="009D6E95"/>
    <w:rPr>
      <w:b w:val="0"/>
      <w:i w:val="0"/>
      <w:caps w:val="0"/>
      <w:smallCaps w:val="0"/>
      <w:vanish w:val="0"/>
      <w:color w:val="2C6EF2" w:themeColor="hyperlink"/>
      <w:u w:val="none"/>
    </w:rPr>
  </w:style>
  <w:style w:type="paragraph" w:customStyle="1" w:styleId="PullQuote">
    <w:name w:val="Pull Quote"/>
    <w:basedOn w:val="Base"/>
    <w:next w:val="PullQuoteAuthor"/>
    <w:link w:val="PullQuoteChar"/>
    <w:uiPriority w:val="99"/>
    <w:rsid w:val="009D6E95"/>
    <w:rPr>
      <w:i/>
      <w:color w:val="009DE0" w:themeColor="accent2"/>
      <w:sz w:val="28"/>
    </w:rPr>
  </w:style>
  <w:style w:type="character" w:customStyle="1" w:styleId="PullQuoteChar">
    <w:name w:val="Pull Quote Char"/>
    <w:basedOn w:val="DefaultParagraphFont"/>
    <w:link w:val="PullQuote"/>
    <w:rsid w:val="009D6E95"/>
    <w:rPr>
      <w:rFonts w:cs="Arial"/>
      <w:i/>
      <w:color w:val="009DE0" w:themeColor="accent2"/>
      <w:sz w:val="28"/>
      <w:lang w:val="en-GB"/>
    </w:rPr>
  </w:style>
  <w:style w:type="paragraph" w:customStyle="1" w:styleId="PullQuoteAuthor">
    <w:name w:val="Pull Quote Author"/>
    <w:basedOn w:val="Base"/>
    <w:next w:val="Normal"/>
    <w:link w:val="PullQuoteAuthorChar"/>
    <w:uiPriority w:val="99"/>
    <w:rsid w:val="009D6E95"/>
    <w:pPr>
      <w:spacing w:after="360"/>
      <w:jc w:val="right"/>
    </w:pPr>
    <w:rPr>
      <w:color w:val="002C77" w:themeColor="accent1"/>
      <w:sz w:val="18"/>
    </w:rPr>
  </w:style>
  <w:style w:type="character" w:customStyle="1" w:styleId="PullQuoteAuthorChar">
    <w:name w:val="Pull Quote Author Char"/>
    <w:basedOn w:val="DefaultParagraphFont"/>
    <w:link w:val="PullQuoteAuthor"/>
    <w:rsid w:val="009D6E95"/>
    <w:rPr>
      <w:rFonts w:cs="Arial"/>
      <w:color w:val="002C77" w:themeColor="accent1"/>
      <w:sz w:val="18"/>
      <w:lang w:val="en-GB"/>
    </w:rPr>
  </w:style>
  <w:style w:type="paragraph" w:customStyle="1" w:styleId="PullQuote2">
    <w:name w:val="Pull Quote 2"/>
    <w:basedOn w:val="Base"/>
    <w:next w:val="PullQuote2Author"/>
    <w:link w:val="PullQuote2Char"/>
    <w:uiPriority w:val="99"/>
    <w:rsid w:val="009D6E95"/>
    <w:pPr>
      <w:spacing w:line="460" w:lineRule="atLeast"/>
    </w:pPr>
    <w:rPr>
      <w:b/>
      <w:color w:val="002C77" w:themeColor="accent1"/>
      <w:sz w:val="36"/>
    </w:rPr>
  </w:style>
  <w:style w:type="character" w:customStyle="1" w:styleId="PullQuote2Char">
    <w:name w:val="Pull Quote 2 Char"/>
    <w:basedOn w:val="DefaultParagraphFont"/>
    <w:link w:val="PullQuote2"/>
    <w:rsid w:val="009D6E95"/>
    <w:rPr>
      <w:rFonts w:cs="Arial"/>
      <w:b/>
      <w:color w:val="002C77" w:themeColor="accent1"/>
      <w:sz w:val="36"/>
      <w:lang w:val="en-GB"/>
    </w:rPr>
  </w:style>
  <w:style w:type="paragraph" w:customStyle="1" w:styleId="PullQuote2Author">
    <w:name w:val="Pull Quote 2 Author"/>
    <w:basedOn w:val="Base"/>
    <w:next w:val="Normal"/>
    <w:link w:val="PullQuote2AuthorChar"/>
    <w:uiPriority w:val="99"/>
    <w:rsid w:val="009D6E95"/>
    <w:pPr>
      <w:spacing w:after="200"/>
      <w:jc w:val="right"/>
    </w:pPr>
    <w:rPr>
      <w:color w:val="002C77" w:themeColor="accent1"/>
      <w:sz w:val="18"/>
    </w:rPr>
  </w:style>
  <w:style w:type="character" w:customStyle="1" w:styleId="PullQuote2AuthorChar">
    <w:name w:val="Pull Quote 2 Author Char"/>
    <w:basedOn w:val="DefaultParagraphFont"/>
    <w:link w:val="PullQuote2Author"/>
    <w:rsid w:val="009D6E95"/>
    <w:rPr>
      <w:rFonts w:cs="Arial"/>
      <w:color w:val="002C77" w:themeColor="accent1"/>
      <w:sz w:val="18"/>
      <w:lang w:val="en-GB"/>
    </w:rPr>
  </w:style>
  <w:style w:type="paragraph" w:customStyle="1" w:styleId="Question">
    <w:name w:val="Question"/>
    <w:basedOn w:val="Base"/>
    <w:link w:val="QuestionChar"/>
    <w:uiPriority w:val="99"/>
    <w:rsid w:val="009D6E95"/>
    <w:pPr>
      <w:spacing w:after="80"/>
    </w:pPr>
    <w:rPr>
      <w:b/>
    </w:rPr>
  </w:style>
  <w:style w:type="character" w:customStyle="1" w:styleId="QuestionChar">
    <w:name w:val="Question Char"/>
    <w:basedOn w:val="DefaultParagraphFont"/>
    <w:link w:val="Question"/>
    <w:rsid w:val="009D6E95"/>
    <w:rPr>
      <w:rFonts w:cs="Arial"/>
      <w:b/>
      <w:lang w:val="en-GB"/>
    </w:rPr>
  </w:style>
  <w:style w:type="paragraph" w:customStyle="1" w:styleId="QuestionBullet">
    <w:name w:val="Question Bullet"/>
    <w:basedOn w:val="ListBullet"/>
    <w:link w:val="QuestionBulletChar"/>
    <w:uiPriority w:val="99"/>
    <w:rsid w:val="009D6E95"/>
    <w:pPr>
      <w:spacing w:after="80"/>
    </w:pPr>
    <w:rPr>
      <w:b/>
    </w:rPr>
  </w:style>
  <w:style w:type="character" w:customStyle="1" w:styleId="QuestionBulletChar">
    <w:name w:val="Question Bullet Char"/>
    <w:basedOn w:val="DefaultParagraphFont"/>
    <w:link w:val="QuestionBullet"/>
    <w:rsid w:val="009D6E95"/>
    <w:rPr>
      <w:rFonts w:cs="Arial"/>
      <w:b/>
      <w:lang w:val="en-GB"/>
    </w:rPr>
  </w:style>
  <w:style w:type="paragraph" w:customStyle="1" w:styleId="QuestionIndent">
    <w:name w:val="Question Indent"/>
    <w:basedOn w:val="NormalIndent1"/>
    <w:link w:val="QuestionIndentChar"/>
    <w:uiPriority w:val="99"/>
    <w:rsid w:val="009D6E95"/>
    <w:pPr>
      <w:spacing w:after="80"/>
    </w:pPr>
    <w:rPr>
      <w:b/>
    </w:rPr>
  </w:style>
  <w:style w:type="character" w:customStyle="1" w:styleId="QuestionIndentChar">
    <w:name w:val="Question Indent Char"/>
    <w:basedOn w:val="DefaultParagraphFont"/>
    <w:link w:val="QuestionIndent"/>
    <w:rsid w:val="009D6E95"/>
    <w:rPr>
      <w:rFonts w:cs="Arial"/>
      <w:b/>
      <w:lang w:val="en-GB"/>
    </w:rPr>
  </w:style>
  <w:style w:type="paragraph" w:styleId="ListParagraph">
    <w:name w:val="List Paragraph"/>
    <w:basedOn w:val="Normal"/>
    <w:uiPriority w:val="34"/>
    <w:qFormat/>
    <w:rsid w:val="009D6E95"/>
    <w:pPr>
      <w:ind w:left="720"/>
      <w:contextualSpacing/>
    </w:pPr>
  </w:style>
  <w:style w:type="paragraph" w:styleId="BalloonText">
    <w:name w:val="Balloon Text"/>
    <w:basedOn w:val="Normal"/>
    <w:link w:val="BalloonTextChar"/>
    <w:semiHidden/>
    <w:rsid w:val="009D6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D6E95"/>
    <w:rPr>
      <w:rFonts w:ascii="Segoe UI" w:hAnsi="Segoe UI" w:cs="Segoe UI"/>
      <w:sz w:val="18"/>
      <w:szCs w:val="18"/>
      <w:lang w:val="en-GB"/>
    </w:rPr>
  </w:style>
  <w:style w:type="paragraph" w:styleId="Bibliography">
    <w:name w:val="Bibliography"/>
    <w:basedOn w:val="Normal"/>
    <w:next w:val="Normal"/>
    <w:uiPriority w:val="37"/>
    <w:semiHidden/>
    <w:rsid w:val="009D6E95"/>
  </w:style>
  <w:style w:type="character" w:styleId="BookTitle">
    <w:name w:val="Book Title"/>
    <w:basedOn w:val="DefaultParagraphFont"/>
    <w:uiPriority w:val="33"/>
    <w:semiHidden/>
    <w:qFormat/>
    <w:rsid w:val="009D6E95"/>
    <w:rPr>
      <w:b/>
      <w:bCs/>
      <w:i/>
      <w:iCs/>
      <w:spacing w:val="5"/>
    </w:rPr>
  </w:style>
  <w:style w:type="paragraph" w:styleId="Caption">
    <w:name w:val="caption"/>
    <w:basedOn w:val="Normal"/>
    <w:next w:val="Normal"/>
    <w:semiHidden/>
    <w:qFormat/>
    <w:rsid w:val="009D6E95"/>
    <w:pPr>
      <w:spacing w:after="200" w:line="240" w:lineRule="auto"/>
    </w:pPr>
    <w:rPr>
      <w:i/>
      <w:iCs/>
      <w:color w:val="565656" w:themeColor="text2"/>
      <w:sz w:val="18"/>
      <w:szCs w:val="18"/>
    </w:rPr>
  </w:style>
  <w:style w:type="paragraph" w:styleId="DocumentMap">
    <w:name w:val="Document Map"/>
    <w:basedOn w:val="Normal"/>
    <w:link w:val="DocumentMapChar"/>
    <w:semiHidden/>
    <w:rsid w:val="009D6E9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9D6E95"/>
    <w:rPr>
      <w:rFonts w:ascii="Segoe UI" w:hAnsi="Segoe UI" w:cs="Segoe UI"/>
      <w:sz w:val="16"/>
      <w:szCs w:val="16"/>
      <w:lang w:val="en-GB"/>
    </w:rPr>
  </w:style>
  <w:style w:type="paragraph" w:styleId="MacroText">
    <w:name w:val="macro"/>
    <w:link w:val="MacroTextChar"/>
    <w:semiHidden/>
    <w:rsid w:val="009D6E9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lang w:val="en-GB"/>
    </w:rPr>
  </w:style>
  <w:style w:type="character" w:customStyle="1" w:styleId="MacroTextChar">
    <w:name w:val="Macro Text Char"/>
    <w:basedOn w:val="DefaultParagraphFont"/>
    <w:link w:val="MacroText"/>
    <w:semiHidden/>
    <w:rsid w:val="009D6E95"/>
    <w:rPr>
      <w:rFonts w:ascii="Consolas" w:hAnsi="Consolas" w:cs="Arial"/>
      <w:sz w:val="20"/>
      <w:szCs w:val="20"/>
      <w:lang w:val="en-GB"/>
    </w:rPr>
  </w:style>
  <w:style w:type="paragraph" w:styleId="NoSpacing">
    <w:name w:val="No Spacing"/>
    <w:uiPriority w:val="1"/>
    <w:semiHidden/>
    <w:qFormat/>
    <w:rsid w:val="009D6E95"/>
    <w:pPr>
      <w:spacing w:after="0" w:line="240" w:lineRule="auto"/>
    </w:pPr>
    <w:rPr>
      <w:rFonts w:cs="Arial"/>
      <w:lang w:val="en-GB"/>
    </w:rPr>
  </w:style>
  <w:style w:type="paragraph" w:styleId="NormalWeb">
    <w:name w:val="Normal (Web)"/>
    <w:basedOn w:val="Normal"/>
    <w:semiHidden/>
    <w:rsid w:val="009D6E95"/>
    <w:rPr>
      <w:rFonts w:ascii="Times New Roman" w:hAnsi="Times New Roman" w:cs="Times New Roman"/>
      <w:sz w:val="24"/>
      <w:szCs w:val="24"/>
    </w:rPr>
  </w:style>
  <w:style w:type="character" w:styleId="PlaceholderText">
    <w:name w:val="Placeholder Text"/>
    <w:basedOn w:val="DefaultParagraphFont"/>
    <w:uiPriority w:val="99"/>
    <w:semiHidden/>
    <w:rsid w:val="009D6E95"/>
    <w:rPr>
      <w:color w:val="666666"/>
    </w:rPr>
  </w:style>
  <w:style w:type="paragraph" w:styleId="TableofAuthorities">
    <w:name w:val="table of authorities"/>
    <w:basedOn w:val="Normal"/>
    <w:next w:val="Normal"/>
    <w:semiHidden/>
    <w:rsid w:val="009D6E95"/>
    <w:pPr>
      <w:spacing w:after="0"/>
      <w:ind w:left="220" w:hanging="220"/>
    </w:pPr>
  </w:style>
  <w:style w:type="paragraph" w:styleId="TableofFigures">
    <w:name w:val="table of figures"/>
    <w:basedOn w:val="Normal"/>
    <w:next w:val="Normal"/>
    <w:semiHidden/>
    <w:rsid w:val="009D6E95"/>
    <w:pPr>
      <w:spacing w:after="0"/>
    </w:pPr>
  </w:style>
  <w:style w:type="paragraph" w:styleId="TOAHeading">
    <w:name w:val="toa heading"/>
    <w:basedOn w:val="Normal"/>
    <w:next w:val="Normal"/>
    <w:semiHidden/>
    <w:rsid w:val="009D6E95"/>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rsid w:val="009D6E95"/>
    <w:pPr>
      <w:keepLines/>
      <w:numPr>
        <w:numId w:val="0"/>
      </w:numPr>
      <w:spacing w:after="0" w:line="260" w:lineRule="atLeast"/>
      <w:outlineLvl w:val="9"/>
    </w:pPr>
    <w:rPr>
      <w:rFonts w:asciiTheme="majorHAnsi" w:eastAsiaTheme="majorEastAsia" w:hAnsiTheme="majorHAnsi" w:cstheme="majorBidi"/>
      <w:b w:val="0"/>
      <w:color w:val="002059" w:themeColor="accent1" w:themeShade="BF"/>
      <w:szCs w:val="32"/>
    </w:rPr>
  </w:style>
  <w:style w:type="character" w:styleId="Emphasis">
    <w:name w:val="Emphasis"/>
    <w:basedOn w:val="DefaultParagraphFont"/>
    <w:semiHidden/>
    <w:qFormat/>
    <w:rsid w:val="009D6E95"/>
    <w:rPr>
      <w:i/>
      <w:iCs/>
    </w:rPr>
  </w:style>
  <w:style w:type="character" w:styleId="Strong">
    <w:name w:val="Strong"/>
    <w:basedOn w:val="DefaultParagraphFont"/>
    <w:semiHidden/>
    <w:qFormat/>
    <w:rsid w:val="009D6E95"/>
    <w:rPr>
      <w:b/>
      <w:bCs/>
    </w:rPr>
  </w:style>
  <w:style w:type="paragraph" w:styleId="Title">
    <w:name w:val="Title"/>
    <w:basedOn w:val="Normal"/>
    <w:next w:val="Normal"/>
    <w:link w:val="TitleChar"/>
    <w:semiHidden/>
    <w:qFormat/>
    <w:rsid w:val="009D6E95"/>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9D6E95"/>
    <w:rPr>
      <w:rFonts w:asciiTheme="majorHAnsi" w:eastAsiaTheme="majorEastAsia" w:hAnsiTheme="majorHAnsi" w:cstheme="majorBidi"/>
      <w:color w:val="auto"/>
      <w:spacing w:val="-10"/>
      <w:kern w:val="28"/>
      <w:sz w:val="56"/>
      <w:szCs w:val="56"/>
      <w:lang w:val="en-GB"/>
    </w:rPr>
  </w:style>
  <w:style w:type="paragraph" w:styleId="Subtitle">
    <w:name w:val="Subtitle"/>
    <w:basedOn w:val="Normal"/>
    <w:next w:val="Normal"/>
    <w:link w:val="SubtitleChar"/>
    <w:semiHidden/>
    <w:qFormat/>
    <w:rsid w:val="009D6E95"/>
    <w:pPr>
      <w:numPr>
        <w:ilvl w:val="1"/>
      </w:numPr>
      <w:spacing w:after="160"/>
    </w:pPr>
    <w:rPr>
      <w:rFonts w:asciiTheme="minorHAnsi" w:eastAsiaTheme="minorEastAsia" w:hAnsiTheme="minorHAnsi" w:cstheme="minorBidi"/>
      <w:color w:val="6E6E6E" w:themeColor="text1" w:themeTint="A5"/>
      <w:spacing w:val="15"/>
    </w:rPr>
  </w:style>
  <w:style w:type="character" w:customStyle="1" w:styleId="SubtitleChar">
    <w:name w:val="Subtitle Char"/>
    <w:basedOn w:val="DefaultParagraphFont"/>
    <w:link w:val="Subtitle"/>
    <w:rsid w:val="009D6E95"/>
    <w:rPr>
      <w:rFonts w:asciiTheme="minorHAnsi" w:eastAsiaTheme="minorEastAsia" w:hAnsiTheme="minorHAnsi" w:cstheme="minorBidi"/>
      <w:color w:val="6E6E6E" w:themeColor="text1" w:themeTint="A5"/>
      <w:spacing w:val="15"/>
      <w:lang w:val="en-GB"/>
    </w:rPr>
  </w:style>
  <w:style w:type="character" w:styleId="CommentReference">
    <w:name w:val="annotation reference"/>
    <w:basedOn w:val="DefaultParagraphFont"/>
    <w:semiHidden/>
    <w:rsid w:val="009D6E95"/>
    <w:rPr>
      <w:sz w:val="16"/>
      <w:szCs w:val="16"/>
    </w:rPr>
  </w:style>
  <w:style w:type="paragraph" w:styleId="CommentText">
    <w:name w:val="annotation text"/>
    <w:basedOn w:val="Normal"/>
    <w:link w:val="CommentTextChar"/>
    <w:semiHidden/>
    <w:rsid w:val="009D6E95"/>
    <w:pPr>
      <w:spacing w:line="240" w:lineRule="auto"/>
    </w:pPr>
    <w:rPr>
      <w:sz w:val="20"/>
      <w:szCs w:val="20"/>
    </w:rPr>
  </w:style>
  <w:style w:type="character" w:customStyle="1" w:styleId="CommentTextChar">
    <w:name w:val="Comment Text Char"/>
    <w:basedOn w:val="DefaultParagraphFont"/>
    <w:link w:val="CommentText"/>
    <w:semiHidden/>
    <w:rsid w:val="009D6E95"/>
    <w:rPr>
      <w:rFonts w:cs="Arial"/>
      <w:sz w:val="20"/>
      <w:szCs w:val="20"/>
      <w:lang w:val="en-GB"/>
    </w:rPr>
  </w:style>
  <w:style w:type="paragraph" w:styleId="CommentSubject">
    <w:name w:val="annotation subject"/>
    <w:basedOn w:val="CommentText"/>
    <w:next w:val="CommentText"/>
    <w:link w:val="CommentSubjectChar"/>
    <w:semiHidden/>
    <w:rsid w:val="009D6E95"/>
    <w:rPr>
      <w:b/>
      <w:bCs/>
    </w:rPr>
  </w:style>
  <w:style w:type="character" w:customStyle="1" w:styleId="CommentSubjectChar">
    <w:name w:val="Comment Subject Char"/>
    <w:basedOn w:val="CommentTextChar"/>
    <w:link w:val="CommentSubject"/>
    <w:semiHidden/>
    <w:rsid w:val="009D6E95"/>
    <w:rPr>
      <w:rFonts w:cs="Arial"/>
      <w:b/>
      <w:bCs/>
      <w:sz w:val="20"/>
      <w:szCs w:val="20"/>
      <w:lang w:val="en-GB"/>
    </w:rPr>
  </w:style>
  <w:style w:type="character" w:styleId="EndnoteReference">
    <w:name w:val="endnote reference"/>
    <w:basedOn w:val="DefaultParagraphFont"/>
    <w:semiHidden/>
    <w:rsid w:val="009D6E95"/>
    <w:rPr>
      <w:vertAlign w:val="superscript"/>
    </w:rPr>
  </w:style>
  <w:style w:type="character" w:styleId="FootnoteReference">
    <w:name w:val="footnote reference"/>
    <w:basedOn w:val="DefaultParagraphFont"/>
    <w:semiHidden/>
    <w:rsid w:val="009D6E95"/>
    <w:rPr>
      <w:vertAlign w:val="superscript"/>
    </w:rPr>
  </w:style>
  <w:style w:type="character" w:styleId="HTMLAcronym">
    <w:name w:val="HTML Acronym"/>
    <w:basedOn w:val="DefaultParagraphFont"/>
    <w:semiHidden/>
    <w:rsid w:val="009D6E95"/>
  </w:style>
  <w:style w:type="paragraph" w:styleId="HTMLAddress">
    <w:name w:val="HTML Address"/>
    <w:basedOn w:val="Normal"/>
    <w:link w:val="HTMLAddressChar"/>
    <w:semiHidden/>
    <w:rsid w:val="009D6E95"/>
    <w:pPr>
      <w:spacing w:after="0" w:line="240" w:lineRule="auto"/>
    </w:pPr>
    <w:rPr>
      <w:i/>
      <w:iCs/>
    </w:rPr>
  </w:style>
  <w:style w:type="character" w:customStyle="1" w:styleId="HTMLAddressChar">
    <w:name w:val="HTML Address Char"/>
    <w:basedOn w:val="DefaultParagraphFont"/>
    <w:link w:val="HTMLAddress"/>
    <w:semiHidden/>
    <w:rsid w:val="009D6E95"/>
    <w:rPr>
      <w:rFonts w:cs="Arial"/>
      <w:i/>
      <w:iCs/>
      <w:lang w:val="en-GB"/>
    </w:rPr>
  </w:style>
  <w:style w:type="character" w:styleId="HTMLCite">
    <w:name w:val="HTML Cite"/>
    <w:basedOn w:val="DefaultParagraphFont"/>
    <w:semiHidden/>
    <w:rsid w:val="009D6E95"/>
    <w:rPr>
      <w:i/>
      <w:iCs/>
    </w:rPr>
  </w:style>
  <w:style w:type="character" w:styleId="HTMLCode">
    <w:name w:val="HTML Code"/>
    <w:basedOn w:val="DefaultParagraphFont"/>
    <w:semiHidden/>
    <w:rsid w:val="009D6E95"/>
    <w:rPr>
      <w:rFonts w:ascii="Consolas" w:hAnsi="Consolas"/>
      <w:sz w:val="20"/>
      <w:szCs w:val="20"/>
    </w:rPr>
  </w:style>
  <w:style w:type="character" w:styleId="HTMLDefinition">
    <w:name w:val="HTML Definition"/>
    <w:basedOn w:val="DefaultParagraphFont"/>
    <w:semiHidden/>
    <w:rsid w:val="009D6E95"/>
    <w:rPr>
      <w:i/>
      <w:iCs/>
    </w:rPr>
  </w:style>
  <w:style w:type="character" w:styleId="HTMLKeyboard">
    <w:name w:val="HTML Keyboard"/>
    <w:basedOn w:val="DefaultParagraphFont"/>
    <w:semiHidden/>
    <w:rsid w:val="009D6E95"/>
    <w:rPr>
      <w:rFonts w:ascii="Consolas" w:hAnsi="Consolas"/>
      <w:sz w:val="20"/>
      <w:szCs w:val="20"/>
    </w:rPr>
  </w:style>
  <w:style w:type="paragraph" w:styleId="HTMLPreformatted">
    <w:name w:val="HTML Preformatted"/>
    <w:basedOn w:val="Normal"/>
    <w:link w:val="HTMLPreformattedChar"/>
    <w:semiHidden/>
    <w:rsid w:val="009D6E9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D6E95"/>
    <w:rPr>
      <w:rFonts w:ascii="Consolas" w:hAnsi="Consolas" w:cs="Arial"/>
      <w:sz w:val="20"/>
      <w:szCs w:val="20"/>
      <w:lang w:val="en-GB"/>
    </w:rPr>
  </w:style>
  <w:style w:type="character" w:styleId="HTMLSample">
    <w:name w:val="HTML Sample"/>
    <w:basedOn w:val="DefaultParagraphFont"/>
    <w:semiHidden/>
    <w:rsid w:val="009D6E95"/>
    <w:rPr>
      <w:rFonts w:ascii="Consolas" w:hAnsi="Consolas"/>
      <w:sz w:val="24"/>
      <w:szCs w:val="24"/>
    </w:rPr>
  </w:style>
  <w:style w:type="character" w:styleId="HTMLTypewriter">
    <w:name w:val="HTML Typewriter"/>
    <w:basedOn w:val="DefaultParagraphFont"/>
    <w:semiHidden/>
    <w:rsid w:val="009D6E95"/>
    <w:rPr>
      <w:rFonts w:ascii="Consolas" w:hAnsi="Consolas"/>
      <w:sz w:val="20"/>
      <w:szCs w:val="20"/>
    </w:rPr>
  </w:style>
  <w:style w:type="character" w:styleId="HTMLVariable">
    <w:name w:val="HTML Variable"/>
    <w:basedOn w:val="DefaultParagraphFont"/>
    <w:semiHidden/>
    <w:rsid w:val="009D6E95"/>
    <w:rPr>
      <w:i/>
      <w:iCs/>
    </w:rPr>
  </w:style>
  <w:style w:type="paragraph" w:styleId="Index1">
    <w:name w:val="index 1"/>
    <w:basedOn w:val="Normal"/>
    <w:next w:val="Normal"/>
    <w:autoRedefine/>
    <w:semiHidden/>
    <w:rsid w:val="009D6E95"/>
    <w:pPr>
      <w:spacing w:after="0" w:line="240" w:lineRule="auto"/>
      <w:ind w:left="220" w:hanging="220"/>
    </w:pPr>
  </w:style>
  <w:style w:type="paragraph" w:styleId="Index2">
    <w:name w:val="index 2"/>
    <w:basedOn w:val="Normal"/>
    <w:next w:val="Normal"/>
    <w:autoRedefine/>
    <w:semiHidden/>
    <w:rsid w:val="009D6E95"/>
    <w:pPr>
      <w:spacing w:after="0" w:line="240" w:lineRule="auto"/>
      <w:ind w:left="440" w:hanging="220"/>
    </w:pPr>
  </w:style>
  <w:style w:type="paragraph" w:styleId="Index3">
    <w:name w:val="index 3"/>
    <w:basedOn w:val="Normal"/>
    <w:next w:val="Normal"/>
    <w:autoRedefine/>
    <w:semiHidden/>
    <w:rsid w:val="009D6E95"/>
    <w:pPr>
      <w:spacing w:after="0" w:line="240" w:lineRule="auto"/>
      <w:ind w:left="660" w:hanging="220"/>
    </w:pPr>
  </w:style>
  <w:style w:type="paragraph" w:styleId="Index4">
    <w:name w:val="index 4"/>
    <w:basedOn w:val="Normal"/>
    <w:next w:val="Normal"/>
    <w:autoRedefine/>
    <w:semiHidden/>
    <w:rsid w:val="009D6E95"/>
    <w:pPr>
      <w:spacing w:after="0" w:line="240" w:lineRule="auto"/>
      <w:ind w:left="880" w:hanging="220"/>
    </w:pPr>
  </w:style>
  <w:style w:type="paragraph" w:styleId="Index5">
    <w:name w:val="index 5"/>
    <w:basedOn w:val="Normal"/>
    <w:next w:val="Normal"/>
    <w:autoRedefine/>
    <w:semiHidden/>
    <w:rsid w:val="009D6E95"/>
    <w:pPr>
      <w:spacing w:after="0" w:line="240" w:lineRule="auto"/>
      <w:ind w:left="1100" w:hanging="220"/>
    </w:pPr>
  </w:style>
  <w:style w:type="paragraph" w:styleId="Index6">
    <w:name w:val="index 6"/>
    <w:basedOn w:val="Normal"/>
    <w:next w:val="Normal"/>
    <w:autoRedefine/>
    <w:semiHidden/>
    <w:rsid w:val="009D6E95"/>
    <w:pPr>
      <w:spacing w:after="0" w:line="240" w:lineRule="auto"/>
      <w:ind w:left="1320" w:hanging="220"/>
    </w:pPr>
  </w:style>
  <w:style w:type="paragraph" w:styleId="Index7">
    <w:name w:val="index 7"/>
    <w:basedOn w:val="Normal"/>
    <w:next w:val="Normal"/>
    <w:autoRedefine/>
    <w:semiHidden/>
    <w:rsid w:val="009D6E95"/>
    <w:pPr>
      <w:spacing w:after="0" w:line="240" w:lineRule="auto"/>
      <w:ind w:left="1540" w:hanging="220"/>
    </w:pPr>
  </w:style>
  <w:style w:type="paragraph" w:styleId="Index8">
    <w:name w:val="index 8"/>
    <w:basedOn w:val="Normal"/>
    <w:next w:val="Normal"/>
    <w:autoRedefine/>
    <w:semiHidden/>
    <w:rsid w:val="009D6E95"/>
    <w:pPr>
      <w:spacing w:after="0" w:line="240" w:lineRule="auto"/>
      <w:ind w:left="1760" w:hanging="220"/>
    </w:pPr>
  </w:style>
  <w:style w:type="paragraph" w:styleId="Index9">
    <w:name w:val="index 9"/>
    <w:basedOn w:val="Normal"/>
    <w:next w:val="Normal"/>
    <w:autoRedefine/>
    <w:semiHidden/>
    <w:rsid w:val="009D6E95"/>
    <w:pPr>
      <w:spacing w:after="0" w:line="240" w:lineRule="auto"/>
      <w:ind w:left="1980" w:hanging="220"/>
    </w:pPr>
  </w:style>
  <w:style w:type="paragraph" w:styleId="IndexHeading">
    <w:name w:val="index heading"/>
    <w:basedOn w:val="Normal"/>
    <w:next w:val="Index1"/>
    <w:semiHidden/>
    <w:rsid w:val="009D6E95"/>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9D6E95"/>
    <w:rPr>
      <w:i/>
      <w:iCs/>
      <w:color w:val="002C77" w:themeColor="accent1"/>
    </w:rPr>
  </w:style>
  <w:style w:type="paragraph" w:styleId="IntenseQuote">
    <w:name w:val="Intense Quote"/>
    <w:basedOn w:val="Normal"/>
    <w:next w:val="Normal"/>
    <w:link w:val="IntenseQuoteChar"/>
    <w:uiPriority w:val="30"/>
    <w:semiHidden/>
    <w:qFormat/>
    <w:rsid w:val="009D6E95"/>
    <w:pPr>
      <w:pBdr>
        <w:top w:val="single" w:sz="4" w:space="10" w:color="002C77" w:themeColor="accent1"/>
        <w:bottom w:val="single" w:sz="4" w:space="10" w:color="002C77" w:themeColor="accent1"/>
      </w:pBdr>
      <w:spacing w:before="360" w:after="360"/>
      <w:ind w:left="864" w:right="864"/>
      <w:jc w:val="center"/>
    </w:pPr>
    <w:rPr>
      <w:i/>
      <w:iCs/>
      <w:color w:val="002C77" w:themeColor="accent1"/>
    </w:rPr>
  </w:style>
  <w:style w:type="character" w:customStyle="1" w:styleId="IntenseQuoteChar">
    <w:name w:val="Intense Quote Char"/>
    <w:basedOn w:val="DefaultParagraphFont"/>
    <w:link w:val="IntenseQuote"/>
    <w:uiPriority w:val="30"/>
    <w:rsid w:val="009D6E95"/>
    <w:rPr>
      <w:rFonts w:cs="Arial"/>
      <w:i/>
      <w:iCs/>
      <w:color w:val="002C77" w:themeColor="accent1"/>
      <w:lang w:val="en-GB"/>
    </w:rPr>
  </w:style>
  <w:style w:type="character" w:styleId="IntenseReference">
    <w:name w:val="Intense Reference"/>
    <w:basedOn w:val="DefaultParagraphFont"/>
    <w:uiPriority w:val="32"/>
    <w:semiHidden/>
    <w:qFormat/>
    <w:rsid w:val="009D6E95"/>
    <w:rPr>
      <w:b/>
      <w:bCs/>
      <w:smallCaps/>
      <w:color w:val="002C77" w:themeColor="accent1"/>
      <w:spacing w:val="5"/>
    </w:rPr>
  </w:style>
  <w:style w:type="character" w:styleId="SubtleEmphasis">
    <w:name w:val="Subtle Emphasis"/>
    <w:basedOn w:val="DefaultParagraphFont"/>
    <w:uiPriority w:val="19"/>
    <w:semiHidden/>
    <w:qFormat/>
    <w:rsid w:val="009D6E95"/>
    <w:rPr>
      <w:i/>
      <w:iCs/>
      <w:color w:val="575757" w:themeColor="text1" w:themeTint="BF"/>
    </w:rPr>
  </w:style>
  <w:style w:type="character" w:styleId="SubtleReference">
    <w:name w:val="Subtle Reference"/>
    <w:basedOn w:val="DefaultParagraphFont"/>
    <w:uiPriority w:val="31"/>
    <w:semiHidden/>
    <w:qFormat/>
    <w:rsid w:val="009D6E95"/>
    <w:rPr>
      <w:smallCaps/>
      <w:color w:val="6E6E6E" w:themeColor="text1" w:themeTint="A5"/>
    </w:rPr>
  </w:style>
  <w:style w:type="paragraph" w:styleId="BodyText">
    <w:name w:val="Body Text"/>
    <w:link w:val="BodyTextChar"/>
    <w:qFormat/>
    <w:rsid w:val="009D6E95"/>
    <w:pPr>
      <w:spacing w:after="160" w:line="240" w:lineRule="auto"/>
    </w:pPr>
    <w:rPr>
      <w:rFonts w:asciiTheme="minorHAnsi" w:eastAsiaTheme="minorHAnsi" w:hAnsiTheme="minorHAnsi" w:cstheme="minorBidi"/>
      <w:color w:val="auto"/>
    </w:rPr>
  </w:style>
  <w:style w:type="character" w:customStyle="1" w:styleId="BodyTextChar">
    <w:name w:val="Body Text Char"/>
    <w:basedOn w:val="DefaultParagraphFont"/>
    <w:link w:val="BodyText"/>
    <w:rsid w:val="009D6E95"/>
    <w:rPr>
      <w:rFonts w:asciiTheme="minorHAnsi" w:eastAsiaTheme="minorHAnsi"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MC%20Templates\Templates\MMC2021.Memo.dotx" TargetMode="External"/></Relationships>
</file>

<file path=word/theme/theme1.xml><?xml version="1.0" encoding="utf-8"?>
<a:theme xmlns:a="http://schemas.openxmlformats.org/drawingml/2006/main" name="Office Theme">
  <a:themeElements>
    <a:clrScheme name="Office">
      <a:dk1>
        <a:srgbClr val="202020"/>
      </a:dk1>
      <a:lt1>
        <a:srgbClr val="FFFFFF"/>
      </a:lt1>
      <a:dk2>
        <a:srgbClr val="565656"/>
      </a:dk2>
      <a:lt2>
        <a:srgbClr val="F0F0F0"/>
      </a:lt2>
      <a:accent1>
        <a:srgbClr val="002C77"/>
      </a:accent1>
      <a:accent2>
        <a:srgbClr val="009DE0"/>
      </a:accent2>
      <a:accent3>
        <a:srgbClr val="00AC41"/>
      </a:accent3>
      <a:accent4>
        <a:srgbClr val="8246AF"/>
      </a:accent4>
      <a:accent5>
        <a:srgbClr val="EE3C8B"/>
      </a:accent5>
      <a:accent6>
        <a:srgbClr val="FF8C00"/>
      </a:accent6>
      <a:hlink>
        <a:srgbClr val="2C6EF2"/>
      </a:hlink>
      <a:folHlink>
        <a:srgbClr val="8246A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MMC2021.Memo.dotx</Template>
  <TotalTime>6</TotalTime>
  <Pages>16</Pages>
  <Words>4349</Words>
  <Characters>25935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Memo</vt:lpstr>
    </vt:vector>
  </TitlesOfParts>
  <Company>Marsh &amp; McLennan Companies, Inc</Company>
  <LinksUpToDate>false</LinksUpToDate>
  <CharactersWithSpaces>30259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Marsh McLennan's response</dc:subject>
  <dc:creator>Alois Thiant</dc:creator>
  <dc:description>MMC Templates
Marsh &amp; McLennan Companies</dc:description>
  <cp:lastModifiedBy>Thiant, Alois</cp:lastModifiedBy>
  <cp:revision>1</cp:revision>
  <cp:lastPrinted>2001-10-01T23:53:00Z</cp:lastPrinted>
  <dcterms:created xsi:type="dcterms:W3CDTF">2024-12-04T15:09:00Z</dcterms:created>
  <dcterms:modified xsi:type="dcterms:W3CDTF">2024-12-04T15:17:00Z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MCOA_Template">
    <vt:lpwstr>Memo</vt:lpwstr>
  </property>
  <property fmtid="{D5CDD505-2E9C-101B-9397-08002B2CF9AE}" pid="3" name="MMCOA_PaperResize">
    <vt:lpwstr>Standard</vt:lpwstr>
  </property>
  <property fmtid="{D5CDD505-2E9C-101B-9397-08002B2CF9AE}" pid="4" name="MMCOA_CurrentPaperSetup">
    <vt:lpwstr>A4</vt:lpwstr>
  </property>
  <property fmtid="{D5CDD505-2E9C-101B-9397-08002B2CF9AE}" pid="5" name="MMCOA_Redate">
    <vt:lpwstr>Date;MemoDate;</vt:lpwstr>
  </property>
  <property fmtid="{D5CDD505-2E9C-101B-9397-08002B2CF9AE}" pid="6" name="MMCOA_TemplateVersion">
    <vt:lpwstr>9.5</vt:lpwstr>
  </property>
  <property fmtid="{D5CDD505-2E9C-101B-9397-08002B2CF9AE}" pid="7" name="MMCOA_UI_Language">
    <vt:lpwstr>en-GB</vt:lpwstr>
  </property>
  <property fmtid="{D5CDD505-2E9C-101B-9397-08002B2CF9AE}" pid="8" name="MMCOA_BaseCo">
    <vt:lpwstr>MMC</vt:lpwstr>
  </property>
  <property fmtid="{D5CDD505-2E9C-101B-9397-08002B2CF9AE}" pid="9" name="MMCOA_RegCo">
    <vt:lpwstr>488</vt:lpwstr>
  </property>
  <property fmtid="{D5CDD505-2E9C-101B-9397-08002B2CF9AE}" pid="10" name="MMCOA_Brand">
    <vt:lpwstr>MMC2021</vt:lpwstr>
  </property>
  <property fmtid="{D5CDD505-2E9C-101B-9397-08002B2CF9AE}" pid="11" name="MMCOA_FeatureSet">
    <vt:lpwstr>MMC_2021_v1</vt:lpwstr>
  </property>
  <property fmtid="{D5CDD505-2E9C-101B-9397-08002B2CF9AE}" pid="12" name="MMCOA_Language">
    <vt:lpwstr>en-GB</vt:lpwstr>
  </property>
  <property fmtid="{D5CDD505-2E9C-101B-9397-08002B2CF9AE}" pid="13" name="MMCOA_LanguageDateFormat">
    <vt:lpwstr>d MMMM yyyy</vt:lpwstr>
  </property>
  <property fmtid="{D5CDD505-2E9C-101B-9397-08002B2CF9AE}" pid="14" name="MMCOA_LanguageLocaleId">
    <vt:lpwstr>2057</vt:lpwstr>
  </property>
  <property fmtid="{D5CDD505-2E9C-101B-9397-08002B2CF9AE}" pid="15" name="MMCOA_TableStyleNames">
    <vt:lpwstr>MMC Table;MMC Table 2;MMC Table 3;MMC Table 4;MMC Text Table</vt:lpwstr>
  </property>
  <property fmtid="{D5CDD505-2E9C-101B-9397-08002B2CF9AE}" pid="16" name="MMCOA_BaseStyle">
    <vt:lpwstr>Base</vt:lpwstr>
  </property>
  <property fmtid="{D5CDD505-2E9C-101B-9397-08002B2CF9AE}" pid="17" name="MMCOA_BaseBoldStyle">
    <vt:lpwstr>Base Bold</vt:lpwstr>
  </property>
  <property fmtid="{D5CDD505-2E9C-101B-9397-08002B2CF9AE}" pid="18" name="MMCOA_StyleKeyBindings">
    <vt:lpwstr>NormalþList BulletþList Bullet 2þList Bullet 3þList Bullet 4þHeading 1þHeading 2þHeading 3þNormal Indent 1þNormal Indent 2þNormal Indent 3þNormal Indent 4þList NumberþList Number 2þList Number 3þList </vt:lpwstr>
  </property>
  <property fmtid="{D5CDD505-2E9C-101B-9397-08002B2CF9AE}" pid="19" name="MMCOA_StyleKeyBindings2">
    <vt:lpwstr>Number 4</vt:lpwstr>
  </property>
  <property fmtid="{D5CDD505-2E9C-101B-9397-08002B2CF9AE}" pid="20" name="MMCOA_StyleKeyBindingsKeys">
    <vt:lpwstr>846þ1590þ1591þ1592þ1593þ1585þ1586þ1587þ1653þ1654þ1655þ1656þ1648þ1649þ1650þ1651</vt:lpwstr>
  </property>
  <property fmtid="{D5CDD505-2E9C-101B-9397-08002B2CF9AE}" pid="21" name="MMCOA_TableStyles">
    <vt:lpwstr>Table Heading Text;Table Text</vt:lpwstr>
  </property>
  <property fmtid="{D5CDD505-2E9C-101B-9397-08002B2CF9AE}" pid="22" name="MMCOA_Date">
    <vt:lpwstr>4 December 2024</vt:lpwstr>
  </property>
  <property fmtid="{D5CDD505-2E9C-101B-9397-08002B2CF9AE}" pid="23" name="MMCOA_To">
    <vt:lpwstr>European Commission, DG FISMA</vt:lpwstr>
  </property>
  <property fmtid="{D5CDD505-2E9C-101B-9397-08002B2CF9AE}" pid="24" name="MSIP_Label_38f1469a-2c2a-4aee-b92b-090d4c5468ff_Enabled">
    <vt:lpwstr>true</vt:lpwstr>
  </property>
  <property fmtid="{D5CDD505-2E9C-101B-9397-08002B2CF9AE}" pid="25" name="MSIP_Label_38f1469a-2c2a-4aee-b92b-090d4c5468ff_SetDate">
    <vt:lpwstr>2024-12-04T15:17:56Z</vt:lpwstr>
  </property>
  <property fmtid="{D5CDD505-2E9C-101B-9397-08002B2CF9AE}" pid="26" name="MSIP_Label_38f1469a-2c2a-4aee-b92b-090d4c5468ff_Method">
    <vt:lpwstr>Standard</vt:lpwstr>
  </property>
  <property fmtid="{D5CDD505-2E9C-101B-9397-08002B2CF9AE}" pid="27" name="MSIP_Label_38f1469a-2c2a-4aee-b92b-090d4c5468ff_Name">
    <vt:lpwstr>Confidential - Unmarked</vt:lpwstr>
  </property>
  <property fmtid="{D5CDD505-2E9C-101B-9397-08002B2CF9AE}" pid="28" name="MSIP_Label_38f1469a-2c2a-4aee-b92b-090d4c5468ff_SiteId">
    <vt:lpwstr>2a6e6092-73e4-4752-b1a5-477a17f5056d</vt:lpwstr>
  </property>
  <property fmtid="{D5CDD505-2E9C-101B-9397-08002B2CF9AE}" pid="29" name="MSIP_Label_38f1469a-2c2a-4aee-b92b-090d4c5468ff_ActionId">
    <vt:lpwstr>af0e2de3-5585-4a4e-aea6-934fb5cc4d22</vt:lpwstr>
  </property>
  <property fmtid="{D5CDD505-2E9C-101B-9397-08002B2CF9AE}" pid="30" name="MSIP_Label_38f1469a-2c2a-4aee-b92b-090d4c5468ff_ContentBits">
    <vt:lpwstr>0</vt:lpwstr>
  </property>
</Properties>
</file>