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62FA8" w14:textId="77777777" w:rsidR="00C23643" w:rsidRPr="00973525" w:rsidRDefault="00C23643" w:rsidP="00C23643">
      <w:pPr>
        <w:ind w:left="-851"/>
        <w:rPr>
          <w:rFonts w:cs="Arial"/>
          <w:sz w:val="22"/>
          <w:szCs w:val="22"/>
        </w:rPr>
      </w:pPr>
      <w:r>
        <w:rPr>
          <w:noProof/>
        </w:rPr>
        <w:drawing>
          <wp:inline distT="0" distB="0" distL="0" distR="0" wp14:anchorId="4DF0AB4B" wp14:editId="5683FEA9">
            <wp:extent cx="2253615" cy="704255"/>
            <wp:effectExtent l="0" t="0" r="0" b="0"/>
            <wp:docPr id="242729847" name="Image 242729847" descr="Logos_FBF_2015_OL_S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42729847"/>
                    <pic:cNvPicPr/>
                  </pic:nvPicPr>
                  <pic:blipFill>
                    <a:blip r:embed="rId12">
                      <a:extLst>
                        <a:ext uri="{28A0092B-C50C-407E-A947-70E740481C1C}">
                          <a14:useLocalDpi xmlns:a14="http://schemas.microsoft.com/office/drawing/2010/main" val="0"/>
                        </a:ext>
                      </a:extLst>
                    </a:blip>
                    <a:stretch>
                      <a:fillRect/>
                    </a:stretch>
                  </pic:blipFill>
                  <pic:spPr>
                    <a:xfrm>
                      <a:off x="0" y="0"/>
                      <a:ext cx="2253615" cy="704255"/>
                    </a:xfrm>
                    <a:prstGeom prst="rect">
                      <a:avLst/>
                    </a:prstGeom>
                  </pic:spPr>
                </pic:pic>
              </a:graphicData>
            </a:graphic>
          </wp:inline>
        </w:drawing>
      </w:r>
    </w:p>
    <w:p w14:paraId="369EE233" w14:textId="5A0710B8" w:rsidR="00C23643" w:rsidRPr="00EB3FEC" w:rsidRDefault="00924649" w:rsidP="30964D0C">
      <w:pPr>
        <w:spacing w:before="94" w:line="252" w:lineRule="exact"/>
        <w:ind w:left="598"/>
        <w:jc w:val="center"/>
        <w:rPr>
          <w:color w:val="4ABABC"/>
          <w:sz w:val="22"/>
          <w:szCs w:val="22"/>
        </w:rPr>
      </w:pPr>
      <w:r w:rsidRPr="30964D0C">
        <w:rPr>
          <w:b/>
          <w:bCs/>
          <w:color w:val="4ABABC"/>
          <w:sz w:val="22"/>
          <w:szCs w:val="22"/>
        </w:rPr>
        <w:t>CONSULTATION TITRISATION 2024</w:t>
      </w:r>
      <w:r w:rsidR="0052434B" w:rsidRPr="30964D0C">
        <w:rPr>
          <w:b/>
          <w:bCs/>
          <w:color w:val="4ABABC"/>
          <w:sz w:val="22"/>
          <w:szCs w:val="22"/>
        </w:rPr>
        <w:t xml:space="preserve"> - Commission Européenne</w:t>
      </w:r>
    </w:p>
    <w:p w14:paraId="19459C93" w14:textId="2CEB27CE" w:rsidR="00911411" w:rsidRPr="00417B08" w:rsidRDefault="00911411" w:rsidP="30964D0C">
      <w:pPr>
        <w:spacing w:before="94" w:line="252" w:lineRule="exact"/>
        <w:ind w:left="598"/>
        <w:jc w:val="center"/>
        <w:rPr>
          <w:b/>
          <w:bCs/>
          <w:sz w:val="22"/>
          <w:szCs w:val="22"/>
        </w:rPr>
      </w:pPr>
      <w:r w:rsidRPr="30964D0C">
        <w:rPr>
          <w:b/>
          <w:bCs/>
          <w:sz w:val="18"/>
          <w:szCs w:val="18"/>
        </w:rPr>
        <w:t>“</w:t>
      </w:r>
      <w:r w:rsidRPr="30964D0C">
        <w:rPr>
          <w:b/>
          <w:bCs/>
          <w:sz w:val="22"/>
          <w:szCs w:val="22"/>
        </w:rPr>
        <w:t>TARGETED CONSULTATION</w:t>
      </w:r>
    </w:p>
    <w:p w14:paraId="55A36666" w14:textId="58830500" w:rsidR="00911411" w:rsidRPr="00EB3FEC" w:rsidRDefault="00911411" w:rsidP="30964D0C">
      <w:pPr>
        <w:spacing w:before="94" w:line="252" w:lineRule="exact"/>
        <w:ind w:left="598"/>
        <w:jc w:val="center"/>
        <w:rPr>
          <w:b/>
          <w:bCs/>
          <w:sz w:val="22"/>
          <w:szCs w:val="22"/>
          <w:lang w:val="en-GB"/>
        </w:rPr>
      </w:pPr>
      <w:r w:rsidRPr="30964D0C">
        <w:rPr>
          <w:b/>
          <w:bCs/>
          <w:sz w:val="22"/>
          <w:szCs w:val="22"/>
          <w:lang w:val="en-GB"/>
        </w:rPr>
        <w:t>ON THE FUNCTIONING OF THE EU SECURITISATION FRAMEWORK”</w:t>
      </w:r>
    </w:p>
    <w:p w14:paraId="085891C7" w14:textId="77777777" w:rsidR="00C23643" w:rsidRPr="00EB3FEC" w:rsidRDefault="00C23643" w:rsidP="007B4983">
      <w:pPr>
        <w:pStyle w:val="Corpsdetexte"/>
        <w:spacing w:after="18" w:line="252" w:lineRule="exact"/>
        <w:ind w:left="598"/>
        <w:rPr>
          <w:color w:val="4ABABC"/>
          <w:sz w:val="16"/>
          <w:szCs w:val="16"/>
          <w:lang w:val="en-GB"/>
        </w:rPr>
      </w:pPr>
    </w:p>
    <w:p w14:paraId="2463A7CF" w14:textId="5B9790F1" w:rsidR="008908A5" w:rsidRPr="00EB3FEC" w:rsidRDefault="008908A5" w:rsidP="30964D0C">
      <w:pPr>
        <w:pStyle w:val="Corpsdetexte"/>
        <w:spacing w:after="18" w:line="252" w:lineRule="exact"/>
        <w:ind w:left="598"/>
        <w:jc w:val="right"/>
        <w:rPr>
          <w:color w:val="156082" w:themeColor="accent1"/>
          <w:sz w:val="18"/>
          <w:szCs w:val="18"/>
          <w:lang w:val="en-GB"/>
        </w:rPr>
      </w:pPr>
      <w:hyperlink r:id="rId13">
        <w:r w:rsidRPr="30964D0C">
          <w:rPr>
            <w:rStyle w:val="Lienhypertexte"/>
            <w:color w:val="156082" w:themeColor="accent1"/>
            <w:sz w:val="18"/>
            <w:szCs w:val="18"/>
            <w:lang w:val="en-GB"/>
          </w:rPr>
          <w:t>https://finance.ec.europa.eu/regulation-and-supervision/consultations-0/targeted-consultation-functioning-eu-securitisation-framework-2024_</w:t>
        </w:r>
      </w:hyperlink>
      <w:r w:rsidRPr="30964D0C">
        <w:rPr>
          <w:color w:val="156082" w:themeColor="accent1"/>
          <w:sz w:val="18"/>
          <w:szCs w:val="18"/>
          <w:lang w:val="en-GB"/>
        </w:rPr>
        <w:t xml:space="preserve">en </w:t>
      </w:r>
    </w:p>
    <w:p w14:paraId="175DE3D3" w14:textId="77777777" w:rsidR="008908A5" w:rsidRPr="00EB3FEC" w:rsidRDefault="008908A5" w:rsidP="30964D0C">
      <w:pPr>
        <w:pStyle w:val="Corpsdetexte"/>
        <w:spacing w:after="18" w:line="252" w:lineRule="exact"/>
        <w:ind w:left="598"/>
        <w:jc w:val="right"/>
        <w:rPr>
          <w:color w:val="4ABABC"/>
          <w:sz w:val="18"/>
          <w:szCs w:val="18"/>
          <w:lang w:val="en-GB"/>
        </w:rPr>
      </w:pPr>
    </w:p>
    <w:p w14:paraId="6B41A698" w14:textId="7E2F080A" w:rsidR="00C23643" w:rsidRPr="00EB3FEC" w:rsidRDefault="00924649" w:rsidP="00C23643">
      <w:pPr>
        <w:pBdr>
          <w:bottom w:val="single" w:sz="4" w:space="1" w:color="4ABABC"/>
        </w:pBdr>
        <w:jc w:val="right"/>
        <w:rPr>
          <w:rFonts w:ascii="Arial MT" w:eastAsia="Arial MT" w:hAnsi="Arial MT" w:cs="Arial MT"/>
          <w:color w:val="4ABABC"/>
          <w:sz w:val="20"/>
          <w:szCs w:val="20"/>
        </w:rPr>
      </w:pPr>
      <w:r w:rsidRPr="00EB3FEC">
        <w:rPr>
          <w:color w:val="4ABABC"/>
          <w:sz w:val="20"/>
          <w:szCs w:val="20"/>
        </w:rPr>
        <w:t xml:space="preserve">Clôture des </w:t>
      </w:r>
      <w:r w:rsidR="00847B23" w:rsidRPr="00EB3FEC">
        <w:rPr>
          <w:color w:val="4ABABC"/>
          <w:sz w:val="20"/>
          <w:szCs w:val="20"/>
        </w:rPr>
        <w:t>contributions -</w:t>
      </w:r>
      <w:r w:rsidRPr="00EB3FEC">
        <w:rPr>
          <w:color w:val="4ABABC"/>
          <w:sz w:val="20"/>
          <w:szCs w:val="20"/>
        </w:rPr>
        <w:t xml:space="preserve"> 4 </w:t>
      </w:r>
      <w:proofErr w:type="spellStart"/>
      <w:r w:rsidRPr="00EB3FEC">
        <w:rPr>
          <w:color w:val="4ABABC"/>
          <w:sz w:val="20"/>
          <w:szCs w:val="20"/>
        </w:rPr>
        <w:t>dec</w:t>
      </w:r>
      <w:proofErr w:type="spellEnd"/>
      <w:r w:rsidRPr="00EB3FEC">
        <w:rPr>
          <w:color w:val="4ABABC"/>
          <w:sz w:val="20"/>
          <w:szCs w:val="20"/>
        </w:rPr>
        <w:t xml:space="preserve"> 2024</w:t>
      </w:r>
      <w:r w:rsidR="0052434B" w:rsidRPr="00EB3FEC">
        <w:rPr>
          <w:rFonts w:ascii="Arial MT" w:eastAsia="Arial MT" w:hAnsi="Arial MT" w:cs="Arial MT"/>
          <w:color w:val="4ABABC"/>
          <w:sz w:val="20"/>
          <w:szCs w:val="20"/>
        </w:rPr>
        <w:t xml:space="preserve"> </w:t>
      </w:r>
    </w:p>
    <w:p w14:paraId="2D84FB71" w14:textId="24649279" w:rsidR="007700FE" w:rsidRPr="00EB3FEC" w:rsidRDefault="00314466" w:rsidP="008B2DD0">
      <w:pPr>
        <w:pStyle w:val="Paragraphedeliste"/>
        <w:numPr>
          <w:ilvl w:val="0"/>
          <w:numId w:val="38"/>
        </w:numPr>
        <w:rPr>
          <w:b/>
          <w:bCs/>
          <w:sz w:val="20"/>
          <w:szCs w:val="20"/>
          <w:lang w:val="en-GB"/>
        </w:rPr>
      </w:pPr>
      <w:r w:rsidRPr="00EB3FEC">
        <w:rPr>
          <w:b/>
          <w:bCs/>
          <w:sz w:val="20"/>
          <w:szCs w:val="20"/>
          <w:lang w:val="en-GB"/>
        </w:rPr>
        <w:t>Effectiveness of the securitisation framework</w:t>
      </w:r>
    </w:p>
    <w:tbl>
      <w:tblPr>
        <w:tblStyle w:val="TableNormal1"/>
        <w:tblW w:w="90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06"/>
        <w:gridCol w:w="844"/>
        <w:gridCol w:w="890"/>
        <w:gridCol w:w="841"/>
        <w:gridCol w:w="890"/>
        <w:gridCol w:w="850"/>
        <w:gridCol w:w="847"/>
      </w:tblGrid>
      <w:tr w:rsidR="00F35A82" w:rsidRPr="00973525" w14:paraId="282810CA" w14:textId="77777777" w:rsidTr="0017503B">
        <w:trPr>
          <w:trHeight w:val="474"/>
        </w:trPr>
        <w:tc>
          <w:tcPr>
            <w:tcW w:w="3950" w:type="dxa"/>
          </w:tcPr>
          <w:p w14:paraId="74DAA2C1" w14:textId="77777777" w:rsidR="004A7756" w:rsidRPr="00973525" w:rsidRDefault="004A7756" w:rsidP="00321402">
            <w:pPr>
              <w:rPr>
                <w:sz w:val="16"/>
                <w:szCs w:val="18"/>
              </w:rPr>
            </w:pPr>
          </w:p>
        </w:tc>
        <w:tc>
          <w:tcPr>
            <w:tcW w:w="853" w:type="dxa"/>
          </w:tcPr>
          <w:p w14:paraId="02A2BCCE" w14:textId="77777777" w:rsidR="004A7756" w:rsidRPr="00973525" w:rsidRDefault="004A7756" w:rsidP="00321402">
            <w:pPr>
              <w:pStyle w:val="TableParagraph"/>
              <w:spacing w:before="3" w:line="252" w:lineRule="auto"/>
              <w:ind w:left="103" w:right="185" w:firstLine="0"/>
              <w:rPr>
                <w:sz w:val="16"/>
                <w:szCs w:val="18"/>
              </w:rPr>
            </w:pPr>
            <w:r w:rsidRPr="00973525">
              <w:rPr>
                <w:sz w:val="16"/>
                <w:szCs w:val="18"/>
              </w:rPr>
              <w:t>Fully agree</w:t>
            </w:r>
          </w:p>
        </w:tc>
        <w:tc>
          <w:tcPr>
            <w:tcW w:w="853" w:type="dxa"/>
          </w:tcPr>
          <w:p w14:paraId="3831D386" w14:textId="77777777" w:rsidR="004A7756" w:rsidRPr="00973525" w:rsidRDefault="004A7756" w:rsidP="00321402">
            <w:pPr>
              <w:pStyle w:val="TableParagraph"/>
              <w:spacing w:before="3" w:line="252" w:lineRule="auto"/>
              <w:ind w:left="100" w:right="104" w:firstLine="0"/>
              <w:rPr>
                <w:sz w:val="16"/>
                <w:szCs w:val="18"/>
              </w:rPr>
            </w:pPr>
            <w:r w:rsidRPr="00973525">
              <w:rPr>
                <w:sz w:val="16"/>
                <w:szCs w:val="18"/>
              </w:rPr>
              <w:t>Somewhat agree</w:t>
            </w:r>
          </w:p>
        </w:tc>
        <w:tc>
          <w:tcPr>
            <w:tcW w:w="853" w:type="dxa"/>
          </w:tcPr>
          <w:p w14:paraId="6A8C875B" w14:textId="77777777" w:rsidR="004A7756" w:rsidRPr="00973525" w:rsidRDefault="004A7756" w:rsidP="00321402">
            <w:pPr>
              <w:pStyle w:val="TableParagraph"/>
              <w:spacing w:before="3"/>
              <w:ind w:left="103" w:firstLine="0"/>
              <w:rPr>
                <w:sz w:val="16"/>
                <w:szCs w:val="18"/>
              </w:rPr>
            </w:pPr>
            <w:r w:rsidRPr="00973525">
              <w:rPr>
                <w:sz w:val="16"/>
                <w:szCs w:val="18"/>
              </w:rPr>
              <w:t>Neutral</w:t>
            </w:r>
          </w:p>
        </w:tc>
        <w:tc>
          <w:tcPr>
            <w:tcW w:w="853" w:type="dxa"/>
          </w:tcPr>
          <w:p w14:paraId="2C31B06F" w14:textId="77777777" w:rsidR="004A7756" w:rsidRPr="00973525" w:rsidRDefault="004A7756" w:rsidP="00321402">
            <w:pPr>
              <w:pStyle w:val="TableParagraph"/>
              <w:spacing w:before="3" w:line="252" w:lineRule="auto"/>
              <w:ind w:left="100" w:right="104" w:firstLine="0"/>
              <w:rPr>
                <w:sz w:val="16"/>
                <w:szCs w:val="18"/>
              </w:rPr>
            </w:pPr>
            <w:r w:rsidRPr="00973525">
              <w:rPr>
                <w:sz w:val="16"/>
                <w:szCs w:val="18"/>
              </w:rPr>
              <w:t>Somewhat disagree</w:t>
            </w:r>
          </w:p>
        </w:tc>
        <w:tc>
          <w:tcPr>
            <w:tcW w:w="853" w:type="dxa"/>
          </w:tcPr>
          <w:p w14:paraId="094A6E44" w14:textId="77777777" w:rsidR="004A7756" w:rsidRPr="00973525" w:rsidRDefault="004A7756" w:rsidP="00321402">
            <w:pPr>
              <w:pStyle w:val="TableParagraph"/>
              <w:spacing w:before="3" w:line="252" w:lineRule="auto"/>
              <w:ind w:left="103" w:right="139" w:firstLine="0"/>
              <w:rPr>
                <w:sz w:val="16"/>
                <w:szCs w:val="18"/>
              </w:rPr>
            </w:pPr>
            <w:r w:rsidRPr="00973525">
              <w:rPr>
                <w:sz w:val="16"/>
                <w:szCs w:val="18"/>
              </w:rPr>
              <w:t>Fully disagree</w:t>
            </w:r>
          </w:p>
        </w:tc>
        <w:tc>
          <w:tcPr>
            <w:tcW w:w="853" w:type="dxa"/>
          </w:tcPr>
          <w:p w14:paraId="0774D550" w14:textId="77777777" w:rsidR="004A7756" w:rsidRPr="00973525" w:rsidRDefault="004A7756" w:rsidP="00321402">
            <w:pPr>
              <w:pStyle w:val="TableParagraph"/>
              <w:spacing w:before="3" w:line="252" w:lineRule="auto"/>
              <w:ind w:left="100" w:right="114" w:firstLine="0"/>
              <w:rPr>
                <w:sz w:val="16"/>
                <w:szCs w:val="18"/>
              </w:rPr>
            </w:pPr>
            <w:r w:rsidRPr="00973525">
              <w:rPr>
                <w:sz w:val="16"/>
                <w:szCs w:val="18"/>
              </w:rPr>
              <w:t>No opinion</w:t>
            </w:r>
          </w:p>
        </w:tc>
      </w:tr>
      <w:tr w:rsidR="00F35A82" w:rsidRPr="007A4499" w14:paraId="66A4F0F9" w14:textId="77777777" w:rsidTr="0017503B">
        <w:trPr>
          <w:trHeight w:val="229"/>
        </w:trPr>
        <w:tc>
          <w:tcPr>
            <w:tcW w:w="3950" w:type="dxa"/>
          </w:tcPr>
          <w:p w14:paraId="2418EE1A" w14:textId="77777777" w:rsidR="004A7756" w:rsidRPr="00973525" w:rsidRDefault="004A7756" w:rsidP="00321402">
            <w:pPr>
              <w:pStyle w:val="TableParagraph"/>
              <w:tabs>
                <w:tab w:val="left" w:pos="823"/>
              </w:tabs>
              <w:spacing w:line="252" w:lineRule="auto"/>
              <w:ind w:right="742"/>
              <w:rPr>
                <w:sz w:val="16"/>
                <w:szCs w:val="18"/>
              </w:rPr>
            </w:pPr>
            <w:r w:rsidRPr="00973525">
              <w:rPr>
                <w:sz w:val="16"/>
                <w:szCs w:val="18"/>
              </w:rPr>
              <w:t>1.</w:t>
            </w:r>
            <w:r w:rsidRPr="00973525">
              <w:rPr>
                <w:sz w:val="16"/>
                <w:szCs w:val="18"/>
              </w:rPr>
              <w:tab/>
              <w:t>Revival of</w:t>
            </w:r>
            <w:r w:rsidRPr="00973525">
              <w:rPr>
                <w:spacing w:val="-2"/>
                <w:sz w:val="16"/>
                <w:szCs w:val="18"/>
              </w:rPr>
              <w:t xml:space="preserve"> </w:t>
            </w:r>
            <w:r w:rsidRPr="00973525">
              <w:rPr>
                <w:sz w:val="16"/>
                <w:szCs w:val="18"/>
              </w:rPr>
              <w:t>a</w:t>
            </w:r>
            <w:r w:rsidRPr="00973525">
              <w:rPr>
                <w:spacing w:val="-2"/>
                <w:sz w:val="16"/>
                <w:szCs w:val="18"/>
              </w:rPr>
              <w:t xml:space="preserve"> </w:t>
            </w:r>
            <w:r w:rsidRPr="00973525">
              <w:rPr>
                <w:sz w:val="16"/>
                <w:szCs w:val="18"/>
              </w:rPr>
              <w:t>safer</w:t>
            </w:r>
            <w:r w:rsidRPr="00973525">
              <w:rPr>
                <w:w w:val="99"/>
                <w:sz w:val="16"/>
                <w:szCs w:val="18"/>
              </w:rPr>
              <w:t xml:space="preserve"> </w:t>
            </w:r>
            <w:r w:rsidRPr="00973525">
              <w:rPr>
                <w:sz w:val="16"/>
                <w:szCs w:val="18"/>
              </w:rPr>
              <w:t>securitisation</w:t>
            </w:r>
            <w:r w:rsidRPr="00973525">
              <w:rPr>
                <w:spacing w:val="-5"/>
                <w:sz w:val="16"/>
                <w:szCs w:val="18"/>
              </w:rPr>
              <w:t xml:space="preserve"> </w:t>
            </w:r>
            <w:r w:rsidRPr="00973525">
              <w:rPr>
                <w:sz w:val="16"/>
                <w:szCs w:val="18"/>
              </w:rPr>
              <w:t>market</w:t>
            </w:r>
          </w:p>
        </w:tc>
        <w:tc>
          <w:tcPr>
            <w:tcW w:w="853" w:type="dxa"/>
          </w:tcPr>
          <w:p w14:paraId="6B731151" w14:textId="77777777" w:rsidR="004A7756" w:rsidRPr="00973525" w:rsidRDefault="004A7756" w:rsidP="00987057">
            <w:pPr>
              <w:jc w:val="center"/>
              <w:rPr>
                <w:sz w:val="16"/>
                <w:szCs w:val="18"/>
              </w:rPr>
            </w:pPr>
          </w:p>
        </w:tc>
        <w:tc>
          <w:tcPr>
            <w:tcW w:w="853" w:type="dxa"/>
          </w:tcPr>
          <w:p w14:paraId="386C4145" w14:textId="77777777" w:rsidR="004A7756" w:rsidRPr="00973525" w:rsidRDefault="004A7756" w:rsidP="00987057">
            <w:pPr>
              <w:jc w:val="center"/>
              <w:rPr>
                <w:sz w:val="16"/>
                <w:szCs w:val="18"/>
              </w:rPr>
            </w:pPr>
          </w:p>
        </w:tc>
        <w:tc>
          <w:tcPr>
            <w:tcW w:w="853" w:type="dxa"/>
          </w:tcPr>
          <w:p w14:paraId="2C10BCD3" w14:textId="77777777" w:rsidR="004A7756" w:rsidRPr="00973525" w:rsidRDefault="004A7756" w:rsidP="00987057">
            <w:pPr>
              <w:jc w:val="center"/>
              <w:rPr>
                <w:sz w:val="16"/>
                <w:szCs w:val="18"/>
              </w:rPr>
            </w:pPr>
          </w:p>
        </w:tc>
        <w:tc>
          <w:tcPr>
            <w:tcW w:w="853" w:type="dxa"/>
          </w:tcPr>
          <w:p w14:paraId="1928AC71" w14:textId="77777777" w:rsidR="004A7756" w:rsidRPr="00973525" w:rsidRDefault="004A7756" w:rsidP="00987057">
            <w:pPr>
              <w:jc w:val="center"/>
              <w:rPr>
                <w:sz w:val="16"/>
                <w:szCs w:val="18"/>
              </w:rPr>
            </w:pPr>
          </w:p>
        </w:tc>
        <w:tc>
          <w:tcPr>
            <w:tcW w:w="853" w:type="dxa"/>
          </w:tcPr>
          <w:p w14:paraId="486C30F5" w14:textId="7EA590DD" w:rsidR="004A7756" w:rsidRPr="00973525" w:rsidRDefault="60155CC9" w:rsidP="00987057">
            <w:pPr>
              <w:jc w:val="center"/>
              <w:rPr>
                <w:sz w:val="16"/>
                <w:szCs w:val="16"/>
              </w:rPr>
            </w:pPr>
            <w:r w:rsidRPr="501DBB6C">
              <w:rPr>
                <w:sz w:val="16"/>
                <w:szCs w:val="16"/>
              </w:rPr>
              <w:t>X</w:t>
            </w:r>
          </w:p>
        </w:tc>
        <w:tc>
          <w:tcPr>
            <w:tcW w:w="853" w:type="dxa"/>
          </w:tcPr>
          <w:p w14:paraId="799F12E6" w14:textId="77777777" w:rsidR="004A7756" w:rsidRPr="00973525" w:rsidRDefault="004A7756" w:rsidP="00987057">
            <w:pPr>
              <w:jc w:val="center"/>
              <w:rPr>
                <w:sz w:val="16"/>
                <w:szCs w:val="18"/>
              </w:rPr>
            </w:pPr>
          </w:p>
        </w:tc>
      </w:tr>
      <w:tr w:rsidR="00F35A82" w:rsidRPr="007A4499" w14:paraId="498529A4" w14:textId="77777777" w:rsidTr="0017503B">
        <w:trPr>
          <w:trHeight w:val="418"/>
        </w:trPr>
        <w:tc>
          <w:tcPr>
            <w:tcW w:w="3950" w:type="dxa"/>
          </w:tcPr>
          <w:p w14:paraId="60BD5E31" w14:textId="77777777" w:rsidR="004A7756" w:rsidRPr="00973525" w:rsidRDefault="004A7756" w:rsidP="00321402">
            <w:pPr>
              <w:pStyle w:val="TableParagraph"/>
              <w:tabs>
                <w:tab w:val="left" w:pos="823"/>
              </w:tabs>
              <w:spacing w:line="252" w:lineRule="auto"/>
              <w:ind w:right="216"/>
              <w:rPr>
                <w:sz w:val="16"/>
                <w:szCs w:val="18"/>
              </w:rPr>
            </w:pPr>
            <w:r w:rsidRPr="00973525">
              <w:rPr>
                <w:sz w:val="16"/>
                <w:szCs w:val="18"/>
              </w:rPr>
              <w:t>2.</w:t>
            </w:r>
            <w:r w:rsidRPr="00973525">
              <w:rPr>
                <w:sz w:val="16"/>
                <w:szCs w:val="18"/>
              </w:rPr>
              <w:tab/>
              <w:t xml:space="preserve">Improving </w:t>
            </w:r>
            <w:proofErr w:type="gramStart"/>
            <w:r w:rsidRPr="00973525">
              <w:rPr>
                <w:sz w:val="16"/>
                <w:szCs w:val="18"/>
              </w:rPr>
              <w:t>financing</w:t>
            </w:r>
            <w:proofErr w:type="gramEnd"/>
            <w:r w:rsidRPr="00973525">
              <w:rPr>
                <w:spacing w:val="-4"/>
                <w:sz w:val="16"/>
                <w:szCs w:val="18"/>
              </w:rPr>
              <w:t xml:space="preserve"> </w:t>
            </w:r>
            <w:r w:rsidRPr="00973525">
              <w:rPr>
                <w:sz w:val="16"/>
                <w:szCs w:val="18"/>
              </w:rPr>
              <w:t>of</w:t>
            </w:r>
            <w:r w:rsidRPr="00973525">
              <w:rPr>
                <w:spacing w:val="-5"/>
                <w:sz w:val="16"/>
                <w:szCs w:val="18"/>
              </w:rPr>
              <w:t xml:space="preserve"> </w:t>
            </w:r>
            <w:r w:rsidRPr="00973525">
              <w:rPr>
                <w:sz w:val="16"/>
                <w:szCs w:val="18"/>
              </w:rPr>
              <w:t>the</w:t>
            </w:r>
            <w:r w:rsidRPr="00973525">
              <w:rPr>
                <w:w w:val="99"/>
                <w:sz w:val="16"/>
                <w:szCs w:val="18"/>
              </w:rPr>
              <w:t xml:space="preserve"> </w:t>
            </w:r>
            <w:r w:rsidRPr="00973525">
              <w:rPr>
                <w:sz w:val="16"/>
                <w:szCs w:val="18"/>
              </w:rPr>
              <w:t>EU economy by creating a more balanced and stable funding structure of the</w:t>
            </w:r>
            <w:r w:rsidRPr="00973525">
              <w:rPr>
                <w:spacing w:val="-8"/>
                <w:sz w:val="16"/>
                <w:szCs w:val="18"/>
              </w:rPr>
              <w:t xml:space="preserve"> </w:t>
            </w:r>
            <w:r w:rsidRPr="00973525">
              <w:rPr>
                <w:sz w:val="16"/>
                <w:szCs w:val="18"/>
              </w:rPr>
              <w:t>EU economy</w:t>
            </w:r>
          </w:p>
        </w:tc>
        <w:tc>
          <w:tcPr>
            <w:tcW w:w="853" w:type="dxa"/>
          </w:tcPr>
          <w:p w14:paraId="5BD3608E" w14:textId="77777777" w:rsidR="004A7756" w:rsidRPr="00973525" w:rsidRDefault="004A7756" w:rsidP="00987057">
            <w:pPr>
              <w:jc w:val="center"/>
              <w:rPr>
                <w:sz w:val="16"/>
                <w:szCs w:val="18"/>
              </w:rPr>
            </w:pPr>
          </w:p>
        </w:tc>
        <w:tc>
          <w:tcPr>
            <w:tcW w:w="853" w:type="dxa"/>
          </w:tcPr>
          <w:p w14:paraId="572C10DC" w14:textId="77777777" w:rsidR="004A7756" w:rsidRPr="00973525" w:rsidRDefault="004A7756" w:rsidP="00987057">
            <w:pPr>
              <w:jc w:val="center"/>
              <w:rPr>
                <w:sz w:val="16"/>
                <w:szCs w:val="18"/>
              </w:rPr>
            </w:pPr>
          </w:p>
        </w:tc>
        <w:tc>
          <w:tcPr>
            <w:tcW w:w="853" w:type="dxa"/>
          </w:tcPr>
          <w:p w14:paraId="508FA9A1" w14:textId="77777777" w:rsidR="004A7756" w:rsidRPr="00973525" w:rsidRDefault="004A7756" w:rsidP="00987057">
            <w:pPr>
              <w:jc w:val="center"/>
              <w:rPr>
                <w:sz w:val="16"/>
                <w:szCs w:val="18"/>
              </w:rPr>
            </w:pPr>
          </w:p>
        </w:tc>
        <w:tc>
          <w:tcPr>
            <w:tcW w:w="853" w:type="dxa"/>
          </w:tcPr>
          <w:p w14:paraId="326B59EF" w14:textId="77777777" w:rsidR="004A7756" w:rsidRPr="00973525" w:rsidRDefault="004A7756" w:rsidP="00987057">
            <w:pPr>
              <w:jc w:val="center"/>
              <w:rPr>
                <w:sz w:val="16"/>
                <w:szCs w:val="18"/>
              </w:rPr>
            </w:pPr>
          </w:p>
        </w:tc>
        <w:tc>
          <w:tcPr>
            <w:tcW w:w="853" w:type="dxa"/>
          </w:tcPr>
          <w:p w14:paraId="5B65F47F" w14:textId="41FCA6D5" w:rsidR="004A7756" w:rsidRPr="00973525" w:rsidRDefault="0360A790" w:rsidP="00987057">
            <w:pPr>
              <w:jc w:val="center"/>
              <w:rPr>
                <w:sz w:val="16"/>
                <w:szCs w:val="16"/>
              </w:rPr>
            </w:pPr>
            <w:r w:rsidRPr="501DBB6C">
              <w:rPr>
                <w:sz w:val="16"/>
                <w:szCs w:val="16"/>
              </w:rPr>
              <w:t>X</w:t>
            </w:r>
          </w:p>
        </w:tc>
        <w:tc>
          <w:tcPr>
            <w:tcW w:w="853" w:type="dxa"/>
          </w:tcPr>
          <w:p w14:paraId="7161A1B2" w14:textId="77777777" w:rsidR="004A7756" w:rsidRPr="00973525" w:rsidRDefault="004A7756" w:rsidP="00987057">
            <w:pPr>
              <w:jc w:val="center"/>
              <w:rPr>
                <w:sz w:val="16"/>
                <w:szCs w:val="18"/>
              </w:rPr>
            </w:pPr>
          </w:p>
        </w:tc>
      </w:tr>
      <w:tr w:rsidR="00F35A82" w:rsidRPr="007A4499" w14:paraId="2D34B7A6" w14:textId="77777777" w:rsidTr="0017503B">
        <w:trPr>
          <w:trHeight w:val="381"/>
        </w:trPr>
        <w:tc>
          <w:tcPr>
            <w:tcW w:w="3950" w:type="dxa"/>
          </w:tcPr>
          <w:p w14:paraId="149B5BB6" w14:textId="77777777" w:rsidR="004A7756" w:rsidRPr="00973525" w:rsidRDefault="004A7756" w:rsidP="00321402">
            <w:pPr>
              <w:pStyle w:val="TableParagraph"/>
              <w:tabs>
                <w:tab w:val="left" w:pos="823"/>
              </w:tabs>
              <w:spacing w:line="252" w:lineRule="auto"/>
              <w:ind w:right="131"/>
              <w:rPr>
                <w:sz w:val="16"/>
                <w:szCs w:val="18"/>
              </w:rPr>
            </w:pPr>
            <w:r w:rsidRPr="00973525">
              <w:rPr>
                <w:sz w:val="16"/>
                <w:szCs w:val="18"/>
              </w:rPr>
              <w:t>3.</w:t>
            </w:r>
            <w:r w:rsidRPr="00973525">
              <w:rPr>
                <w:sz w:val="16"/>
                <w:szCs w:val="18"/>
              </w:rPr>
              <w:tab/>
              <w:t>Weakening the</w:t>
            </w:r>
            <w:r w:rsidRPr="00973525">
              <w:rPr>
                <w:spacing w:val="-4"/>
                <w:sz w:val="16"/>
                <w:szCs w:val="18"/>
              </w:rPr>
              <w:t xml:space="preserve"> </w:t>
            </w:r>
            <w:r w:rsidRPr="00973525">
              <w:rPr>
                <w:sz w:val="16"/>
                <w:szCs w:val="18"/>
              </w:rPr>
              <w:t>link</w:t>
            </w:r>
            <w:r w:rsidRPr="00973525">
              <w:rPr>
                <w:spacing w:val="-4"/>
                <w:sz w:val="16"/>
                <w:szCs w:val="18"/>
              </w:rPr>
              <w:t xml:space="preserve"> </w:t>
            </w:r>
            <w:r w:rsidRPr="00973525">
              <w:rPr>
                <w:sz w:val="16"/>
                <w:szCs w:val="18"/>
              </w:rPr>
              <w:t>between</w:t>
            </w:r>
            <w:r w:rsidRPr="00973525">
              <w:rPr>
                <w:w w:val="99"/>
                <w:sz w:val="16"/>
                <w:szCs w:val="18"/>
              </w:rPr>
              <w:t xml:space="preserve"> </w:t>
            </w:r>
            <w:r w:rsidRPr="00973525">
              <w:rPr>
                <w:sz w:val="16"/>
                <w:szCs w:val="18"/>
              </w:rPr>
              <w:t>banks’ deleveraging needs and credit</w:t>
            </w:r>
            <w:r w:rsidRPr="00973525">
              <w:rPr>
                <w:spacing w:val="-4"/>
                <w:sz w:val="16"/>
                <w:szCs w:val="18"/>
              </w:rPr>
              <w:t xml:space="preserve"> </w:t>
            </w:r>
            <w:r w:rsidRPr="00973525">
              <w:rPr>
                <w:sz w:val="16"/>
                <w:szCs w:val="18"/>
              </w:rPr>
              <w:t>tightening</w:t>
            </w:r>
          </w:p>
        </w:tc>
        <w:tc>
          <w:tcPr>
            <w:tcW w:w="853" w:type="dxa"/>
          </w:tcPr>
          <w:p w14:paraId="271A1482" w14:textId="77777777" w:rsidR="004A7756" w:rsidRPr="00973525" w:rsidRDefault="004A7756" w:rsidP="00987057">
            <w:pPr>
              <w:jc w:val="center"/>
              <w:rPr>
                <w:sz w:val="16"/>
                <w:szCs w:val="18"/>
              </w:rPr>
            </w:pPr>
          </w:p>
        </w:tc>
        <w:tc>
          <w:tcPr>
            <w:tcW w:w="853" w:type="dxa"/>
          </w:tcPr>
          <w:p w14:paraId="2E918C54" w14:textId="02E48B7A" w:rsidR="004A7756" w:rsidRPr="00973525" w:rsidRDefault="5ABEA4A9" w:rsidP="00987057">
            <w:pPr>
              <w:jc w:val="center"/>
              <w:rPr>
                <w:sz w:val="16"/>
                <w:szCs w:val="16"/>
              </w:rPr>
            </w:pPr>
            <w:r w:rsidRPr="501DBB6C">
              <w:rPr>
                <w:sz w:val="16"/>
                <w:szCs w:val="16"/>
              </w:rPr>
              <w:t>X</w:t>
            </w:r>
          </w:p>
        </w:tc>
        <w:tc>
          <w:tcPr>
            <w:tcW w:w="853" w:type="dxa"/>
          </w:tcPr>
          <w:p w14:paraId="20C148D6" w14:textId="77777777" w:rsidR="004A7756" w:rsidRPr="00973525" w:rsidRDefault="004A7756" w:rsidP="00987057">
            <w:pPr>
              <w:jc w:val="center"/>
              <w:rPr>
                <w:sz w:val="16"/>
                <w:szCs w:val="18"/>
              </w:rPr>
            </w:pPr>
          </w:p>
        </w:tc>
        <w:tc>
          <w:tcPr>
            <w:tcW w:w="853" w:type="dxa"/>
          </w:tcPr>
          <w:p w14:paraId="3213F6CF" w14:textId="77777777" w:rsidR="004A7756" w:rsidRPr="00973525" w:rsidRDefault="004A7756" w:rsidP="00987057">
            <w:pPr>
              <w:jc w:val="center"/>
              <w:rPr>
                <w:sz w:val="16"/>
                <w:szCs w:val="18"/>
              </w:rPr>
            </w:pPr>
          </w:p>
        </w:tc>
        <w:tc>
          <w:tcPr>
            <w:tcW w:w="853" w:type="dxa"/>
          </w:tcPr>
          <w:p w14:paraId="42F03E76" w14:textId="77777777" w:rsidR="004A7756" w:rsidRPr="00973525" w:rsidRDefault="004A7756" w:rsidP="00987057">
            <w:pPr>
              <w:jc w:val="center"/>
              <w:rPr>
                <w:sz w:val="16"/>
                <w:szCs w:val="18"/>
              </w:rPr>
            </w:pPr>
          </w:p>
        </w:tc>
        <w:tc>
          <w:tcPr>
            <w:tcW w:w="853" w:type="dxa"/>
          </w:tcPr>
          <w:p w14:paraId="159917DA" w14:textId="77777777" w:rsidR="004A7756" w:rsidRPr="00973525" w:rsidRDefault="004A7756" w:rsidP="00987057">
            <w:pPr>
              <w:jc w:val="center"/>
              <w:rPr>
                <w:sz w:val="16"/>
                <w:szCs w:val="18"/>
              </w:rPr>
            </w:pPr>
          </w:p>
        </w:tc>
      </w:tr>
      <w:tr w:rsidR="00F35A82" w:rsidRPr="007A4499" w14:paraId="1C609B4E" w14:textId="77777777" w:rsidTr="0017503B">
        <w:trPr>
          <w:trHeight w:val="347"/>
        </w:trPr>
        <w:tc>
          <w:tcPr>
            <w:tcW w:w="3950" w:type="dxa"/>
          </w:tcPr>
          <w:p w14:paraId="5A7630A6" w14:textId="77777777" w:rsidR="004A7756" w:rsidRPr="00973525" w:rsidRDefault="004A7756" w:rsidP="00321402">
            <w:pPr>
              <w:pStyle w:val="TableParagraph"/>
              <w:tabs>
                <w:tab w:val="left" w:pos="823"/>
              </w:tabs>
              <w:spacing w:line="249" w:lineRule="auto"/>
              <w:ind w:right="271"/>
              <w:rPr>
                <w:sz w:val="16"/>
                <w:szCs w:val="18"/>
              </w:rPr>
            </w:pPr>
            <w:r w:rsidRPr="00973525">
              <w:rPr>
                <w:sz w:val="16"/>
                <w:szCs w:val="18"/>
              </w:rPr>
              <w:t>4.</w:t>
            </w:r>
            <w:r w:rsidRPr="00973525">
              <w:rPr>
                <w:sz w:val="16"/>
                <w:szCs w:val="18"/>
              </w:rPr>
              <w:tab/>
              <w:t>Reducing</w:t>
            </w:r>
            <w:r w:rsidRPr="00973525">
              <w:rPr>
                <w:spacing w:val="-1"/>
                <w:sz w:val="16"/>
                <w:szCs w:val="18"/>
              </w:rPr>
              <w:t xml:space="preserve"> </w:t>
            </w:r>
            <w:r w:rsidRPr="00973525">
              <w:rPr>
                <w:sz w:val="16"/>
                <w:szCs w:val="18"/>
              </w:rPr>
              <w:t>investor</w:t>
            </w:r>
            <w:r w:rsidRPr="00973525">
              <w:rPr>
                <w:spacing w:val="-1"/>
                <w:sz w:val="16"/>
                <w:szCs w:val="18"/>
              </w:rPr>
              <w:t xml:space="preserve"> </w:t>
            </w:r>
            <w:r w:rsidRPr="00973525">
              <w:rPr>
                <w:sz w:val="16"/>
                <w:szCs w:val="18"/>
              </w:rPr>
              <w:t>stigma</w:t>
            </w:r>
            <w:r w:rsidRPr="00973525">
              <w:rPr>
                <w:w w:val="99"/>
                <w:sz w:val="16"/>
                <w:szCs w:val="18"/>
              </w:rPr>
              <w:t xml:space="preserve"> </w:t>
            </w:r>
            <w:r w:rsidRPr="00973525">
              <w:rPr>
                <w:sz w:val="16"/>
                <w:szCs w:val="18"/>
              </w:rPr>
              <w:t>towards EU</w:t>
            </w:r>
            <w:r w:rsidRPr="00973525">
              <w:rPr>
                <w:spacing w:val="-7"/>
                <w:sz w:val="16"/>
                <w:szCs w:val="18"/>
              </w:rPr>
              <w:t xml:space="preserve"> </w:t>
            </w:r>
            <w:r w:rsidRPr="00973525">
              <w:rPr>
                <w:sz w:val="16"/>
                <w:szCs w:val="18"/>
              </w:rPr>
              <w:t>securitisations</w:t>
            </w:r>
          </w:p>
        </w:tc>
        <w:tc>
          <w:tcPr>
            <w:tcW w:w="853" w:type="dxa"/>
          </w:tcPr>
          <w:p w14:paraId="033525E0" w14:textId="77777777" w:rsidR="004A7756" w:rsidRPr="00973525" w:rsidRDefault="004A7756" w:rsidP="00987057">
            <w:pPr>
              <w:jc w:val="center"/>
              <w:rPr>
                <w:sz w:val="16"/>
                <w:szCs w:val="18"/>
              </w:rPr>
            </w:pPr>
          </w:p>
        </w:tc>
        <w:tc>
          <w:tcPr>
            <w:tcW w:w="853" w:type="dxa"/>
          </w:tcPr>
          <w:p w14:paraId="28FAC67D" w14:textId="77777777" w:rsidR="004A7756" w:rsidRPr="00973525" w:rsidRDefault="004A7756" w:rsidP="00987057">
            <w:pPr>
              <w:jc w:val="center"/>
              <w:rPr>
                <w:sz w:val="16"/>
                <w:szCs w:val="18"/>
              </w:rPr>
            </w:pPr>
          </w:p>
        </w:tc>
        <w:tc>
          <w:tcPr>
            <w:tcW w:w="853" w:type="dxa"/>
          </w:tcPr>
          <w:p w14:paraId="379D6129" w14:textId="77777777" w:rsidR="004A7756" w:rsidRPr="00973525" w:rsidRDefault="004A7756" w:rsidP="00987057">
            <w:pPr>
              <w:jc w:val="center"/>
              <w:rPr>
                <w:sz w:val="16"/>
                <w:szCs w:val="18"/>
              </w:rPr>
            </w:pPr>
          </w:p>
        </w:tc>
        <w:tc>
          <w:tcPr>
            <w:tcW w:w="853" w:type="dxa"/>
          </w:tcPr>
          <w:p w14:paraId="2BA531C5" w14:textId="6EB93C23" w:rsidR="004A7756" w:rsidRPr="00973525" w:rsidRDefault="3807A983" w:rsidP="00987057">
            <w:pPr>
              <w:jc w:val="center"/>
              <w:rPr>
                <w:sz w:val="16"/>
                <w:szCs w:val="16"/>
              </w:rPr>
            </w:pPr>
            <w:r w:rsidRPr="501DBB6C">
              <w:rPr>
                <w:sz w:val="16"/>
                <w:szCs w:val="16"/>
              </w:rPr>
              <w:t>X</w:t>
            </w:r>
          </w:p>
        </w:tc>
        <w:tc>
          <w:tcPr>
            <w:tcW w:w="853" w:type="dxa"/>
          </w:tcPr>
          <w:p w14:paraId="7B731E2A" w14:textId="77777777" w:rsidR="004A7756" w:rsidRPr="00973525" w:rsidRDefault="004A7756" w:rsidP="00987057">
            <w:pPr>
              <w:jc w:val="center"/>
              <w:rPr>
                <w:sz w:val="16"/>
                <w:szCs w:val="18"/>
              </w:rPr>
            </w:pPr>
          </w:p>
        </w:tc>
        <w:tc>
          <w:tcPr>
            <w:tcW w:w="853" w:type="dxa"/>
          </w:tcPr>
          <w:p w14:paraId="0A593C07" w14:textId="77777777" w:rsidR="004A7756" w:rsidRPr="00973525" w:rsidRDefault="004A7756" w:rsidP="00987057">
            <w:pPr>
              <w:jc w:val="center"/>
              <w:rPr>
                <w:sz w:val="16"/>
                <w:szCs w:val="18"/>
              </w:rPr>
            </w:pPr>
          </w:p>
        </w:tc>
      </w:tr>
      <w:tr w:rsidR="00F35A82" w:rsidRPr="007A4499" w14:paraId="6FAB2A53" w14:textId="77777777" w:rsidTr="0017503B">
        <w:trPr>
          <w:trHeight w:val="408"/>
        </w:trPr>
        <w:tc>
          <w:tcPr>
            <w:tcW w:w="3950" w:type="dxa"/>
          </w:tcPr>
          <w:p w14:paraId="4132D31B" w14:textId="77777777" w:rsidR="004A7756" w:rsidRPr="00973525" w:rsidRDefault="004A7756" w:rsidP="00321402">
            <w:pPr>
              <w:pStyle w:val="TableParagraph"/>
              <w:tabs>
                <w:tab w:val="left" w:pos="823"/>
              </w:tabs>
              <w:spacing w:line="252" w:lineRule="auto"/>
              <w:ind w:right="423"/>
              <w:rPr>
                <w:sz w:val="16"/>
                <w:szCs w:val="18"/>
              </w:rPr>
            </w:pPr>
            <w:r w:rsidRPr="00973525">
              <w:rPr>
                <w:sz w:val="16"/>
                <w:szCs w:val="18"/>
              </w:rPr>
              <w:t>5.</w:t>
            </w:r>
            <w:r w:rsidRPr="00973525">
              <w:rPr>
                <w:sz w:val="16"/>
                <w:szCs w:val="18"/>
              </w:rPr>
              <w:tab/>
              <w:t>Removing</w:t>
            </w:r>
            <w:r w:rsidRPr="00973525">
              <w:rPr>
                <w:spacing w:val="-3"/>
                <w:sz w:val="16"/>
                <w:szCs w:val="18"/>
              </w:rPr>
              <w:t xml:space="preserve"> </w:t>
            </w:r>
            <w:r w:rsidRPr="00973525">
              <w:rPr>
                <w:sz w:val="16"/>
                <w:szCs w:val="18"/>
              </w:rPr>
              <w:t>regulatory</w:t>
            </w:r>
            <w:r w:rsidRPr="00973525">
              <w:rPr>
                <w:w w:val="99"/>
                <w:sz w:val="16"/>
                <w:szCs w:val="18"/>
              </w:rPr>
              <w:t xml:space="preserve"> </w:t>
            </w:r>
            <w:r w:rsidRPr="00973525">
              <w:rPr>
                <w:sz w:val="16"/>
                <w:szCs w:val="18"/>
              </w:rPr>
              <w:t>disadvantages for simple and transparent securitisation</w:t>
            </w:r>
            <w:r w:rsidRPr="00973525">
              <w:rPr>
                <w:spacing w:val="-3"/>
                <w:sz w:val="16"/>
                <w:szCs w:val="18"/>
              </w:rPr>
              <w:t xml:space="preserve"> </w:t>
            </w:r>
            <w:r w:rsidRPr="00973525">
              <w:rPr>
                <w:sz w:val="16"/>
                <w:szCs w:val="18"/>
              </w:rPr>
              <w:t>products</w:t>
            </w:r>
          </w:p>
        </w:tc>
        <w:tc>
          <w:tcPr>
            <w:tcW w:w="853" w:type="dxa"/>
          </w:tcPr>
          <w:p w14:paraId="55D98F7E" w14:textId="77777777" w:rsidR="004A7756" w:rsidRPr="00973525" w:rsidRDefault="004A7756" w:rsidP="00987057">
            <w:pPr>
              <w:jc w:val="center"/>
              <w:rPr>
                <w:sz w:val="16"/>
                <w:szCs w:val="18"/>
              </w:rPr>
            </w:pPr>
          </w:p>
        </w:tc>
        <w:tc>
          <w:tcPr>
            <w:tcW w:w="853" w:type="dxa"/>
          </w:tcPr>
          <w:p w14:paraId="1662C911" w14:textId="77777777" w:rsidR="004A7756" w:rsidRPr="00973525" w:rsidRDefault="004A7756" w:rsidP="00987057">
            <w:pPr>
              <w:jc w:val="center"/>
              <w:rPr>
                <w:sz w:val="16"/>
                <w:szCs w:val="18"/>
              </w:rPr>
            </w:pPr>
          </w:p>
        </w:tc>
        <w:tc>
          <w:tcPr>
            <w:tcW w:w="853" w:type="dxa"/>
          </w:tcPr>
          <w:p w14:paraId="66C8410E" w14:textId="5E20D9B0" w:rsidR="004A7756" w:rsidRPr="00973525" w:rsidRDefault="22F0A634" w:rsidP="00987057">
            <w:pPr>
              <w:jc w:val="center"/>
              <w:rPr>
                <w:sz w:val="16"/>
                <w:szCs w:val="16"/>
              </w:rPr>
            </w:pPr>
            <w:r w:rsidRPr="501DBB6C">
              <w:rPr>
                <w:sz w:val="16"/>
                <w:szCs w:val="16"/>
              </w:rPr>
              <w:t>X</w:t>
            </w:r>
          </w:p>
        </w:tc>
        <w:tc>
          <w:tcPr>
            <w:tcW w:w="853" w:type="dxa"/>
          </w:tcPr>
          <w:p w14:paraId="2B74928D" w14:textId="77777777" w:rsidR="004A7756" w:rsidRPr="00973525" w:rsidRDefault="004A7756" w:rsidP="00987057">
            <w:pPr>
              <w:jc w:val="center"/>
              <w:rPr>
                <w:sz w:val="16"/>
                <w:szCs w:val="18"/>
              </w:rPr>
            </w:pPr>
          </w:p>
        </w:tc>
        <w:tc>
          <w:tcPr>
            <w:tcW w:w="853" w:type="dxa"/>
          </w:tcPr>
          <w:p w14:paraId="3226E43F" w14:textId="77777777" w:rsidR="004A7756" w:rsidRPr="00973525" w:rsidRDefault="004A7756" w:rsidP="00987057">
            <w:pPr>
              <w:jc w:val="center"/>
              <w:rPr>
                <w:sz w:val="16"/>
                <w:szCs w:val="18"/>
              </w:rPr>
            </w:pPr>
          </w:p>
        </w:tc>
        <w:tc>
          <w:tcPr>
            <w:tcW w:w="853" w:type="dxa"/>
          </w:tcPr>
          <w:p w14:paraId="190F0122" w14:textId="77777777" w:rsidR="004A7756" w:rsidRPr="00973525" w:rsidRDefault="004A7756" w:rsidP="00987057">
            <w:pPr>
              <w:jc w:val="center"/>
              <w:rPr>
                <w:sz w:val="16"/>
                <w:szCs w:val="18"/>
              </w:rPr>
            </w:pPr>
          </w:p>
        </w:tc>
      </w:tr>
      <w:tr w:rsidR="00F35A82" w:rsidRPr="007A4499" w14:paraId="4E41C62B" w14:textId="77777777" w:rsidTr="0017503B">
        <w:trPr>
          <w:trHeight w:val="385"/>
        </w:trPr>
        <w:tc>
          <w:tcPr>
            <w:tcW w:w="3950" w:type="dxa"/>
          </w:tcPr>
          <w:p w14:paraId="14839C1B" w14:textId="77777777" w:rsidR="004A7756" w:rsidRPr="00973525" w:rsidRDefault="004A7756" w:rsidP="00321402">
            <w:pPr>
              <w:pStyle w:val="TableParagraph"/>
              <w:tabs>
                <w:tab w:val="left" w:pos="823"/>
              </w:tabs>
              <w:spacing w:line="252" w:lineRule="auto"/>
              <w:ind w:right="503"/>
              <w:rPr>
                <w:sz w:val="16"/>
                <w:szCs w:val="18"/>
              </w:rPr>
            </w:pPr>
            <w:r w:rsidRPr="00973525">
              <w:rPr>
                <w:sz w:val="16"/>
                <w:szCs w:val="18"/>
              </w:rPr>
              <w:t>6.</w:t>
            </w:r>
            <w:r w:rsidRPr="00973525">
              <w:rPr>
                <w:sz w:val="16"/>
                <w:szCs w:val="18"/>
              </w:rPr>
              <w:tab/>
              <w:t>Reducing/eliminating unduly high</w:t>
            </w:r>
            <w:r w:rsidRPr="00973525">
              <w:rPr>
                <w:spacing w:val="-4"/>
                <w:sz w:val="16"/>
                <w:szCs w:val="18"/>
              </w:rPr>
              <w:t xml:space="preserve"> </w:t>
            </w:r>
            <w:r w:rsidRPr="00973525">
              <w:rPr>
                <w:sz w:val="16"/>
                <w:szCs w:val="18"/>
              </w:rPr>
              <w:t>operational costs for issuers and investors</w:t>
            </w:r>
          </w:p>
        </w:tc>
        <w:tc>
          <w:tcPr>
            <w:tcW w:w="853" w:type="dxa"/>
          </w:tcPr>
          <w:p w14:paraId="1808654B" w14:textId="77777777" w:rsidR="004A7756" w:rsidRPr="00973525" w:rsidRDefault="004A7756" w:rsidP="00987057">
            <w:pPr>
              <w:jc w:val="center"/>
              <w:rPr>
                <w:sz w:val="16"/>
                <w:szCs w:val="18"/>
              </w:rPr>
            </w:pPr>
          </w:p>
        </w:tc>
        <w:tc>
          <w:tcPr>
            <w:tcW w:w="853" w:type="dxa"/>
          </w:tcPr>
          <w:p w14:paraId="1522AB8A" w14:textId="77777777" w:rsidR="004A7756" w:rsidRPr="00973525" w:rsidRDefault="004A7756" w:rsidP="00987057">
            <w:pPr>
              <w:jc w:val="center"/>
              <w:rPr>
                <w:sz w:val="16"/>
                <w:szCs w:val="18"/>
              </w:rPr>
            </w:pPr>
          </w:p>
        </w:tc>
        <w:tc>
          <w:tcPr>
            <w:tcW w:w="853" w:type="dxa"/>
          </w:tcPr>
          <w:p w14:paraId="6E1B96EF" w14:textId="77777777" w:rsidR="004A7756" w:rsidRPr="00973525" w:rsidRDefault="004A7756" w:rsidP="00987057">
            <w:pPr>
              <w:jc w:val="center"/>
              <w:rPr>
                <w:sz w:val="16"/>
                <w:szCs w:val="18"/>
              </w:rPr>
            </w:pPr>
          </w:p>
        </w:tc>
        <w:tc>
          <w:tcPr>
            <w:tcW w:w="853" w:type="dxa"/>
          </w:tcPr>
          <w:p w14:paraId="337A4BCE" w14:textId="77777777" w:rsidR="004A7756" w:rsidRPr="00973525" w:rsidRDefault="004A7756" w:rsidP="00987057">
            <w:pPr>
              <w:jc w:val="center"/>
              <w:rPr>
                <w:sz w:val="16"/>
                <w:szCs w:val="18"/>
              </w:rPr>
            </w:pPr>
          </w:p>
        </w:tc>
        <w:tc>
          <w:tcPr>
            <w:tcW w:w="853" w:type="dxa"/>
          </w:tcPr>
          <w:p w14:paraId="75BAF6C6" w14:textId="2B77D3A5" w:rsidR="004A7756" w:rsidRPr="00973525" w:rsidRDefault="26968F51" w:rsidP="00987057">
            <w:pPr>
              <w:jc w:val="center"/>
              <w:rPr>
                <w:sz w:val="16"/>
                <w:szCs w:val="16"/>
              </w:rPr>
            </w:pPr>
            <w:r w:rsidRPr="501DBB6C">
              <w:rPr>
                <w:sz w:val="16"/>
                <w:szCs w:val="16"/>
              </w:rPr>
              <w:t>X</w:t>
            </w:r>
          </w:p>
        </w:tc>
        <w:tc>
          <w:tcPr>
            <w:tcW w:w="853" w:type="dxa"/>
          </w:tcPr>
          <w:p w14:paraId="2099FB13" w14:textId="77777777" w:rsidR="004A7756" w:rsidRPr="00973525" w:rsidRDefault="004A7756" w:rsidP="00987057">
            <w:pPr>
              <w:jc w:val="center"/>
              <w:rPr>
                <w:sz w:val="16"/>
                <w:szCs w:val="18"/>
              </w:rPr>
            </w:pPr>
          </w:p>
        </w:tc>
      </w:tr>
      <w:tr w:rsidR="00F35A82" w:rsidRPr="007A4499" w14:paraId="3375B751" w14:textId="77777777" w:rsidTr="0017503B">
        <w:trPr>
          <w:trHeight w:val="465"/>
        </w:trPr>
        <w:tc>
          <w:tcPr>
            <w:tcW w:w="3950" w:type="dxa"/>
          </w:tcPr>
          <w:p w14:paraId="4C5C3749" w14:textId="77777777" w:rsidR="004A7756" w:rsidRPr="00973525" w:rsidRDefault="004A7756" w:rsidP="00321402">
            <w:pPr>
              <w:pStyle w:val="TableParagraph"/>
              <w:tabs>
                <w:tab w:val="left" w:pos="823"/>
              </w:tabs>
              <w:spacing w:line="252" w:lineRule="auto"/>
              <w:ind w:right="134"/>
              <w:rPr>
                <w:sz w:val="16"/>
                <w:szCs w:val="18"/>
              </w:rPr>
            </w:pPr>
            <w:r w:rsidRPr="00973525">
              <w:rPr>
                <w:sz w:val="16"/>
                <w:szCs w:val="18"/>
              </w:rPr>
              <w:t>7.</w:t>
            </w:r>
            <w:r w:rsidRPr="00973525">
              <w:rPr>
                <w:sz w:val="16"/>
                <w:szCs w:val="18"/>
              </w:rPr>
              <w:tab/>
              <w:t>Differentiating</w:t>
            </w:r>
            <w:r w:rsidRPr="00973525">
              <w:rPr>
                <w:spacing w:val="-5"/>
                <w:sz w:val="16"/>
                <w:szCs w:val="18"/>
              </w:rPr>
              <w:t xml:space="preserve"> </w:t>
            </w:r>
            <w:r w:rsidRPr="00973525">
              <w:rPr>
                <w:sz w:val="16"/>
                <w:szCs w:val="18"/>
              </w:rPr>
              <w:t>simple,</w:t>
            </w:r>
            <w:r w:rsidRPr="00973525">
              <w:rPr>
                <w:w w:val="99"/>
                <w:sz w:val="16"/>
                <w:szCs w:val="18"/>
              </w:rPr>
              <w:t xml:space="preserve"> </w:t>
            </w:r>
            <w:r w:rsidRPr="00973525">
              <w:rPr>
                <w:sz w:val="16"/>
                <w:szCs w:val="18"/>
              </w:rPr>
              <w:t xml:space="preserve">transparent and </w:t>
            </w:r>
            <w:proofErr w:type="spellStart"/>
            <w:r w:rsidRPr="00973525">
              <w:rPr>
                <w:sz w:val="16"/>
                <w:szCs w:val="18"/>
              </w:rPr>
              <w:t>standardised</w:t>
            </w:r>
            <w:proofErr w:type="spellEnd"/>
            <w:r w:rsidRPr="00973525">
              <w:rPr>
                <w:sz w:val="16"/>
                <w:szCs w:val="18"/>
              </w:rPr>
              <w:t xml:space="preserve"> (STS) </w:t>
            </w:r>
            <w:proofErr w:type="gramStart"/>
            <w:r w:rsidRPr="00973525">
              <w:rPr>
                <w:sz w:val="16"/>
                <w:szCs w:val="18"/>
              </w:rPr>
              <w:t>securitisation products</w:t>
            </w:r>
            <w:proofErr w:type="gramEnd"/>
            <w:r w:rsidRPr="00973525">
              <w:rPr>
                <w:sz w:val="16"/>
                <w:szCs w:val="18"/>
              </w:rPr>
              <w:t xml:space="preserve"> from more opaque and complex</w:t>
            </w:r>
            <w:r w:rsidRPr="00973525">
              <w:rPr>
                <w:spacing w:val="-4"/>
                <w:sz w:val="16"/>
                <w:szCs w:val="18"/>
              </w:rPr>
              <w:t xml:space="preserve"> </w:t>
            </w:r>
            <w:r w:rsidRPr="00973525">
              <w:rPr>
                <w:sz w:val="16"/>
                <w:szCs w:val="18"/>
              </w:rPr>
              <w:t>ones</w:t>
            </w:r>
          </w:p>
        </w:tc>
        <w:tc>
          <w:tcPr>
            <w:tcW w:w="853" w:type="dxa"/>
          </w:tcPr>
          <w:p w14:paraId="08C1D94B" w14:textId="77777777" w:rsidR="004A7756" w:rsidRPr="00973525" w:rsidRDefault="004A7756" w:rsidP="00987057">
            <w:pPr>
              <w:jc w:val="center"/>
              <w:rPr>
                <w:sz w:val="16"/>
                <w:szCs w:val="18"/>
              </w:rPr>
            </w:pPr>
          </w:p>
        </w:tc>
        <w:tc>
          <w:tcPr>
            <w:tcW w:w="853" w:type="dxa"/>
          </w:tcPr>
          <w:p w14:paraId="0FB9C9B2" w14:textId="77777777" w:rsidR="004A7756" w:rsidRPr="00973525" w:rsidRDefault="004A7756" w:rsidP="00987057">
            <w:pPr>
              <w:jc w:val="center"/>
              <w:rPr>
                <w:sz w:val="16"/>
                <w:szCs w:val="18"/>
              </w:rPr>
            </w:pPr>
          </w:p>
        </w:tc>
        <w:tc>
          <w:tcPr>
            <w:tcW w:w="853" w:type="dxa"/>
          </w:tcPr>
          <w:p w14:paraId="657B7506" w14:textId="77777777" w:rsidR="004A7756" w:rsidRPr="00973525" w:rsidRDefault="004A7756" w:rsidP="00987057">
            <w:pPr>
              <w:jc w:val="center"/>
              <w:rPr>
                <w:sz w:val="16"/>
                <w:szCs w:val="18"/>
              </w:rPr>
            </w:pPr>
          </w:p>
        </w:tc>
        <w:tc>
          <w:tcPr>
            <w:tcW w:w="853" w:type="dxa"/>
          </w:tcPr>
          <w:p w14:paraId="4C454C55" w14:textId="71973E4C" w:rsidR="004A7756" w:rsidRPr="00973525" w:rsidRDefault="54A2D81C" w:rsidP="00987057">
            <w:pPr>
              <w:jc w:val="center"/>
              <w:rPr>
                <w:sz w:val="16"/>
                <w:szCs w:val="16"/>
              </w:rPr>
            </w:pPr>
            <w:r w:rsidRPr="501DBB6C">
              <w:rPr>
                <w:sz w:val="16"/>
                <w:szCs w:val="16"/>
              </w:rPr>
              <w:t>X</w:t>
            </w:r>
          </w:p>
        </w:tc>
        <w:tc>
          <w:tcPr>
            <w:tcW w:w="853" w:type="dxa"/>
          </w:tcPr>
          <w:p w14:paraId="198E3AF6" w14:textId="77777777" w:rsidR="004A7756" w:rsidRPr="00973525" w:rsidRDefault="004A7756" w:rsidP="00987057">
            <w:pPr>
              <w:jc w:val="center"/>
              <w:rPr>
                <w:sz w:val="16"/>
                <w:szCs w:val="18"/>
              </w:rPr>
            </w:pPr>
          </w:p>
        </w:tc>
        <w:tc>
          <w:tcPr>
            <w:tcW w:w="853" w:type="dxa"/>
          </w:tcPr>
          <w:p w14:paraId="0078C04B" w14:textId="77777777" w:rsidR="004A7756" w:rsidRPr="00973525" w:rsidRDefault="004A7756" w:rsidP="00987057">
            <w:pPr>
              <w:jc w:val="center"/>
              <w:rPr>
                <w:sz w:val="16"/>
                <w:szCs w:val="18"/>
              </w:rPr>
            </w:pPr>
          </w:p>
        </w:tc>
      </w:tr>
      <w:tr w:rsidR="00F35A82" w:rsidRPr="007A4499" w14:paraId="408F5825" w14:textId="77777777" w:rsidTr="0017503B">
        <w:trPr>
          <w:trHeight w:val="416"/>
        </w:trPr>
        <w:tc>
          <w:tcPr>
            <w:tcW w:w="3950" w:type="dxa"/>
          </w:tcPr>
          <w:p w14:paraId="46066F80" w14:textId="77777777" w:rsidR="004A7756" w:rsidRPr="00973525" w:rsidRDefault="004A7756" w:rsidP="00321402">
            <w:pPr>
              <w:pStyle w:val="TableParagraph"/>
              <w:spacing w:line="252" w:lineRule="auto"/>
              <w:ind w:left="1183" w:right="113"/>
              <w:rPr>
                <w:sz w:val="16"/>
                <w:szCs w:val="18"/>
              </w:rPr>
            </w:pPr>
            <w:r w:rsidRPr="00973525">
              <w:rPr>
                <w:sz w:val="16"/>
                <w:szCs w:val="18"/>
              </w:rPr>
              <w:t>7.1 Increasing the price difference between STS vs non-STS products</w:t>
            </w:r>
          </w:p>
        </w:tc>
        <w:tc>
          <w:tcPr>
            <w:tcW w:w="853" w:type="dxa"/>
          </w:tcPr>
          <w:p w14:paraId="7FF05501" w14:textId="77777777" w:rsidR="004A7756" w:rsidRPr="00973525" w:rsidRDefault="004A7756" w:rsidP="00987057">
            <w:pPr>
              <w:jc w:val="center"/>
              <w:rPr>
                <w:sz w:val="16"/>
                <w:szCs w:val="18"/>
              </w:rPr>
            </w:pPr>
          </w:p>
        </w:tc>
        <w:tc>
          <w:tcPr>
            <w:tcW w:w="853" w:type="dxa"/>
          </w:tcPr>
          <w:p w14:paraId="41FA053E" w14:textId="77777777" w:rsidR="004A7756" w:rsidRPr="00973525" w:rsidRDefault="004A7756" w:rsidP="00987057">
            <w:pPr>
              <w:jc w:val="center"/>
              <w:rPr>
                <w:sz w:val="16"/>
                <w:szCs w:val="18"/>
              </w:rPr>
            </w:pPr>
          </w:p>
        </w:tc>
        <w:tc>
          <w:tcPr>
            <w:tcW w:w="853" w:type="dxa"/>
          </w:tcPr>
          <w:p w14:paraId="2FA7FB5C" w14:textId="77777777" w:rsidR="004A7756" w:rsidRPr="00973525" w:rsidRDefault="004A7756" w:rsidP="00987057">
            <w:pPr>
              <w:jc w:val="center"/>
              <w:rPr>
                <w:sz w:val="16"/>
                <w:szCs w:val="18"/>
              </w:rPr>
            </w:pPr>
          </w:p>
        </w:tc>
        <w:tc>
          <w:tcPr>
            <w:tcW w:w="853" w:type="dxa"/>
          </w:tcPr>
          <w:p w14:paraId="5A62B81C" w14:textId="409FE8C9" w:rsidR="004A7756" w:rsidRPr="00973525" w:rsidRDefault="1F9AB61B" w:rsidP="00987057">
            <w:pPr>
              <w:jc w:val="center"/>
              <w:rPr>
                <w:sz w:val="16"/>
                <w:szCs w:val="16"/>
              </w:rPr>
            </w:pPr>
            <w:r w:rsidRPr="501DBB6C">
              <w:rPr>
                <w:sz w:val="16"/>
                <w:szCs w:val="16"/>
              </w:rPr>
              <w:t>X</w:t>
            </w:r>
          </w:p>
        </w:tc>
        <w:tc>
          <w:tcPr>
            <w:tcW w:w="853" w:type="dxa"/>
          </w:tcPr>
          <w:p w14:paraId="183DF326" w14:textId="77777777" w:rsidR="004A7756" w:rsidRPr="00973525" w:rsidRDefault="004A7756" w:rsidP="00987057">
            <w:pPr>
              <w:jc w:val="center"/>
              <w:rPr>
                <w:sz w:val="16"/>
                <w:szCs w:val="18"/>
              </w:rPr>
            </w:pPr>
          </w:p>
        </w:tc>
        <w:tc>
          <w:tcPr>
            <w:tcW w:w="853" w:type="dxa"/>
          </w:tcPr>
          <w:p w14:paraId="1BA5BEA4" w14:textId="77777777" w:rsidR="004A7756" w:rsidRPr="00973525" w:rsidRDefault="004A7756" w:rsidP="00987057">
            <w:pPr>
              <w:jc w:val="center"/>
              <w:rPr>
                <w:sz w:val="16"/>
                <w:szCs w:val="18"/>
              </w:rPr>
            </w:pPr>
          </w:p>
        </w:tc>
      </w:tr>
      <w:tr w:rsidR="00F35A82" w:rsidRPr="007A4499" w14:paraId="02C0E450" w14:textId="77777777" w:rsidTr="0017503B">
        <w:trPr>
          <w:trHeight w:val="287"/>
        </w:trPr>
        <w:tc>
          <w:tcPr>
            <w:tcW w:w="3950" w:type="dxa"/>
          </w:tcPr>
          <w:p w14:paraId="5635509E" w14:textId="77777777" w:rsidR="004A7756" w:rsidRPr="00973525" w:rsidRDefault="004A7756" w:rsidP="00321402">
            <w:pPr>
              <w:pStyle w:val="TableParagraph"/>
              <w:spacing w:line="252" w:lineRule="auto"/>
              <w:ind w:left="1183" w:right="116"/>
              <w:jc w:val="both"/>
              <w:rPr>
                <w:sz w:val="16"/>
                <w:szCs w:val="18"/>
              </w:rPr>
            </w:pPr>
            <w:r w:rsidRPr="00973525">
              <w:rPr>
                <w:sz w:val="16"/>
                <w:szCs w:val="18"/>
              </w:rPr>
              <w:t>7.2 Increasing the growth in issuance of STS vs non- STS products</w:t>
            </w:r>
          </w:p>
        </w:tc>
        <w:tc>
          <w:tcPr>
            <w:tcW w:w="853" w:type="dxa"/>
          </w:tcPr>
          <w:p w14:paraId="56629AAF" w14:textId="77777777" w:rsidR="004A7756" w:rsidRPr="00973525" w:rsidRDefault="004A7756" w:rsidP="00987057">
            <w:pPr>
              <w:jc w:val="center"/>
              <w:rPr>
                <w:sz w:val="16"/>
                <w:szCs w:val="18"/>
              </w:rPr>
            </w:pPr>
          </w:p>
        </w:tc>
        <w:tc>
          <w:tcPr>
            <w:tcW w:w="853" w:type="dxa"/>
          </w:tcPr>
          <w:p w14:paraId="1FD50AE3" w14:textId="77777777" w:rsidR="004A7756" w:rsidRPr="00973525" w:rsidRDefault="004A7756" w:rsidP="00987057">
            <w:pPr>
              <w:jc w:val="center"/>
              <w:rPr>
                <w:sz w:val="16"/>
                <w:szCs w:val="18"/>
              </w:rPr>
            </w:pPr>
          </w:p>
        </w:tc>
        <w:tc>
          <w:tcPr>
            <w:tcW w:w="853" w:type="dxa"/>
          </w:tcPr>
          <w:p w14:paraId="4B0F5BBD" w14:textId="77777777" w:rsidR="004A7756" w:rsidRPr="00973525" w:rsidRDefault="004A7756" w:rsidP="00987057">
            <w:pPr>
              <w:jc w:val="center"/>
              <w:rPr>
                <w:sz w:val="16"/>
                <w:szCs w:val="18"/>
              </w:rPr>
            </w:pPr>
          </w:p>
        </w:tc>
        <w:tc>
          <w:tcPr>
            <w:tcW w:w="853" w:type="dxa"/>
          </w:tcPr>
          <w:p w14:paraId="273F411F" w14:textId="59AC438F" w:rsidR="004A7756" w:rsidRPr="00973525" w:rsidRDefault="163AE243" w:rsidP="00987057">
            <w:pPr>
              <w:jc w:val="center"/>
              <w:rPr>
                <w:sz w:val="16"/>
                <w:szCs w:val="16"/>
              </w:rPr>
            </w:pPr>
            <w:r w:rsidRPr="501DBB6C">
              <w:rPr>
                <w:sz w:val="16"/>
                <w:szCs w:val="16"/>
              </w:rPr>
              <w:t>X</w:t>
            </w:r>
          </w:p>
        </w:tc>
        <w:tc>
          <w:tcPr>
            <w:tcW w:w="853" w:type="dxa"/>
          </w:tcPr>
          <w:p w14:paraId="40B20579" w14:textId="77777777" w:rsidR="004A7756" w:rsidRPr="00973525" w:rsidRDefault="004A7756" w:rsidP="00987057">
            <w:pPr>
              <w:jc w:val="center"/>
              <w:rPr>
                <w:sz w:val="16"/>
                <w:szCs w:val="18"/>
              </w:rPr>
            </w:pPr>
          </w:p>
        </w:tc>
        <w:tc>
          <w:tcPr>
            <w:tcW w:w="853" w:type="dxa"/>
          </w:tcPr>
          <w:p w14:paraId="0888CA2D" w14:textId="77777777" w:rsidR="004A7756" w:rsidRPr="00973525" w:rsidRDefault="004A7756" w:rsidP="00987057">
            <w:pPr>
              <w:jc w:val="center"/>
              <w:rPr>
                <w:sz w:val="16"/>
                <w:szCs w:val="18"/>
              </w:rPr>
            </w:pPr>
          </w:p>
        </w:tc>
      </w:tr>
      <w:tr w:rsidR="00F35A82" w:rsidRPr="007A4499" w14:paraId="4FDCBBEC" w14:textId="77777777" w:rsidTr="0017503B">
        <w:trPr>
          <w:trHeight w:val="287"/>
        </w:trPr>
        <w:tc>
          <w:tcPr>
            <w:tcW w:w="3950" w:type="dxa"/>
          </w:tcPr>
          <w:p w14:paraId="3D037ADF" w14:textId="77777777" w:rsidR="004A7756" w:rsidRPr="00973525" w:rsidRDefault="004A7756" w:rsidP="00321402">
            <w:pPr>
              <w:pStyle w:val="TableParagraph"/>
              <w:tabs>
                <w:tab w:val="left" w:pos="823"/>
              </w:tabs>
              <w:spacing w:line="249" w:lineRule="auto"/>
              <w:ind w:right="170"/>
              <w:rPr>
                <w:sz w:val="16"/>
                <w:szCs w:val="18"/>
              </w:rPr>
            </w:pPr>
            <w:r w:rsidRPr="00973525">
              <w:rPr>
                <w:sz w:val="16"/>
                <w:szCs w:val="18"/>
              </w:rPr>
              <w:t>8.</w:t>
            </w:r>
            <w:r w:rsidRPr="00973525">
              <w:rPr>
                <w:sz w:val="16"/>
                <w:szCs w:val="18"/>
              </w:rPr>
              <w:tab/>
              <w:t>Supporting</w:t>
            </w:r>
            <w:r w:rsidRPr="00973525">
              <w:rPr>
                <w:spacing w:val="-2"/>
                <w:sz w:val="16"/>
                <w:szCs w:val="18"/>
              </w:rPr>
              <w:t xml:space="preserve"> </w:t>
            </w:r>
            <w:r w:rsidRPr="00973525">
              <w:rPr>
                <w:sz w:val="16"/>
                <w:szCs w:val="18"/>
              </w:rPr>
              <w:t>the</w:t>
            </w:r>
            <w:r w:rsidRPr="00973525">
              <w:rPr>
                <w:w w:val="99"/>
                <w:sz w:val="16"/>
                <w:szCs w:val="18"/>
              </w:rPr>
              <w:t xml:space="preserve"> </w:t>
            </w:r>
            <w:proofErr w:type="spellStart"/>
            <w:r w:rsidRPr="00973525">
              <w:rPr>
                <w:sz w:val="16"/>
                <w:szCs w:val="18"/>
              </w:rPr>
              <w:t>standardisation</w:t>
            </w:r>
            <w:proofErr w:type="spellEnd"/>
            <w:r w:rsidRPr="00973525">
              <w:rPr>
                <w:sz w:val="16"/>
                <w:szCs w:val="18"/>
              </w:rPr>
              <w:t xml:space="preserve"> of</w:t>
            </w:r>
            <w:r w:rsidRPr="00973525">
              <w:rPr>
                <w:spacing w:val="-6"/>
                <w:sz w:val="16"/>
                <w:szCs w:val="18"/>
              </w:rPr>
              <w:t xml:space="preserve"> </w:t>
            </w:r>
            <w:r w:rsidRPr="00973525">
              <w:rPr>
                <w:sz w:val="16"/>
                <w:szCs w:val="18"/>
              </w:rPr>
              <w:t>processes</w:t>
            </w:r>
          </w:p>
        </w:tc>
        <w:tc>
          <w:tcPr>
            <w:tcW w:w="853" w:type="dxa"/>
          </w:tcPr>
          <w:p w14:paraId="498DA47D" w14:textId="77777777" w:rsidR="004A7756" w:rsidRPr="00973525" w:rsidRDefault="004A7756" w:rsidP="00987057">
            <w:pPr>
              <w:jc w:val="center"/>
              <w:rPr>
                <w:sz w:val="16"/>
                <w:szCs w:val="18"/>
              </w:rPr>
            </w:pPr>
          </w:p>
        </w:tc>
        <w:tc>
          <w:tcPr>
            <w:tcW w:w="853" w:type="dxa"/>
          </w:tcPr>
          <w:p w14:paraId="59EC3A55" w14:textId="4C15B97B" w:rsidR="004A7756" w:rsidRPr="00973525" w:rsidRDefault="3D9491C5" w:rsidP="00987057">
            <w:pPr>
              <w:jc w:val="center"/>
              <w:rPr>
                <w:sz w:val="16"/>
                <w:szCs w:val="16"/>
              </w:rPr>
            </w:pPr>
            <w:r w:rsidRPr="501DBB6C">
              <w:rPr>
                <w:sz w:val="16"/>
                <w:szCs w:val="16"/>
              </w:rPr>
              <w:t>X</w:t>
            </w:r>
          </w:p>
        </w:tc>
        <w:tc>
          <w:tcPr>
            <w:tcW w:w="853" w:type="dxa"/>
          </w:tcPr>
          <w:p w14:paraId="5686B06F" w14:textId="77777777" w:rsidR="004A7756" w:rsidRPr="00973525" w:rsidRDefault="004A7756" w:rsidP="00987057">
            <w:pPr>
              <w:jc w:val="center"/>
              <w:rPr>
                <w:sz w:val="16"/>
                <w:szCs w:val="18"/>
              </w:rPr>
            </w:pPr>
          </w:p>
        </w:tc>
        <w:tc>
          <w:tcPr>
            <w:tcW w:w="853" w:type="dxa"/>
          </w:tcPr>
          <w:p w14:paraId="082B7F33" w14:textId="77777777" w:rsidR="004A7756" w:rsidRPr="00973525" w:rsidRDefault="004A7756" w:rsidP="00987057">
            <w:pPr>
              <w:jc w:val="center"/>
              <w:rPr>
                <w:sz w:val="16"/>
                <w:szCs w:val="18"/>
              </w:rPr>
            </w:pPr>
          </w:p>
        </w:tc>
        <w:tc>
          <w:tcPr>
            <w:tcW w:w="853" w:type="dxa"/>
          </w:tcPr>
          <w:p w14:paraId="07BB7816" w14:textId="77777777" w:rsidR="004A7756" w:rsidRPr="00973525" w:rsidRDefault="004A7756" w:rsidP="00987057">
            <w:pPr>
              <w:jc w:val="center"/>
              <w:rPr>
                <w:sz w:val="16"/>
                <w:szCs w:val="18"/>
              </w:rPr>
            </w:pPr>
          </w:p>
        </w:tc>
        <w:tc>
          <w:tcPr>
            <w:tcW w:w="853" w:type="dxa"/>
          </w:tcPr>
          <w:p w14:paraId="3DFA8C14" w14:textId="77777777" w:rsidR="004A7756" w:rsidRPr="00973525" w:rsidRDefault="004A7756" w:rsidP="00987057">
            <w:pPr>
              <w:jc w:val="center"/>
              <w:rPr>
                <w:sz w:val="16"/>
                <w:szCs w:val="18"/>
              </w:rPr>
            </w:pPr>
          </w:p>
        </w:tc>
      </w:tr>
      <w:tr w:rsidR="00F35A82" w:rsidRPr="007A4499" w14:paraId="45102202" w14:textId="77777777" w:rsidTr="0017503B">
        <w:trPr>
          <w:trHeight w:val="431"/>
        </w:trPr>
        <w:tc>
          <w:tcPr>
            <w:tcW w:w="3950" w:type="dxa"/>
          </w:tcPr>
          <w:p w14:paraId="622232B6" w14:textId="77777777" w:rsidR="004A7756" w:rsidRPr="00973525" w:rsidRDefault="004A7756" w:rsidP="00321402">
            <w:pPr>
              <w:pStyle w:val="TableParagraph"/>
              <w:tabs>
                <w:tab w:val="left" w:pos="1014"/>
              </w:tabs>
              <w:spacing w:line="249" w:lineRule="auto"/>
              <w:ind w:left="1156" w:right="170"/>
              <w:rPr>
                <w:sz w:val="16"/>
                <w:szCs w:val="18"/>
              </w:rPr>
            </w:pPr>
            <w:r w:rsidRPr="00973525">
              <w:rPr>
                <w:sz w:val="16"/>
                <w:szCs w:val="18"/>
              </w:rPr>
              <w:t xml:space="preserve">8.1 </w:t>
            </w:r>
            <w:r w:rsidRPr="00973525">
              <w:rPr>
                <w:sz w:val="16"/>
                <w:szCs w:val="18"/>
              </w:rPr>
              <w:tab/>
              <w:t xml:space="preserve">Increasing the degree of </w:t>
            </w:r>
            <w:proofErr w:type="spellStart"/>
            <w:r w:rsidRPr="00973525">
              <w:rPr>
                <w:sz w:val="16"/>
                <w:szCs w:val="18"/>
              </w:rPr>
              <w:t>standardisation</w:t>
            </w:r>
            <w:proofErr w:type="spellEnd"/>
            <w:r w:rsidRPr="00973525">
              <w:rPr>
                <w:sz w:val="16"/>
                <w:szCs w:val="18"/>
              </w:rPr>
              <w:t xml:space="preserve"> of marketing</w:t>
            </w:r>
            <w:r w:rsidRPr="00973525">
              <w:rPr>
                <w:spacing w:val="-13"/>
                <w:sz w:val="16"/>
                <w:szCs w:val="18"/>
              </w:rPr>
              <w:t xml:space="preserve"> </w:t>
            </w:r>
            <w:r w:rsidRPr="00973525">
              <w:rPr>
                <w:sz w:val="16"/>
                <w:szCs w:val="18"/>
              </w:rPr>
              <w:t>and</w:t>
            </w:r>
            <w:r w:rsidRPr="00973525">
              <w:rPr>
                <w:spacing w:val="-12"/>
                <w:sz w:val="16"/>
                <w:szCs w:val="18"/>
              </w:rPr>
              <w:t xml:space="preserve"> </w:t>
            </w:r>
            <w:r w:rsidRPr="00973525">
              <w:rPr>
                <w:sz w:val="16"/>
                <w:szCs w:val="18"/>
              </w:rPr>
              <w:t xml:space="preserve">reporting </w:t>
            </w:r>
            <w:r w:rsidRPr="00973525">
              <w:rPr>
                <w:spacing w:val="-2"/>
                <w:sz w:val="16"/>
                <w:szCs w:val="18"/>
              </w:rPr>
              <w:t>material</w:t>
            </w:r>
          </w:p>
        </w:tc>
        <w:tc>
          <w:tcPr>
            <w:tcW w:w="853" w:type="dxa"/>
          </w:tcPr>
          <w:p w14:paraId="5500521F" w14:textId="77777777" w:rsidR="004A7756" w:rsidRPr="00973525" w:rsidRDefault="004A7756" w:rsidP="00987057">
            <w:pPr>
              <w:jc w:val="center"/>
              <w:rPr>
                <w:sz w:val="16"/>
                <w:szCs w:val="18"/>
              </w:rPr>
            </w:pPr>
          </w:p>
        </w:tc>
        <w:tc>
          <w:tcPr>
            <w:tcW w:w="853" w:type="dxa"/>
          </w:tcPr>
          <w:p w14:paraId="085B5F95" w14:textId="77777777" w:rsidR="004A7756" w:rsidRPr="00973525" w:rsidRDefault="004A7756" w:rsidP="00987057">
            <w:pPr>
              <w:jc w:val="center"/>
              <w:rPr>
                <w:sz w:val="16"/>
                <w:szCs w:val="18"/>
              </w:rPr>
            </w:pPr>
          </w:p>
        </w:tc>
        <w:tc>
          <w:tcPr>
            <w:tcW w:w="853" w:type="dxa"/>
          </w:tcPr>
          <w:p w14:paraId="346E9552" w14:textId="2AA6A6F3" w:rsidR="004A7756" w:rsidRPr="00973525" w:rsidRDefault="58CCA5F4" w:rsidP="00987057">
            <w:pPr>
              <w:jc w:val="center"/>
              <w:rPr>
                <w:sz w:val="16"/>
                <w:szCs w:val="16"/>
              </w:rPr>
            </w:pPr>
            <w:r w:rsidRPr="501DBB6C">
              <w:rPr>
                <w:sz w:val="16"/>
                <w:szCs w:val="16"/>
              </w:rPr>
              <w:t>X</w:t>
            </w:r>
          </w:p>
        </w:tc>
        <w:tc>
          <w:tcPr>
            <w:tcW w:w="853" w:type="dxa"/>
          </w:tcPr>
          <w:p w14:paraId="11633B7D" w14:textId="77777777" w:rsidR="004A7756" w:rsidRPr="00973525" w:rsidRDefault="004A7756" w:rsidP="00987057">
            <w:pPr>
              <w:jc w:val="center"/>
              <w:rPr>
                <w:sz w:val="16"/>
                <w:szCs w:val="18"/>
              </w:rPr>
            </w:pPr>
          </w:p>
        </w:tc>
        <w:tc>
          <w:tcPr>
            <w:tcW w:w="853" w:type="dxa"/>
          </w:tcPr>
          <w:p w14:paraId="26EDF5F1" w14:textId="77777777" w:rsidR="004A7756" w:rsidRPr="00973525" w:rsidRDefault="004A7756" w:rsidP="00987057">
            <w:pPr>
              <w:jc w:val="center"/>
              <w:rPr>
                <w:sz w:val="16"/>
                <w:szCs w:val="18"/>
              </w:rPr>
            </w:pPr>
          </w:p>
        </w:tc>
        <w:tc>
          <w:tcPr>
            <w:tcW w:w="853" w:type="dxa"/>
          </w:tcPr>
          <w:p w14:paraId="1200D5A0" w14:textId="77777777" w:rsidR="004A7756" w:rsidRPr="00973525" w:rsidRDefault="004A7756" w:rsidP="00987057">
            <w:pPr>
              <w:jc w:val="center"/>
              <w:rPr>
                <w:sz w:val="16"/>
                <w:szCs w:val="18"/>
              </w:rPr>
            </w:pPr>
          </w:p>
        </w:tc>
      </w:tr>
      <w:tr w:rsidR="00F35A82" w:rsidRPr="007A4499" w14:paraId="48FC60EA" w14:textId="77777777" w:rsidTr="0017503B">
        <w:trPr>
          <w:trHeight w:val="423"/>
        </w:trPr>
        <w:tc>
          <w:tcPr>
            <w:tcW w:w="3950" w:type="dxa"/>
          </w:tcPr>
          <w:p w14:paraId="16F57A20" w14:textId="77777777" w:rsidR="004A7756" w:rsidRPr="00973525" w:rsidRDefault="004A7756" w:rsidP="00321402">
            <w:pPr>
              <w:pStyle w:val="TableParagraph"/>
              <w:tabs>
                <w:tab w:val="left" w:pos="1014"/>
              </w:tabs>
              <w:spacing w:line="249" w:lineRule="auto"/>
              <w:ind w:left="1156" w:right="170"/>
              <w:rPr>
                <w:sz w:val="16"/>
                <w:szCs w:val="18"/>
              </w:rPr>
            </w:pPr>
            <w:r w:rsidRPr="00973525">
              <w:rPr>
                <w:sz w:val="16"/>
                <w:szCs w:val="18"/>
              </w:rPr>
              <w:t xml:space="preserve">8.2 </w:t>
            </w:r>
            <w:r w:rsidRPr="00973525">
              <w:rPr>
                <w:sz w:val="16"/>
                <w:szCs w:val="18"/>
              </w:rPr>
              <w:tab/>
              <w:t xml:space="preserve">Reducing operational costs linked to </w:t>
            </w:r>
            <w:proofErr w:type="spellStart"/>
            <w:r w:rsidRPr="00973525">
              <w:rPr>
                <w:spacing w:val="-2"/>
                <w:sz w:val="16"/>
                <w:szCs w:val="18"/>
              </w:rPr>
              <w:t>standardised</w:t>
            </w:r>
            <w:proofErr w:type="spellEnd"/>
            <w:r w:rsidRPr="00973525">
              <w:rPr>
                <w:spacing w:val="-2"/>
                <w:sz w:val="16"/>
                <w:szCs w:val="18"/>
              </w:rPr>
              <w:t xml:space="preserve"> </w:t>
            </w:r>
            <w:r w:rsidRPr="00973525">
              <w:rPr>
                <w:sz w:val="16"/>
                <w:szCs w:val="18"/>
              </w:rPr>
              <w:t>securitisation</w:t>
            </w:r>
            <w:r w:rsidRPr="00973525">
              <w:rPr>
                <w:spacing w:val="-13"/>
                <w:sz w:val="16"/>
                <w:szCs w:val="18"/>
              </w:rPr>
              <w:t xml:space="preserve"> </w:t>
            </w:r>
            <w:r w:rsidRPr="00973525">
              <w:rPr>
                <w:sz w:val="16"/>
                <w:szCs w:val="18"/>
              </w:rPr>
              <w:t>products</w:t>
            </w:r>
          </w:p>
        </w:tc>
        <w:tc>
          <w:tcPr>
            <w:tcW w:w="853" w:type="dxa"/>
          </w:tcPr>
          <w:p w14:paraId="625AD778" w14:textId="77777777" w:rsidR="004A7756" w:rsidRPr="00973525" w:rsidRDefault="004A7756" w:rsidP="00987057">
            <w:pPr>
              <w:jc w:val="center"/>
              <w:rPr>
                <w:sz w:val="16"/>
                <w:szCs w:val="18"/>
              </w:rPr>
            </w:pPr>
          </w:p>
        </w:tc>
        <w:tc>
          <w:tcPr>
            <w:tcW w:w="853" w:type="dxa"/>
          </w:tcPr>
          <w:p w14:paraId="5208F920" w14:textId="75A4300A" w:rsidR="004A7756" w:rsidRPr="00973525" w:rsidRDefault="004A7756" w:rsidP="00987057">
            <w:pPr>
              <w:jc w:val="center"/>
              <w:rPr>
                <w:sz w:val="16"/>
                <w:szCs w:val="16"/>
              </w:rPr>
            </w:pPr>
          </w:p>
        </w:tc>
        <w:tc>
          <w:tcPr>
            <w:tcW w:w="853" w:type="dxa"/>
          </w:tcPr>
          <w:p w14:paraId="3D4A14FF" w14:textId="77777777" w:rsidR="004A7756" w:rsidRPr="00973525" w:rsidRDefault="004A7756" w:rsidP="00987057">
            <w:pPr>
              <w:jc w:val="center"/>
              <w:rPr>
                <w:sz w:val="16"/>
                <w:szCs w:val="18"/>
              </w:rPr>
            </w:pPr>
          </w:p>
        </w:tc>
        <w:tc>
          <w:tcPr>
            <w:tcW w:w="853" w:type="dxa"/>
          </w:tcPr>
          <w:p w14:paraId="5E144257" w14:textId="5F1F270E" w:rsidR="004A7756" w:rsidRPr="00973525" w:rsidRDefault="7DC0C245" w:rsidP="00987057">
            <w:pPr>
              <w:jc w:val="center"/>
              <w:rPr>
                <w:sz w:val="16"/>
                <w:szCs w:val="16"/>
              </w:rPr>
            </w:pPr>
            <w:r w:rsidRPr="501DBB6C">
              <w:rPr>
                <w:sz w:val="16"/>
                <w:szCs w:val="16"/>
              </w:rPr>
              <w:t>X</w:t>
            </w:r>
          </w:p>
        </w:tc>
        <w:tc>
          <w:tcPr>
            <w:tcW w:w="853" w:type="dxa"/>
          </w:tcPr>
          <w:p w14:paraId="4A41FD4A" w14:textId="77777777" w:rsidR="004A7756" w:rsidRPr="00973525" w:rsidRDefault="004A7756" w:rsidP="00987057">
            <w:pPr>
              <w:jc w:val="center"/>
              <w:rPr>
                <w:sz w:val="16"/>
                <w:szCs w:val="18"/>
              </w:rPr>
            </w:pPr>
          </w:p>
        </w:tc>
        <w:tc>
          <w:tcPr>
            <w:tcW w:w="853" w:type="dxa"/>
          </w:tcPr>
          <w:p w14:paraId="609ED91F" w14:textId="77777777" w:rsidR="004A7756" w:rsidRPr="00973525" w:rsidRDefault="004A7756" w:rsidP="00987057">
            <w:pPr>
              <w:jc w:val="center"/>
              <w:rPr>
                <w:sz w:val="16"/>
                <w:szCs w:val="18"/>
              </w:rPr>
            </w:pPr>
          </w:p>
        </w:tc>
      </w:tr>
      <w:tr w:rsidR="00F35A82" w:rsidRPr="00973525" w14:paraId="64C91847" w14:textId="77777777" w:rsidTr="0017503B">
        <w:trPr>
          <w:trHeight w:val="285"/>
        </w:trPr>
        <w:tc>
          <w:tcPr>
            <w:tcW w:w="3950" w:type="dxa"/>
            <w:tcBorders>
              <w:bottom w:val="single" w:sz="4" w:space="0" w:color="auto"/>
            </w:tcBorders>
          </w:tcPr>
          <w:p w14:paraId="151EC501" w14:textId="77777777" w:rsidR="004A7756" w:rsidRPr="00973525" w:rsidRDefault="004A7756" w:rsidP="00321402">
            <w:pPr>
              <w:pStyle w:val="TableParagraph"/>
              <w:tabs>
                <w:tab w:val="left" w:pos="823"/>
              </w:tabs>
              <w:spacing w:line="249" w:lineRule="auto"/>
              <w:ind w:right="170"/>
              <w:rPr>
                <w:sz w:val="16"/>
                <w:szCs w:val="18"/>
              </w:rPr>
            </w:pPr>
            <w:r w:rsidRPr="00973525">
              <w:rPr>
                <w:spacing w:val="-6"/>
                <w:sz w:val="16"/>
                <w:szCs w:val="18"/>
              </w:rPr>
              <w:t>9.</w:t>
            </w:r>
            <w:r w:rsidRPr="00973525">
              <w:rPr>
                <w:sz w:val="16"/>
                <w:szCs w:val="18"/>
              </w:rPr>
              <w:tab/>
              <w:t>Tackling</w:t>
            </w:r>
            <w:r w:rsidRPr="00973525">
              <w:rPr>
                <w:spacing w:val="-13"/>
                <w:sz w:val="16"/>
                <w:szCs w:val="18"/>
              </w:rPr>
              <w:t xml:space="preserve"> </w:t>
            </w:r>
            <w:r w:rsidRPr="00973525">
              <w:rPr>
                <w:sz w:val="16"/>
                <w:szCs w:val="18"/>
              </w:rPr>
              <w:t xml:space="preserve">regulatory </w:t>
            </w:r>
            <w:r w:rsidRPr="00973525">
              <w:rPr>
                <w:spacing w:val="-2"/>
                <w:sz w:val="16"/>
                <w:szCs w:val="18"/>
              </w:rPr>
              <w:t>inconsistencies</w:t>
            </w:r>
          </w:p>
        </w:tc>
        <w:tc>
          <w:tcPr>
            <w:tcW w:w="853" w:type="dxa"/>
            <w:tcBorders>
              <w:bottom w:val="single" w:sz="4" w:space="0" w:color="auto"/>
            </w:tcBorders>
          </w:tcPr>
          <w:p w14:paraId="58788297" w14:textId="77777777" w:rsidR="004A7756" w:rsidRPr="00973525" w:rsidRDefault="004A7756" w:rsidP="00987057">
            <w:pPr>
              <w:jc w:val="center"/>
              <w:rPr>
                <w:sz w:val="16"/>
                <w:szCs w:val="18"/>
              </w:rPr>
            </w:pPr>
          </w:p>
        </w:tc>
        <w:tc>
          <w:tcPr>
            <w:tcW w:w="853" w:type="dxa"/>
            <w:tcBorders>
              <w:bottom w:val="single" w:sz="4" w:space="0" w:color="auto"/>
            </w:tcBorders>
          </w:tcPr>
          <w:p w14:paraId="2236C2C8" w14:textId="2F85812B" w:rsidR="004A7756" w:rsidRPr="00973525" w:rsidRDefault="004A7756" w:rsidP="00987057">
            <w:pPr>
              <w:jc w:val="center"/>
              <w:rPr>
                <w:sz w:val="16"/>
                <w:szCs w:val="16"/>
              </w:rPr>
            </w:pPr>
          </w:p>
        </w:tc>
        <w:tc>
          <w:tcPr>
            <w:tcW w:w="853" w:type="dxa"/>
            <w:tcBorders>
              <w:bottom w:val="single" w:sz="4" w:space="0" w:color="auto"/>
            </w:tcBorders>
          </w:tcPr>
          <w:p w14:paraId="29DB4A06" w14:textId="22C35082" w:rsidR="004A7756" w:rsidRPr="00973525" w:rsidRDefault="4E53EB3F" w:rsidP="00987057">
            <w:pPr>
              <w:jc w:val="center"/>
              <w:rPr>
                <w:sz w:val="16"/>
                <w:szCs w:val="16"/>
              </w:rPr>
            </w:pPr>
            <w:r w:rsidRPr="501DBB6C">
              <w:rPr>
                <w:sz w:val="16"/>
                <w:szCs w:val="16"/>
              </w:rPr>
              <w:t>X</w:t>
            </w:r>
          </w:p>
        </w:tc>
        <w:tc>
          <w:tcPr>
            <w:tcW w:w="853" w:type="dxa"/>
            <w:tcBorders>
              <w:bottom w:val="single" w:sz="4" w:space="0" w:color="auto"/>
            </w:tcBorders>
          </w:tcPr>
          <w:p w14:paraId="5CB39A13" w14:textId="77777777" w:rsidR="004A7756" w:rsidRPr="00973525" w:rsidRDefault="004A7756" w:rsidP="00987057">
            <w:pPr>
              <w:jc w:val="center"/>
              <w:rPr>
                <w:sz w:val="16"/>
                <w:szCs w:val="18"/>
              </w:rPr>
            </w:pPr>
          </w:p>
        </w:tc>
        <w:tc>
          <w:tcPr>
            <w:tcW w:w="853" w:type="dxa"/>
            <w:tcBorders>
              <w:bottom w:val="single" w:sz="4" w:space="0" w:color="auto"/>
            </w:tcBorders>
          </w:tcPr>
          <w:p w14:paraId="712AB932" w14:textId="77777777" w:rsidR="004A7756" w:rsidRPr="00973525" w:rsidRDefault="004A7756" w:rsidP="00987057">
            <w:pPr>
              <w:jc w:val="center"/>
              <w:rPr>
                <w:sz w:val="16"/>
                <w:szCs w:val="18"/>
              </w:rPr>
            </w:pPr>
          </w:p>
        </w:tc>
        <w:tc>
          <w:tcPr>
            <w:tcW w:w="853" w:type="dxa"/>
            <w:tcBorders>
              <w:bottom w:val="single" w:sz="4" w:space="0" w:color="auto"/>
            </w:tcBorders>
          </w:tcPr>
          <w:p w14:paraId="0F0F9B65" w14:textId="77777777" w:rsidR="004A7756" w:rsidRPr="00973525" w:rsidRDefault="004A7756" w:rsidP="00987057">
            <w:pPr>
              <w:jc w:val="center"/>
              <w:rPr>
                <w:sz w:val="16"/>
                <w:szCs w:val="18"/>
              </w:rPr>
            </w:pPr>
          </w:p>
        </w:tc>
      </w:tr>
      <w:tr w:rsidR="0017503B" w:rsidRPr="00973525" w14:paraId="7548803A" w14:textId="77777777" w:rsidTr="0017503B">
        <w:trPr>
          <w:trHeight w:val="285"/>
        </w:trPr>
        <w:tc>
          <w:tcPr>
            <w:tcW w:w="3950" w:type="dxa"/>
            <w:tcBorders>
              <w:top w:val="single" w:sz="4" w:space="0" w:color="auto"/>
              <w:left w:val="nil"/>
              <w:bottom w:val="nil"/>
              <w:right w:val="nil"/>
            </w:tcBorders>
          </w:tcPr>
          <w:p w14:paraId="47DEAE6A" w14:textId="77777777" w:rsidR="0017503B" w:rsidRDefault="0017503B" w:rsidP="00321402">
            <w:pPr>
              <w:pStyle w:val="TableParagraph"/>
              <w:tabs>
                <w:tab w:val="left" w:pos="823"/>
              </w:tabs>
              <w:spacing w:line="249" w:lineRule="auto"/>
              <w:ind w:right="170"/>
              <w:rPr>
                <w:spacing w:val="-6"/>
                <w:sz w:val="16"/>
                <w:szCs w:val="18"/>
              </w:rPr>
            </w:pPr>
          </w:p>
          <w:p w14:paraId="591382A6" w14:textId="77777777" w:rsidR="0017503B" w:rsidRPr="00973525" w:rsidRDefault="0017503B" w:rsidP="00321402">
            <w:pPr>
              <w:pStyle w:val="TableParagraph"/>
              <w:tabs>
                <w:tab w:val="left" w:pos="823"/>
              </w:tabs>
              <w:spacing w:line="249" w:lineRule="auto"/>
              <w:ind w:right="170"/>
              <w:rPr>
                <w:spacing w:val="-6"/>
                <w:sz w:val="16"/>
                <w:szCs w:val="18"/>
              </w:rPr>
            </w:pPr>
          </w:p>
        </w:tc>
        <w:tc>
          <w:tcPr>
            <w:tcW w:w="853" w:type="dxa"/>
            <w:tcBorders>
              <w:top w:val="single" w:sz="4" w:space="0" w:color="auto"/>
              <w:left w:val="nil"/>
              <w:bottom w:val="nil"/>
              <w:right w:val="nil"/>
            </w:tcBorders>
          </w:tcPr>
          <w:p w14:paraId="5C87FC16" w14:textId="77777777" w:rsidR="0017503B" w:rsidRPr="00973525" w:rsidRDefault="0017503B" w:rsidP="00987057">
            <w:pPr>
              <w:jc w:val="center"/>
              <w:rPr>
                <w:sz w:val="16"/>
                <w:szCs w:val="18"/>
              </w:rPr>
            </w:pPr>
          </w:p>
        </w:tc>
        <w:tc>
          <w:tcPr>
            <w:tcW w:w="853" w:type="dxa"/>
            <w:tcBorders>
              <w:top w:val="single" w:sz="4" w:space="0" w:color="auto"/>
              <w:left w:val="nil"/>
              <w:bottom w:val="nil"/>
              <w:right w:val="nil"/>
            </w:tcBorders>
          </w:tcPr>
          <w:p w14:paraId="67DEB367" w14:textId="77777777" w:rsidR="0017503B" w:rsidRPr="00973525" w:rsidRDefault="0017503B" w:rsidP="00987057">
            <w:pPr>
              <w:jc w:val="center"/>
              <w:rPr>
                <w:sz w:val="16"/>
                <w:szCs w:val="16"/>
              </w:rPr>
            </w:pPr>
          </w:p>
        </w:tc>
        <w:tc>
          <w:tcPr>
            <w:tcW w:w="853" w:type="dxa"/>
            <w:tcBorders>
              <w:top w:val="single" w:sz="4" w:space="0" w:color="auto"/>
              <w:left w:val="nil"/>
              <w:bottom w:val="nil"/>
              <w:right w:val="nil"/>
            </w:tcBorders>
          </w:tcPr>
          <w:p w14:paraId="65956755" w14:textId="77777777" w:rsidR="0017503B" w:rsidRPr="501DBB6C" w:rsidRDefault="0017503B" w:rsidP="00987057">
            <w:pPr>
              <w:jc w:val="center"/>
              <w:rPr>
                <w:sz w:val="16"/>
                <w:szCs w:val="16"/>
              </w:rPr>
            </w:pPr>
          </w:p>
        </w:tc>
        <w:tc>
          <w:tcPr>
            <w:tcW w:w="853" w:type="dxa"/>
            <w:tcBorders>
              <w:top w:val="single" w:sz="4" w:space="0" w:color="auto"/>
              <w:left w:val="nil"/>
              <w:bottom w:val="nil"/>
              <w:right w:val="nil"/>
            </w:tcBorders>
          </w:tcPr>
          <w:p w14:paraId="2FAA1DD1" w14:textId="77777777" w:rsidR="0017503B" w:rsidRPr="00973525" w:rsidRDefault="0017503B" w:rsidP="00987057">
            <w:pPr>
              <w:jc w:val="center"/>
              <w:rPr>
                <w:sz w:val="16"/>
                <w:szCs w:val="18"/>
              </w:rPr>
            </w:pPr>
          </w:p>
        </w:tc>
        <w:tc>
          <w:tcPr>
            <w:tcW w:w="853" w:type="dxa"/>
            <w:tcBorders>
              <w:top w:val="single" w:sz="4" w:space="0" w:color="auto"/>
              <w:left w:val="nil"/>
              <w:bottom w:val="nil"/>
              <w:right w:val="nil"/>
            </w:tcBorders>
          </w:tcPr>
          <w:p w14:paraId="2C46B105" w14:textId="77777777" w:rsidR="0017503B" w:rsidRPr="00973525" w:rsidRDefault="0017503B" w:rsidP="00987057">
            <w:pPr>
              <w:jc w:val="center"/>
              <w:rPr>
                <w:sz w:val="16"/>
                <w:szCs w:val="18"/>
              </w:rPr>
            </w:pPr>
          </w:p>
        </w:tc>
        <w:tc>
          <w:tcPr>
            <w:tcW w:w="853" w:type="dxa"/>
            <w:tcBorders>
              <w:top w:val="single" w:sz="4" w:space="0" w:color="auto"/>
              <w:left w:val="nil"/>
              <w:bottom w:val="nil"/>
              <w:right w:val="nil"/>
            </w:tcBorders>
          </w:tcPr>
          <w:p w14:paraId="2F01DB58" w14:textId="77777777" w:rsidR="0017503B" w:rsidRPr="00973525" w:rsidRDefault="0017503B" w:rsidP="00987057">
            <w:pPr>
              <w:jc w:val="center"/>
              <w:rPr>
                <w:sz w:val="16"/>
                <w:szCs w:val="18"/>
              </w:rPr>
            </w:pPr>
          </w:p>
        </w:tc>
      </w:tr>
    </w:tbl>
    <w:tbl>
      <w:tblPr>
        <w:tblStyle w:val="Grilledutableau"/>
        <w:tblW w:w="10885" w:type="dxa"/>
        <w:tblInd w:w="-431" w:type="dxa"/>
        <w:tblLayout w:type="fixed"/>
        <w:tblLook w:val="04A0" w:firstRow="1" w:lastRow="0" w:firstColumn="1" w:lastColumn="0" w:noHBand="0" w:noVBand="1"/>
      </w:tblPr>
      <w:tblGrid>
        <w:gridCol w:w="2893"/>
        <w:gridCol w:w="7740"/>
        <w:gridCol w:w="236"/>
        <w:gridCol w:w="16"/>
      </w:tblGrid>
      <w:tr w:rsidR="00234172" w:rsidRPr="00973525" w14:paraId="583D2634" w14:textId="77777777" w:rsidTr="30964D0C">
        <w:trPr>
          <w:gridAfter w:val="1"/>
          <w:wAfter w:w="16" w:type="dxa"/>
        </w:trPr>
        <w:tc>
          <w:tcPr>
            <w:tcW w:w="2893" w:type="dxa"/>
            <w:shd w:val="clear" w:color="auto" w:fill="DAE9F7" w:themeFill="text2" w:themeFillTint="1A"/>
          </w:tcPr>
          <w:p w14:paraId="54432494" w14:textId="1E436F71" w:rsidR="00234172" w:rsidRPr="00973525" w:rsidRDefault="56147E21" w:rsidP="30964D0C">
            <w:pPr>
              <w:rPr>
                <w:b/>
                <w:bCs/>
                <w:i/>
                <w:iCs/>
                <w:sz w:val="18"/>
                <w:szCs w:val="18"/>
                <w:lang w:val="en-GB"/>
              </w:rPr>
            </w:pPr>
            <w:r w:rsidRPr="30964D0C">
              <w:rPr>
                <w:b/>
                <w:bCs/>
                <w:i/>
                <w:iCs/>
                <w:sz w:val="18"/>
                <w:szCs w:val="18"/>
                <w:lang w:val="en-GB"/>
              </w:rPr>
              <w:t>Question</w:t>
            </w:r>
            <w:r w:rsidR="7E64B2EC" w:rsidRPr="30964D0C">
              <w:rPr>
                <w:b/>
                <w:bCs/>
                <w:i/>
                <w:iCs/>
                <w:sz w:val="18"/>
                <w:szCs w:val="18"/>
                <w:lang w:val="en-GB"/>
              </w:rPr>
              <w:t>s</w:t>
            </w:r>
          </w:p>
        </w:tc>
        <w:tc>
          <w:tcPr>
            <w:tcW w:w="7740" w:type="dxa"/>
            <w:shd w:val="clear" w:color="auto" w:fill="DAE9F7" w:themeFill="text2" w:themeFillTint="1A"/>
          </w:tcPr>
          <w:p w14:paraId="2EDF2832" w14:textId="5E2ACD40" w:rsidR="00234172" w:rsidRPr="00973525" w:rsidRDefault="7E64B2EC" w:rsidP="30964D0C">
            <w:pPr>
              <w:rPr>
                <w:b/>
                <w:bCs/>
                <w:i/>
                <w:iCs/>
                <w:sz w:val="18"/>
                <w:szCs w:val="18"/>
                <w:lang w:val="en-GB"/>
              </w:rPr>
            </w:pPr>
            <w:r w:rsidRPr="30964D0C">
              <w:rPr>
                <w:b/>
                <w:bCs/>
                <w:i/>
                <w:iCs/>
                <w:sz w:val="18"/>
                <w:szCs w:val="18"/>
                <w:lang w:val="en-GB"/>
              </w:rPr>
              <w:t>FBF Answers</w:t>
            </w:r>
          </w:p>
        </w:tc>
        <w:tc>
          <w:tcPr>
            <w:tcW w:w="236" w:type="dxa"/>
            <w:shd w:val="clear" w:color="auto" w:fill="DAE9F7" w:themeFill="text2" w:themeFillTint="1A"/>
          </w:tcPr>
          <w:p w14:paraId="4215C541" w14:textId="52DC423C" w:rsidR="00234172" w:rsidRPr="00973525" w:rsidRDefault="00234172" w:rsidP="0079353D">
            <w:pPr>
              <w:ind w:firstLine="1917"/>
              <w:rPr>
                <w:b/>
                <w:bCs/>
                <w:i/>
                <w:iCs/>
                <w:sz w:val="18"/>
                <w:szCs w:val="18"/>
                <w:lang w:val="en-GB"/>
              </w:rPr>
            </w:pPr>
          </w:p>
        </w:tc>
      </w:tr>
      <w:tr w:rsidR="002D29BC" w:rsidRPr="00FE2CD5" w14:paraId="272FC455" w14:textId="77777777" w:rsidTr="30964D0C">
        <w:trPr>
          <w:gridAfter w:val="1"/>
          <w:wAfter w:w="16" w:type="dxa"/>
        </w:trPr>
        <w:tc>
          <w:tcPr>
            <w:tcW w:w="2893" w:type="dxa"/>
          </w:tcPr>
          <w:p w14:paraId="3CEF7FB1" w14:textId="4750731D" w:rsidR="002D29BC" w:rsidRPr="00973525" w:rsidRDefault="002D29BC" w:rsidP="002D29BC">
            <w:pPr>
              <w:rPr>
                <w:sz w:val="18"/>
                <w:szCs w:val="18"/>
                <w:lang w:val="en-GB"/>
              </w:rPr>
            </w:pPr>
            <w:r w:rsidRPr="00973525">
              <w:rPr>
                <w:sz w:val="18"/>
                <w:szCs w:val="18"/>
                <w:lang w:val="en-US"/>
              </w:rPr>
              <w:t>1.1.</w:t>
            </w:r>
            <w:r w:rsidRPr="00973525">
              <w:rPr>
                <w:sz w:val="18"/>
                <w:szCs w:val="18"/>
                <w:lang w:val="en-US"/>
              </w:rPr>
              <w:tab/>
              <w:t>Do you agree that the securitisation framework (including the Securitisation Regulation and relevant applicable provisions of the CRR, Solvency II and LCR) has been successful in, or has contributed to, achieving the following objectives:</w:t>
            </w:r>
          </w:p>
        </w:tc>
        <w:tc>
          <w:tcPr>
            <w:tcW w:w="7740" w:type="dxa"/>
          </w:tcPr>
          <w:p w14:paraId="4B028B3B" w14:textId="03FBF6EE" w:rsidR="002D29BC" w:rsidRPr="00973525" w:rsidRDefault="1C93192E" w:rsidP="002D29BC">
            <w:pPr>
              <w:rPr>
                <w:sz w:val="18"/>
                <w:szCs w:val="18"/>
                <w:lang w:val="en-GB"/>
              </w:rPr>
            </w:pPr>
            <w:r w:rsidRPr="30964D0C">
              <w:rPr>
                <w:sz w:val="18"/>
                <w:szCs w:val="18"/>
                <w:lang w:val="en-GB"/>
              </w:rPr>
              <w:t>See above.</w:t>
            </w:r>
          </w:p>
        </w:tc>
        <w:tc>
          <w:tcPr>
            <w:tcW w:w="236" w:type="dxa"/>
          </w:tcPr>
          <w:p w14:paraId="3BA43FC9" w14:textId="0D5293D6" w:rsidR="002D29BC" w:rsidRPr="00973525" w:rsidRDefault="002D29BC" w:rsidP="0079353D">
            <w:pPr>
              <w:ind w:firstLine="1917"/>
              <w:rPr>
                <w:sz w:val="18"/>
                <w:szCs w:val="18"/>
                <w:lang w:val="en-GB"/>
              </w:rPr>
            </w:pPr>
          </w:p>
        </w:tc>
      </w:tr>
      <w:tr w:rsidR="30964D0C" w14:paraId="4183B369" w14:textId="77777777" w:rsidTr="30964D0C">
        <w:trPr>
          <w:gridAfter w:val="1"/>
          <w:wAfter w:w="16" w:type="dxa"/>
          <w:trHeight w:val="300"/>
        </w:trPr>
        <w:tc>
          <w:tcPr>
            <w:tcW w:w="2893" w:type="dxa"/>
            <w:shd w:val="clear" w:color="auto" w:fill="DAE9F7" w:themeFill="text2" w:themeFillTint="1A"/>
          </w:tcPr>
          <w:p w14:paraId="787856D2" w14:textId="1E436F71" w:rsidR="30964D0C" w:rsidRDefault="30964D0C" w:rsidP="30964D0C">
            <w:pPr>
              <w:rPr>
                <w:b/>
                <w:bCs/>
                <w:i/>
                <w:iCs/>
                <w:sz w:val="18"/>
                <w:szCs w:val="18"/>
                <w:lang w:val="en-GB"/>
              </w:rPr>
            </w:pPr>
            <w:r w:rsidRPr="30964D0C">
              <w:rPr>
                <w:b/>
                <w:bCs/>
                <w:i/>
                <w:iCs/>
                <w:sz w:val="18"/>
                <w:szCs w:val="18"/>
                <w:lang w:val="en-GB"/>
              </w:rPr>
              <w:lastRenderedPageBreak/>
              <w:t>Questions</w:t>
            </w:r>
          </w:p>
        </w:tc>
        <w:tc>
          <w:tcPr>
            <w:tcW w:w="7740" w:type="dxa"/>
            <w:shd w:val="clear" w:color="auto" w:fill="DAE9F7" w:themeFill="text2" w:themeFillTint="1A"/>
          </w:tcPr>
          <w:p w14:paraId="4E9352CF" w14:textId="5E2ACD40" w:rsidR="30964D0C" w:rsidRDefault="30964D0C" w:rsidP="30964D0C">
            <w:pPr>
              <w:rPr>
                <w:b/>
                <w:bCs/>
                <w:i/>
                <w:iCs/>
                <w:sz w:val="18"/>
                <w:szCs w:val="18"/>
                <w:lang w:val="en-GB"/>
              </w:rPr>
            </w:pPr>
            <w:r w:rsidRPr="30964D0C">
              <w:rPr>
                <w:b/>
                <w:bCs/>
                <w:i/>
                <w:iCs/>
                <w:sz w:val="18"/>
                <w:szCs w:val="18"/>
                <w:lang w:val="en-GB"/>
              </w:rPr>
              <w:t>FBF Answers</w:t>
            </w:r>
          </w:p>
        </w:tc>
        <w:tc>
          <w:tcPr>
            <w:tcW w:w="236" w:type="dxa"/>
          </w:tcPr>
          <w:p w14:paraId="1A7B6338" w14:textId="52DC423C" w:rsidR="30964D0C" w:rsidRDefault="30964D0C" w:rsidP="30964D0C">
            <w:pPr>
              <w:ind w:firstLine="1917"/>
              <w:rPr>
                <w:b/>
                <w:bCs/>
                <w:i/>
                <w:iCs/>
                <w:sz w:val="18"/>
                <w:szCs w:val="18"/>
                <w:lang w:val="en-GB"/>
              </w:rPr>
            </w:pPr>
          </w:p>
        </w:tc>
      </w:tr>
      <w:tr w:rsidR="002D29BC" w:rsidRPr="00C72B68" w14:paraId="48170751" w14:textId="77777777" w:rsidTr="30964D0C">
        <w:trPr>
          <w:gridAfter w:val="1"/>
          <w:wAfter w:w="16" w:type="dxa"/>
        </w:trPr>
        <w:tc>
          <w:tcPr>
            <w:tcW w:w="2893" w:type="dxa"/>
          </w:tcPr>
          <w:p w14:paraId="5E3E65B6" w14:textId="77777777" w:rsidR="002D29BC" w:rsidRPr="00973525" w:rsidRDefault="002D29BC" w:rsidP="002D29BC">
            <w:pPr>
              <w:rPr>
                <w:sz w:val="18"/>
                <w:szCs w:val="18"/>
                <w:lang w:val="en-US"/>
              </w:rPr>
            </w:pPr>
            <w:r w:rsidRPr="00973525">
              <w:rPr>
                <w:sz w:val="18"/>
                <w:szCs w:val="18"/>
                <w:lang w:val="en-US"/>
              </w:rPr>
              <w:t>2.1.</w:t>
            </w:r>
            <w:r w:rsidRPr="00973525">
              <w:rPr>
                <w:sz w:val="18"/>
                <w:szCs w:val="18"/>
                <w:lang w:val="en-US"/>
              </w:rPr>
              <w:tab/>
              <w:t xml:space="preserve">Have you come across any impediments to </w:t>
            </w:r>
            <w:proofErr w:type="spellStart"/>
            <w:r w:rsidRPr="00973525">
              <w:rPr>
                <w:sz w:val="18"/>
                <w:szCs w:val="18"/>
                <w:lang w:val="en-US"/>
              </w:rPr>
              <w:t>securitise</w:t>
            </w:r>
            <w:proofErr w:type="spellEnd"/>
            <w:r w:rsidRPr="00973525">
              <w:rPr>
                <w:sz w:val="18"/>
                <w:szCs w:val="18"/>
                <w:lang w:val="en-US"/>
              </w:rPr>
              <w:t xml:space="preserve"> SME loans or to invest in SME loan securitisations?</w:t>
            </w:r>
          </w:p>
          <w:p w14:paraId="1AD0EE68" w14:textId="77777777" w:rsidR="002D29BC" w:rsidRPr="00973525" w:rsidRDefault="002D29BC" w:rsidP="002D29BC">
            <w:pPr>
              <w:rPr>
                <w:sz w:val="18"/>
                <w:szCs w:val="18"/>
                <w:lang w:val="en-US"/>
              </w:rPr>
            </w:pPr>
          </w:p>
          <w:p w14:paraId="5C56C5D9"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07F10D4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4596D813"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6E8BC133" w14:textId="46EC19BC" w:rsidR="002D29BC" w:rsidRPr="00973525" w:rsidRDefault="002D29BC" w:rsidP="002D29BC">
            <w:pPr>
              <w:rPr>
                <w:sz w:val="18"/>
                <w:szCs w:val="18"/>
                <w:lang w:val="en-GB"/>
              </w:rPr>
            </w:pPr>
            <w:r w:rsidRPr="00973525">
              <w:rPr>
                <w:sz w:val="18"/>
                <w:szCs w:val="18"/>
                <w:lang w:val="en-US"/>
              </w:rPr>
              <w:t xml:space="preserve"> Please explain.</w:t>
            </w:r>
          </w:p>
        </w:tc>
        <w:tc>
          <w:tcPr>
            <w:tcW w:w="7740" w:type="dxa"/>
          </w:tcPr>
          <w:p w14:paraId="5A13D6D5" w14:textId="77777777" w:rsidR="002D29BC" w:rsidRPr="00973525" w:rsidRDefault="002D29BC" w:rsidP="002D29BC">
            <w:pPr>
              <w:rPr>
                <w:sz w:val="18"/>
                <w:szCs w:val="18"/>
                <w:lang w:val="en-US"/>
              </w:rPr>
            </w:pPr>
            <w:r w:rsidRPr="00973525">
              <w:rPr>
                <w:sz w:val="18"/>
                <w:szCs w:val="18"/>
                <w:lang w:val="en-US"/>
              </w:rPr>
              <w:t>Yes,</w:t>
            </w:r>
          </w:p>
          <w:p w14:paraId="46259580" w14:textId="77777777" w:rsidR="002D29BC" w:rsidRPr="00973525" w:rsidRDefault="002D29BC" w:rsidP="002D29BC">
            <w:pPr>
              <w:rPr>
                <w:sz w:val="18"/>
                <w:szCs w:val="18"/>
                <w:lang w:val="en-US"/>
              </w:rPr>
            </w:pPr>
          </w:p>
          <w:p w14:paraId="2AE52D76" w14:textId="77777777" w:rsidR="002D29BC" w:rsidRPr="00973525" w:rsidRDefault="002D29BC" w:rsidP="0017503B">
            <w:pPr>
              <w:rPr>
                <w:sz w:val="18"/>
                <w:szCs w:val="18"/>
                <w:lang w:val="en-US"/>
              </w:rPr>
            </w:pPr>
            <w:r w:rsidRPr="00973525">
              <w:rPr>
                <w:sz w:val="18"/>
                <w:szCs w:val="18"/>
                <w:lang w:val="en-US"/>
              </w:rPr>
              <w:t xml:space="preserve">On a broader perspective, the SME sub securitisation market is facing the same impediments faced by issuers for other </w:t>
            </w:r>
            <w:proofErr w:type="spellStart"/>
            <w:proofErr w:type="gramStart"/>
            <w:r w:rsidRPr="00973525">
              <w:rPr>
                <w:sz w:val="18"/>
                <w:szCs w:val="18"/>
                <w:lang w:val="en-US"/>
              </w:rPr>
              <w:t>underlyings</w:t>
            </w:r>
            <w:proofErr w:type="spellEnd"/>
            <w:r w:rsidRPr="00973525">
              <w:rPr>
                <w:sz w:val="18"/>
                <w:szCs w:val="18"/>
                <w:lang w:val="en-US"/>
              </w:rPr>
              <w:t xml:space="preserve"> .</w:t>
            </w:r>
            <w:proofErr w:type="gramEnd"/>
            <w:r w:rsidRPr="00973525">
              <w:rPr>
                <w:sz w:val="18"/>
                <w:szCs w:val="18"/>
                <w:lang w:val="en-US"/>
              </w:rPr>
              <w:t xml:space="preserve"> Thus, a coordinate and cumulative approach of the below quick wins will foster the securitisation market as a whole and thus the SME sub-market:</w:t>
            </w:r>
          </w:p>
          <w:p w14:paraId="350DD92A" w14:textId="77777777" w:rsidR="002D29BC" w:rsidRPr="00973525" w:rsidRDefault="002D29BC" w:rsidP="002D29BC">
            <w:pPr>
              <w:rPr>
                <w:sz w:val="18"/>
                <w:szCs w:val="18"/>
                <w:lang w:val="en-US"/>
              </w:rPr>
            </w:pPr>
            <w:r w:rsidRPr="00973525">
              <w:rPr>
                <w:sz w:val="18"/>
                <w:szCs w:val="18"/>
                <w:lang w:val="en-US"/>
              </w:rPr>
              <w:t xml:space="preserve">1/ on STS and non-STS exposures: recalibration of the risk-weighting of securitization </w:t>
            </w:r>
            <w:proofErr w:type="gramStart"/>
            <w:r w:rsidRPr="00973525">
              <w:rPr>
                <w:sz w:val="18"/>
                <w:szCs w:val="18"/>
                <w:lang w:val="en-US"/>
              </w:rPr>
              <w:t>tranches</w:t>
            </w:r>
            <w:proofErr w:type="gramEnd"/>
            <w:r w:rsidRPr="00973525">
              <w:rPr>
                <w:sz w:val="18"/>
                <w:szCs w:val="18"/>
                <w:lang w:val="en-US"/>
              </w:rPr>
              <w:t xml:space="preserve"> when the bank is originator</w:t>
            </w:r>
          </w:p>
          <w:p w14:paraId="6F50FD2B" w14:textId="77777777" w:rsidR="002D29BC" w:rsidRPr="00973525" w:rsidRDefault="002D29BC" w:rsidP="002D29BC">
            <w:pPr>
              <w:rPr>
                <w:sz w:val="18"/>
                <w:szCs w:val="18"/>
                <w:lang w:val="en-US"/>
              </w:rPr>
            </w:pPr>
            <w:r w:rsidRPr="00973525">
              <w:rPr>
                <w:sz w:val="18"/>
                <w:szCs w:val="18"/>
                <w:lang w:val="en-US"/>
              </w:rPr>
              <w:t>2/ on eligibility for the LCR: improvement of the treatment of securitizations in the LCR through improved HQLA eligibility</w:t>
            </w:r>
          </w:p>
          <w:p w14:paraId="110D3D74" w14:textId="77777777" w:rsidR="002D29BC" w:rsidRPr="00973525" w:rsidRDefault="002D29BC" w:rsidP="002D29BC">
            <w:pPr>
              <w:rPr>
                <w:sz w:val="18"/>
                <w:szCs w:val="18"/>
                <w:lang w:val="en-US"/>
              </w:rPr>
            </w:pPr>
            <w:r w:rsidRPr="00973525">
              <w:rPr>
                <w:sz w:val="18"/>
                <w:szCs w:val="18"/>
                <w:lang w:val="en-US"/>
              </w:rPr>
              <w:t xml:space="preserve">3/ recalibration of the prudential treatment of securitisations in Solvency II to encourage insurers to invest in senior or mezzanine </w:t>
            </w:r>
            <w:proofErr w:type="gramStart"/>
            <w:r w:rsidRPr="00973525">
              <w:rPr>
                <w:sz w:val="18"/>
                <w:szCs w:val="18"/>
                <w:lang w:val="en-US"/>
              </w:rPr>
              <w:t>tranches</w:t>
            </w:r>
            <w:proofErr w:type="gramEnd"/>
          </w:p>
          <w:p w14:paraId="43FB5518" w14:textId="77777777" w:rsidR="002D29BC" w:rsidRPr="00973525" w:rsidRDefault="002D29BC" w:rsidP="002D29BC">
            <w:pPr>
              <w:rPr>
                <w:sz w:val="18"/>
                <w:szCs w:val="18"/>
                <w:lang w:val="en-US"/>
              </w:rPr>
            </w:pPr>
            <w:r w:rsidRPr="00973525">
              <w:rPr>
                <w:sz w:val="18"/>
                <w:szCs w:val="18"/>
                <w:lang w:val="en-US"/>
              </w:rPr>
              <w:t>4/ due diligence for investors should be more proportionate and “principal based only”</w:t>
            </w:r>
          </w:p>
          <w:p w14:paraId="1BFC5E46" w14:textId="77777777" w:rsidR="002D29BC" w:rsidRPr="00973525" w:rsidRDefault="002D29BC" w:rsidP="002D29BC">
            <w:pPr>
              <w:rPr>
                <w:sz w:val="18"/>
                <w:szCs w:val="18"/>
                <w:lang w:val="en-US"/>
              </w:rPr>
            </w:pPr>
            <w:r w:rsidRPr="00973525">
              <w:rPr>
                <w:sz w:val="18"/>
                <w:szCs w:val="18"/>
                <w:lang w:val="en-US"/>
              </w:rPr>
              <w:t>Besides, focusing on niches, given the diversity of the securitisation market (by asset class, by type of issuers, investors, structuring features…), a cherry-picking approach, consisting in targeting a specific market segment, would be counterproductive as it would not offer the critical mass that issuers and investors need to invest in resources.</w:t>
            </w:r>
          </w:p>
          <w:p w14:paraId="3BB97421" w14:textId="77777777" w:rsidR="002D29BC" w:rsidRPr="00973525" w:rsidRDefault="002D29BC" w:rsidP="002D29BC">
            <w:pPr>
              <w:rPr>
                <w:sz w:val="18"/>
                <w:szCs w:val="18"/>
                <w:lang w:val="en-US"/>
              </w:rPr>
            </w:pPr>
          </w:p>
          <w:p w14:paraId="54A8E184" w14:textId="77777777" w:rsidR="002D29BC" w:rsidRPr="00973525" w:rsidRDefault="002D29BC" w:rsidP="002D29BC">
            <w:pPr>
              <w:rPr>
                <w:sz w:val="18"/>
                <w:szCs w:val="18"/>
                <w:lang w:val="en-US"/>
              </w:rPr>
            </w:pPr>
            <w:r w:rsidRPr="00973525">
              <w:rPr>
                <w:sz w:val="18"/>
                <w:szCs w:val="18"/>
                <w:lang w:val="en-US"/>
              </w:rPr>
              <w:t xml:space="preserve">Specifically, SME loans are more difficult to </w:t>
            </w:r>
            <w:proofErr w:type="spellStart"/>
            <w:r w:rsidRPr="00973525">
              <w:rPr>
                <w:sz w:val="18"/>
                <w:szCs w:val="18"/>
                <w:lang w:val="en-US"/>
              </w:rPr>
              <w:t>securitise</w:t>
            </w:r>
            <w:proofErr w:type="spellEnd"/>
            <w:r w:rsidRPr="00973525">
              <w:rPr>
                <w:sz w:val="18"/>
                <w:szCs w:val="18"/>
                <w:lang w:val="en-US"/>
              </w:rPr>
              <w:t xml:space="preserve"> in traditional ('true sale') securitisations because of contractual restrictions on transfer and heterogeneity of the loan formats. For this reason, SME loans are often </w:t>
            </w:r>
            <w:proofErr w:type="spellStart"/>
            <w:r w:rsidRPr="00973525">
              <w:rPr>
                <w:sz w:val="18"/>
                <w:szCs w:val="18"/>
                <w:lang w:val="en-US"/>
              </w:rPr>
              <w:t>securitised</w:t>
            </w:r>
            <w:proofErr w:type="spellEnd"/>
            <w:r w:rsidRPr="00973525">
              <w:rPr>
                <w:sz w:val="18"/>
                <w:szCs w:val="18"/>
                <w:lang w:val="en-US"/>
              </w:rPr>
              <w:t xml:space="preserve"> in synthetic format, where the credit risk is transferred via a guarantee or a credit derivative. Synthetic securitisations are less sensitive to the specific terms of the loans.</w:t>
            </w:r>
          </w:p>
          <w:p w14:paraId="6DE06263" w14:textId="77777777" w:rsidR="002D29BC" w:rsidRPr="00973525" w:rsidRDefault="002D29BC" w:rsidP="002D29BC">
            <w:pPr>
              <w:rPr>
                <w:sz w:val="18"/>
                <w:szCs w:val="18"/>
                <w:lang w:val="en-US"/>
              </w:rPr>
            </w:pPr>
            <w:r w:rsidRPr="00973525">
              <w:rPr>
                <w:sz w:val="18"/>
                <w:szCs w:val="18"/>
                <w:lang w:val="en-US"/>
              </w:rPr>
              <w:t>In addition, SME loans are securitized in private format (via synthetic SRT or via structures involving ABCP or banks' balance sheet in direct) rather than public one.</w:t>
            </w:r>
          </w:p>
          <w:p w14:paraId="542B5D36" w14:textId="77777777" w:rsidR="002D29BC" w:rsidRPr="00973525" w:rsidRDefault="002D29BC" w:rsidP="002D29BC">
            <w:pPr>
              <w:rPr>
                <w:sz w:val="18"/>
                <w:szCs w:val="18"/>
                <w:lang w:val="en-US"/>
              </w:rPr>
            </w:pPr>
          </w:p>
          <w:p w14:paraId="1EA3B42A" w14:textId="77777777" w:rsidR="002D29BC" w:rsidRPr="00973525" w:rsidRDefault="002D29BC" w:rsidP="002D29BC">
            <w:pPr>
              <w:rPr>
                <w:sz w:val="18"/>
                <w:szCs w:val="18"/>
                <w:lang w:val="en-US"/>
              </w:rPr>
            </w:pPr>
            <w:r w:rsidRPr="00973525">
              <w:rPr>
                <w:sz w:val="18"/>
                <w:szCs w:val="18"/>
                <w:lang w:val="en-US"/>
              </w:rPr>
              <w:t>Lastly on the STS segment, difficulties are essentially linked to STS eligibility and disclosure requirements.</w:t>
            </w:r>
          </w:p>
          <w:p w14:paraId="0943770B" w14:textId="77777777" w:rsidR="002D29BC" w:rsidRPr="00973525" w:rsidRDefault="002D29BC" w:rsidP="002D29BC">
            <w:pPr>
              <w:rPr>
                <w:sz w:val="18"/>
                <w:szCs w:val="18"/>
                <w:lang w:val="en-US"/>
              </w:rPr>
            </w:pPr>
          </w:p>
          <w:p w14:paraId="7C3A94EB" w14:textId="77777777" w:rsidR="002D29BC" w:rsidRPr="00973525" w:rsidRDefault="002D29BC" w:rsidP="002D29BC">
            <w:pPr>
              <w:rPr>
                <w:sz w:val="18"/>
                <w:szCs w:val="18"/>
                <w:lang w:val="en-US"/>
              </w:rPr>
            </w:pPr>
            <w:r w:rsidRPr="00973525">
              <w:rPr>
                <w:sz w:val="18"/>
                <w:szCs w:val="18"/>
                <w:lang w:val="en-US"/>
              </w:rPr>
              <w:t xml:space="preserve">Information readily available in the banks IT systems seldomly covers the whole range of data required, and would potentially necessitate significant developments, while custom reps and wars </w:t>
            </w:r>
            <w:proofErr w:type="gramStart"/>
            <w:r w:rsidRPr="00973525">
              <w:rPr>
                <w:sz w:val="18"/>
                <w:szCs w:val="18"/>
                <w:lang w:val="en-US"/>
              </w:rPr>
              <w:t>shall</w:t>
            </w:r>
            <w:proofErr w:type="gramEnd"/>
            <w:r w:rsidRPr="00973525">
              <w:rPr>
                <w:sz w:val="18"/>
                <w:szCs w:val="18"/>
                <w:lang w:val="en-US"/>
              </w:rPr>
              <w:t xml:space="preserve"> be sufficient to cover any risks.</w:t>
            </w:r>
          </w:p>
          <w:p w14:paraId="6E6FF6DA" w14:textId="77777777" w:rsidR="002D29BC" w:rsidRPr="00973525" w:rsidRDefault="002D29BC" w:rsidP="002D29BC">
            <w:pPr>
              <w:rPr>
                <w:sz w:val="18"/>
                <w:szCs w:val="18"/>
                <w:lang w:val="en-US"/>
              </w:rPr>
            </w:pPr>
          </w:p>
          <w:p w14:paraId="585DF038" w14:textId="77777777" w:rsidR="002D29BC" w:rsidRPr="00973525" w:rsidRDefault="002D29BC" w:rsidP="002D29BC">
            <w:pPr>
              <w:rPr>
                <w:sz w:val="18"/>
                <w:szCs w:val="18"/>
                <w:lang w:val="en-US"/>
              </w:rPr>
            </w:pPr>
            <w:r w:rsidRPr="00973525">
              <w:rPr>
                <w:sz w:val="18"/>
                <w:szCs w:val="18"/>
                <w:lang w:val="en-US"/>
              </w:rPr>
              <w:t>STS definitions of what constitutes a homogeneous pool offers significant room for interpretation and shall be clarified (toward a more encompassing interpretation).</w:t>
            </w:r>
          </w:p>
          <w:p w14:paraId="26D58B42" w14:textId="77777777" w:rsidR="002D29BC" w:rsidRPr="00973525" w:rsidRDefault="002D29BC" w:rsidP="002D29BC">
            <w:pPr>
              <w:rPr>
                <w:sz w:val="18"/>
                <w:szCs w:val="18"/>
                <w:lang w:val="en-US"/>
              </w:rPr>
            </w:pPr>
          </w:p>
          <w:p w14:paraId="694C2091" w14:textId="77777777" w:rsidR="002D29BC" w:rsidRPr="00973525" w:rsidRDefault="002D29BC" w:rsidP="002D29BC">
            <w:pPr>
              <w:rPr>
                <w:sz w:val="18"/>
                <w:szCs w:val="18"/>
                <w:lang w:val="en-US"/>
              </w:rPr>
            </w:pPr>
            <w:r w:rsidRPr="00973525">
              <w:rPr>
                <w:sz w:val="18"/>
                <w:szCs w:val="18"/>
                <w:lang w:val="en-US"/>
              </w:rPr>
              <w:t>LCR definitions should also be clarified to lift any uncertainties</w:t>
            </w:r>
          </w:p>
          <w:p w14:paraId="027FB6F2" w14:textId="77777777" w:rsidR="002D29BC" w:rsidRPr="00973525" w:rsidRDefault="002D29BC" w:rsidP="002D29BC">
            <w:pPr>
              <w:rPr>
                <w:sz w:val="18"/>
                <w:szCs w:val="18"/>
                <w:lang w:val="en-GB"/>
              </w:rPr>
            </w:pPr>
          </w:p>
        </w:tc>
        <w:tc>
          <w:tcPr>
            <w:tcW w:w="236" w:type="dxa"/>
          </w:tcPr>
          <w:p w14:paraId="789A074D" w14:textId="362CFB14" w:rsidR="002D29BC" w:rsidRPr="0079353D" w:rsidRDefault="002D29BC" w:rsidP="0079353D">
            <w:pPr>
              <w:ind w:firstLine="1917"/>
              <w:rPr>
                <w:sz w:val="18"/>
                <w:szCs w:val="18"/>
                <w:lang w:val="en-GB"/>
              </w:rPr>
            </w:pPr>
          </w:p>
        </w:tc>
      </w:tr>
      <w:tr w:rsidR="002D29BC" w:rsidRPr="00C72B68" w14:paraId="66668EB2" w14:textId="77777777" w:rsidTr="30964D0C">
        <w:trPr>
          <w:gridAfter w:val="1"/>
          <w:wAfter w:w="16" w:type="dxa"/>
        </w:trPr>
        <w:tc>
          <w:tcPr>
            <w:tcW w:w="2893" w:type="dxa"/>
          </w:tcPr>
          <w:p w14:paraId="36808006" w14:textId="72712DC1" w:rsidR="002D29BC" w:rsidRPr="00973525" w:rsidRDefault="002D29BC" w:rsidP="002D29BC">
            <w:pPr>
              <w:rPr>
                <w:b/>
                <w:bCs/>
                <w:sz w:val="18"/>
                <w:szCs w:val="18"/>
                <w:lang w:val="en-GB"/>
              </w:rPr>
            </w:pPr>
            <w:r w:rsidRPr="00973525">
              <w:rPr>
                <w:b/>
                <w:bCs/>
                <w:sz w:val="18"/>
                <w:szCs w:val="18"/>
                <w:lang w:val="en-US"/>
              </w:rPr>
              <w:t>2.2.</w:t>
            </w:r>
            <w:r w:rsidRPr="00973525">
              <w:rPr>
                <w:b/>
                <w:bCs/>
                <w:sz w:val="18"/>
                <w:szCs w:val="18"/>
                <w:lang w:val="en-US"/>
              </w:rPr>
              <w:tab/>
              <w:t>How can securitisation support access to finance for SMEs?</w:t>
            </w:r>
          </w:p>
        </w:tc>
        <w:tc>
          <w:tcPr>
            <w:tcW w:w="7740" w:type="dxa"/>
          </w:tcPr>
          <w:p w14:paraId="0D27F216" w14:textId="77777777" w:rsidR="002D29BC" w:rsidRPr="00973525" w:rsidRDefault="002D29BC" w:rsidP="002D29BC">
            <w:pPr>
              <w:rPr>
                <w:sz w:val="18"/>
                <w:szCs w:val="18"/>
                <w:lang w:val="en-US"/>
              </w:rPr>
            </w:pPr>
            <w:r w:rsidRPr="00973525">
              <w:rPr>
                <w:sz w:val="18"/>
                <w:szCs w:val="18"/>
                <w:lang w:val="en-US"/>
              </w:rPr>
              <w:t>Securitisation offers opportunities for investors to invest in consumer and corporate credit exposures that otherwise would not be available to them. It also ensures that credit risk does not solely stay with banks and allows banks to free up capital, thereby increasing their capacity to extend new funding to SMEs and support the transition to a more sustainable economy.</w:t>
            </w:r>
          </w:p>
          <w:p w14:paraId="507EFF7F" w14:textId="77777777" w:rsidR="002D29BC" w:rsidRPr="00973525" w:rsidRDefault="002D29BC" w:rsidP="002D29BC">
            <w:pPr>
              <w:rPr>
                <w:sz w:val="18"/>
                <w:szCs w:val="18"/>
                <w:lang w:val="en-US"/>
              </w:rPr>
            </w:pPr>
          </w:p>
          <w:p w14:paraId="331C8C3F" w14:textId="77777777" w:rsidR="002D29BC" w:rsidRPr="00973525" w:rsidRDefault="002D29BC" w:rsidP="002D29BC">
            <w:pPr>
              <w:rPr>
                <w:sz w:val="18"/>
                <w:szCs w:val="18"/>
                <w:lang w:val="en-US"/>
              </w:rPr>
            </w:pPr>
            <w:r w:rsidRPr="00973525">
              <w:rPr>
                <w:sz w:val="18"/>
                <w:szCs w:val="18"/>
                <w:lang w:val="en-US"/>
              </w:rPr>
              <w:t>SME Securitisation would help originators to access potentially cheaper using a collateral which is not eligible to ar. 129 eligible covered bonds while SME SRT Securitisation would also facilitate origination thanks to capital freed up.</w:t>
            </w:r>
          </w:p>
          <w:p w14:paraId="6699A68E" w14:textId="77777777" w:rsidR="002D29BC" w:rsidRPr="00973525" w:rsidRDefault="002D29BC" w:rsidP="002D29BC">
            <w:pPr>
              <w:rPr>
                <w:sz w:val="18"/>
                <w:szCs w:val="18"/>
                <w:lang w:val="en-US"/>
              </w:rPr>
            </w:pPr>
          </w:p>
          <w:p w14:paraId="2F978827" w14:textId="77777777" w:rsidR="002D29BC" w:rsidRPr="00973525" w:rsidRDefault="002D29BC" w:rsidP="002D29BC">
            <w:pPr>
              <w:rPr>
                <w:sz w:val="18"/>
                <w:szCs w:val="18"/>
                <w:lang w:val="en-US"/>
              </w:rPr>
            </w:pPr>
            <w:r w:rsidRPr="00973525">
              <w:rPr>
                <w:sz w:val="18"/>
                <w:szCs w:val="18"/>
                <w:lang w:val="en-US"/>
              </w:rPr>
              <w:t xml:space="preserve">Banks are also direct lenders to corporates through (private) ABCP trade receivables securitisations, funding their working capital needs hence financing indirectly their SME clients. By </w:t>
            </w:r>
            <w:proofErr w:type="gramStart"/>
            <w:r w:rsidRPr="00973525">
              <w:rPr>
                <w:sz w:val="18"/>
                <w:szCs w:val="18"/>
                <w:lang w:val="en-US"/>
              </w:rPr>
              <w:t>nature</w:t>
            </w:r>
            <w:proofErr w:type="gramEnd"/>
            <w:r w:rsidRPr="00973525">
              <w:rPr>
                <w:sz w:val="18"/>
                <w:szCs w:val="18"/>
                <w:lang w:val="en-US"/>
              </w:rPr>
              <w:t xml:space="preserve"> ABCP securitization is perfectly adapted to the funding of real economy assets such as trade receivables.</w:t>
            </w:r>
          </w:p>
          <w:p w14:paraId="7ABC3899" w14:textId="634F0F97" w:rsidR="002D29BC" w:rsidRPr="00973525" w:rsidRDefault="002D29BC" w:rsidP="002D29BC">
            <w:pPr>
              <w:rPr>
                <w:sz w:val="18"/>
                <w:szCs w:val="18"/>
                <w:lang w:val="en-GB"/>
              </w:rPr>
            </w:pPr>
            <w:r w:rsidRPr="00973525">
              <w:rPr>
                <w:sz w:val="18"/>
                <w:szCs w:val="18"/>
                <w:lang w:val="en-US"/>
              </w:rPr>
              <w:t>Besides, banks use securitisation as a tool to monitor the exposures stemming from their commercial lending activity (both in terms of risk and liquidity).</w:t>
            </w:r>
          </w:p>
        </w:tc>
        <w:tc>
          <w:tcPr>
            <w:tcW w:w="236" w:type="dxa"/>
          </w:tcPr>
          <w:p w14:paraId="21D43E4B" w14:textId="77777777" w:rsidR="002D29BC" w:rsidRPr="00973525" w:rsidRDefault="002D29BC" w:rsidP="0079353D">
            <w:pPr>
              <w:ind w:firstLine="1917"/>
              <w:rPr>
                <w:sz w:val="18"/>
                <w:szCs w:val="18"/>
                <w:lang w:val="en-GB"/>
              </w:rPr>
            </w:pPr>
          </w:p>
        </w:tc>
      </w:tr>
      <w:tr w:rsidR="008B2DD0" w:rsidRPr="00C72B68" w14:paraId="50E2E46B" w14:textId="77777777" w:rsidTr="30964D0C">
        <w:tc>
          <w:tcPr>
            <w:tcW w:w="10885" w:type="dxa"/>
            <w:gridSpan w:val="4"/>
            <w:shd w:val="clear" w:color="auto" w:fill="DAE9F7" w:themeFill="text2" w:themeFillTint="1A"/>
          </w:tcPr>
          <w:p w14:paraId="2F89B49E" w14:textId="369C4913" w:rsidR="008B2DD0" w:rsidRPr="00973525" w:rsidRDefault="008B2DD0" w:rsidP="0079353D">
            <w:pPr>
              <w:ind w:firstLine="1917"/>
              <w:rPr>
                <w:b/>
                <w:bCs/>
                <w:sz w:val="18"/>
                <w:szCs w:val="18"/>
                <w:lang w:val="en-US"/>
              </w:rPr>
            </w:pPr>
            <w:r w:rsidRPr="00973525">
              <w:rPr>
                <w:b/>
                <w:bCs/>
                <w:sz w:val="18"/>
                <w:szCs w:val="18"/>
                <w:lang w:val="en-US"/>
              </w:rPr>
              <w:t>3. Scope of application of the Securitisation Regulation</w:t>
            </w:r>
          </w:p>
        </w:tc>
      </w:tr>
      <w:tr w:rsidR="002D29BC" w:rsidRPr="00C72B68" w14:paraId="486CE0D0" w14:textId="77777777" w:rsidTr="30964D0C">
        <w:trPr>
          <w:gridAfter w:val="1"/>
          <w:wAfter w:w="16" w:type="dxa"/>
        </w:trPr>
        <w:tc>
          <w:tcPr>
            <w:tcW w:w="2893" w:type="dxa"/>
          </w:tcPr>
          <w:p w14:paraId="4FCB87B9" w14:textId="77777777" w:rsidR="002D29BC" w:rsidRPr="00973525" w:rsidRDefault="002D29BC" w:rsidP="002D29BC">
            <w:pPr>
              <w:rPr>
                <w:sz w:val="18"/>
                <w:szCs w:val="18"/>
                <w:lang w:val="en-US"/>
              </w:rPr>
            </w:pPr>
            <w:r w:rsidRPr="00973525">
              <w:rPr>
                <w:sz w:val="18"/>
                <w:szCs w:val="18"/>
                <w:lang w:val="en-US"/>
              </w:rPr>
              <w:t>3.1.</w:t>
            </w:r>
            <w:r w:rsidRPr="00973525">
              <w:rPr>
                <w:sz w:val="18"/>
                <w:szCs w:val="18"/>
                <w:lang w:val="en-US"/>
              </w:rPr>
              <w:tab/>
              <w:t>In your opinion, should the current jurisdictional scope of application of the SECR be set out more clearly in the legislation?</w:t>
            </w:r>
          </w:p>
          <w:p w14:paraId="4E2293DB" w14:textId="77777777" w:rsidR="002D29BC" w:rsidRPr="00973525" w:rsidRDefault="002D29BC" w:rsidP="002D29BC">
            <w:pPr>
              <w:rPr>
                <w:sz w:val="18"/>
                <w:szCs w:val="18"/>
                <w:lang w:val="en-US"/>
              </w:rPr>
            </w:pPr>
          </w:p>
          <w:p w14:paraId="1F8F159F"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4F3D3F2A"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7BAD1641" w14:textId="77777777" w:rsidR="002D29BC" w:rsidRPr="00973525" w:rsidRDefault="002D29BC" w:rsidP="002D29BC">
            <w:pPr>
              <w:rPr>
                <w:sz w:val="18"/>
                <w:szCs w:val="18"/>
                <w:lang w:val="en-US"/>
              </w:rPr>
            </w:pPr>
            <w:r w:rsidRPr="00973525">
              <w:rPr>
                <w:sz w:val="18"/>
                <w:szCs w:val="18"/>
                <w:lang w:val="en-US"/>
              </w:rPr>
              <w:lastRenderedPageBreak/>
              <w:t>•</w:t>
            </w:r>
            <w:r w:rsidRPr="00973525">
              <w:rPr>
                <w:sz w:val="18"/>
                <w:szCs w:val="18"/>
                <w:lang w:val="en-US"/>
              </w:rPr>
              <w:tab/>
              <w:t>No opinion</w:t>
            </w:r>
          </w:p>
          <w:p w14:paraId="077D3F80" w14:textId="3A3BC050" w:rsidR="002D29BC" w:rsidRPr="00973525" w:rsidRDefault="002D29BC" w:rsidP="002D29BC">
            <w:pPr>
              <w:rPr>
                <w:sz w:val="18"/>
                <w:szCs w:val="18"/>
                <w:lang w:val="en-GB"/>
              </w:rPr>
            </w:pPr>
            <w:r w:rsidRPr="00973525">
              <w:rPr>
                <w:sz w:val="18"/>
                <w:szCs w:val="18"/>
                <w:lang w:val="en-US"/>
              </w:rPr>
              <w:t xml:space="preserve"> Please explain.</w:t>
            </w:r>
          </w:p>
        </w:tc>
        <w:tc>
          <w:tcPr>
            <w:tcW w:w="7740" w:type="dxa"/>
          </w:tcPr>
          <w:p w14:paraId="4665F3A4" w14:textId="77777777" w:rsidR="002D29BC" w:rsidRPr="00973525" w:rsidRDefault="002D29BC" w:rsidP="002D29BC">
            <w:pPr>
              <w:rPr>
                <w:sz w:val="18"/>
                <w:szCs w:val="18"/>
                <w:lang w:val="en-US"/>
              </w:rPr>
            </w:pPr>
            <w:r w:rsidRPr="00973525">
              <w:rPr>
                <w:sz w:val="18"/>
                <w:szCs w:val="18"/>
                <w:lang w:val="en-US"/>
              </w:rPr>
              <w:lastRenderedPageBreak/>
              <w:t xml:space="preserve">No, the jurisdictional scope is well </w:t>
            </w:r>
            <w:proofErr w:type="gramStart"/>
            <w:r w:rsidRPr="00973525">
              <w:rPr>
                <w:sz w:val="18"/>
                <w:szCs w:val="18"/>
                <w:lang w:val="en-US"/>
              </w:rPr>
              <w:t>understood</w:t>
            </w:r>
            <w:proofErr w:type="gramEnd"/>
            <w:r w:rsidRPr="00973525">
              <w:rPr>
                <w:sz w:val="18"/>
                <w:szCs w:val="18"/>
                <w:lang w:val="en-US"/>
              </w:rPr>
              <w:t xml:space="preserve"> and we see no merit in re-opening this topic.</w:t>
            </w:r>
          </w:p>
          <w:p w14:paraId="5040C19B" w14:textId="77777777" w:rsidR="002D29BC" w:rsidRPr="00973525" w:rsidRDefault="002D29BC" w:rsidP="002D29BC">
            <w:pPr>
              <w:rPr>
                <w:sz w:val="18"/>
                <w:szCs w:val="18"/>
                <w:lang w:val="en-US"/>
              </w:rPr>
            </w:pPr>
          </w:p>
          <w:p w14:paraId="5F5027C8" w14:textId="77777777" w:rsidR="002D29BC" w:rsidRPr="00973525" w:rsidRDefault="002D29BC" w:rsidP="002D29BC">
            <w:pPr>
              <w:rPr>
                <w:sz w:val="18"/>
                <w:szCs w:val="18"/>
                <w:lang w:val="en-US"/>
              </w:rPr>
            </w:pPr>
            <w:r w:rsidRPr="00973525">
              <w:rPr>
                <w:sz w:val="18"/>
                <w:szCs w:val="18"/>
                <w:lang w:val="en-US"/>
              </w:rPr>
              <w:t xml:space="preserve">Regarding the issues raised </w:t>
            </w:r>
            <w:proofErr w:type="gramStart"/>
            <w:r w:rsidRPr="00973525">
              <w:rPr>
                <w:sz w:val="18"/>
                <w:szCs w:val="18"/>
                <w:lang w:val="en-US"/>
              </w:rPr>
              <w:t>for</w:t>
            </w:r>
            <w:proofErr w:type="gramEnd"/>
            <w:r w:rsidRPr="00973525">
              <w:rPr>
                <w:sz w:val="18"/>
                <w:szCs w:val="18"/>
                <w:lang w:val="en-US"/>
              </w:rPr>
              <w:t xml:space="preserve"> EU investors in relation with sell-side parties located in third countries, cf. our answers to question 4.8.</w:t>
            </w:r>
          </w:p>
          <w:p w14:paraId="211300A5" w14:textId="77777777" w:rsidR="002D29BC" w:rsidRPr="00973525" w:rsidRDefault="002D29BC" w:rsidP="002D29BC">
            <w:pPr>
              <w:rPr>
                <w:sz w:val="18"/>
                <w:szCs w:val="18"/>
                <w:lang w:val="en-US"/>
              </w:rPr>
            </w:pPr>
          </w:p>
          <w:p w14:paraId="6AF9B623" w14:textId="710C7D60" w:rsidR="002D29BC" w:rsidRPr="00973525" w:rsidRDefault="002D29BC" w:rsidP="002D29BC">
            <w:pPr>
              <w:rPr>
                <w:sz w:val="18"/>
                <w:szCs w:val="18"/>
                <w:lang w:val="en-GB"/>
              </w:rPr>
            </w:pPr>
            <w:r w:rsidRPr="00973525">
              <w:rPr>
                <w:sz w:val="18"/>
                <w:szCs w:val="18"/>
                <w:lang w:val="en-US"/>
              </w:rPr>
              <w:t xml:space="preserve">Keeping in mind that some clarification pertaining to article 5 of the SECR </w:t>
            </w:r>
            <w:proofErr w:type="gramStart"/>
            <w:r w:rsidRPr="00973525">
              <w:rPr>
                <w:sz w:val="18"/>
                <w:szCs w:val="18"/>
                <w:lang w:val="en-US"/>
              </w:rPr>
              <w:t>are</w:t>
            </w:r>
            <w:proofErr w:type="gramEnd"/>
            <w:r w:rsidRPr="00973525">
              <w:rPr>
                <w:sz w:val="18"/>
                <w:szCs w:val="18"/>
                <w:lang w:val="en-US"/>
              </w:rPr>
              <w:t xml:space="preserve"> highlighted in the coming replies. </w:t>
            </w:r>
          </w:p>
        </w:tc>
        <w:tc>
          <w:tcPr>
            <w:tcW w:w="236" w:type="dxa"/>
          </w:tcPr>
          <w:p w14:paraId="08CD561A" w14:textId="77777777" w:rsidR="002D29BC" w:rsidRPr="00973525" w:rsidRDefault="002D29BC" w:rsidP="0079353D">
            <w:pPr>
              <w:ind w:firstLine="1917"/>
              <w:rPr>
                <w:sz w:val="18"/>
                <w:szCs w:val="18"/>
                <w:lang w:val="en-GB"/>
              </w:rPr>
            </w:pPr>
          </w:p>
        </w:tc>
      </w:tr>
      <w:tr w:rsidR="002D29BC" w:rsidRPr="00776503" w14:paraId="6A17C613" w14:textId="77777777" w:rsidTr="30964D0C">
        <w:trPr>
          <w:gridAfter w:val="1"/>
          <w:wAfter w:w="16" w:type="dxa"/>
        </w:trPr>
        <w:tc>
          <w:tcPr>
            <w:tcW w:w="2893" w:type="dxa"/>
          </w:tcPr>
          <w:p w14:paraId="6521E6FB" w14:textId="77777777" w:rsidR="002D29BC" w:rsidRPr="00973525" w:rsidRDefault="002D29BC" w:rsidP="002D29BC">
            <w:pPr>
              <w:rPr>
                <w:sz w:val="18"/>
                <w:szCs w:val="18"/>
                <w:lang w:val="en-US"/>
              </w:rPr>
            </w:pPr>
            <w:r w:rsidRPr="00973525">
              <w:rPr>
                <w:sz w:val="18"/>
                <w:szCs w:val="18"/>
                <w:lang w:val="en-US"/>
              </w:rPr>
              <w:t>3.2.</w:t>
            </w:r>
            <w:r w:rsidRPr="00973525">
              <w:rPr>
                <w:sz w:val="18"/>
                <w:szCs w:val="18"/>
                <w:lang w:val="en-US"/>
              </w:rPr>
              <w:tab/>
              <w:t xml:space="preserve">If you answered yes to question 3.1, do you think it would be useful to include a specific article that states that SECR applies to any securitisation where at least one party (sell-side or buy-side) is based or </w:t>
            </w:r>
            <w:proofErr w:type="spellStart"/>
            <w:r w:rsidRPr="00973525">
              <w:rPr>
                <w:sz w:val="18"/>
                <w:szCs w:val="18"/>
                <w:lang w:val="en-US"/>
              </w:rPr>
              <w:t>authorised</w:t>
            </w:r>
            <w:proofErr w:type="spellEnd"/>
            <w:r w:rsidRPr="00973525">
              <w:rPr>
                <w:sz w:val="18"/>
                <w:szCs w:val="18"/>
                <w:lang w:val="en-US"/>
              </w:rPr>
              <w:t xml:space="preserve"> in the EU, and to clarify that the EU-based or EU-</w:t>
            </w:r>
            <w:proofErr w:type="spellStart"/>
            <w:r w:rsidRPr="00973525">
              <w:rPr>
                <w:sz w:val="18"/>
                <w:szCs w:val="18"/>
                <w:lang w:val="en-US"/>
              </w:rPr>
              <w:t>authorised</w:t>
            </w:r>
            <w:proofErr w:type="spellEnd"/>
            <w:r w:rsidRPr="00973525">
              <w:rPr>
                <w:sz w:val="18"/>
                <w:szCs w:val="18"/>
                <w:lang w:val="en-US"/>
              </w:rPr>
              <w:t xml:space="preserve"> entity(</w:t>
            </w:r>
            <w:proofErr w:type="spellStart"/>
            <w:r w:rsidRPr="00973525">
              <w:rPr>
                <w:sz w:val="18"/>
                <w:szCs w:val="18"/>
                <w:lang w:val="en-US"/>
              </w:rPr>
              <w:t>ies</w:t>
            </w:r>
            <w:proofErr w:type="spellEnd"/>
            <w:r w:rsidRPr="00973525">
              <w:rPr>
                <w:sz w:val="18"/>
                <w:szCs w:val="18"/>
                <w:lang w:val="en-US"/>
              </w:rPr>
              <w:t>) shall be in charge of fulfilling the relevant provisions in the SECR?</w:t>
            </w:r>
          </w:p>
          <w:p w14:paraId="60A72A56" w14:textId="77777777" w:rsidR="002D29BC" w:rsidRPr="00973525" w:rsidRDefault="002D29BC" w:rsidP="002D29BC">
            <w:pPr>
              <w:rPr>
                <w:sz w:val="18"/>
                <w:szCs w:val="18"/>
                <w:lang w:val="en-US"/>
              </w:rPr>
            </w:pPr>
          </w:p>
          <w:p w14:paraId="08100873"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6A20EA22"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0BC309B3"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No opinion </w:t>
            </w:r>
          </w:p>
          <w:p w14:paraId="13F95C57" w14:textId="5457C85B" w:rsidR="002D29BC" w:rsidRPr="00973525" w:rsidRDefault="002D29BC" w:rsidP="002D29BC">
            <w:pPr>
              <w:rPr>
                <w:sz w:val="18"/>
                <w:szCs w:val="18"/>
                <w:lang w:val="en-GB"/>
              </w:rPr>
            </w:pPr>
            <w:r w:rsidRPr="00973525">
              <w:rPr>
                <w:sz w:val="18"/>
                <w:szCs w:val="18"/>
                <w:lang w:val="en-US"/>
              </w:rPr>
              <w:t>Please explain.</w:t>
            </w:r>
          </w:p>
        </w:tc>
        <w:tc>
          <w:tcPr>
            <w:tcW w:w="7740" w:type="dxa"/>
          </w:tcPr>
          <w:p w14:paraId="605821BD" w14:textId="17E23155" w:rsidR="002D29BC" w:rsidRPr="00973525" w:rsidRDefault="002D29BC" w:rsidP="002D29BC">
            <w:pPr>
              <w:rPr>
                <w:sz w:val="18"/>
                <w:szCs w:val="18"/>
                <w:lang w:val="en-GB"/>
              </w:rPr>
            </w:pPr>
            <w:r w:rsidRPr="00973525">
              <w:rPr>
                <w:sz w:val="18"/>
                <w:szCs w:val="18"/>
                <w:lang w:val="en-US"/>
              </w:rPr>
              <w:t>N/A</w:t>
            </w:r>
          </w:p>
        </w:tc>
        <w:tc>
          <w:tcPr>
            <w:tcW w:w="236" w:type="dxa"/>
          </w:tcPr>
          <w:p w14:paraId="301328FA" w14:textId="3AF414D3" w:rsidR="002D29BC" w:rsidRPr="00973525" w:rsidRDefault="002D29BC" w:rsidP="0079353D">
            <w:pPr>
              <w:ind w:firstLine="1917"/>
              <w:rPr>
                <w:sz w:val="18"/>
                <w:szCs w:val="18"/>
                <w:lang w:val="en-GB"/>
              </w:rPr>
            </w:pPr>
          </w:p>
        </w:tc>
      </w:tr>
      <w:tr w:rsidR="002D29BC" w:rsidRPr="0000602A" w14:paraId="2BC78C29" w14:textId="77777777" w:rsidTr="30964D0C">
        <w:trPr>
          <w:gridAfter w:val="1"/>
          <w:wAfter w:w="16" w:type="dxa"/>
        </w:trPr>
        <w:tc>
          <w:tcPr>
            <w:tcW w:w="2893" w:type="dxa"/>
          </w:tcPr>
          <w:p w14:paraId="4FAED49A" w14:textId="77777777" w:rsidR="002D29BC" w:rsidRPr="00973525" w:rsidRDefault="002D29BC" w:rsidP="002D29BC">
            <w:pPr>
              <w:rPr>
                <w:sz w:val="18"/>
                <w:szCs w:val="18"/>
                <w:lang w:val="en-US"/>
              </w:rPr>
            </w:pPr>
            <w:r w:rsidRPr="00973525">
              <w:rPr>
                <w:sz w:val="18"/>
                <w:szCs w:val="18"/>
                <w:lang w:val="en-US"/>
              </w:rPr>
              <w:t>3.3.</w:t>
            </w:r>
            <w:r w:rsidRPr="00973525">
              <w:rPr>
                <w:sz w:val="18"/>
                <w:szCs w:val="18"/>
                <w:lang w:val="en-US"/>
              </w:rPr>
              <w:tab/>
              <w:t>Do you think the definition of a securitisation transaction in Article 2 of SECR should be changed? You may select more than one option.</w:t>
            </w:r>
          </w:p>
          <w:p w14:paraId="011F0485" w14:textId="77777777" w:rsidR="002D29BC" w:rsidRPr="00973525" w:rsidRDefault="002D29BC" w:rsidP="002D29BC">
            <w:pPr>
              <w:rPr>
                <w:sz w:val="18"/>
                <w:szCs w:val="18"/>
                <w:lang w:val="en-US"/>
              </w:rPr>
            </w:pPr>
          </w:p>
          <w:p w14:paraId="1DFD1D5D"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Yes, the definition should be expanded to include transactions or vehicles that could be considered securitisations from an economic </w:t>
            </w:r>
            <w:proofErr w:type="gramStart"/>
            <w:r w:rsidRPr="00973525">
              <w:rPr>
                <w:sz w:val="18"/>
                <w:szCs w:val="18"/>
                <w:lang w:val="en-US"/>
              </w:rPr>
              <w:t>perspective;</w:t>
            </w:r>
            <w:proofErr w:type="gramEnd"/>
          </w:p>
          <w:p w14:paraId="125C315C"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Yes, the definition should be narrowed to exclude certain transactions or introduce specific </w:t>
            </w:r>
            <w:proofErr w:type="gramStart"/>
            <w:r w:rsidRPr="00973525">
              <w:rPr>
                <w:sz w:val="18"/>
                <w:szCs w:val="18"/>
                <w:lang w:val="en-US"/>
              </w:rPr>
              <w:t>exceptions;</w:t>
            </w:r>
            <w:proofErr w:type="gramEnd"/>
          </w:p>
          <w:p w14:paraId="75DE5AB7"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No, it should not be </w:t>
            </w:r>
            <w:proofErr w:type="gramStart"/>
            <w:r w:rsidRPr="00973525">
              <w:rPr>
                <w:sz w:val="18"/>
                <w:szCs w:val="18"/>
                <w:lang w:val="en-US"/>
              </w:rPr>
              <w:t>changed;</w:t>
            </w:r>
            <w:proofErr w:type="gramEnd"/>
          </w:p>
          <w:p w14:paraId="6E4B213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53453D06" w14:textId="77777777" w:rsidR="002D29BC" w:rsidRPr="00973525" w:rsidRDefault="002D29BC" w:rsidP="002D29BC">
            <w:pPr>
              <w:rPr>
                <w:sz w:val="18"/>
                <w:szCs w:val="18"/>
                <w:lang w:val="en-US"/>
              </w:rPr>
            </w:pPr>
            <w:r w:rsidRPr="00973525">
              <w:rPr>
                <w:sz w:val="18"/>
                <w:szCs w:val="18"/>
                <w:lang w:val="en-US"/>
              </w:rPr>
              <w:t xml:space="preserve"> </w:t>
            </w:r>
          </w:p>
          <w:p w14:paraId="2D16BD24" w14:textId="2243027F" w:rsidR="002D29BC" w:rsidRPr="00973525" w:rsidRDefault="002D29BC" w:rsidP="002D29BC">
            <w:pPr>
              <w:rPr>
                <w:sz w:val="18"/>
                <w:szCs w:val="18"/>
                <w:lang w:val="en-GB"/>
              </w:rPr>
            </w:pPr>
            <w:r w:rsidRPr="00973525">
              <w:rPr>
                <w:sz w:val="18"/>
                <w:szCs w:val="18"/>
                <w:lang w:val="en-US"/>
              </w:rPr>
              <w:t>Please explain and specify, if necessary, how the definition should be expanded or narrowed in your view.</w:t>
            </w:r>
          </w:p>
        </w:tc>
        <w:tc>
          <w:tcPr>
            <w:tcW w:w="7740" w:type="dxa"/>
          </w:tcPr>
          <w:p w14:paraId="6F4E396B" w14:textId="77777777" w:rsidR="002D29BC" w:rsidRPr="00973525" w:rsidRDefault="002D29BC" w:rsidP="002D29BC">
            <w:pPr>
              <w:rPr>
                <w:sz w:val="18"/>
                <w:szCs w:val="18"/>
                <w:lang w:val="en-US"/>
              </w:rPr>
            </w:pPr>
            <w:r w:rsidRPr="00973525">
              <w:rPr>
                <w:sz w:val="18"/>
                <w:szCs w:val="18"/>
                <w:lang w:val="en-US"/>
              </w:rPr>
              <w:t>No, it should not be changed in our view (this is not a priority topic).</w:t>
            </w:r>
          </w:p>
          <w:p w14:paraId="26FDA187" w14:textId="77777777" w:rsidR="002D29BC" w:rsidRPr="00973525" w:rsidRDefault="002D29BC" w:rsidP="002D29BC">
            <w:pPr>
              <w:rPr>
                <w:sz w:val="18"/>
                <w:szCs w:val="18"/>
                <w:lang w:val="en-US"/>
              </w:rPr>
            </w:pPr>
          </w:p>
          <w:p w14:paraId="5C62D9AE" w14:textId="6B2A81FF" w:rsidR="002D29BC" w:rsidRPr="00973525" w:rsidRDefault="002D29BC" w:rsidP="002D29BC">
            <w:pPr>
              <w:rPr>
                <w:sz w:val="18"/>
                <w:szCs w:val="18"/>
                <w:lang w:val="en-GB"/>
              </w:rPr>
            </w:pPr>
            <w:r w:rsidRPr="00973525">
              <w:rPr>
                <w:sz w:val="18"/>
                <w:szCs w:val="18"/>
                <w:lang w:val="en-US"/>
              </w:rPr>
              <w:t>However, some concepts used to define securitisation and in particular originators could in our view be adjusted to make certain market practices safer. The definition of originator could be slightly clarified to cover entities which not only originate or purchase assets but also entities that are exposed to the risk of such assets.</w:t>
            </w:r>
          </w:p>
        </w:tc>
        <w:tc>
          <w:tcPr>
            <w:tcW w:w="236" w:type="dxa"/>
          </w:tcPr>
          <w:p w14:paraId="5745CC9D" w14:textId="32D721B5" w:rsidR="002D29BC" w:rsidRPr="006150A9" w:rsidRDefault="002D29BC" w:rsidP="0079353D">
            <w:pPr>
              <w:ind w:firstLine="1917"/>
              <w:rPr>
                <w:sz w:val="18"/>
                <w:szCs w:val="18"/>
                <w:lang w:val="en-US"/>
              </w:rPr>
            </w:pPr>
          </w:p>
        </w:tc>
      </w:tr>
      <w:tr w:rsidR="002D29BC" w:rsidRPr="009E4E3B" w14:paraId="759B00D8" w14:textId="77777777" w:rsidTr="30964D0C">
        <w:trPr>
          <w:gridAfter w:val="1"/>
          <w:wAfter w:w="16" w:type="dxa"/>
        </w:trPr>
        <w:tc>
          <w:tcPr>
            <w:tcW w:w="2893" w:type="dxa"/>
          </w:tcPr>
          <w:p w14:paraId="09D45156" w14:textId="77777777" w:rsidR="002D29BC" w:rsidRPr="00973525" w:rsidRDefault="002D29BC" w:rsidP="002D29BC">
            <w:pPr>
              <w:rPr>
                <w:sz w:val="18"/>
                <w:szCs w:val="18"/>
                <w:lang w:val="en-US"/>
              </w:rPr>
            </w:pPr>
            <w:r w:rsidRPr="00973525">
              <w:rPr>
                <w:sz w:val="18"/>
                <w:szCs w:val="18"/>
                <w:lang w:val="en-US"/>
              </w:rPr>
              <w:t>3.4.</w:t>
            </w:r>
            <w:r w:rsidRPr="00973525">
              <w:rPr>
                <w:sz w:val="18"/>
                <w:szCs w:val="18"/>
                <w:lang w:val="en-US"/>
              </w:rPr>
              <w:tab/>
              <w:t>Should the definition of a securitisation exclude transactions or vehicles that are derisked (e.g. by providing junior equity tranche) by an EU-level or national institution (e.g. a promotional bank) with a view to crowding-in private investors towards public policy objectives?</w:t>
            </w:r>
          </w:p>
          <w:p w14:paraId="31410957" w14:textId="77777777" w:rsidR="002D29BC" w:rsidRPr="00973525" w:rsidRDefault="002D29BC" w:rsidP="002D29BC">
            <w:pPr>
              <w:rPr>
                <w:sz w:val="18"/>
                <w:szCs w:val="18"/>
                <w:lang w:val="en-US"/>
              </w:rPr>
            </w:pPr>
          </w:p>
          <w:p w14:paraId="271011D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2E88562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3F5D8D67"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2158D4AB" w14:textId="77777777" w:rsidR="002D29BC" w:rsidRPr="00973525" w:rsidRDefault="002D29BC" w:rsidP="002D29BC">
            <w:pPr>
              <w:rPr>
                <w:sz w:val="18"/>
                <w:szCs w:val="18"/>
                <w:lang w:val="en-GB"/>
              </w:rPr>
            </w:pPr>
          </w:p>
        </w:tc>
        <w:tc>
          <w:tcPr>
            <w:tcW w:w="7740" w:type="dxa"/>
          </w:tcPr>
          <w:p w14:paraId="67E35A71" w14:textId="6D98C1FA" w:rsidR="002D29BC" w:rsidRPr="00973525" w:rsidRDefault="002D29BC" w:rsidP="002D29BC">
            <w:pPr>
              <w:rPr>
                <w:sz w:val="18"/>
                <w:szCs w:val="18"/>
                <w:lang w:val="en-GB"/>
              </w:rPr>
            </w:pPr>
            <w:r w:rsidRPr="00973525">
              <w:rPr>
                <w:sz w:val="18"/>
                <w:szCs w:val="18"/>
                <w:lang w:val="en-US"/>
              </w:rPr>
              <w:t>No</w:t>
            </w:r>
          </w:p>
        </w:tc>
        <w:tc>
          <w:tcPr>
            <w:tcW w:w="236" w:type="dxa"/>
          </w:tcPr>
          <w:p w14:paraId="18119558" w14:textId="77777777" w:rsidR="002D29BC" w:rsidRPr="00973525" w:rsidRDefault="002D29BC" w:rsidP="0079353D">
            <w:pPr>
              <w:ind w:firstLine="1917"/>
              <w:rPr>
                <w:sz w:val="18"/>
                <w:szCs w:val="18"/>
                <w:lang w:val="en-GB"/>
              </w:rPr>
            </w:pPr>
          </w:p>
        </w:tc>
      </w:tr>
      <w:tr w:rsidR="002D29BC" w:rsidRPr="0000602A" w14:paraId="18513FFE" w14:textId="77777777" w:rsidTr="30964D0C">
        <w:trPr>
          <w:gridAfter w:val="1"/>
          <w:wAfter w:w="16" w:type="dxa"/>
        </w:trPr>
        <w:tc>
          <w:tcPr>
            <w:tcW w:w="2893" w:type="dxa"/>
          </w:tcPr>
          <w:p w14:paraId="567C614B" w14:textId="6BDE30CC" w:rsidR="002D29BC" w:rsidRPr="00973525" w:rsidRDefault="002D29BC" w:rsidP="002D29BC">
            <w:pPr>
              <w:rPr>
                <w:sz w:val="18"/>
                <w:szCs w:val="18"/>
                <w:lang w:val="en-GB"/>
              </w:rPr>
            </w:pPr>
            <w:r w:rsidRPr="00973525">
              <w:rPr>
                <w:sz w:val="18"/>
                <w:szCs w:val="18"/>
                <w:lang w:val="en-US"/>
              </w:rPr>
              <w:t>3.5.</w:t>
            </w:r>
            <w:r w:rsidRPr="00973525">
              <w:rPr>
                <w:sz w:val="18"/>
                <w:szCs w:val="18"/>
                <w:lang w:val="en-US"/>
              </w:rPr>
              <w:tab/>
              <w:t>If you answered yes to question 3.4., what criteria should be used to define such transactions?</w:t>
            </w:r>
          </w:p>
        </w:tc>
        <w:tc>
          <w:tcPr>
            <w:tcW w:w="7740" w:type="dxa"/>
          </w:tcPr>
          <w:p w14:paraId="7CAD59C7" w14:textId="77777777" w:rsidR="002D29BC" w:rsidRPr="00973525" w:rsidRDefault="002D29BC" w:rsidP="002D29BC">
            <w:pPr>
              <w:rPr>
                <w:sz w:val="18"/>
                <w:szCs w:val="18"/>
                <w:lang w:val="en-GB"/>
              </w:rPr>
            </w:pPr>
          </w:p>
        </w:tc>
        <w:tc>
          <w:tcPr>
            <w:tcW w:w="236" w:type="dxa"/>
          </w:tcPr>
          <w:p w14:paraId="215A17D6" w14:textId="77777777" w:rsidR="002D29BC" w:rsidRPr="00973525" w:rsidRDefault="002D29BC" w:rsidP="0079353D">
            <w:pPr>
              <w:ind w:firstLine="1917"/>
              <w:rPr>
                <w:sz w:val="18"/>
                <w:szCs w:val="18"/>
                <w:lang w:val="en-GB"/>
              </w:rPr>
            </w:pPr>
          </w:p>
        </w:tc>
      </w:tr>
      <w:tr w:rsidR="002D29BC" w:rsidRPr="00973525" w14:paraId="7BEAE686" w14:textId="77777777" w:rsidTr="30964D0C">
        <w:trPr>
          <w:gridAfter w:val="1"/>
          <w:wAfter w:w="16" w:type="dxa"/>
        </w:trPr>
        <w:tc>
          <w:tcPr>
            <w:tcW w:w="2893" w:type="dxa"/>
          </w:tcPr>
          <w:p w14:paraId="460303BC" w14:textId="77777777" w:rsidR="002D29BC" w:rsidRPr="00973525" w:rsidRDefault="002D29BC" w:rsidP="002D29BC">
            <w:pPr>
              <w:rPr>
                <w:sz w:val="18"/>
                <w:szCs w:val="18"/>
                <w:lang w:val="en-US"/>
              </w:rPr>
            </w:pPr>
            <w:r w:rsidRPr="00973525">
              <w:rPr>
                <w:sz w:val="18"/>
                <w:szCs w:val="18"/>
                <w:lang w:val="en-US"/>
              </w:rPr>
              <w:t>3.6.</w:t>
            </w:r>
            <w:r w:rsidRPr="00973525">
              <w:rPr>
                <w:sz w:val="18"/>
                <w:szCs w:val="18"/>
                <w:lang w:val="en-US"/>
              </w:rPr>
              <w:tab/>
              <w:t xml:space="preserve">Should the definition of a sponsor be expanded to include </w:t>
            </w:r>
            <w:r w:rsidRPr="00973525">
              <w:rPr>
                <w:sz w:val="18"/>
                <w:szCs w:val="18"/>
                <w:lang w:val="en-US"/>
              </w:rPr>
              <w:lastRenderedPageBreak/>
              <w:t>alternative investment firm managers established in the EU?</w:t>
            </w:r>
          </w:p>
          <w:p w14:paraId="7CB3266C" w14:textId="77777777" w:rsidR="002D29BC" w:rsidRPr="00973525" w:rsidRDefault="002D29BC" w:rsidP="002D29BC">
            <w:pPr>
              <w:rPr>
                <w:sz w:val="18"/>
                <w:szCs w:val="18"/>
                <w:lang w:val="en-US"/>
              </w:rPr>
            </w:pPr>
          </w:p>
          <w:p w14:paraId="7FD60959"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51318EF2"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00109F30" w14:textId="7545BE3D"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18B7927D" w14:textId="68408EE1" w:rsidR="002D29BC" w:rsidRPr="00973525" w:rsidRDefault="558504DF" w:rsidP="002D29BC">
            <w:pPr>
              <w:rPr>
                <w:sz w:val="18"/>
                <w:szCs w:val="18"/>
                <w:lang w:val="en-GB"/>
              </w:rPr>
            </w:pPr>
            <w:r w:rsidRPr="30964D0C">
              <w:rPr>
                <w:sz w:val="18"/>
                <w:szCs w:val="18"/>
                <w:lang w:val="en-US"/>
              </w:rPr>
              <w:lastRenderedPageBreak/>
              <w:t xml:space="preserve">No </w:t>
            </w:r>
          </w:p>
        </w:tc>
        <w:tc>
          <w:tcPr>
            <w:tcW w:w="236" w:type="dxa"/>
          </w:tcPr>
          <w:p w14:paraId="557B72AB" w14:textId="77777777" w:rsidR="002D29BC" w:rsidRPr="00973525" w:rsidRDefault="002D29BC" w:rsidP="0079353D">
            <w:pPr>
              <w:ind w:firstLine="1917"/>
              <w:rPr>
                <w:sz w:val="18"/>
                <w:szCs w:val="18"/>
              </w:rPr>
            </w:pPr>
          </w:p>
        </w:tc>
      </w:tr>
      <w:tr w:rsidR="002D29BC" w:rsidRPr="00C12248" w14:paraId="470B6AA2" w14:textId="77777777" w:rsidTr="30964D0C">
        <w:trPr>
          <w:gridAfter w:val="1"/>
          <w:wAfter w:w="16" w:type="dxa"/>
        </w:trPr>
        <w:tc>
          <w:tcPr>
            <w:tcW w:w="2893" w:type="dxa"/>
          </w:tcPr>
          <w:p w14:paraId="0FC51541" w14:textId="77777777" w:rsidR="002D29BC" w:rsidRPr="00973525" w:rsidRDefault="002D29BC" w:rsidP="002D29BC">
            <w:pPr>
              <w:rPr>
                <w:sz w:val="18"/>
                <w:szCs w:val="18"/>
                <w:lang w:val="en-US"/>
              </w:rPr>
            </w:pPr>
            <w:r w:rsidRPr="00973525">
              <w:rPr>
                <w:sz w:val="18"/>
                <w:szCs w:val="18"/>
                <w:lang w:val="en-US"/>
              </w:rPr>
              <w:t>3.7.</w:t>
            </w:r>
            <w:r w:rsidRPr="00973525">
              <w:rPr>
                <w:sz w:val="18"/>
                <w:szCs w:val="18"/>
                <w:lang w:val="en-US"/>
              </w:rPr>
              <w:tab/>
              <w:t xml:space="preserve">If you answered yes to question 3.6., are any specific </w:t>
            </w:r>
            <w:proofErr w:type="gramStart"/>
            <w:r w:rsidRPr="00973525">
              <w:rPr>
                <w:sz w:val="18"/>
                <w:szCs w:val="18"/>
                <w:lang w:val="en-US"/>
              </w:rPr>
              <w:t>adaptions</w:t>
            </w:r>
            <w:proofErr w:type="gramEnd"/>
            <w:r w:rsidRPr="00973525">
              <w:rPr>
                <w:sz w:val="18"/>
                <w:szCs w:val="18"/>
                <w:lang w:val="en-US"/>
              </w:rPr>
              <w:t xml:space="preserve"> or safeguards necessary in the Alternative Investment Firms Directive (AIFMD13), </w:t>
            </w:r>
            <w:proofErr w:type="gramStart"/>
            <w:r w:rsidRPr="00973525">
              <w:rPr>
                <w:sz w:val="18"/>
                <w:szCs w:val="18"/>
                <w:lang w:val="en-US"/>
              </w:rPr>
              <w:t>taking into account</w:t>
            </w:r>
            <w:proofErr w:type="gramEnd"/>
            <w:r w:rsidRPr="00973525">
              <w:rPr>
                <w:sz w:val="18"/>
                <w:szCs w:val="18"/>
                <w:lang w:val="en-US"/>
              </w:rPr>
              <w:t xml:space="preserve"> the originate-to- distribute prohibition in the AIFMD, to enable AIFMs to fulfil the functions of a sponsor in a securitisation transaction, as stipulated in the SECR? You may select more than one option.</w:t>
            </w:r>
          </w:p>
          <w:p w14:paraId="16CD2280" w14:textId="77777777" w:rsidR="002D29BC" w:rsidRPr="00973525" w:rsidRDefault="002D29BC" w:rsidP="002D29BC">
            <w:pPr>
              <w:rPr>
                <w:sz w:val="18"/>
                <w:szCs w:val="18"/>
                <w:lang w:val="en-US"/>
              </w:rPr>
            </w:pPr>
          </w:p>
          <w:p w14:paraId="56B151B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An AIFM should not sponsor loans originated by the AIFs it manages</w:t>
            </w:r>
          </w:p>
          <w:p w14:paraId="6B9851FC"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AIFs should not invest in securitisations sponsored by its AIFM</w:t>
            </w:r>
          </w:p>
          <w:p w14:paraId="4D8E2A7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Minimum capital requirements under the AIFMD should be adapted to enable AIFMs, </w:t>
            </w:r>
            <w:proofErr w:type="gramStart"/>
            <w:r w:rsidRPr="00973525">
              <w:rPr>
                <w:sz w:val="18"/>
                <w:szCs w:val="18"/>
                <w:lang w:val="en-US"/>
              </w:rPr>
              <w:t>in particular to</w:t>
            </w:r>
            <w:proofErr w:type="gramEnd"/>
            <w:r w:rsidRPr="00973525">
              <w:rPr>
                <w:sz w:val="18"/>
                <w:szCs w:val="18"/>
                <w:lang w:val="en-US"/>
              </w:rPr>
              <w:t xml:space="preserve"> fulfil the risk retention requirement under SECR</w:t>
            </w:r>
          </w:p>
          <w:p w14:paraId="61FF925C"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Other safeguards</w:t>
            </w:r>
          </w:p>
          <w:p w14:paraId="249EB4AE"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safeguards are needed</w:t>
            </w:r>
          </w:p>
          <w:p w14:paraId="7D9A9996" w14:textId="77864835" w:rsidR="002D29BC" w:rsidRPr="00973525" w:rsidRDefault="002D29BC" w:rsidP="002D29BC">
            <w:pPr>
              <w:rPr>
                <w:sz w:val="18"/>
                <w:szCs w:val="18"/>
                <w:lang w:val="en-GB"/>
              </w:rPr>
            </w:pPr>
            <w:r w:rsidRPr="00973525">
              <w:rPr>
                <w:sz w:val="18"/>
                <w:szCs w:val="18"/>
                <w:lang w:val="en-US"/>
              </w:rPr>
              <w:t xml:space="preserve"> Please explain your answer.</w:t>
            </w:r>
          </w:p>
        </w:tc>
        <w:tc>
          <w:tcPr>
            <w:tcW w:w="7740" w:type="dxa"/>
          </w:tcPr>
          <w:p w14:paraId="2F0319E3" w14:textId="77777777" w:rsidR="002D29BC" w:rsidRPr="00973525" w:rsidRDefault="002D29BC" w:rsidP="002D29BC">
            <w:pPr>
              <w:rPr>
                <w:sz w:val="18"/>
                <w:szCs w:val="18"/>
                <w:lang w:val="en-GB"/>
              </w:rPr>
            </w:pPr>
          </w:p>
        </w:tc>
        <w:tc>
          <w:tcPr>
            <w:tcW w:w="236" w:type="dxa"/>
          </w:tcPr>
          <w:p w14:paraId="2504DFD3" w14:textId="7C808FE2" w:rsidR="002D29BC" w:rsidRPr="009E4E3B" w:rsidRDefault="002D29BC" w:rsidP="0079353D">
            <w:pPr>
              <w:ind w:firstLine="1917"/>
              <w:rPr>
                <w:sz w:val="18"/>
                <w:szCs w:val="18"/>
                <w:lang w:val="en-GB"/>
              </w:rPr>
            </w:pPr>
          </w:p>
        </w:tc>
      </w:tr>
      <w:tr w:rsidR="008B2DD0" w:rsidRPr="00973525" w14:paraId="7CC08E93" w14:textId="77777777" w:rsidTr="30964D0C">
        <w:tc>
          <w:tcPr>
            <w:tcW w:w="10885" w:type="dxa"/>
            <w:gridSpan w:val="4"/>
            <w:shd w:val="clear" w:color="auto" w:fill="DAE9F7" w:themeFill="text2" w:themeFillTint="1A"/>
          </w:tcPr>
          <w:p w14:paraId="17D5B655" w14:textId="18FB442B" w:rsidR="008B2DD0" w:rsidRPr="00973525" w:rsidRDefault="008B2DD0" w:rsidP="0079353D">
            <w:pPr>
              <w:ind w:firstLine="1917"/>
              <w:rPr>
                <w:sz w:val="18"/>
                <w:szCs w:val="18"/>
                <w:highlight w:val="yellow"/>
                <w:lang w:val="en-US"/>
              </w:rPr>
            </w:pPr>
            <w:r w:rsidRPr="00973525">
              <w:rPr>
                <w:b/>
                <w:bCs/>
                <w:sz w:val="18"/>
                <w:szCs w:val="18"/>
                <w:lang w:val="en-GB"/>
              </w:rPr>
              <w:t>4. Due diligence requirements</w:t>
            </w:r>
          </w:p>
        </w:tc>
      </w:tr>
      <w:tr w:rsidR="002D29BC" w:rsidRPr="0000602A" w14:paraId="6AC6888A" w14:textId="77777777" w:rsidTr="30964D0C">
        <w:trPr>
          <w:gridAfter w:val="1"/>
          <w:wAfter w:w="16" w:type="dxa"/>
        </w:trPr>
        <w:tc>
          <w:tcPr>
            <w:tcW w:w="2893" w:type="dxa"/>
          </w:tcPr>
          <w:p w14:paraId="006BCCB3" w14:textId="77777777" w:rsidR="002D29BC" w:rsidRPr="00973525" w:rsidRDefault="002D29BC" w:rsidP="002D29BC">
            <w:pPr>
              <w:rPr>
                <w:sz w:val="18"/>
                <w:szCs w:val="18"/>
                <w:lang w:val="en-US"/>
              </w:rPr>
            </w:pPr>
            <w:r w:rsidRPr="00973525">
              <w:rPr>
                <w:sz w:val="18"/>
                <w:szCs w:val="18"/>
                <w:lang w:val="en-US"/>
              </w:rPr>
              <w:t>4.1.</w:t>
            </w:r>
            <w:r w:rsidRPr="00973525">
              <w:rPr>
                <w:sz w:val="18"/>
                <w:szCs w:val="18"/>
                <w:lang w:val="en-US"/>
              </w:rPr>
              <w:tab/>
              <w:t xml:space="preserve">Please provide an estimate of the total annual recurring costs and/or the average cost per </w:t>
            </w:r>
            <w:proofErr w:type="gramStart"/>
            <w:r w:rsidRPr="00973525">
              <w:rPr>
                <w:sz w:val="18"/>
                <w:szCs w:val="18"/>
                <w:lang w:val="en-US"/>
              </w:rPr>
              <w:t>transaction  (</w:t>
            </w:r>
            <w:proofErr w:type="gramEnd"/>
            <w:r w:rsidRPr="00973525">
              <w:rPr>
                <w:sz w:val="18"/>
                <w:szCs w:val="18"/>
                <w:lang w:val="en-US"/>
              </w:rPr>
              <w:t>in  EUR)  of  complying  with  the  due  diligence  requirements  under Article 5.</w:t>
            </w:r>
          </w:p>
          <w:p w14:paraId="4298ACC5" w14:textId="77777777" w:rsidR="002D29BC" w:rsidRPr="00973525" w:rsidRDefault="002D29BC" w:rsidP="002D29BC">
            <w:pPr>
              <w:rPr>
                <w:sz w:val="18"/>
                <w:szCs w:val="18"/>
                <w:lang w:val="en-US"/>
              </w:rPr>
            </w:pPr>
          </w:p>
          <w:p w14:paraId="7628CED1" w14:textId="77777777" w:rsidR="002D29BC" w:rsidRPr="00973525" w:rsidRDefault="002D29BC" w:rsidP="002D29BC">
            <w:pPr>
              <w:rPr>
                <w:sz w:val="18"/>
                <w:szCs w:val="18"/>
                <w:lang w:val="en-US"/>
              </w:rPr>
            </w:pPr>
            <w:r w:rsidRPr="00973525">
              <w:rPr>
                <w:sz w:val="18"/>
                <w:szCs w:val="18"/>
                <w:lang w:val="en-US"/>
              </w:rPr>
              <w:t>Please differentiate between costs that are only due to Article 5 and the costs that you would incur</w:t>
            </w:r>
            <w:r w:rsidRPr="00973525">
              <w:rPr>
                <w:sz w:val="18"/>
                <w:szCs w:val="18"/>
                <w:lang w:val="en-US"/>
              </w:rPr>
              <w:tab/>
              <w:t>during</w:t>
            </w:r>
            <w:r w:rsidRPr="00973525">
              <w:rPr>
                <w:sz w:val="18"/>
                <w:szCs w:val="18"/>
                <w:lang w:val="en-US"/>
              </w:rPr>
              <w:tab/>
              <w:t>your</w:t>
            </w:r>
            <w:r w:rsidRPr="00973525">
              <w:rPr>
                <w:sz w:val="18"/>
                <w:szCs w:val="18"/>
                <w:lang w:val="en-US"/>
              </w:rPr>
              <w:tab/>
              <w:t>regular</w:t>
            </w:r>
            <w:r w:rsidRPr="00973525">
              <w:rPr>
                <w:sz w:val="18"/>
                <w:szCs w:val="18"/>
                <w:lang w:val="en-US"/>
              </w:rPr>
              <w:tab/>
              <w:t>due</w:t>
            </w:r>
            <w:r w:rsidRPr="00973525">
              <w:rPr>
                <w:sz w:val="18"/>
                <w:szCs w:val="18"/>
                <w:lang w:val="en-US"/>
              </w:rPr>
              <w:tab/>
              <w:t>diligence</w:t>
            </w:r>
            <w:r w:rsidRPr="00973525">
              <w:rPr>
                <w:sz w:val="18"/>
                <w:szCs w:val="18"/>
                <w:lang w:val="en-US"/>
              </w:rPr>
              <w:tab/>
              <w:t>process</w:t>
            </w:r>
            <w:r w:rsidRPr="00973525">
              <w:rPr>
                <w:sz w:val="18"/>
                <w:szCs w:val="18"/>
                <w:lang w:val="en-US"/>
              </w:rPr>
              <w:tab/>
              <w:t>regardless</w:t>
            </w:r>
            <w:r w:rsidRPr="00973525">
              <w:rPr>
                <w:sz w:val="18"/>
                <w:szCs w:val="18"/>
                <w:lang w:val="en-US"/>
              </w:rPr>
              <w:tab/>
              <w:t>of</w:t>
            </w:r>
            <w:r w:rsidRPr="00973525">
              <w:rPr>
                <w:sz w:val="18"/>
                <w:szCs w:val="18"/>
                <w:lang w:val="en-US"/>
              </w:rPr>
              <w:tab/>
              <w:t>Article</w:t>
            </w:r>
            <w:r w:rsidRPr="00973525">
              <w:rPr>
                <w:sz w:val="18"/>
                <w:szCs w:val="18"/>
                <w:lang w:val="en-US"/>
              </w:rPr>
              <w:tab/>
              <w:t>5.</w:t>
            </w:r>
          </w:p>
          <w:p w14:paraId="169317A6" w14:textId="77777777" w:rsidR="002D29BC" w:rsidRPr="00973525" w:rsidRDefault="002D29BC" w:rsidP="002D29BC">
            <w:pPr>
              <w:rPr>
                <w:sz w:val="18"/>
                <w:szCs w:val="18"/>
                <w:lang w:val="en-US"/>
              </w:rPr>
            </w:pPr>
          </w:p>
          <w:p w14:paraId="1C069F8C" w14:textId="23FEE830" w:rsidR="002D29BC" w:rsidRPr="00973525" w:rsidRDefault="002D29BC" w:rsidP="002D29BC">
            <w:pPr>
              <w:rPr>
                <w:sz w:val="18"/>
                <w:szCs w:val="18"/>
                <w:lang w:val="en-GB"/>
              </w:rPr>
            </w:pPr>
            <w:r w:rsidRPr="00973525">
              <w:rPr>
                <w:sz w:val="18"/>
                <w:szCs w:val="18"/>
                <w:lang w:val="en-US"/>
              </w:rPr>
              <w:t>Please compare the total due diligence costs for securitisations with the total due diligence costs of other instruments with similar risk characteristics.</w:t>
            </w:r>
          </w:p>
        </w:tc>
        <w:tc>
          <w:tcPr>
            <w:tcW w:w="7740" w:type="dxa"/>
          </w:tcPr>
          <w:p w14:paraId="45237768" w14:textId="77777777" w:rsidR="002D29BC" w:rsidRPr="00973525" w:rsidRDefault="002D29BC" w:rsidP="002D29BC">
            <w:pPr>
              <w:rPr>
                <w:sz w:val="18"/>
                <w:szCs w:val="18"/>
                <w:lang w:val="en-GB"/>
              </w:rPr>
            </w:pPr>
          </w:p>
        </w:tc>
        <w:tc>
          <w:tcPr>
            <w:tcW w:w="236" w:type="dxa"/>
          </w:tcPr>
          <w:p w14:paraId="7CA8976F" w14:textId="40CFA9C2" w:rsidR="002D29BC" w:rsidRPr="00973525" w:rsidRDefault="002D29BC" w:rsidP="0079353D">
            <w:pPr>
              <w:ind w:firstLine="1917"/>
              <w:rPr>
                <w:sz w:val="18"/>
                <w:szCs w:val="18"/>
                <w:lang w:val="en-GB"/>
              </w:rPr>
            </w:pPr>
          </w:p>
        </w:tc>
      </w:tr>
      <w:tr w:rsidR="002D29BC" w:rsidRPr="0000602A" w14:paraId="087CD074" w14:textId="77777777" w:rsidTr="30964D0C">
        <w:trPr>
          <w:gridAfter w:val="1"/>
          <w:wAfter w:w="16" w:type="dxa"/>
        </w:trPr>
        <w:tc>
          <w:tcPr>
            <w:tcW w:w="2893" w:type="dxa"/>
          </w:tcPr>
          <w:p w14:paraId="764B4986" w14:textId="77777777" w:rsidR="002D29BC" w:rsidRPr="00973525" w:rsidRDefault="002D29BC" w:rsidP="002D29BC">
            <w:pPr>
              <w:rPr>
                <w:sz w:val="18"/>
                <w:szCs w:val="18"/>
                <w:lang w:val="en-US"/>
              </w:rPr>
            </w:pPr>
            <w:r w:rsidRPr="00973525">
              <w:rPr>
                <w:sz w:val="18"/>
                <w:szCs w:val="18"/>
                <w:lang w:val="en-US"/>
              </w:rPr>
              <w:t>4.2.</w:t>
            </w:r>
            <w:r w:rsidRPr="00973525">
              <w:rPr>
                <w:sz w:val="18"/>
                <w:szCs w:val="18"/>
                <w:lang w:val="en-US"/>
              </w:rPr>
              <w:tab/>
              <w:t>If possible, please estimate the total one-off costs you incurred (in EUR) to set up the necessary procedures to comply with Article 5 of SECR.</w:t>
            </w:r>
          </w:p>
          <w:p w14:paraId="5D7102DA" w14:textId="77777777" w:rsidR="002D29BC" w:rsidRPr="00973525" w:rsidRDefault="002D29BC" w:rsidP="002D29BC">
            <w:pPr>
              <w:rPr>
                <w:sz w:val="18"/>
                <w:szCs w:val="18"/>
                <w:lang w:val="en-GB"/>
              </w:rPr>
            </w:pPr>
          </w:p>
        </w:tc>
        <w:tc>
          <w:tcPr>
            <w:tcW w:w="7740" w:type="dxa"/>
          </w:tcPr>
          <w:p w14:paraId="5387549D" w14:textId="77777777" w:rsidR="002D29BC" w:rsidRPr="00973525" w:rsidRDefault="002D29BC" w:rsidP="002D29BC">
            <w:pPr>
              <w:rPr>
                <w:sz w:val="18"/>
                <w:szCs w:val="18"/>
                <w:lang w:val="en-GB"/>
              </w:rPr>
            </w:pPr>
          </w:p>
        </w:tc>
        <w:tc>
          <w:tcPr>
            <w:tcW w:w="236" w:type="dxa"/>
          </w:tcPr>
          <w:p w14:paraId="09C5E8B3" w14:textId="79B05FC6" w:rsidR="002D29BC" w:rsidRPr="00973525" w:rsidRDefault="002D29BC" w:rsidP="0079353D">
            <w:pPr>
              <w:ind w:firstLine="1917"/>
              <w:rPr>
                <w:sz w:val="18"/>
                <w:szCs w:val="18"/>
                <w:lang w:val="en-GB"/>
              </w:rPr>
            </w:pPr>
          </w:p>
        </w:tc>
      </w:tr>
      <w:tr w:rsidR="002D29BC" w:rsidRPr="00973525" w14:paraId="1A44ACC3" w14:textId="77777777" w:rsidTr="30964D0C">
        <w:trPr>
          <w:gridAfter w:val="1"/>
          <w:wAfter w:w="16" w:type="dxa"/>
        </w:trPr>
        <w:tc>
          <w:tcPr>
            <w:tcW w:w="2893" w:type="dxa"/>
          </w:tcPr>
          <w:p w14:paraId="4B3DAF82" w14:textId="77777777" w:rsidR="002D29BC" w:rsidRPr="00973525" w:rsidRDefault="002D29BC" w:rsidP="002D29BC">
            <w:pPr>
              <w:rPr>
                <w:sz w:val="18"/>
                <w:szCs w:val="18"/>
                <w:lang w:val="en-US"/>
              </w:rPr>
            </w:pPr>
            <w:r w:rsidRPr="00973525">
              <w:rPr>
                <w:sz w:val="18"/>
                <w:szCs w:val="18"/>
                <w:lang w:val="en-US"/>
              </w:rPr>
              <w:lastRenderedPageBreak/>
              <w:t>4.3.</w:t>
            </w:r>
            <w:r w:rsidRPr="00973525">
              <w:rPr>
                <w:sz w:val="18"/>
                <w:szCs w:val="18"/>
                <w:lang w:val="en-US"/>
              </w:rPr>
              <w:tab/>
              <w:t>Please select your preferred option to ensure that investors are aware of what they are buying and appropriately assess the risks of their investments.</w:t>
            </w:r>
          </w:p>
          <w:p w14:paraId="1882E466" w14:textId="77777777" w:rsidR="002D29BC" w:rsidRPr="00973525" w:rsidRDefault="002D29BC" w:rsidP="002D29BC">
            <w:pPr>
              <w:rPr>
                <w:sz w:val="18"/>
                <w:szCs w:val="18"/>
                <w:lang w:val="en-US"/>
              </w:rPr>
            </w:pPr>
          </w:p>
          <w:p w14:paraId="7080CC2F"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Option 1: The requirements should be made more principles-based, proportionate, and less </w:t>
            </w:r>
            <w:proofErr w:type="gramStart"/>
            <w:r w:rsidRPr="00973525">
              <w:rPr>
                <w:sz w:val="18"/>
                <w:szCs w:val="18"/>
                <w:lang w:val="en-US"/>
              </w:rPr>
              <w:t>complex;</w:t>
            </w:r>
            <w:proofErr w:type="gramEnd"/>
          </w:p>
          <w:p w14:paraId="18260A9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Option 2: The requirements should be made more detailed and prescriptive for legal </w:t>
            </w:r>
            <w:proofErr w:type="gramStart"/>
            <w:r w:rsidRPr="00973525">
              <w:rPr>
                <w:sz w:val="18"/>
                <w:szCs w:val="18"/>
                <w:lang w:val="en-US"/>
              </w:rPr>
              <w:t>certainty;</w:t>
            </w:r>
            <w:proofErr w:type="gramEnd"/>
          </w:p>
          <w:p w14:paraId="0670B200"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 xml:space="preserve">Option 3: There is no need to change the text of the due diligence </w:t>
            </w:r>
            <w:proofErr w:type="gramStart"/>
            <w:r w:rsidRPr="00973525">
              <w:rPr>
                <w:sz w:val="18"/>
                <w:szCs w:val="18"/>
                <w:lang w:val="en-US"/>
              </w:rPr>
              <w:t>requirements;</w:t>
            </w:r>
            <w:proofErr w:type="gramEnd"/>
          </w:p>
          <w:p w14:paraId="3755B92C" w14:textId="2C69627F"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6EADAE50" w14:textId="4FBD211C" w:rsidR="002D29BC" w:rsidRPr="00973525" w:rsidRDefault="002D29BC" w:rsidP="002D29BC">
            <w:pPr>
              <w:rPr>
                <w:sz w:val="18"/>
                <w:szCs w:val="18"/>
                <w:lang w:val="en-GB"/>
              </w:rPr>
            </w:pPr>
            <w:r w:rsidRPr="00973525">
              <w:rPr>
                <w:sz w:val="18"/>
                <w:szCs w:val="18"/>
                <w:lang w:val="en-US"/>
              </w:rPr>
              <w:t>Option 1</w:t>
            </w:r>
          </w:p>
        </w:tc>
        <w:tc>
          <w:tcPr>
            <w:tcW w:w="236" w:type="dxa"/>
          </w:tcPr>
          <w:p w14:paraId="18053165" w14:textId="77777777" w:rsidR="002D29BC" w:rsidRPr="00973525" w:rsidRDefault="002D29BC" w:rsidP="0079353D">
            <w:pPr>
              <w:ind w:firstLine="1917"/>
              <w:rPr>
                <w:sz w:val="18"/>
                <w:szCs w:val="18"/>
              </w:rPr>
            </w:pPr>
          </w:p>
        </w:tc>
      </w:tr>
      <w:tr w:rsidR="002D29BC" w:rsidRPr="0000602A" w14:paraId="034F810A" w14:textId="77777777" w:rsidTr="30964D0C">
        <w:trPr>
          <w:gridAfter w:val="1"/>
          <w:wAfter w:w="16" w:type="dxa"/>
        </w:trPr>
        <w:tc>
          <w:tcPr>
            <w:tcW w:w="2893" w:type="dxa"/>
          </w:tcPr>
          <w:p w14:paraId="7B05BA56" w14:textId="77777777" w:rsidR="002D29BC" w:rsidRPr="00973525" w:rsidRDefault="002D29BC" w:rsidP="002D29BC">
            <w:pPr>
              <w:rPr>
                <w:sz w:val="18"/>
                <w:szCs w:val="18"/>
                <w:lang w:val="en-US"/>
              </w:rPr>
            </w:pPr>
            <w:r w:rsidRPr="00973525">
              <w:rPr>
                <w:sz w:val="18"/>
                <w:szCs w:val="18"/>
                <w:lang w:val="en-US"/>
              </w:rPr>
              <w:t>4.4.</w:t>
            </w:r>
            <w:r w:rsidRPr="00973525">
              <w:rPr>
                <w:sz w:val="18"/>
                <w:szCs w:val="18"/>
                <w:lang w:val="en-US"/>
              </w:rPr>
              <w:tab/>
              <w:t>Should the text of Article 5(3) be simplified to mandate investors to assess at minimum the risk characteristics and the structural features of the securitisation?</w:t>
            </w:r>
          </w:p>
          <w:p w14:paraId="25CA5C92" w14:textId="77777777" w:rsidR="002D29BC" w:rsidRPr="00973525" w:rsidRDefault="002D29BC" w:rsidP="002D29BC">
            <w:pPr>
              <w:rPr>
                <w:sz w:val="18"/>
                <w:szCs w:val="18"/>
                <w:lang w:val="en-US"/>
              </w:rPr>
            </w:pPr>
          </w:p>
          <w:p w14:paraId="5F4E131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513F798D"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0B26FD67"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57A469BD" w14:textId="71D41076" w:rsidR="002D29BC" w:rsidRPr="00973525" w:rsidRDefault="002D29BC" w:rsidP="002D29BC">
            <w:pPr>
              <w:rPr>
                <w:sz w:val="18"/>
                <w:szCs w:val="18"/>
                <w:lang w:val="en-GB"/>
              </w:rPr>
            </w:pPr>
            <w:r w:rsidRPr="00973525">
              <w:rPr>
                <w:sz w:val="18"/>
                <w:szCs w:val="18"/>
                <w:lang w:val="en-US"/>
              </w:rPr>
              <w:t>Please explain.</w:t>
            </w:r>
          </w:p>
        </w:tc>
        <w:tc>
          <w:tcPr>
            <w:tcW w:w="7740" w:type="dxa"/>
          </w:tcPr>
          <w:p w14:paraId="56F90632" w14:textId="77777777" w:rsidR="002D29BC" w:rsidRPr="00973525" w:rsidRDefault="002D29BC" w:rsidP="002D29BC">
            <w:pPr>
              <w:rPr>
                <w:sz w:val="18"/>
                <w:szCs w:val="18"/>
                <w:lang w:val="en-US"/>
              </w:rPr>
            </w:pPr>
            <w:r w:rsidRPr="00973525">
              <w:rPr>
                <w:sz w:val="18"/>
                <w:szCs w:val="18"/>
                <w:lang w:val="en-US"/>
              </w:rPr>
              <w:t>Yes</w:t>
            </w:r>
          </w:p>
          <w:p w14:paraId="2A6F972A" w14:textId="77777777" w:rsidR="002D29BC" w:rsidRPr="00973525" w:rsidRDefault="002D29BC" w:rsidP="002D29BC">
            <w:pPr>
              <w:rPr>
                <w:sz w:val="18"/>
                <w:szCs w:val="18"/>
                <w:lang w:val="en-US"/>
              </w:rPr>
            </w:pPr>
          </w:p>
          <w:p w14:paraId="59795AA4" w14:textId="1606E86C" w:rsidR="002D29BC" w:rsidRPr="00973525" w:rsidRDefault="002D29BC" w:rsidP="002D29BC">
            <w:pPr>
              <w:rPr>
                <w:sz w:val="18"/>
                <w:szCs w:val="18"/>
                <w:lang w:val="en-GB"/>
              </w:rPr>
            </w:pPr>
            <w:r w:rsidRPr="00973525">
              <w:rPr>
                <w:sz w:val="18"/>
                <w:szCs w:val="18"/>
                <w:lang w:val="en-US"/>
              </w:rPr>
              <w:t>Yes, the assessment steps in article 5(3) should be subject to a proportionality approach and replaced by a principle-based wording.</w:t>
            </w:r>
          </w:p>
        </w:tc>
        <w:tc>
          <w:tcPr>
            <w:tcW w:w="236" w:type="dxa"/>
          </w:tcPr>
          <w:p w14:paraId="1F971D65" w14:textId="77777777" w:rsidR="002D29BC" w:rsidRPr="00973525" w:rsidRDefault="002D29BC" w:rsidP="0079353D">
            <w:pPr>
              <w:ind w:firstLine="1917"/>
              <w:rPr>
                <w:sz w:val="18"/>
                <w:szCs w:val="18"/>
                <w:lang w:val="en-GB"/>
              </w:rPr>
            </w:pPr>
          </w:p>
        </w:tc>
      </w:tr>
      <w:tr w:rsidR="002D29BC" w:rsidRPr="00C72B68" w14:paraId="7DBA08E2" w14:textId="77777777" w:rsidTr="30964D0C">
        <w:trPr>
          <w:gridAfter w:val="1"/>
          <w:wAfter w:w="16" w:type="dxa"/>
        </w:trPr>
        <w:tc>
          <w:tcPr>
            <w:tcW w:w="2893" w:type="dxa"/>
          </w:tcPr>
          <w:p w14:paraId="1C160BD7" w14:textId="48F7C2ED" w:rsidR="002D29BC" w:rsidRPr="00973525" w:rsidRDefault="002D29BC" w:rsidP="002D29BC">
            <w:pPr>
              <w:rPr>
                <w:sz w:val="18"/>
                <w:szCs w:val="18"/>
                <w:lang w:val="en-GB"/>
              </w:rPr>
            </w:pPr>
            <w:r w:rsidRPr="00973525">
              <w:rPr>
                <w:sz w:val="18"/>
                <w:szCs w:val="18"/>
                <w:lang w:val="en-US"/>
              </w:rPr>
              <w:t>4.5.</w:t>
            </w:r>
            <w:r w:rsidRPr="00973525">
              <w:rPr>
                <w:sz w:val="18"/>
                <w:szCs w:val="18"/>
                <w:lang w:val="en-US"/>
              </w:rPr>
              <w:tab/>
              <w:t>If you answered yes to question 4.4., please specify how this could be implemented.</w:t>
            </w:r>
          </w:p>
        </w:tc>
        <w:tc>
          <w:tcPr>
            <w:tcW w:w="7740" w:type="dxa"/>
          </w:tcPr>
          <w:p w14:paraId="220F399F" w14:textId="77777777" w:rsidR="002D29BC" w:rsidRPr="00973525" w:rsidRDefault="002D29BC" w:rsidP="002D29BC">
            <w:pPr>
              <w:rPr>
                <w:sz w:val="18"/>
                <w:szCs w:val="18"/>
                <w:lang w:val="en-US"/>
              </w:rPr>
            </w:pPr>
            <w:r w:rsidRPr="00973525">
              <w:rPr>
                <w:sz w:val="18"/>
                <w:szCs w:val="18"/>
                <w:lang w:val="en-US"/>
              </w:rPr>
              <w:t>The individual assessment steps in Article 5(3) points</w:t>
            </w:r>
          </w:p>
          <w:p w14:paraId="3D22600E" w14:textId="188ED1D9" w:rsidR="002D29BC" w:rsidRPr="00973525" w:rsidRDefault="002D29BC" w:rsidP="002D29BC">
            <w:pPr>
              <w:rPr>
                <w:sz w:val="18"/>
                <w:szCs w:val="18"/>
                <w:lang w:val="en-US"/>
              </w:rPr>
            </w:pPr>
            <w:r w:rsidRPr="00973525">
              <w:rPr>
                <w:sz w:val="18"/>
                <w:szCs w:val="18"/>
                <w:lang w:val="en-US"/>
              </w:rPr>
              <w:t>c of the SECR should be deleted and replaced by</w:t>
            </w:r>
          </w:p>
          <w:p w14:paraId="6ACBC403" w14:textId="77777777" w:rsidR="002D29BC" w:rsidRPr="00973525" w:rsidRDefault="002D29BC" w:rsidP="002D29BC">
            <w:pPr>
              <w:rPr>
                <w:sz w:val="18"/>
                <w:szCs w:val="18"/>
                <w:lang w:val="en-US"/>
              </w:rPr>
            </w:pPr>
            <w:r w:rsidRPr="00973525">
              <w:rPr>
                <w:sz w:val="18"/>
                <w:szCs w:val="18"/>
                <w:lang w:val="en-US"/>
              </w:rPr>
              <w:t>principle-based wording. This might look as follows:</w:t>
            </w:r>
          </w:p>
          <w:p w14:paraId="262B9982" w14:textId="77777777" w:rsidR="002D29BC" w:rsidRPr="00973525" w:rsidRDefault="002D29BC" w:rsidP="002D29BC">
            <w:pPr>
              <w:rPr>
                <w:sz w:val="18"/>
                <w:szCs w:val="18"/>
                <w:lang w:val="en-US"/>
              </w:rPr>
            </w:pPr>
            <w:r w:rsidRPr="00973525">
              <w:rPr>
                <w:sz w:val="18"/>
                <w:szCs w:val="18"/>
                <w:lang w:val="en-US"/>
              </w:rPr>
              <w:t xml:space="preserve">Prior to holding a securitisation position, an </w:t>
            </w:r>
            <w:proofErr w:type="spellStart"/>
            <w:r w:rsidRPr="00973525">
              <w:rPr>
                <w:sz w:val="18"/>
                <w:szCs w:val="18"/>
                <w:lang w:val="en-US"/>
              </w:rPr>
              <w:t>i</w:t>
            </w:r>
            <w:proofErr w:type="spellEnd"/>
          </w:p>
          <w:p w14:paraId="71ACD1C9" w14:textId="77777777" w:rsidR="002D29BC" w:rsidRPr="00973525" w:rsidRDefault="002D29BC" w:rsidP="002D29BC">
            <w:pPr>
              <w:rPr>
                <w:sz w:val="18"/>
                <w:szCs w:val="18"/>
                <w:lang w:val="en-US"/>
              </w:rPr>
            </w:pPr>
            <w:r w:rsidRPr="00973525">
              <w:rPr>
                <w:sz w:val="18"/>
                <w:szCs w:val="18"/>
                <w:lang w:val="en-US"/>
              </w:rPr>
              <w:t>investor, shall carry out a due diligence assessment</w:t>
            </w:r>
          </w:p>
          <w:p w14:paraId="0DF909C1" w14:textId="77777777" w:rsidR="002D29BC" w:rsidRPr="00973525" w:rsidRDefault="002D29BC" w:rsidP="002D29BC">
            <w:pPr>
              <w:rPr>
                <w:sz w:val="18"/>
                <w:szCs w:val="18"/>
                <w:lang w:val="en-US"/>
              </w:rPr>
            </w:pPr>
            <w:r w:rsidRPr="00973525">
              <w:rPr>
                <w:sz w:val="18"/>
                <w:szCs w:val="18"/>
                <w:lang w:val="en-US"/>
              </w:rPr>
              <w:t>which enables it to assess the risks involved. This assessment</w:t>
            </w:r>
          </w:p>
          <w:p w14:paraId="25F7DCCC" w14:textId="77777777" w:rsidR="002D29BC" w:rsidRPr="00973525" w:rsidRDefault="002D29BC" w:rsidP="002D29BC">
            <w:pPr>
              <w:rPr>
                <w:sz w:val="18"/>
                <w:szCs w:val="18"/>
                <w:lang w:val="en-US"/>
              </w:rPr>
            </w:pPr>
            <w:r w:rsidRPr="00973525">
              <w:rPr>
                <w:sz w:val="18"/>
                <w:szCs w:val="18"/>
                <w:lang w:val="en-US"/>
              </w:rPr>
              <w:t xml:space="preserve">must </w:t>
            </w:r>
            <w:proofErr w:type="gramStart"/>
            <w:r w:rsidRPr="00973525">
              <w:rPr>
                <w:sz w:val="18"/>
                <w:szCs w:val="18"/>
                <w:lang w:val="en-US"/>
              </w:rPr>
              <w:t>take into account</w:t>
            </w:r>
            <w:proofErr w:type="gramEnd"/>
            <w:r w:rsidRPr="00973525">
              <w:rPr>
                <w:sz w:val="18"/>
                <w:szCs w:val="18"/>
                <w:lang w:val="en-US"/>
              </w:rPr>
              <w:t xml:space="preserve"> the underlying exposures and the</w:t>
            </w:r>
          </w:p>
          <w:p w14:paraId="30DE53FA" w14:textId="77777777" w:rsidR="002D29BC" w:rsidRPr="00973525" w:rsidRDefault="002D29BC" w:rsidP="002D29BC">
            <w:pPr>
              <w:rPr>
                <w:sz w:val="18"/>
                <w:szCs w:val="18"/>
                <w:lang w:val="en-US"/>
              </w:rPr>
            </w:pPr>
            <w:r w:rsidRPr="00973525">
              <w:rPr>
                <w:sz w:val="18"/>
                <w:szCs w:val="18"/>
                <w:lang w:val="en-US"/>
              </w:rPr>
              <w:t xml:space="preserve">structural features of the </w:t>
            </w:r>
            <w:proofErr w:type="gramStart"/>
            <w:r w:rsidRPr="00973525">
              <w:rPr>
                <w:sz w:val="18"/>
                <w:szCs w:val="18"/>
                <w:lang w:val="en-US"/>
              </w:rPr>
              <w:t>securitisation .</w:t>
            </w:r>
            <w:proofErr w:type="gramEnd"/>
          </w:p>
          <w:p w14:paraId="5C487DCD" w14:textId="77777777" w:rsidR="002D29BC" w:rsidRPr="00973525" w:rsidRDefault="002D29BC" w:rsidP="002D29BC">
            <w:pPr>
              <w:rPr>
                <w:sz w:val="18"/>
                <w:szCs w:val="18"/>
                <w:lang w:val="en-US"/>
              </w:rPr>
            </w:pPr>
          </w:p>
          <w:p w14:paraId="14D0FB38" w14:textId="4F19F0AA" w:rsidR="002D29BC" w:rsidRPr="00973525" w:rsidRDefault="002D29BC" w:rsidP="002D29BC">
            <w:pPr>
              <w:rPr>
                <w:sz w:val="18"/>
                <w:szCs w:val="18"/>
                <w:lang w:val="en-US"/>
              </w:rPr>
            </w:pPr>
          </w:p>
        </w:tc>
        <w:tc>
          <w:tcPr>
            <w:tcW w:w="236" w:type="dxa"/>
          </w:tcPr>
          <w:p w14:paraId="30426218" w14:textId="77777777" w:rsidR="002D29BC" w:rsidRPr="00973525" w:rsidRDefault="002D29BC" w:rsidP="0079353D">
            <w:pPr>
              <w:ind w:firstLine="1917"/>
              <w:rPr>
                <w:sz w:val="18"/>
                <w:szCs w:val="18"/>
                <w:lang w:val="en-GB"/>
              </w:rPr>
            </w:pPr>
          </w:p>
        </w:tc>
      </w:tr>
      <w:tr w:rsidR="002D29BC" w:rsidRPr="00973525" w14:paraId="0B234942" w14:textId="77777777" w:rsidTr="30964D0C">
        <w:trPr>
          <w:gridAfter w:val="1"/>
          <w:wAfter w:w="16" w:type="dxa"/>
        </w:trPr>
        <w:tc>
          <w:tcPr>
            <w:tcW w:w="2893" w:type="dxa"/>
          </w:tcPr>
          <w:p w14:paraId="590D164E" w14:textId="77777777" w:rsidR="002D29BC" w:rsidRPr="00973525" w:rsidRDefault="002D29BC" w:rsidP="002D29BC">
            <w:pPr>
              <w:rPr>
                <w:sz w:val="18"/>
                <w:szCs w:val="18"/>
                <w:lang w:val="en-US"/>
              </w:rPr>
            </w:pPr>
            <w:r w:rsidRPr="00973525">
              <w:rPr>
                <w:sz w:val="18"/>
                <w:szCs w:val="18"/>
                <w:lang w:val="en-US"/>
              </w:rPr>
              <w:t>4.6.</w:t>
            </w:r>
            <w:r w:rsidRPr="00973525">
              <w:rPr>
                <w:sz w:val="18"/>
                <w:szCs w:val="18"/>
                <w:lang w:val="en-US"/>
              </w:rPr>
              <w:tab/>
            </w:r>
            <w:proofErr w:type="gramStart"/>
            <w:r w:rsidRPr="00973525">
              <w:rPr>
                <w:sz w:val="18"/>
                <w:szCs w:val="18"/>
                <w:lang w:val="en-US"/>
              </w:rPr>
              <w:t>Taking into account</w:t>
            </w:r>
            <w:proofErr w:type="gramEnd"/>
            <w:r w:rsidRPr="00973525">
              <w:rPr>
                <w:sz w:val="18"/>
                <w:szCs w:val="18"/>
                <w:lang w:val="en-US"/>
              </w:rPr>
              <w:t xml:space="preserve"> your answer to 4.4, what would you estimate to be the impact (in percent or EUR) of such a modification in Article 5(3) on your one-off and annual recurring costs for complying with the due diligence requirements under Article 5?</w:t>
            </w:r>
          </w:p>
          <w:p w14:paraId="661D8B78" w14:textId="77777777" w:rsidR="002D29BC" w:rsidRPr="00973525" w:rsidRDefault="002D29BC" w:rsidP="002D29BC">
            <w:pPr>
              <w:rPr>
                <w:sz w:val="18"/>
                <w:szCs w:val="18"/>
                <w:lang w:val="en-US"/>
              </w:rPr>
            </w:pPr>
          </w:p>
          <w:p w14:paraId="167C7255" w14:textId="77777777" w:rsidR="002D29BC" w:rsidRPr="00973525" w:rsidRDefault="002D29BC" w:rsidP="002D29BC">
            <w:pPr>
              <w:rPr>
                <w:sz w:val="18"/>
                <w:szCs w:val="18"/>
                <w:lang w:val="en-US"/>
              </w:rPr>
            </w:pPr>
            <w:r w:rsidRPr="00973525">
              <w:rPr>
                <w:sz w:val="18"/>
                <w:szCs w:val="18"/>
                <w:lang w:val="en-US"/>
              </w:rPr>
              <w:t>Please explain.</w:t>
            </w:r>
          </w:p>
          <w:p w14:paraId="64F3C1F5" w14:textId="77777777" w:rsidR="002D29BC" w:rsidRPr="00973525" w:rsidRDefault="002D29BC" w:rsidP="002D29BC">
            <w:pPr>
              <w:rPr>
                <w:sz w:val="18"/>
                <w:szCs w:val="18"/>
                <w:lang w:val="en-GB"/>
              </w:rPr>
            </w:pPr>
          </w:p>
        </w:tc>
        <w:tc>
          <w:tcPr>
            <w:tcW w:w="7740" w:type="dxa"/>
          </w:tcPr>
          <w:p w14:paraId="7664B795" w14:textId="333E0312" w:rsidR="002D29BC" w:rsidRPr="00973525" w:rsidRDefault="002D29BC" w:rsidP="002D29BC">
            <w:pPr>
              <w:rPr>
                <w:sz w:val="18"/>
                <w:szCs w:val="18"/>
                <w:lang w:val="en-GB"/>
              </w:rPr>
            </w:pPr>
            <w:r w:rsidRPr="00973525">
              <w:rPr>
                <w:sz w:val="18"/>
                <w:szCs w:val="18"/>
                <w:lang w:val="en-US"/>
              </w:rPr>
              <w:t>TBD if any</w:t>
            </w:r>
          </w:p>
        </w:tc>
        <w:tc>
          <w:tcPr>
            <w:tcW w:w="236" w:type="dxa"/>
          </w:tcPr>
          <w:p w14:paraId="10E3B855" w14:textId="77777777" w:rsidR="002D29BC" w:rsidRPr="00973525" w:rsidRDefault="002D29BC" w:rsidP="0079353D">
            <w:pPr>
              <w:ind w:firstLine="1917"/>
              <w:rPr>
                <w:sz w:val="18"/>
                <w:szCs w:val="18"/>
              </w:rPr>
            </w:pPr>
          </w:p>
        </w:tc>
      </w:tr>
      <w:tr w:rsidR="002D29BC" w:rsidRPr="00973525" w14:paraId="7AA9166A" w14:textId="77777777" w:rsidTr="30964D0C">
        <w:trPr>
          <w:gridAfter w:val="1"/>
          <w:wAfter w:w="16" w:type="dxa"/>
        </w:trPr>
        <w:tc>
          <w:tcPr>
            <w:tcW w:w="2893" w:type="dxa"/>
          </w:tcPr>
          <w:p w14:paraId="5158D566" w14:textId="77777777" w:rsidR="002D29BC" w:rsidRPr="00973525" w:rsidRDefault="002D29BC" w:rsidP="002D29BC">
            <w:pPr>
              <w:rPr>
                <w:sz w:val="18"/>
                <w:szCs w:val="18"/>
                <w:lang w:val="en-US"/>
              </w:rPr>
            </w:pPr>
            <w:r w:rsidRPr="00973525">
              <w:rPr>
                <w:sz w:val="18"/>
                <w:szCs w:val="18"/>
                <w:lang w:val="en-US"/>
              </w:rPr>
              <w:t>4.7.</w:t>
            </w:r>
            <w:r w:rsidRPr="00973525">
              <w:rPr>
                <w:sz w:val="18"/>
                <w:szCs w:val="18"/>
                <w:lang w:val="en-US"/>
              </w:rPr>
              <w:tab/>
              <w:t>Should due diligence requirements differ based on the different characteristics of a securitisation transaction?</w:t>
            </w:r>
          </w:p>
          <w:p w14:paraId="57FF9AAC" w14:textId="77777777" w:rsidR="002D29BC" w:rsidRPr="00973525" w:rsidRDefault="002D29BC" w:rsidP="002D29BC">
            <w:pPr>
              <w:rPr>
                <w:sz w:val="18"/>
                <w:szCs w:val="18"/>
                <w:lang w:val="en-US"/>
              </w:rPr>
            </w:pPr>
            <w:r w:rsidRPr="00973525">
              <w:rPr>
                <w:sz w:val="18"/>
                <w:szCs w:val="18"/>
                <w:lang w:val="en-US"/>
              </w:rPr>
              <w:t xml:space="preserve"> •</w:t>
            </w:r>
            <w:r w:rsidRPr="00973525">
              <w:rPr>
                <w:sz w:val="18"/>
                <w:szCs w:val="18"/>
                <w:lang w:val="en-US"/>
              </w:rPr>
              <w:tab/>
              <w:t>Yes</w:t>
            </w:r>
          </w:p>
          <w:p w14:paraId="03DD928D"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63BE1B2D" w14:textId="664BEB6F"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6D089CEF" w14:textId="77777777" w:rsidR="002D29BC" w:rsidRPr="00973525" w:rsidRDefault="002D29BC" w:rsidP="002D29BC">
            <w:pPr>
              <w:rPr>
                <w:sz w:val="18"/>
                <w:szCs w:val="18"/>
                <w:lang w:val="en-US"/>
              </w:rPr>
            </w:pPr>
            <w:r w:rsidRPr="00973525">
              <w:rPr>
                <w:sz w:val="18"/>
                <w:szCs w:val="18"/>
                <w:lang w:val="en-US"/>
              </w:rPr>
              <w:t>Yes</w:t>
            </w:r>
          </w:p>
          <w:p w14:paraId="0F258204" w14:textId="77777777" w:rsidR="002D29BC" w:rsidRPr="00973525" w:rsidRDefault="002D29BC" w:rsidP="002D29BC">
            <w:pPr>
              <w:rPr>
                <w:sz w:val="18"/>
                <w:szCs w:val="18"/>
                <w:lang w:val="en-GB"/>
              </w:rPr>
            </w:pPr>
          </w:p>
        </w:tc>
        <w:tc>
          <w:tcPr>
            <w:tcW w:w="236" w:type="dxa"/>
          </w:tcPr>
          <w:p w14:paraId="2CF97FD0" w14:textId="77777777" w:rsidR="002D29BC" w:rsidRPr="00973525" w:rsidRDefault="002D29BC" w:rsidP="0079353D">
            <w:pPr>
              <w:ind w:firstLine="1917"/>
              <w:rPr>
                <w:sz w:val="18"/>
                <w:szCs w:val="18"/>
              </w:rPr>
            </w:pPr>
          </w:p>
        </w:tc>
      </w:tr>
      <w:tr w:rsidR="002D29BC" w:rsidRPr="0000602A" w14:paraId="61D2A702" w14:textId="77777777" w:rsidTr="30964D0C">
        <w:trPr>
          <w:gridAfter w:val="1"/>
          <w:wAfter w:w="16" w:type="dxa"/>
        </w:trPr>
        <w:tc>
          <w:tcPr>
            <w:tcW w:w="2893" w:type="dxa"/>
          </w:tcPr>
          <w:p w14:paraId="0C1FDFD5" w14:textId="77777777" w:rsidR="002D29BC" w:rsidRPr="00973525" w:rsidRDefault="002D29BC" w:rsidP="002D29BC">
            <w:pPr>
              <w:rPr>
                <w:sz w:val="18"/>
                <w:szCs w:val="18"/>
                <w:lang w:val="en-US"/>
              </w:rPr>
            </w:pPr>
            <w:r w:rsidRPr="00973525">
              <w:rPr>
                <w:sz w:val="18"/>
                <w:szCs w:val="18"/>
                <w:lang w:val="en-US"/>
              </w:rPr>
              <w:t>4.8.</w:t>
            </w:r>
            <w:r w:rsidRPr="00973525">
              <w:rPr>
                <w:sz w:val="18"/>
                <w:szCs w:val="18"/>
                <w:lang w:val="en-US"/>
              </w:rPr>
              <w:tab/>
              <w:t xml:space="preserve">If you answered yes to question 4.7., please select one or more of the following options to </w:t>
            </w:r>
            <w:r w:rsidRPr="00973525">
              <w:rPr>
                <w:sz w:val="18"/>
                <w:szCs w:val="18"/>
                <w:lang w:val="en-US"/>
              </w:rPr>
              <w:lastRenderedPageBreak/>
              <w:t>differentiate due diligence requirements:</w:t>
            </w:r>
          </w:p>
          <w:p w14:paraId="3DDAAF91" w14:textId="77777777" w:rsidR="002D29BC" w:rsidRPr="00973525" w:rsidRDefault="002D29BC" w:rsidP="002D29BC">
            <w:pPr>
              <w:rPr>
                <w:sz w:val="18"/>
                <w:szCs w:val="18"/>
                <w:lang w:val="en-US"/>
              </w:rPr>
            </w:pPr>
          </w:p>
          <w:p w14:paraId="098E289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r>
            <w:r w:rsidRPr="00973525">
              <w:rPr>
                <w:sz w:val="18"/>
                <w:szCs w:val="18"/>
                <w:shd w:val="clear" w:color="auto" w:fill="92D050"/>
                <w:lang w:val="en-US"/>
              </w:rPr>
              <w:t>Due diligence</w:t>
            </w:r>
            <w:r w:rsidRPr="00973525">
              <w:rPr>
                <w:sz w:val="18"/>
                <w:szCs w:val="18"/>
                <w:lang w:val="en-US"/>
              </w:rPr>
              <w:t xml:space="preserve"> requirements should differ based on the risk of the position (e.g. senior vs non-senior)</w:t>
            </w:r>
          </w:p>
          <w:p w14:paraId="2DB702D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r>
            <w:r w:rsidRPr="00973525">
              <w:rPr>
                <w:sz w:val="18"/>
                <w:szCs w:val="18"/>
                <w:shd w:val="clear" w:color="auto" w:fill="92D050"/>
                <w:lang w:val="en-US"/>
              </w:rPr>
              <w:t>Due diligence</w:t>
            </w:r>
            <w:r w:rsidRPr="00973525">
              <w:rPr>
                <w:sz w:val="18"/>
                <w:szCs w:val="18"/>
                <w:lang w:val="en-US"/>
              </w:rPr>
              <w:t xml:space="preserve"> requirements should differ based on the risk of the underlying assets</w:t>
            </w:r>
          </w:p>
          <w:p w14:paraId="60F3D1FB"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Due diligence requirements should differ based on the STS status of the securitisation (STS vs non-STS)</w:t>
            </w:r>
          </w:p>
          <w:p w14:paraId="04CB840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r>
            <w:r w:rsidRPr="00973525">
              <w:rPr>
                <w:sz w:val="18"/>
                <w:szCs w:val="18"/>
                <w:shd w:val="clear" w:color="auto" w:fill="92D050"/>
                <w:lang w:val="en-US"/>
              </w:rPr>
              <w:t>Other</w:t>
            </w:r>
          </w:p>
          <w:p w14:paraId="43CDE821" w14:textId="0E9474A2" w:rsidR="002D29BC" w:rsidRPr="00973525" w:rsidRDefault="002D29BC" w:rsidP="002D29BC">
            <w:pPr>
              <w:rPr>
                <w:sz w:val="18"/>
                <w:szCs w:val="18"/>
                <w:lang w:val="en-GB"/>
              </w:rPr>
            </w:pPr>
            <w:r w:rsidRPr="00973525">
              <w:rPr>
                <w:sz w:val="18"/>
                <w:szCs w:val="18"/>
                <w:lang w:val="en-US"/>
              </w:rPr>
              <w:t>Please explain your answer.</w:t>
            </w:r>
          </w:p>
        </w:tc>
        <w:tc>
          <w:tcPr>
            <w:tcW w:w="7740" w:type="dxa"/>
          </w:tcPr>
          <w:p w14:paraId="10F2DE71" w14:textId="77777777" w:rsidR="002D29BC" w:rsidRPr="00973525" w:rsidRDefault="002D29BC" w:rsidP="002D29BC">
            <w:pPr>
              <w:rPr>
                <w:sz w:val="18"/>
                <w:szCs w:val="18"/>
                <w:lang w:val="en-US"/>
              </w:rPr>
            </w:pPr>
          </w:p>
          <w:p w14:paraId="504C4322" w14:textId="77777777" w:rsidR="002D29BC" w:rsidRPr="00973525" w:rsidRDefault="002D29BC" w:rsidP="002D29BC">
            <w:pPr>
              <w:rPr>
                <w:sz w:val="18"/>
                <w:szCs w:val="18"/>
                <w:lang w:val="en-US"/>
              </w:rPr>
            </w:pPr>
            <w:r w:rsidRPr="00973525">
              <w:rPr>
                <w:sz w:val="18"/>
                <w:szCs w:val="18"/>
                <w:lang w:val="en-US"/>
              </w:rPr>
              <w:t>- Senior vs non senior: the due diligence requirements shall be reduced or simplified for AAA positions.</w:t>
            </w:r>
          </w:p>
          <w:p w14:paraId="18B83E07" w14:textId="77777777" w:rsidR="002D29BC" w:rsidRPr="00973525" w:rsidRDefault="002D29BC" w:rsidP="002D29BC">
            <w:pPr>
              <w:rPr>
                <w:sz w:val="18"/>
                <w:szCs w:val="18"/>
                <w:lang w:val="en-US"/>
              </w:rPr>
            </w:pPr>
          </w:p>
          <w:p w14:paraId="6F3061BD" w14:textId="77777777" w:rsidR="002D29BC" w:rsidRPr="00973525" w:rsidRDefault="002D29BC" w:rsidP="002D29BC">
            <w:pPr>
              <w:rPr>
                <w:sz w:val="18"/>
                <w:szCs w:val="18"/>
                <w:lang w:val="en-US"/>
              </w:rPr>
            </w:pPr>
            <w:r w:rsidRPr="00973525">
              <w:rPr>
                <w:sz w:val="18"/>
                <w:szCs w:val="18"/>
                <w:lang w:val="en-US"/>
              </w:rPr>
              <w:t xml:space="preserve">- Risk of the underlying assets: cf. </w:t>
            </w:r>
            <w:proofErr w:type="gramStart"/>
            <w:r w:rsidRPr="00973525">
              <w:rPr>
                <w:sz w:val="18"/>
                <w:szCs w:val="18"/>
                <w:lang w:val="en-US"/>
              </w:rPr>
              <w:t>answer to</w:t>
            </w:r>
            <w:proofErr w:type="gramEnd"/>
            <w:r w:rsidRPr="00973525">
              <w:rPr>
                <w:sz w:val="18"/>
                <w:szCs w:val="18"/>
                <w:lang w:val="en-US"/>
              </w:rPr>
              <w:t xml:space="preserve"> questions 4.4 and 4.5.</w:t>
            </w:r>
          </w:p>
          <w:p w14:paraId="2E228FA4" w14:textId="77777777" w:rsidR="002D29BC" w:rsidRPr="00973525" w:rsidRDefault="002D29BC" w:rsidP="002D29BC">
            <w:pPr>
              <w:rPr>
                <w:sz w:val="18"/>
                <w:szCs w:val="18"/>
                <w:lang w:val="en-US"/>
              </w:rPr>
            </w:pPr>
          </w:p>
          <w:p w14:paraId="7EED4357" w14:textId="77777777" w:rsidR="002D29BC" w:rsidRPr="00973525" w:rsidRDefault="002D29BC" w:rsidP="002D29BC">
            <w:pPr>
              <w:rPr>
                <w:sz w:val="18"/>
                <w:szCs w:val="18"/>
                <w:lang w:val="en-US"/>
              </w:rPr>
            </w:pPr>
            <w:r w:rsidRPr="00973525">
              <w:rPr>
                <w:sz w:val="18"/>
                <w:szCs w:val="18"/>
                <w:lang w:val="en-US"/>
              </w:rPr>
              <w:t>- In addition, we advocate for a strong simplification of due diligence requirements for 'repeat' issuances.</w:t>
            </w:r>
          </w:p>
          <w:p w14:paraId="6F3D6CB8" w14:textId="77777777" w:rsidR="002D29BC" w:rsidRPr="00973525" w:rsidRDefault="002D29BC" w:rsidP="002D29BC">
            <w:pPr>
              <w:rPr>
                <w:sz w:val="18"/>
                <w:szCs w:val="18"/>
                <w:lang w:val="en-US"/>
              </w:rPr>
            </w:pPr>
          </w:p>
          <w:p w14:paraId="4D4F0B23" w14:textId="2280C276" w:rsidR="002D29BC" w:rsidRPr="00973525" w:rsidRDefault="002D29BC" w:rsidP="002D29BC">
            <w:pPr>
              <w:rPr>
                <w:sz w:val="18"/>
                <w:szCs w:val="18"/>
                <w:lang w:val="en-GB"/>
              </w:rPr>
            </w:pPr>
            <w:r w:rsidRPr="00973525">
              <w:rPr>
                <w:sz w:val="18"/>
                <w:szCs w:val="18"/>
                <w:lang w:val="en-US"/>
              </w:rPr>
              <w:t xml:space="preserve">The greater the risk, the more sophisticated the investors should be. This also means that they should be able to determine the exact level, scope and nature of due diligence they should be carrying out </w:t>
            </w:r>
            <w:proofErr w:type="gramStart"/>
            <w:r w:rsidRPr="00973525">
              <w:rPr>
                <w:sz w:val="18"/>
                <w:szCs w:val="18"/>
                <w:lang w:val="en-US"/>
              </w:rPr>
              <w:t>in order to</w:t>
            </w:r>
            <w:proofErr w:type="gramEnd"/>
            <w:r w:rsidRPr="00973525">
              <w:rPr>
                <w:sz w:val="18"/>
                <w:szCs w:val="18"/>
                <w:lang w:val="en-US"/>
              </w:rPr>
              <w:t xml:space="preserve"> appropriately assess the risk. Therefore, a higher due diligence standard should not amount to a more prescriptive due diligence scope or template. On the contrary, basic due diligence required from non-sophisticated investors should be </w:t>
            </w:r>
            <w:proofErr w:type="spellStart"/>
            <w:r w:rsidRPr="00973525">
              <w:rPr>
                <w:sz w:val="18"/>
                <w:szCs w:val="18"/>
                <w:lang w:val="en-US"/>
              </w:rPr>
              <w:t>standardised</w:t>
            </w:r>
            <w:proofErr w:type="spellEnd"/>
            <w:r w:rsidRPr="00973525">
              <w:rPr>
                <w:sz w:val="18"/>
                <w:szCs w:val="18"/>
                <w:lang w:val="en-US"/>
              </w:rPr>
              <w:t xml:space="preserve"> and may be reasonably prescriptive, while more informed investors taking higher risks should be </w:t>
            </w:r>
            <w:proofErr w:type="spellStart"/>
            <w:r w:rsidRPr="00973525">
              <w:rPr>
                <w:sz w:val="18"/>
                <w:szCs w:val="18"/>
                <w:lang w:val="en-US"/>
              </w:rPr>
              <w:t>authorised</w:t>
            </w:r>
            <w:proofErr w:type="spellEnd"/>
            <w:r w:rsidRPr="00973525">
              <w:rPr>
                <w:sz w:val="18"/>
                <w:szCs w:val="18"/>
                <w:lang w:val="en-US"/>
              </w:rPr>
              <w:t xml:space="preserve"> to determine appropriate due diligence level, proportionate to the level and nature of the risk of the contemplated transaction. In practice, this has proven to remain the case and riskier or more complex transactions are </w:t>
            </w:r>
            <w:proofErr w:type="spellStart"/>
            <w:r w:rsidRPr="00973525">
              <w:rPr>
                <w:sz w:val="18"/>
                <w:szCs w:val="18"/>
                <w:lang w:val="en-US"/>
              </w:rPr>
              <w:t>analysed</w:t>
            </w:r>
            <w:proofErr w:type="spellEnd"/>
            <w:r w:rsidRPr="00973525">
              <w:rPr>
                <w:sz w:val="18"/>
                <w:szCs w:val="18"/>
                <w:lang w:val="en-US"/>
              </w:rPr>
              <w:t xml:space="preserve"> by sophisticated investors with no use of the ESMA templated disclosures</w:t>
            </w:r>
          </w:p>
        </w:tc>
        <w:tc>
          <w:tcPr>
            <w:tcW w:w="236" w:type="dxa"/>
          </w:tcPr>
          <w:p w14:paraId="6C6B0CB0" w14:textId="77777777" w:rsidR="002D29BC" w:rsidRPr="00973525" w:rsidRDefault="002D29BC" w:rsidP="0079353D">
            <w:pPr>
              <w:ind w:firstLine="1917"/>
              <w:rPr>
                <w:sz w:val="18"/>
                <w:szCs w:val="18"/>
                <w:lang w:val="en-GB"/>
              </w:rPr>
            </w:pPr>
          </w:p>
        </w:tc>
      </w:tr>
      <w:tr w:rsidR="002D29BC" w:rsidRPr="00973525" w14:paraId="73B1763B" w14:textId="77777777" w:rsidTr="30964D0C">
        <w:trPr>
          <w:gridAfter w:val="1"/>
          <w:wAfter w:w="16" w:type="dxa"/>
        </w:trPr>
        <w:tc>
          <w:tcPr>
            <w:tcW w:w="2893" w:type="dxa"/>
          </w:tcPr>
          <w:p w14:paraId="373BCFCF" w14:textId="77777777" w:rsidR="002D29BC" w:rsidRPr="00973525" w:rsidRDefault="002D29BC" w:rsidP="002D29BC">
            <w:pPr>
              <w:rPr>
                <w:sz w:val="18"/>
                <w:szCs w:val="18"/>
                <w:lang w:val="en-US"/>
              </w:rPr>
            </w:pPr>
            <w:r w:rsidRPr="00973525">
              <w:rPr>
                <w:sz w:val="18"/>
                <w:szCs w:val="18"/>
                <w:lang w:val="en-US"/>
              </w:rPr>
              <w:t>4.9.</w:t>
            </w:r>
            <w:r w:rsidRPr="00973525">
              <w:rPr>
                <w:sz w:val="18"/>
                <w:szCs w:val="18"/>
                <w:lang w:val="en-US"/>
              </w:rPr>
              <w:tab/>
            </w:r>
            <w:proofErr w:type="gramStart"/>
            <w:r w:rsidRPr="00973525">
              <w:rPr>
                <w:sz w:val="18"/>
                <w:szCs w:val="18"/>
                <w:lang w:val="en-US"/>
              </w:rPr>
              <w:t>Taking into account</w:t>
            </w:r>
            <w:proofErr w:type="gramEnd"/>
            <w:r w:rsidRPr="00973525">
              <w:rPr>
                <w:sz w:val="18"/>
                <w:szCs w:val="18"/>
                <w:lang w:val="en-US"/>
              </w:rPr>
              <w:t xml:space="preserve"> your answers to 4.7 and 4.8, what would you estimate to be the impact (in percent or EUR) of differentiating due diligence requirements on your one-off and annual recurring costs for complying with the due diligence requirements under Article 5?</w:t>
            </w:r>
          </w:p>
          <w:p w14:paraId="695DE74B" w14:textId="0CA0150A" w:rsidR="002D29BC" w:rsidRPr="00973525" w:rsidRDefault="002D29BC" w:rsidP="002D29BC">
            <w:pPr>
              <w:rPr>
                <w:sz w:val="18"/>
                <w:szCs w:val="18"/>
                <w:lang w:val="en-GB"/>
              </w:rPr>
            </w:pPr>
            <w:proofErr w:type="spellStart"/>
            <w:r w:rsidRPr="00973525">
              <w:rPr>
                <w:sz w:val="18"/>
                <w:szCs w:val="18"/>
              </w:rPr>
              <w:t>Please</w:t>
            </w:r>
            <w:proofErr w:type="spellEnd"/>
            <w:r w:rsidRPr="00973525">
              <w:rPr>
                <w:sz w:val="18"/>
                <w:szCs w:val="18"/>
              </w:rPr>
              <w:t xml:space="preserve"> </w:t>
            </w:r>
            <w:proofErr w:type="spellStart"/>
            <w:r w:rsidRPr="00973525">
              <w:rPr>
                <w:sz w:val="18"/>
                <w:szCs w:val="18"/>
              </w:rPr>
              <w:t>explain</w:t>
            </w:r>
            <w:proofErr w:type="spellEnd"/>
            <w:r w:rsidRPr="00973525">
              <w:rPr>
                <w:sz w:val="18"/>
                <w:szCs w:val="18"/>
              </w:rPr>
              <w:t xml:space="preserve"> </w:t>
            </w:r>
            <w:proofErr w:type="spellStart"/>
            <w:r w:rsidRPr="00973525">
              <w:rPr>
                <w:sz w:val="18"/>
                <w:szCs w:val="18"/>
              </w:rPr>
              <w:t>your</w:t>
            </w:r>
            <w:proofErr w:type="spellEnd"/>
            <w:r w:rsidRPr="00973525">
              <w:rPr>
                <w:sz w:val="18"/>
                <w:szCs w:val="18"/>
              </w:rPr>
              <w:t xml:space="preserve"> </w:t>
            </w:r>
            <w:proofErr w:type="spellStart"/>
            <w:r w:rsidRPr="00973525">
              <w:rPr>
                <w:sz w:val="18"/>
                <w:szCs w:val="18"/>
              </w:rPr>
              <w:t>answer</w:t>
            </w:r>
            <w:proofErr w:type="spellEnd"/>
          </w:p>
        </w:tc>
        <w:tc>
          <w:tcPr>
            <w:tcW w:w="7740" w:type="dxa"/>
          </w:tcPr>
          <w:p w14:paraId="527F13D8" w14:textId="77777777" w:rsidR="002D29BC" w:rsidRPr="00973525" w:rsidRDefault="002D29BC" w:rsidP="002D29BC">
            <w:pPr>
              <w:rPr>
                <w:sz w:val="18"/>
                <w:szCs w:val="18"/>
                <w:lang w:val="en-GB"/>
              </w:rPr>
            </w:pPr>
          </w:p>
        </w:tc>
        <w:tc>
          <w:tcPr>
            <w:tcW w:w="236" w:type="dxa"/>
          </w:tcPr>
          <w:p w14:paraId="70291903" w14:textId="77777777" w:rsidR="002D29BC" w:rsidRPr="00973525" w:rsidRDefault="002D29BC" w:rsidP="0079353D">
            <w:pPr>
              <w:ind w:firstLine="1917"/>
              <w:rPr>
                <w:sz w:val="18"/>
                <w:szCs w:val="18"/>
              </w:rPr>
            </w:pPr>
          </w:p>
        </w:tc>
      </w:tr>
      <w:tr w:rsidR="002D29BC" w:rsidRPr="0000602A" w14:paraId="7071EB2A" w14:textId="77777777" w:rsidTr="30964D0C">
        <w:trPr>
          <w:gridAfter w:val="1"/>
          <w:wAfter w:w="16" w:type="dxa"/>
        </w:trPr>
        <w:tc>
          <w:tcPr>
            <w:tcW w:w="2893" w:type="dxa"/>
          </w:tcPr>
          <w:p w14:paraId="7453D621" w14:textId="77777777" w:rsidR="002D29BC" w:rsidRPr="00973525" w:rsidRDefault="002D29BC" w:rsidP="002D29BC">
            <w:pPr>
              <w:rPr>
                <w:sz w:val="18"/>
                <w:szCs w:val="18"/>
                <w:lang w:val="en-US"/>
              </w:rPr>
            </w:pPr>
            <w:r w:rsidRPr="00973525">
              <w:rPr>
                <w:sz w:val="18"/>
                <w:szCs w:val="18"/>
                <w:lang w:val="en-US"/>
              </w:rPr>
              <w:t>4.10.</w:t>
            </w:r>
            <w:r w:rsidRPr="00973525">
              <w:rPr>
                <w:sz w:val="18"/>
                <w:szCs w:val="18"/>
                <w:lang w:val="en-US"/>
              </w:rPr>
              <w:tab/>
              <w:t>For EU investors investing in securitisations where the originator, sponsor or original lender is established in the Union and is the responsible entity for complying with those requirements, should certain due diligence verification requirements be removed as the compliance with these requirements is already subject to supervision elsewhere? This could apply to the requirements for investors to check whether the originator, sponsor or original lender complied with:</w:t>
            </w:r>
          </w:p>
          <w:p w14:paraId="4F4AA45A" w14:textId="77777777" w:rsidR="002D29BC" w:rsidRPr="00973525" w:rsidRDefault="002D29BC" w:rsidP="002D29BC">
            <w:pPr>
              <w:rPr>
                <w:sz w:val="18"/>
                <w:szCs w:val="18"/>
                <w:lang w:val="en-US"/>
              </w:rPr>
            </w:pPr>
          </w:p>
          <w:p w14:paraId="7D8FEDFA"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w:t>
            </w:r>
            <w:proofErr w:type="spellStart"/>
            <w:r w:rsidRPr="00973525">
              <w:rPr>
                <w:sz w:val="18"/>
                <w:szCs w:val="18"/>
                <w:lang w:val="en-US"/>
              </w:rPr>
              <w:t>i</w:t>
            </w:r>
            <w:proofErr w:type="spellEnd"/>
            <w:r w:rsidRPr="00973525">
              <w:rPr>
                <w:sz w:val="18"/>
                <w:szCs w:val="18"/>
                <w:lang w:val="en-US"/>
              </w:rPr>
              <w:t>) risk retention requirements,</w:t>
            </w:r>
          </w:p>
          <w:p w14:paraId="15A9957F"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25D8DE6A"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w:t>
            </w:r>
          </w:p>
          <w:p w14:paraId="0BD9419B"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 opinion</w:t>
            </w:r>
          </w:p>
          <w:p w14:paraId="28B69A8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(ii) credit granting criteria requirements,</w:t>
            </w:r>
          </w:p>
          <w:p w14:paraId="0052B78A"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0057C6BC"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w:t>
            </w:r>
          </w:p>
          <w:p w14:paraId="426FC41C"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 opinion</w:t>
            </w:r>
          </w:p>
          <w:p w14:paraId="54C335A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(iii) disclosure requirements,</w:t>
            </w:r>
          </w:p>
          <w:p w14:paraId="5FEE5DE6"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569521A9"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w:t>
            </w:r>
          </w:p>
          <w:p w14:paraId="323939D2"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 opinion</w:t>
            </w:r>
          </w:p>
          <w:p w14:paraId="586BF69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(iv) STS requirements, where the transaction is notified as STS</w:t>
            </w:r>
          </w:p>
          <w:p w14:paraId="40DF0B3E"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47BF18F3" w14:textId="77777777" w:rsidR="002D29BC" w:rsidRPr="00973525" w:rsidRDefault="002D29BC" w:rsidP="002D29BC">
            <w:pPr>
              <w:ind w:left="339"/>
              <w:rPr>
                <w:sz w:val="18"/>
                <w:szCs w:val="18"/>
                <w:lang w:val="en-US"/>
              </w:rPr>
            </w:pPr>
            <w:r w:rsidRPr="00973525">
              <w:rPr>
                <w:sz w:val="18"/>
                <w:szCs w:val="18"/>
                <w:lang w:val="en-US"/>
              </w:rPr>
              <w:lastRenderedPageBreak/>
              <w:t>•</w:t>
            </w:r>
            <w:r w:rsidRPr="00973525">
              <w:rPr>
                <w:sz w:val="18"/>
                <w:szCs w:val="18"/>
                <w:lang w:val="en-US"/>
              </w:rPr>
              <w:tab/>
              <w:t>No</w:t>
            </w:r>
          </w:p>
          <w:p w14:paraId="092CEA70"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 opinion</w:t>
            </w:r>
          </w:p>
          <w:p w14:paraId="7A11B63B" w14:textId="1B2A7B18" w:rsidR="002D29BC" w:rsidRPr="00973525" w:rsidRDefault="002D29BC" w:rsidP="002D29BC">
            <w:pPr>
              <w:rPr>
                <w:sz w:val="18"/>
                <w:szCs w:val="18"/>
                <w:lang w:val="en-GB"/>
              </w:rPr>
            </w:pPr>
            <w:r w:rsidRPr="00973525">
              <w:rPr>
                <w:sz w:val="18"/>
                <w:szCs w:val="18"/>
                <w:lang w:val="en-US"/>
              </w:rPr>
              <w:t>Please explain if you see any risks arising from the removal of these requirements, and if so, how they should be mitigated.</w:t>
            </w:r>
          </w:p>
        </w:tc>
        <w:tc>
          <w:tcPr>
            <w:tcW w:w="7740" w:type="dxa"/>
          </w:tcPr>
          <w:p w14:paraId="1F886EAA" w14:textId="77777777" w:rsidR="002D29BC" w:rsidRPr="00973525" w:rsidRDefault="002D29BC" w:rsidP="002D29BC">
            <w:pPr>
              <w:rPr>
                <w:sz w:val="18"/>
                <w:szCs w:val="18"/>
                <w:lang w:val="en-US"/>
              </w:rPr>
            </w:pPr>
            <w:r w:rsidRPr="00973525">
              <w:rPr>
                <w:sz w:val="18"/>
                <w:szCs w:val="18"/>
                <w:lang w:val="en-US"/>
              </w:rPr>
              <w:lastRenderedPageBreak/>
              <w:t>(</w:t>
            </w:r>
            <w:proofErr w:type="spellStart"/>
            <w:r w:rsidRPr="00973525">
              <w:rPr>
                <w:sz w:val="18"/>
                <w:szCs w:val="18"/>
                <w:lang w:val="en-US"/>
              </w:rPr>
              <w:t>i</w:t>
            </w:r>
            <w:proofErr w:type="spellEnd"/>
            <w:r w:rsidRPr="00973525">
              <w:rPr>
                <w:sz w:val="18"/>
                <w:szCs w:val="18"/>
                <w:lang w:val="en-US"/>
              </w:rPr>
              <w:t>) risk retention requirements,</w:t>
            </w:r>
          </w:p>
          <w:p w14:paraId="500A25B5"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30556234" w14:textId="77777777" w:rsidR="002D29BC" w:rsidRPr="00973525" w:rsidRDefault="002D29BC" w:rsidP="002D29BC">
            <w:pPr>
              <w:rPr>
                <w:sz w:val="18"/>
                <w:szCs w:val="18"/>
                <w:lang w:val="en-US"/>
              </w:rPr>
            </w:pPr>
            <w:r w:rsidRPr="00973525">
              <w:rPr>
                <w:sz w:val="18"/>
                <w:szCs w:val="18"/>
                <w:lang w:val="en-US"/>
              </w:rPr>
              <w:t xml:space="preserve">(removal from article 5(1)c). The originator, sponsor or original lender located in the EU is already subject to the risk retention requirement pursuant to Article 6. It does not seem necessary to duplicate the burden towards investors with an obligation imposed </w:t>
            </w:r>
            <w:proofErr w:type="gramStart"/>
            <w:r w:rsidRPr="00973525">
              <w:rPr>
                <w:sz w:val="18"/>
                <w:szCs w:val="18"/>
                <w:lang w:val="en-US"/>
              </w:rPr>
              <w:t>to</w:t>
            </w:r>
            <w:proofErr w:type="gramEnd"/>
            <w:r w:rsidRPr="00973525">
              <w:rPr>
                <w:sz w:val="18"/>
                <w:szCs w:val="18"/>
                <w:lang w:val="en-US"/>
              </w:rPr>
              <w:t xml:space="preserve"> them to monitor compliance with risk retention. </w:t>
            </w:r>
          </w:p>
          <w:p w14:paraId="56A52960" w14:textId="77777777" w:rsidR="002D29BC" w:rsidRPr="00973525" w:rsidRDefault="002D29BC" w:rsidP="002D29BC">
            <w:pPr>
              <w:rPr>
                <w:sz w:val="18"/>
                <w:szCs w:val="18"/>
                <w:lang w:val="en-US"/>
              </w:rPr>
            </w:pPr>
            <w:r w:rsidRPr="00973525">
              <w:rPr>
                <w:sz w:val="18"/>
                <w:szCs w:val="18"/>
                <w:lang w:val="en-US"/>
              </w:rPr>
              <w:t>In addition, regarding article 5(1</w:t>
            </w:r>
            <w:proofErr w:type="gramStart"/>
            <w:r w:rsidRPr="00973525">
              <w:rPr>
                <w:sz w:val="18"/>
                <w:szCs w:val="18"/>
                <w:lang w:val="en-US"/>
              </w:rPr>
              <w:t>)d</w:t>
            </w:r>
            <w:proofErr w:type="gramEnd"/>
            <w:r w:rsidRPr="00973525">
              <w:rPr>
                <w:sz w:val="18"/>
                <w:szCs w:val="18"/>
                <w:lang w:val="en-US"/>
              </w:rPr>
              <w:t>: the reference to article 6 should be deleted and replaced by "equivalent provisions". This is because an originator located outside the EU is not subject to the requirement of SECR. This requirement can represent a significant impediment for European investors. The reference to the 5% threshold shall be maintained obviously as a safeguard [</w:t>
            </w:r>
            <w:proofErr w:type="spellStart"/>
            <w:r w:rsidRPr="00973525">
              <w:rPr>
                <w:sz w:val="18"/>
                <w:szCs w:val="18"/>
                <w:lang w:val="en-US"/>
              </w:rPr>
              <w:t>cf</w:t>
            </w:r>
            <w:proofErr w:type="spellEnd"/>
            <w:r w:rsidRPr="00973525">
              <w:rPr>
                <w:sz w:val="18"/>
                <w:szCs w:val="18"/>
                <w:lang w:val="en-US"/>
              </w:rPr>
              <w:t xml:space="preserve"> 3.1].</w:t>
            </w:r>
          </w:p>
          <w:p w14:paraId="19312277" w14:textId="77777777" w:rsidR="002D29BC" w:rsidRPr="00973525" w:rsidRDefault="002D29BC" w:rsidP="002D29BC">
            <w:pPr>
              <w:rPr>
                <w:sz w:val="18"/>
                <w:szCs w:val="18"/>
                <w:lang w:val="en-US"/>
              </w:rPr>
            </w:pPr>
          </w:p>
          <w:p w14:paraId="0D03F9DD"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(ii) credit granting criteria requirements,</w:t>
            </w:r>
          </w:p>
          <w:p w14:paraId="6C954376"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r>
            <w:r w:rsidRPr="00973525">
              <w:rPr>
                <w:sz w:val="18"/>
                <w:szCs w:val="18"/>
                <w:u w:val="single"/>
                <w:lang w:val="en-US"/>
              </w:rPr>
              <w:t>Yes</w:t>
            </w:r>
          </w:p>
          <w:p w14:paraId="3549FE34" w14:textId="77777777" w:rsidR="002D29BC" w:rsidRPr="00973525" w:rsidRDefault="002D29BC" w:rsidP="002D29BC">
            <w:pPr>
              <w:rPr>
                <w:sz w:val="18"/>
                <w:szCs w:val="18"/>
                <w:lang w:val="en-US"/>
              </w:rPr>
            </w:pPr>
            <w:r w:rsidRPr="00973525">
              <w:rPr>
                <w:sz w:val="18"/>
                <w:szCs w:val="18"/>
                <w:lang w:val="en-US"/>
              </w:rPr>
              <w:t>when credit granting is already regulated in the EU at the original lender [or originator] level</w:t>
            </w:r>
          </w:p>
          <w:p w14:paraId="72A9DFF0" w14:textId="77777777" w:rsidR="002D29BC" w:rsidRPr="00973525" w:rsidRDefault="002D29BC" w:rsidP="002D29BC">
            <w:pPr>
              <w:rPr>
                <w:sz w:val="18"/>
                <w:szCs w:val="18"/>
                <w:lang w:val="en-US"/>
              </w:rPr>
            </w:pPr>
          </w:p>
          <w:p w14:paraId="7A00EC3A"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(iii) disclosure requirements,</w:t>
            </w:r>
          </w:p>
          <w:p w14:paraId="10735898"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r>
            <w:r w:rsidRPr="00973525">
              <w:rPr>
                <w:sz w:val="18"/>
                <w:szCs w:val="18"/>
                <w:u w:val="single"/>
                <w:lang w:val="en-US"/>
              </w:rPr>
              <w:t>Yes</w:t>
            </w:r>
          </w:p>
          <w:p w14:paraId="341A8BDF" w14:textId="77777777" w:rsidR="002D29BC" w:rsidRPr="00973525" w:rsidRDefault="002D29BC" w:rsidP="002D29BC">
            <w:pPr>
              <w:rPr>
                <w:sz w:val="18"/>
                <w:szCs w:val="18"/>
                <w:lang w:val="en-US"/>
              </w:rPr>
            </w:pPr>
          </w:p>
          <w:p w14:paraId="7974BCE1" w14:textId="77777777" w:rsidR="002D29BC" w:rsidRPr="00973525" w:rsidRDefault="002D29BC" w:rsidP="002D29BC">
            <w:pPr>
              <w:rPr>
                <w:sz w:val="18"/>
                <w:szCs w:val="18"/>
                <w:lang w:val="en-US"/>
              </w:rPr>
            </w:pPr>
            <w:r w:rsidRPr="00973525">
              <w:rPr>
                <w:sz w:val="18"/>
                <w:szCs w:val="18"/>
                <w:lang w:val="en-US"/>
              </w:rPr>
              <w:t>Due diligence should be limited to the verification of the disclosure of the information needed for due diligence purposes, as adjusted in the conditions set out above</w:t>
            </w:r>
          </w:p>
          <w:p w14:paraId="0E7EFFE6" w14:textId="77777777" w:rsidR="002D29BC" w:rsidRPr="00973525" w:rsidRDefault="002D29BC" w:rsidP="002D29BC">
            <w:pPr>
              <w:rPr>
                <w:sz w:val="18"/>
                <w:szCs w:val="18"/>
                <w:lang w:val="en-US"/>
              </w:rPr>
            </w:pPr>
          </w:p>
          <w:p w14:paraId="392BCD48" w14:textId="77777777" w:rsidR="002D29BC" w:rsidRPr="00973525" w:rsidRDefault="002D29BC" w:rsidP="002D29BC">
            <w:pPr>
              <w:rPr>
                <w:sz w:val="18"/>
                <w:szCs w:val="18"/>
                <w:lang w:val="en-US"/>
              </w:rPr>
            </w:pPr>
            <w:r w:rsidRPr="00973525">
              <w:rPr>
                <w:sz w:val="18"/>
                <w:szCs w:val="18"/>
                <w:lang w:val="en-US"/>
              </w:rPr>
              <w:t>In article 5(1</w:t>
            </w:r>
            <w:proofErr w:type="gramStart"/>
            <w:r w:rsidRPr="00973525">
              <w:rPr>
                <w:sz w:val="18"/>
                <w:szCs w:val="18"/>
                <w:lang w:val="en-US"/>
              </w:rPr>
              <w:t>)e</w:t>
            </w:r>
            <w:proofErr w:type="gramEnd"/>
            <w:r w:rsidRPr="00973525">
              <w:rPr>
                <w:sz w:val="18"/>
                <w:szCs w:val="18"/>
                <w:lang w:val="en-US"/>
              </w:rPr>
              <w:t xml:space="preserve">, the reference to article 7 should be replaced by a more general wording. For example, the investors could be required to verify </w:t>
            </w:r>
            <w:proofErr w:type="gramStart"/>
            <w:r w:rsidRPr="00973525">
              <w:rPr>
                <w:sz w:val="18"/>
                <w:szCs w:val="18"/>
                <w:lang w:val="en-US"/>
              </w:rPr>
              <w:t>whether or not</w:t>
            </w:r>
            <w:proofErr w:type="gramEnd"/>
            <w:r w:rsidRPr="00973525">
              <w:rPr>
                <w:sz w:val="18"/>
                <w:szCs w:val="18"/>
                <w:lang w:val="en-US"/>
              </w:rPr>
              <w:t xml:space="preserve"> they possess enough information to carry out the due diligence requirements as per article 5(3).</w:t>
            </w:r>
          </w:p>
          <w:p w14:paraId="218D1640" w14:textId="2B05CFBB" w:rsidR="002D29BC" w:rsidRPr="00973525" w:rsidRDefault="002D29BC" w:rsidP="002D29BC">
            <w:pPr>
              <w:rPr>
                <w:sz w:val="18"/>
                <w:szCs w:val="18"/>
                <w:lang w:val="en-US"/>
              </w:rPr>
            </w:pPr>
            <w:r w:rsidRPr="00973525">
              <w:rPr>
                <w:sz w:val="18"/>
                <w:szCs w:val="18"/>
                <w:lang w:val="en-US"/>
              </w:rPr>
              <w:t>In particular, if the current requirement is maintained, EU investors will continue to be excluded from the third country securitisation market which can be detrimental to the EU economy (this limits the opportunities to provide support to European companies operating outside the EU and to develop expertise in new asset classes from other regions).It also creates an unlevel playing field with non-EU investors and makes it practically impossible for EU investors to invest in third country securitisations.</w:t>
            </w:r>
          </w:p>
          <w:p w14:paraId="3C9B5FBB" w14:textId="77777777" w:rsidR="002D29BC" w:rsidRPr="00973525" w:rsidRDefault="002D29BC" w:rsidP="002D29BC">
            <w:pPr>
              <w:rPr>
                <w:sz w:val="18"/>
                <w:szCs w:val="18"/>
                <w:lang w:val="en-US"/>
              </w:rPr>
            </w:pPr>
          </w:p>
          <w:p w14:paraId="2FB4518A"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(iv) STS requirements, where the transaction is notified as STS</w:t>
            </w:r>
          </w:p>
          <w:p w14:paraId="33A8F559"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73D9257B" w14:textId="77777777" w:rsidR="002D29BC" w:rsidRPr="00973525" w:rsidRDefault="002D29BC" w:rsidP="002D29BC">
            <w:pPr>
              <w:rPr>
                <w:sz w:val="18"/>
                <w:szCs w:val="18"/>
                <w:lang w:val="en-US"/>
              </w:rPr>
            </w:pPr>
            <w:r w:rsidRPr="00973525">
              <w:rPr>
                <w:sz w:val="18"/>
                <w:szCs w:val="18"/>
                <w:lang w:val="en-US"/>
              </w:rPr>
              <w:t>The verification of the STS criteria relies primarily on the originator and, if applicable, the STS verifier. It does not seem necessary to duplicate the burden of verification towards investors. The simplification would increase the appeal of the label.</w:t>
            </w:r>
          </w:p>
          <w:p w14:paraId="6C7FCAD4" w14:textId="77777777" w:rsidR="002D29BC" w:rsidRPr="00973525" w:rsidRDefault="002D29BC" w:rsidP="002D29BC">
            <w:pPr>
              <w:rPr>
                <w:sz w:val="18"/>
                <w:szCs w:val="18"/>
                <w:lang w:val="en-US"/>
              </w:rPr>
            </w:pPr>
          </w:p>
          <w:p w14:paraId="7D951DA0" w14:textId="77777777" w:rsidR="002D29BC" w:rsidRPr="00973525" w:rsidRDefault="002D29BC" w:rsidP="002D29BC">
            <w:pPr>
              <w:rPr>
                <w:sz w:val="18"/>
                <w:szCs w:val="18"/>
                <w:lang w:val="en-US"/>
              </w:rPr>
            </w:pPr>
          </w:p>
          <w:p w14:paraId="5C9E71A5" w14:textId="77777777" w:rsidR="002D29BC" w:rsidRPr="00973525" w:rsidRDefault="002D29BC" w:rsidP="002D29BC">
            <w:pPr>
              <w:rPr>
                <w:sz w:val="18"/>
                <w:szCs w:val="18"/>
                <w:lang w:val="en-US"/>
              </w:rPr>
            </w:pPr>
            <w:r w:rsidRPr="00973525">
              <w:rPr>
                <w:sz w:val="18"/>
                <w:szCs w:val="18"/>
                <w:lang w:val="en-US"/>
              </w:rPr>
              <w:t xml:space="preserve">Concerning the simplifications, the modifications envisaged should be defined as a subset of existing </w:t>
            </w:r>
            <w:proofErr w:type="spellStart"/>
            <w:r w:rsidRPr="00973525">
              <w:rPr>
                <w:sz w:val="18"/>
                <w:szCs w:val="18"/>
                <w:lang w:val="en-US"/>
              </w:rPr>
              <w:t>reportings</w:t>
            </w:r>
            <w:proofErr w:type="spellEnd"/>
            <w:r w:rsidRPr="00973525">
              <w:rPr>
                <w:sz w:val="18"/>
                <w:szCs w:val="18"/>
                <w:lang w:val="en-US"/>
              </w:rPr>
              <w:t xml:space="preserve"> or disclosures, </w:t>
            </w:r>
            <w:proofErr w:type="gramStart"/>
            <w:r w:rsidRPr="00973525">
              <w:rPr>
                <w:sz w:val="18"/>
                <w:szCs w:val="18"/>
                <w:lang w:val="en-US"/>
              </w:rPr>
              <w:t>in order to</w:t>
            </w:r>
            <w:proofErr w:type="gramEnd"/>
            <w:r w:rsidRPr="00973525">
              <w:rPr>
                <w:sz w:val="18"/>
                <w:szCs w:val="18"/>
                <w:lang w:val="en-US"/>
              </w:rPr>
              <w:t xml:space="preserve"> avoid additional development on existing transactions.</w:t>
            </w:r>
          </w:p>
          <w:p w14:paraId="457A9DC9" w14:textId="77777777" w:rsidR="002D29BC" w:rsidRPr="00973525" w:rsidRDefault="002D29BC" w:rsidP="002D29BC">
            <w:pPr>
              <w:rPr>
                <w:sz w:val="18"/>
                <w:szCs w:val="18"/>
                <w:lang w:val="en-US"/>
              </w:rPr>
            </w:pPr>
          </w:p>
          <w:p w14:paraId="1488FEEE" w14:textId="53A46834" w:rsidR="002D29BC" w:rsidRPr="00973525" w:rsidRDefault="002D29BC" w:rsidP="002D29BC">
            <w:pPr>
              <w:rPr>
                <w:sz w:val="18"/>
                <w:szCs w:val="18"/>
                <w:lang w:val="en-US"/>
              </w:rPr>
            </w:pPr>
            <w:r w:rsidRPr="00973525">
              <w:rPr>
                <w:sz w:val="18"/>
                <w:szCs w:val="18"/>
                <w:lang w:val="en-US"/>
              </w:rPr>
              <w:t>Also, conceptually, the STS label was created to give comfort to investors that they are investing in a transaction that is deemed to be compliant with certain generally accepted criteria: requiring investors to verify that the STS label was appropriately granted deprives the label from its very purpose.</w:t>
            </w:r>
          </w:p>
        </w:tc>
        <w:tc>
          <w:tcPr>
            <w:tcW w:w="236" w:type="dxa"/>
          </w:tcPr>
          <w:p w14:paraId="66A8AFEC" w14:textId="4229F0E1" w:rsidR="002D29BC" w:rsidRPr="0079353D" w:rsidRDefault="002D29BC" w:rsidP="0079353D">
            <w:pPr>
              <w:ind w:firstLine="1917"/>
              <w:rPr>
                <w:sz w:val="18"/>
                <w:szCs w:val="18"/>
                <w:lang w:val="en-GB"/>
              </w:rPr>
            </w:pPr>
          </w:p>
        </w:tc>
      </w:tr>
      <w:tr w:rsidR="002D29BC" w:rsidRPr="00973525" w14:paraId="4B30351D" w14:textId="77777777" w:rsidTr="30964D0C">
        <w:trPr>
          <w:gridAfter w:val="1"/>
          <w:wAfter w:w="16" w:type="dxa"/>
        </w:trPr>
        <w:tc>
          <w:tcPr>
            <w:tcW w:w="2893" w:type="dxa"/>
          </w:tcPr>
          <w:p w14:paraId="7D103C62" w14:textId="77777777" w:rsidR="002D29BC" w:rsidRPr="00973525" w:rsidRDefault="002D29BC" w:rsidP="002D29BC">
            <w:pPr>
              <w:rPr>
                <w:sz w:val="18"/>
                <w:szCs w:val="18"/>
                <w:lang w:val="en-US"/>
              </w:rPr>
            </w:pPr>
            <w:r w:rsidRPr="00973525">
              <w:rPr>
                <w:sz w:val="18"/>
                <w:szCs w:val="18"/>
                <w:lang w:val="en-US"/>
              </w:rPr>
              <w:t>4.11.</w:t>
            </w:r>
            <w:r w:rsidRPr="00973525">
              <w:rPr>
                <w:sz w:val="18"/>
                <w:szCs w:val="18"/>
                <w:lang w:val="en-US"/>
              </w:rPr>
              <w:tab/>
            </w:r>
            <w:proofErr w:type="gramStart"/>
            <w:r w:rsidRPr="00973525">
              <w:rPr>
                <w:sz w:val="18"/>
                <w:szCs w:val="18"/>
                <w:lang w:val="en-US"/>
              </w:rPr>
              <w:t>Taking into account</w:t>
            </w:r>
            <w:proofErr w:type="gramEnd"/>
            <w:r w:rsidRPr="00973525">
              <w:rPr>
                <w:sz w:val="18"/>
                <w:szCs w:val="18"/>
                <w:lang w:val="en-US"/>
              </w:rPr>
              <w:t xml:space="preserve"> your answers to Q.4.10, what would you estimate to be the impact (in percent or EUR) of removing those obligations on your one-off and recurring costs for complying with the due diligence requirements?</w:t>
            </w:r>
          </w:p>
          <w:p w14:paraId="72E9877D" w14:textId="77777777" w:rsidR="002D29BC" w:rsidRPr="00973525" w:rsidRDefault="002D29BC" w:rsidP="002D29BC">
            <w:pPr>
              <w:rPr>
                <w:sz w:val="18"/>
                <w:szCs w:val="18"/>
                <w:lang w:val="en-US"/>
              </w:rPr>
            </w:pPr>
          </w:p>
          <w:p w14:paraId="5D57A2D1" w14:textId="03FFCB69" w:rsidR="002D29BC" w:rsidRPr="00973525" w:rsidRDefault="002D29BC" w:rsidP="002D29BC">
            <w:pPr>
              <w:rPr>
                <w:sz w:val="18"/>
                <w:szCs w:val="18"/>
                <w:lang w:val="en-GB"/>
              </w:rPr>
            </w:pPr>
            <w:r w:rsidRPr="00973525">
              <w:rPr>
                <w:sz w:val="18"/>
                <w:szCs w:val="18"/>
                <w:lang w:val="en-US"/>
              </w:rPr>
              <w:t>Please explain.</w:t>
            </w:r>
          </w:p>
        </w:tc>
        <w:tc>
          <w:tcPr>
            <w:tcW w:w="7740" w:type="dxa"/>
          </w:tcPr>
          <w:p w14:paraId="060E0FCF" w14:textId="77777777" w:rsidR="002D29BC" w:rsidRPr="00973525" w:rsidRDefault="002D29BC" w:rsidP="002D29BC">
            <w:pPr>
              <w:rPr>
                <w:sz w:val="18"/>
                <w:szCs w:val="18"/>
                <w:lang w:val="en-GB"/>
              </w:rPr>
            </w:pPr>
          </w:p>
        </w:tc>
        <w:tc>
          <w:tcPr>
            <w:tcW w:w="236" w:type="dxa"/>
          </w:tcPr>
          <w:p w14:paraId="6481308B" w14:textId="77777777" w:rsidR="002D29BC" w:rsidRPr="00973525" w:rsidRDefault="002D29BC" w:rsidP="0079353D">
            <w:pPr>
              <w:ind w:firstLine="1917"/>
              <w:rPr>
                <w:sz w:val="18"/>
                <w:szCs w:val="18"/>
              </w:rPr>
            </w:pPr>
          </w:p>
        </w:tc>
      </w:tr>
      <w:tr w:rsidR="002D29BC" w:rsidRPr="00C72B68" w14:paraId="43916D15" w14:textId="77777777" w:rsidTr="30964D0C">
        <w:trPr>
          <w:gridAfter w:val="1"/>
          <w:wAfter w:w="16" w:type="dxa"/>
        </w:trPr>
        <w:tc>
          <w:tcPr>
            <w:tcW w:w="2893" w:type="dxa"/>
          </w:tcPr>
          <w:p w14:paraId="072B3E82" w14:textId="77777777" w:rsidR="002D29BC" w:rsidRPr="00973525" w:rsidRDefault="002D29BC" w:rsidP="002D29BC">
            <w:pPr>
              <w:rPr>
                <w:sz w:val="18"/>
                <w:szCs w:val="18"/>
                <w:lang w:val="en-US"/>
              </w:rPr>
            </w:pPr>
            <w:r w:rsidRPr="00973525">
              <w:rPr>
                <w:sz w:val="18"/>
                <w:szCs w:val="18"/>
                <w:lang w:val="en-US"/>
              </w:rPr>
              <w:t>4.12.</w:t>
            </w:r>
            <w:r w:rsidRPr="00973525">
              <w:rPr>
                <w:sz w:val="18"/>
                <w:szCs w:val="18"/>
                <w:lang w:val="en-US"/>
              </w:rPr>
              <w:tab/>
              <w:t xml:space="preserve">Do the due diligence requirements under Article 5 </w:t>
            </w:r>
            <w:proofErr w:type="spellStart"/>
            <w:r w:rsidRPr="00973525">
              <w:rPr>
                <w:sz w:val="18"/>
                <w:szCs w:val="18"/>
                <w:lang w:val="en-US"/>
              </w:rPr>
              <w:t>disincentivise</w:t>
            </w:r>
            <w:proofErr w:type="spellEnd"/>
            <w:r w:rsidRPr="00973525">
              <w:rPr>
                <w:sz w:val="18"/>
                <w:szCs w:val="18"/>
                <w:lang w:val="en-US"/>
              </w:rPr>
              <w:t xml:space="preserve"> investing </w:t>
            </w:r>
            <w:proofErr w:type="gramStart"/>
            <w:r w:rsidRPr="00973525">
              <w:rPr>
                <w:sz w:val="18"/>
                <w:szCs w:val="18"/>
                <w:lang w:val="en-US"/>
              </w:rPr>
              <w:t>into</w:t>
            </w:r>
            <w:proofErr w:type="gramEnd"/>
            <w:r w:rsidRPr="00973525">
              <w:rPr>
                <w:sz w:val="18"/>
                <w:szCs w:val="18"/>
                <w:lang w:val="en-US"/>
              </w:rPr>
              <w:t xml:space="preserve"> securitisations on the secondary market?</w:t>
            </w:r>
          </w:p>
          <w:p w14:paraId="2109C005"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Yes</w:t>
            </w:r>
          </w:p>
          <w:p w14:paraId="0E183B8A"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w:t>
            </w:r>
          </w:p>
          <w:p w14:paraId="52B0C7B1" w14:textId="77777777" w:rsidR="002D29BC" w:rsidRPr="00973525" w:rsidRDefault="002D29BC" w:rsidP="002D29BC">
            <w:pPr>
              <w:ind w:left="339"/>
              <w:rPr>
                <w:sz w:val="18"/>
                <w:szCs w:val="18"/>
                <w:lang w:val="en-US"/>
              </w:rPr>
            </w:pPr>
            <w:r w:rsidRPr="00973525">
              <w:rPr>
                <w:sz w:val="18"/>
                <w:szCs w:val="18"/>
                <w:lang w:val="en-US"/>
              </w:rPr>
              <w:t>•</w:t>
            </w:r>
            <w:r w:rsidRPr="00973525">
              <w:rPr>
                <w:sz w:val="18"/>
                <w:szCs w:val="18"/>
                <w:lang w:val="en-US"/>
              </w:rPr>
              <w:tab/>
              <w:t>No opinion</w:t>
            </w:r>
          </w:p>
          <w:p w14:paraId="62E9B1BB" w14:textId="77777777" w:rsidR="002D29BC" w:rsidRPr="00973525" w:rsidRDefault="002D29BC" w:rsidP="002D29BC">
            <w:pPr>
              <w:rPr>
                <w:sz w:val="18"/>
                <w:szCs w:val="18"/>
                <w:lang w:val="en-US"/>
              </w:rPr>
            </w:pPr>
            <w:r w:rsidRPr="00973525">
              <w:rPr>
                <w:sz w:val="18"/>
                <w:szCs w:val="18"/>
                <w:lang w:val="en-US"/>
              </w:rPr>
              <w:t>Please explain</w:t>
            </w:r>
          </w:p>
          <w:p w14:paraId="1372739A" w14:textId="77777777" w:rsidR="002D29BC" w:rsidRPr="00973525" w:rsidRDefault="002D29BC" w:rsidP="002D29BC">
            <w:pPr>
              <w:rPr>
                <w:sz w:val="18"/>
                <w:szCs w:val="18"/>
                <w:lang w:val="en-GB"/>
              </w:rPr>
            </w:pPr>
          </w:p>
        </w:tc>
        <w:tc>
          <w:tcPr>
            <w:tcW w:w="7740" w:type="dxa"/>
          </w:tcPr>
          <w:p w14:paraId="162A10F7" w14:textId="77777777" w:rsidR="002D29BC" w:rsidRPr="00973525" w:rsidRDefault="002D29BC" w:rsidP="002D29BC">
            <w:pPr>
              <w:rPr>
                <w:sz w:val="18"/>
                <w:szCs w:val="18"/>
                <w:lang w:val="en-US"/>
              </w:rPr>
            </w:pPr>
            <w:r w:rsidRPr="00973525">
              <w:rPr>
                <w:sz w:val="18"/>
                <w:szCs w:val="18"/>
                <w:lang w:val="en-US"/>
              </w:rPr>
              <w:t>Yes,</w:t>
            </w:r>
          </w:p>
          <w:p w14:paraId="66D99A29" w14:textId="31328CF7" w:rsidR="002D29BC" w:rsidRPr="00973525" w:rsidRDefault="002D29BC" w:rsidP="002D29BC">
            <w:pPr>
              <w:rPr>
                <w:sz w:val="18"/>
                <w:szCs w:val="18"/>
                <w:lang w:val="en-US"/>
              </w:rPr>
            </w:pPr>
            <w:r w:rsidRPr="00973525">
              <w:rPr>
                <w:sz w:val="18"/>
                <w:szCs w:val="18"/>
                <w:lang w:val="en-US"/>
              </w:rPr>
              <w:t xml:space="preserve">It’s a scissors </w:t>
            </w:r>
            <w:proofErr w:type="gramStart"/>
            <w:r w:rsidRPr="00973525">
              <w:rPr>
                <w:sz w:val="18"/>
                <w:szCs w:val="18"/>
                <w:lang w:val="en-US"/>
              </w:rPr>
              <w:t>effect :</w:t>
            </w:r>
            <w:proofErr w:type="gramEnd"/>
            <w:r w:rsidRPr="00973525">
              <w:rPr>
                <w:sz w:val="18"/>
                <w:szCs w:val="18"/>
                <w:lang w:val="en-US"/>
              </w:rPr>
              <w:t xml:space="preserve"> while the non-principal based due diligence </w:t>
            </w:r>
            <w:proofErr w:type="gramStart"/>
            <w:r w:rsidRPr="00973525">
              <w:rPr>
                <w:sz w:val="18"/>
                <w:szCs w:val="18"/>
                <w:lang w:val="en-US"/>
              </w:rPr>
              <w:t>make</w:t>
            </w:r>
            <w:proofErr w:type="gramEnd"/>
            <w:r w:rsidRPr="00973525">
              <w:rPr>
                <w:sz w:val="18"/>
                <w:szCs w:val="18"/>
                <w:lang w:val="en-US"/>
              </w:rPr>
              <w:t xml:space="preserve"> it nearly impossible to </w:t>
            </w:r>
            <w:r w:rsidR="2F99E24D" w:rsidRPr="501DBB6C">
              <w:rPr>
                <w:sz w:val="18"/>
                <w:szCs w:val="18"/>
                <w:lang w:val="en-US"/>
              </w:rPr>
              <w:t>assess</w:t>
            </w:r>
            <w:r w:rsidRPr="00973525">
              <w:rPr>
                <w:sz w:val="18"/>
                <w:szCs w:val="18"/>
                <w:lang w:val="en-US"/>
              </w:rPr>
              <w:t xml:space="preserve"> an originator not already covered in a timely manner, the non-EU investors (within the current unlevel playing fields) can act </w:t>
            </w:r>
            <w:proofErr w:type="spellStart"/>
            <w:r w:rsidRPr="00973525">
              <w:rPr>
                <w:sz w:val="18"/>
                <w:szCs w:val="18"/>
                <w:lang w:val="en-US"/>
              </w:rPr>
              <w:t>swifly</w:t>
            </w:r>
            <w:proofErr w:type="spellEnd"/>
            <w:r w:rsidRPr="00973525">
              <w:rPr>
                <w:sz w:val="18"/>
                <w:szCs w:val="18"/>
                <w:lang w:val="en-US"/>
              </w:rPr>
              <w:t xml:space="preserve"> getting a bigger share , and possibly better price.</w:t>
            </w:r>
          </w:p>
          <w:p w14:paraId="44FC0D35" w14:textId="77777777" w:rsidR="002D29BC" w:rsidRPr="00973525" w:rsidRDefault="002D29BC" w:rsidP="002D29BC">
            <w:pPr>
              <w:rPr>
                <w:sz w:val="18"/>
                <w:szCs w:val="18"/>
                <w:lang w:val="en-US"/>
              </w:rPr>
            </w:pPr>
          </w:p>
          <w:p w14:paraId="28C99B29" w14:textId="14937CD4" w:rsidR="002D29BC" w:rsidRPr="00973525" w:rsidRDefault="002D29BC" w:rsidP="002D29BC">
            <w:pPr>
              <w:rPr>
                <w:sz w:val="18"/>
                <w:szCs w:val="18"/>
                <w:lang w:val="en-GB"/>
              </w:rPr>
            </w:pPr>
            <w:r w:rsidRPr="00973525">
              <w:rPr>
                <w:sz w:val="18"/>
                <w:szCs w:val="18"/>
                <w:lang w:val="en-US"/>
              </w:rPr>
              <w:t xml:space="preserve">Compliance with the requirements of Article 5(3) is also incompatible with the typical timeframe of secondary market trading. The level of work required to ensure compliance is such that the </w:t>
            </w:r>
            <w:proofErr w:type="gramStart"/>
            <w:r w:rsidRPr="00973525">
              <w:rPr>
                <w:sz w:val="18"/>
                <w:szCs w:val="18"/>
                <w:lang w:val="en-US"/>
              </w:rPr>
              <w:t>needed resource allocation</w:t>
            </w:r>
            <w:proofErr w:type="gramEnd"/>
            <w:r w:rsidRPr="00973525">
              <w:rPr>
                <w:sz w:val="18"/>
                <w:szCs w:val="18"/>
                <w:lang w:val="en-US"/>
              </w:rPr>
              <w:t xml:space="preserve"> does not make sense for smaller investments.</w:t>
            </w:r>
          </w:p>
        </w:tc>
        <w:tc>
          <w:tcPr>
            <w:tcW w:w="236" w:type="dxa"/>
          </w:tcPr>
          <w:p w14:paraId="595240EB" w14:textId="77777777" w:rsidR="002D29BC" w:rsidRPr="00973525" w:rsidRDefault="002D29BC" w:rsidP="0079353D">
            <w:pPr>
              <w:ind w:firstLine="1917"/>
              <w:rPr>
                <w:sz w:val="18"/>
                <w:szCs w:val="18"/>
                <w:lang w:val="en-GB"/>
              </w:rPr>
            </w:pPr>
          </w:p>
        </w:tc>
      </w:tr>
      <w:tr w:rsidR="002D29BC" w:rsidRPr="0000602A" w14:paraId="351D4B0D" w14:textId="77777777" w:rsidTr="30964D0C">
        <w:trPr>
          <w:gridAfter w:val="1"/>
          <w:wAfter w:w="16" w:type="dxa"/>
        </w:trPr>
        <w:tc>
          <w:tcPr>
            <w:tcW w:w="2893" w:type="dxa"/>
          </w:tcPr>
          <w:p w14:paraId="62FCD519" w14:textId="77777777" w:rsidR="002D29BC" w:rsidRPr="00973525" w:rsidRDefault="002D29BC" w:rsidP="002D29BC">
            <w:pPr>
              <w:rPr>
                <w:sz w:val="18"/>
                <w:szCs w:val="18"/>
                <w:lang w:val="en-US"/>
              </w:rPr>
            </w:pPr>
            <w:r w:rsidRPr="00973525">
              <w:rPr>
                <w:sz w:val="18"/>
                <w:szCs w:val="18"/>
                <w:lang w:val="en-US"/>
              </w:rPr>
              <w:t>4.13.</w:t>
            </w:r>
            <w:r w:rsidRPr="00973525">
              <w:rPr>
                <w:sz w:val="18"/>
                <w:szCs w:val="18"/>
                <w:lang w:val="en-US"/>
              </w:rPr>
              <w:tab/>
              <w:t xml:space="preserve">If you answered yes to question 4.12., should investors be provided with a defined </w:t>
            </w:r>
            <w:proofErr w:type="gramStart"/>
            <w:r w:rsidRPr="00973525">
              <w:rPr>
                <w:sz w:val="18"/>
                <w:szCs w:val="18"/>
                <w:lang w:val="en-US"/>
              </w:rPr>
              <w:t>period of time</w:t>
            </w:r>
            <w:proofErr w:type="gramEnd"/>
            <w:r w:rsidRPr="00973525">
              <w:rPr>
                <w:sz w:val="18"/>
                <w:szCs w:val="18"/>
                <w:lang w:val="en-US"/>
              </w:rPr>
              <w:t xml:space="preserve"> after the investment to document compliance with the verification requirements as part of the due diligence requirements under Article 5?</w:t>
            </w:r>
          </w:p>
          <w:p w14:paraId="18880C5C" w14:textId="77777777" w:rsidR="002D29BC" w:rsidRPr="00973525" w:rsidRDefault="002D29BC" w:rsidP="002D29BC">
            <w:pPr>
              <w:rPr>
                <w:sz w:val="18"/>
                <w:szCs w:val="18"/>
                <w:lang w:val="en-US"/>
              </w:rPr>
            </w:pPr>
          </w:p>
          <w:p w14:paraId="364EDB99"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0A4B3C93"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3D12A62E" w14:textId="035F8B87"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2366DC53" w14:textId="77777777" w:rsidR="002D29BC" w:rsidRPr="00973525" w:rsidRDefault="002D29BC" w:rsidP="002D29BC">
            <w:pPr>
              <w:rPr>
                <w:sz w:val="18"/>
                <w:szCs w:val="18"/>
                <w:lang w:val="en-US"/>
              </w:rPr>
            </w:pPr>
          </w:p>
          <w:p w14:paraId="3C1F2C67" w14:textId="77777777" w:rsidR="002D29BC" w:rsidRPr="00973525" w:rsidRDefault="002D29BC" w:rsidP="002D29BC">
            <w:pPr>
              <w:rPr>
                <w:sz w:val="18"/>
                <w:szCs w:val="18"/>
                <w:lang w:val="en-US"/>
              </w:rPr>
            </w:pPr>
          </w:p>
          <w:p w14:paraId="12F73381" w14:textId="77777777" w:rsidR="002D29BC" w:rsidRPr="00973525" w:rsidRDefault="002D29BC" w:rsidP="002D29BC">
            <w:pPr>
              <w:rPr>
                <w:sz w:val="18"/>
                <w:szCs w:val="18"/>
                <w:lang w:val="en-US"/>
              </w:rPr>
            </w:pPr>
            <w:r w:rsidRPr="00973525">
              <w:rPr>
                <w:sz w:val="18"/>
                <w:szCs w:val="18"/>
                <w:lang w:val="en-US"/>
              </w:rPr>
              <w:t xml:space="preserve">No, we believe that this would not really work realistically and that the impact would be quite limited. In terms of governance and process, internal formal approvals are needed before investing and these approvals require that the due diligence work has been completed and sufficiently documented ahead of the investment. </w:t>
            </w:r>
          </w:p>
          <w:p w14:paraId="307F854D" w14:textId="77777777" w:rsidR="002D29BC" w:rsidRPr="00973525" w:rsidRDefault="002D29BC" w:rsidP="002D29BC">
            <w:pPr>
              <w:rPr>
                <w:sz w:val="18"/>
                <w:szCs w:val="18"/>
                <w:lang w:val="en-US"/>
              </w:rPr>
            </w:pPr>
            <w:r w:rsidRPr="00973525">
              <w:rPr>
                <w:sz w:val="18"/>
                <w:szCs w:val="18"/>
                <w:lang w:val="en-US"/>
              </w:rPr>
              <w:t>Simplifying or lightening the due diligence requirements for investors would be much more impactful. Cf. also our answers to questions 4.8 and 4.10.</w:t>
            </w:r>
          </w:p>
          <w:p w14:paraId="27299F9C" w14:textId="77777777" w:rsidR="002D29BC" w:rsidRPr="00973525" w:rsidRDefault="002D29BC" w:rsidP="002D29BC">
            <w:pPr>
              <w:rPr>
                <w:sz w:val="18"/>
                <w:szCs w:val="18"/>
                <w:lang w:val="en-US"/>
              </w:rPr>
            </w:pPr>
          </w:p>
          <w:p w14:paraId="51A12638" w14:textId="77777777" w:rsidR="002D29BC" w:rsidRPr="004A535E" w:rsidRDefault="002D29BC" w:rsidP="002D29BC">
            <w:pPr>
              <w:rPr>
                <w:sz w:val="18"/>
                <w:szCs w:val="18"/>
                <w:lang w:val="en-US"/>
              </w:rPr>
            </w:pPr>
            <w:r w:rsidRPr="00973525">
              <w:rPr>
                <w:sz w:val="18"/>
                <w:szCs w:val="18"/>
                <w:lang w:val="en-US"/>
              </w:rPr>
              <w:t>[</w:t>
            </w:r>
            <w:r w:rsidRPr="004A535E">
              <w:rPr>
                <w:sz w:val="18"/>
                <w:szCs w:val="18"/>
                <w:lang w:val="en-US"/>
              </w:rPr>
              <w:t xml:space="preserve">Being </w:t>
            </w:r>
            <w:proofErr w:type="spellStart"/>
            <w:r w:rsidRPr="004A535E">
              <w:rPr>
                <w:sz w:val="18"/>
                <w:szCs w:val="18"/>
                <w:lang w:val="en-US"/>
              </w:rPr>
              <w:t>authorised</w:t>
            </w:r>
            <w:proofErr w:type="spellEnd"/>
            <w:r w:rsidRPr="004A535E">
              <w:rPr>
                <w:sz w:val="18"/>
                <w:szCs w:val="18"/>
                <w:lang w:val="en-US"/>
              </w:rPr>
              <w:t xml:space="preserve"> to carry out the due diligence ex post would in theory make possible swift transactions, but the consequences of a negative outcome of such ex post due diligence are unclear.]</w:t>
            </w:r>
          </w:p>
          <w:p w14:paraId="0AE7DB4C" w14:textId="77777777" w:rsidR="00060B96" w:rsidRDefault="00060B96" w:rsidP="002D29BC">
            <w:pPr>
              <w:rPr>
                <w:sz w:val="18"/>
                <w:szCs w:val="18"/>
                <w:shd w:val="clear" w:color="auto" w:fill="FFFF00"/>
                <w:lang w:val="en-US"/>
              </w:rPr>
            </w:pPr>
          </w:p>
          <w:p w14:paraId="0F7E0D9A" w14:textId="02DCE5D6" w:rsidR="00060B96" w:rsidRPr="00973525" w:rsidRDefault="00060B96" w:rsidP="002D29BC">
            <w:pPr>
              <w:rPr>
                <w:sz w:val="18"/>
                <w:szCs w:val="18"/>
                <w:lang w:val="en-GB"/>
              </w:rPr>
            </w:pPr>
          </w:p>
        </w:tc>
        <w:tc>
          <w:tcPr>
            <w:tcW w:w="236" w:type="dxa"/>
          </w:tcPr>
          <w:p w14:paraId="71DC8D15" w14:textId="77777777" w:rsidR="002D29BC" w:rsidRPr="00973525" w:rsidRDefault="002D29BC" w:rsidP="0079353D">
            <w:pPr>
              <w:ind w:firstLine="1917"/>
              <w:rPr>
                <w:sz w:val="18"/>
                <w:szCs w:val="18"/>
                <w:lang w:val="en-GB"/>
              </w:rPr>
            </w:pPr>
          </w:p>
        </w:tc>
      </w:tr>
      <w:tr w:rsidR="002D29BC" w:rsidRPr="00973525" w14:paraId="3904A462" w14:textId="77777777" w:rsidTr="30964D0C">
        <w:trPr>
          <w:gridAfter w:val="1"/>
          <w:wAfter w:w="16" w:type="dxa"/>
        </w:trPr>
        <w:tc>
          <w:tcPr>
            <w:tcW w:w="2893" w:type="dxa"/>
          </w:tcPr>
          <w:p w14:paraId="42B18E2C" w14:textId="77777777" w:rsidR="002D29BC" w:rsidRPr="00973525" w:rsidRDefault="002D29BC" w:rsidP="002D29BC">
            <w:pPr>
              <w:rPr>
                <w:sz w:val="18"/>
                <w:szCs w:val="18"/>
                <w:lang w:val="en-US"/>
              </w:rPr>
            </w:pPr>
            <w:r w:rsidRPr="00973525">
              <w:rPr>
                <w:sz w:val="18"/>
                <w:szCs w:val="18"/>
                <w:lang w:val="en-US"/>
              </w:rPr>
              <w:t>4.14.</w:t>
            </w:r>
            <w:r w:rsidRPr="00973525">
              <w:rPr>
                <w:sz w:val="18"/>
                <w:szCs w:val="18"/>
                <w:lang w:val="en-US"/>
              </w:rPr>
              <w:tab/>
              <w:t>If you answered yes to question 4.13., how many days should be given to investors to demonstrate compliance with their verification requirements as part of the due diligence requirements under Article 5?</w:t>
            </w:r>
          </w:p>
          <w:p w14:paraId="30A7F744" w14:textId="77777777" w:rsidR="002D29BC" w:rsidRPr="00973525" w:rsidRDefault="002D29BC" w:rsidP="002D29BC">
            <w:pPr>
              <w:rPr>
                <w:sz w:val="18"/>
                <w:szCs w:val="18"/>
                <w:lang w:val="en-US"/>
              </w:rPr>
            </w:pPr>
          </w:p>
          <w:p w14:paraId="36C5B7E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0 – 15 days</w:t>
            </w:r>
          </w:p>
          <w:p w14:paraId="5A2D0EB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15 – 29 days</w:t>
            </w:r>
          </w:p>
          <w:p w14:paraId="0D99FDEA"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29 – 45 days</w:t>
            </w:r>
          </w:p>
          <w:p w14:paraId="3FD50545" w14:textId="67AEAA69"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6A37EFD8" w14:textId="51539A48" w:rsidR="002D29BC" w:rsidRPr="00973525" w:rsidRDefault="002D29BC" w:rsidP="002D29BC">
            <w:pPr>
              <w:rPr>
                <w:sz w:val="18"/>
                <w:szCs w:val="18"/>
                <w:lang w:val="en-GB"/>
              </w:rPr>
            </w:pPr>
            <w:r w:rsidRPr="00973525">
              <w:rPr>
                <w:sz w:val="18"/>
                <w:szCs w:val="18"/>
                <w:lang w:val="en-US"/>
              </w:rPr>
              <w:t xml:space="preserve"> N/A</w:t>
            </w:r>
          </w:p>
        </w:tc>
        <w:tc>
          <w:tcPr>
            <w:tcW w:w="236" w:type="dxa"/>
          </w:tcPr>
          <w:p w14:paraId="7EF9321E" w14:textId="77777777" w:rsidR="002D29BC" w:rsidRPr="00973525" w:rsidRDefault="002D29BC" w:rsidP="0079353D">
            <w:pPr>
              <w:ind w:firstLine="1917"/>
              <w:rPr>
                <w:sz w:val="18"/>
                <w:szCs w:val="18"/>
              </w:rPr>
            </w:pPr>
          </w:p>
        </w:tc>
      </w:tr>
      <w:tr w:rsidR="002D29BC" w:rsidRPr="00973525" w14:paraId="0BD6E9AF" w14:textId="77777777" w:rsidTr="30964D0C">
        <w:trPr>
          <w:gridAfter w:val="1"/>
          <w:wAfter w:w="16" w:type="dxa"/>
        </w:trPr>
        <w:tc>
          <w:tcPr>
            <w:tcW w:w="2893" w:type="dxa"/>
          </w:tcPr>
          <w:p w14:paraId="02230445" w14:textId="664C59B7" w:rsidR="002D29BC" w:rsidRPr="00973525" w:rsidRDefault="002D29BC" w:rsidP="002D29BC">
            <w:pPr>
              <w:rPr>
                <w:sz w:val="18"/>
                <w:szCs w:val="18"/>
                <w:lang w:val="en-GB"/>
              </w:rPr>
            </w:pPr>
            <w:r w:rsidRPr="00973525">
              <w:rPr>
                <w:sz w:val="18"/>
                <w:szCs w:val="18"/>
                <w:lang w:val="en-US"/>
              </w:rPr>
              <w:t>4.15.</w:t>
            </w:r>
            <w:r w:rsidRPr="00973525">
              <w:rPr>
                <w:sz w:val="18"/>
                <w:szCs w:val="18"/>
                <w:lang w:val="en-US"/>
              </w:rPr>
              <w:tab/>
              <w:t>If you answered yes to question 4.13., what type of transactions should this rule apply to?</w:t>
            </w:r>
          </w:p>
        </w:tc>
        <w:tc>
          <w:tcPr>
            <w:tcW w:w="7740" w:type="dxa"/>
          </w:tcPr>
          <w:p w14:paraId="1467752E" w14:textId="6F879B57" w:rsidR="002D29BC" w:rsidRPr="00973525" w:rsidRDefault="002D29BC" w:rsidP="002D29BC">
            <w:pPr>
              <w:rPr>
                <w:sz w:val="18"/>
                <w:szCs w:val="18"/>
                <w:lang w:val="en-GB"/>
              </w:rPr>
            </w:pPr>
            <w:r w:rsidRPr="00973525">
              <w:rPr>
                <w:sz w:val="18"/>
                <w:szCs w:val="18"/>
                <w:lang w:val="en-US"/>
              </w:rPr>
              <w:t>N/A</w:t>
            </w:r>
          </w:p>
        </w:tc>
        <w:tc>
          <w:tcPr>
            <w:tcW w:w="236" w:type="dxa"/>
          </w:tcPr>
          <w:p w14:paraId="60071C56" w14:textId="77777777" w:rsidR="002D29BC" w:rsidRPr="00973525" w:rsidRDefault="002D29BC" w:rsidP="0079353D">
            <w:pPr>
              <w:ind w:firstLine="1917"/>
              <w:rPr>
                <w:sz w:val="18"/>
                <w:szCs w:val="18"/>
              </w:rPr>
            </w:pPr>
          </w:p>
        </w:tc>
      </w:tr>
      <w:tr w:rsidR="002D29BC" w:rsidRPr="00C72B68" w14:paraId="1CB6C6CC" w14:textId="77777777" w:rsidTr="30964D0C">
        <w:trPr>
          <w:gridAfter w:val="1"/>
          <w:wAfter w:w="16" w:type="dxa"/>
        </w:trPr>
        <w:tc>
          <w:tcPr>
            <w:tcW w:w="2893" w:type="dxa"/>
          </w:tcPr>
          <w:p w14:paraId="0B7A56CF" w14:textId="77777777" w:rsidR="002D29BC" w:rsidRPr="00973525" w:rsidRDefault="002D29BC" w:rsidP="002D29BC">
            <w:pPr>
              <w:rPr>
                <w:sz w:val="18"/>
                <w:szCs w:val="18"/>
                <w:lang w:val="en-US"/>
              </w:rPr>
            </w:pPr>
            <w:r w:rsidRPr="00973525">
              <w:rPr>
                <w:sz w:val="18"/>
                <w:szCs w:val="18"/>
                <w:lang w:val="en-US"/>
              </w:rPr>
              <w:t>4.16.</w:t>
            </w:r>
            <w:r w:rsidRPr="00973525">
              <w:rPr>
                <w:sz w:val="18"/>
                <w:szCs w:val="18"/>
                <w:lang w:val="en-US"/>
              </w:rPr>
              <w:tab/>
              <w:t xml:space="preserve">Do the due diligence requirements under Article 5 </w:t>
            </w:r>
            <w:proofErr w:type="spellStart"/>
            <w:r w:rsidRPr="00973525">
              <w:rPr>
                <w:sz w:val="18"/>
                <w:szCs w:val="18"/>
                <w:lang w:val="en-US"/>
              </w:rPr>
              <w:lastRenderedPageBreak/>
              <w:t>disincentivise</w:t>
            </w:r>
            <w:proofErr w:type="spellEnd"/>
            <w:r w:rsidRPr="00973525">
              <w:rPr>
                <w:sz w:val="18"/>
                <w:szCs w:val="18"/>
                <w:lang w:val="en-US"/>
              </w:rPr>
              <w:t xml:space="preserve"> investing into repeat securitisation issuances?</w:t>
            </w:r>
          </w:p>
          <w:p w14:paraId="6F60E9A3" w14:textId="77777777" w:rsidR="002D29BC" w:rsidRPr="00973525" w:rsidRDefault="002D29BC" w:rsidP="002D29BC">
            <w:pPr>
              <w:rPr>
                <w:sz w:val="18"/>
                <w:szCs w:val="18"/>
                <w:lang w:val="en-US"/>
              </w:rPr>
            </w:pPr>
          </w:p>
          <w:p w14:paraId="73EFF30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574AFABB"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7281B1C5"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4ECF9B44" w14:textId="77777777" w:rsidR="002D29BC" w:rsidRPr="00973525" w:rsidRDefault="002D29BC" w:rsidP="002D29BC">
            <w:pPr>
              <w:rPr>
                <w:sz w:val="18"/>
                <w:szCs w:val="18"/>
                <w:lang w:val="en-GB"/>
              </w:rPr>
            </w:pPr>
          </w:p>
        </w:tc>
        <w:tc>
          <w:tcPr>
            <w:tcW w:w="7740" w:type="dxa"/>
          </w:tcPr>
          <w:p w14:paraId="2158378E" w14:textId="77777777" w:rsidR="002D29BC" w:rsidRPr="00973525" w:rsidRDefault="002D29BC" w:rsidP="002D29BC">
            <w:pPr>
              <w:rPr>
                <w:sz w:val="18"/>
                <w:szCs w:val="18"/>
                <w:lang w:val="en-US"/>
              </w:rPr>
            </w:pPr>
          </w:p>
          <w:p w14:paraId="0D845E7E" w14:textId="5058189A" w:rsidR="002D29BC" w:rsidRPr="00973525" w:rsidRDefault="002D29BC" w:rsidP="002D29BC">
            <w:pPr>
              <w:rPr>
                <w:sz w:val="18"/>
                <w:szCs w:val="18"/>
                <w:lang w:val="en-GB"/>
              </w:rPr>
            </w:pPr>
            <w:r w:rsidRPr="00973525">
              <w:rPr>
                <w:sz w:val="18"/>
                <w:szCs w:val="18"/>
                <w:lang w:val="en-US"/>
              </w:rPr>
              <w:t xml:space="preserve">No, we see no specific issue in relation </w:t>
            </w:r>
            <w:proofErr w:type="gramStart"/>
            <w:r w:rsidRPr="00973525">
              <w:rPr>
                <w:sz w:val="18"/>
                <w:szCs w:val="18"/>
                <w:lang w:val="en-US"/>
              </w:rPr>
              <w:t>with</w:t>
            </w:r>
            <w:proofErr w:type="gramEnd"/>
            <w:r w:rsidRPr="00973525">
              <w:rPr>
                <w:sz w:val="18"/>
                <w:szCs w:val="18"/>
                <w:lang w:val="en-US"/>
              </w:rPr>
              <w:t xml:space="preserve"> repeat deals.</w:t>
            </w:r>
          </w:p>
        </w:tc>
        <w:tc>
          <w:tcPr>
            <w:tcW w:w="236" w:type="dxa"/>
          </w:tcPr>
          <w:p w14:paraId="2A29B2A2" w14:textId="77777777" w:rsidR="002D29BC" w:rsidRPr="00973525" w:rsidRDefault="002D29BC" w:rsidP="0079353D">
            <w:pPr>
              <w:ind w:firstLine="1917"/>
              <w:rPr>
                <w:sz w:val="18"/>
                <w:szCs w:val="18"/>
                <w:lang w:val="en-GB"/>
              </w:rPr>
            </w:pPr>
          </w:p>
        </w:tc>
      </w:tr>
      <w:tr w:rsidR="002D29BC" w:rsidRPr="00C72B68" w14:paraId="0B114104" w14:textId="77777777" w:rsidTr="30964D0C">
        <w:trPr>
          <w:gridAfter w:val="1"/>
          <w:wAfter w:w="16" w:type="dxa"/>
        </w:trPr>
        <w:tc>
          <w:tcPr>
            <w:tcW w:w="2893" w:type="dxa"/>
          </w:tcPr>
          <w:p w14:paraId="2AF540B3" w14:textId="33D02449" w:rsidR="002D29BC" w:rsidRPr="00973525" w:rsidRDefault="002D29BC" w:rsidP="002D29BC">
            <w:pPr>
              <w:rPr>
                <w:sz w:val="18"/>
                <w:szCs w:val="18"/>
                <w:lang w:val="en-GB"/>
              </w:rPr>
            </w:pPr>
            <w:r w:rsidRPr="00973525">
              <w:rPr>
                <w:sz w:val="18"/>
                <w:szCs w:val="18"/>
                <w:lang w:val="en-US"/>
              </w:rPr>
              <w:t>4.17.</w:t>
            </w:r>
            <w:r w:rsidRPr="00973525">
              <w:rPr>
                <w:sz w:val="18"/>
                <w:szCs w:val="18"/>
                <w:lang w:val="en-US"/>
              </w:rPr>
              <w:tab/>
              <w:t xml:space="preserve">If you answered yes to question 4.16., how should repeat or similar transactions </w:t>
            </w:r>
            <w:proofErr w:type="gramStart"/>
            <w:r w:rsidRPr="00973525">
              <w:rPr>
                <w:sz w:val="18"/>
                <w:szCs w:val="18"/>
                <w:lang w:val="en-US"/>
              </w:rPr>
              <w:t>be  identified</w:t>
            </w:r>
            <w:proofErr w:type="gramEnd"/>
            <w:r w:rsidRPr="00973525">
              <w:rPr>
                <w:sz w:val="18"/>
                <w:szCs w:val="18"/>
                <w:lang w:val="en-US"/>
              </w:rPr>
              <w:t xml:space="preserve"> in the legal text and how should the respective due diligence requirements be amended?</w:t>
            </w:r>
          </w:p>
        </w:tc>
        <w:tc>
          <w:tcPr>
            <w:tcW w:w="7740" w:type="dxa"/>
          </w:tcPr>
          <w:p w14:paraId="0C8FBC55" w14:textId="286E4293" w:rsidR="002D29BC" w:rsidRPr="00597791" w:rsidRDefault="50306BFA" w:rsidP="501DBB6C">
            <w:pPr>
              <w:rPr>
                <w:sz w:val="18"/>
                <w:szCs w:val="18"/>
                <w:lang w:val="en-US"/>
              </w:rPr>
            </w:pPr>
            <w:r w:rsidRPr="00597791">
              <w:rPr>
                <w:sz w:val="18"/>
                <w:szCs w:val="18"/>
                <w:lang w:val="en-US"/>
              </w:rPr>
              <w:t xml:space="preserve">The due diligence requirements disincentivize investing into all securitizations. Improvements should not be limited to “repeat deals”. </w:t>
            </w:r>
          </w:p>
          <w:p w14:paraId="395A9792" w14:textId="5C30C664" w:rsidR="002D29BC" w:rsidRPr="00597791" w:rsidRDefault="1133C961" w:rsidP="00597791">
            <w:pPr>
              <w:rPr>
                <w:sz w:val="18"/>
                <w:szCs w:val="18"/>
                <w:lang w:val="en-US"/>
              </w:rPr>
            </w:pPr>
            <w:r w:rsidRPr="00597791">
              <w:rPr>
                <w:sz w:val="18"/>
                <w:szCs w:val="18"/>
                <w:lang w:val="en-US"/>
              </w:rPr>
              <w:t xml:space="preserve">This issue would be adequately addressed by taking the approach we have suggested that </w:t>
            </w:r>
            <w:proofErr w:type="spellStart"/>
            <w:r w:rsidRPr="00597791">
              <w:rPr>
                <w:sz w:val="18"/>
                <w:szCs w:val="18"/>
                <w:lang w:val="en-US"/>
              </w:rPr>
              <w:t>emphasises</w:t>
            </w:r>
            <w:proofErr w:type="spellEnd"/>
            <w:r w:rsidRPr="00597791">
              <w:rPr>
                <w:sz w:val="18"/>
                <w:szCs w:val="18"/>
                <w:lang w:val="en-US"/>
              </w:rPr>
              <w:t xml:space="preserve"> proportionality in due diligence. The familiarity of the investor with the originator/issuance structure/</w:t>
            </w:r>
            <w:proofErr w:type="spellStart"/>
            <w:r w:rsidRPr="00597791">
              <w:rPr>
                <w:sz w:val="18"/>
                <w:szCs w:val="18"/>
                <w:lang w:val="en-US"/>
              </w:rPr>
              <w:t>programme</w:t>
            </w:r>
            <w:proofErr w:type="spellEnd"/>
            <w:r w:rsidRPr="00597791">
              <w:rPr>
                <w:sz w:val="18"/>
                <w:szCs w:val="18"/>
                <w:lang w:val="en-US"/>
              </w:rPr>
              <w:t xml:space="preserve"> will be one factor </w:t>
            </w:r>
            <w:proofErr w:type="gramStart"/>
            <w:r w:rsidRPr="00597791">
              <w:rPr>
                <w:sz w:val="18"/>
                <w:szCs w:val="18"/>
                <w:lang w:val="en-US"/>
              </w:rPr>
              <w:t>taken into account</w:t>
            </w:r>
            <w:proofErr w:type="gramEnd"/>
            <w:r w:rsidRPr="00597791">
              <w:rPr>
                <w:sz w:val="18"/>
                <w:szCs w:val="18"/>
                <w:lang w:val="en-US"/>
              </w:rPr>
              <w:t xml:space="preserve"> in assessing the correct, proportionate approach to take</w:t>
            </w:r>
          </w:p>
          <w:p w14:paraId="24065D64" w14:textId="318A50DC" w:rsidR="002D29BC" w:rsidRPr="00973525" w:rsidRDefault="002D29BC" w:rsidP="501DBB6C">
            <w:pPr>
              <w:rPr>
                <w:rFonts w:ascii="Aptos" w:eastAsia="Aptos" w:hAnsi="Aptos" w:cs="Aptos"/>
                <w:sz w:val="18"/>
                <w:szCs w:val="18"/>
                <w:lang w:val="en-US"/>
              </w:rPr>
            </w:pPr>
          </w:p>
          <w:p w14:paraId="1D575FC9" w14:textId="7BC24ED4" w:rsidR="002D29BC" w:rsidRPr="00973525" w:rsidRDefault="002D29BC" w:rsidP="501DBB6C">
            <w:pPr>
              <w:rPr>
                <w:rFonts w:ascii="Aptos" w:eastAsia="Aptos" w:hAnsi="Aptos" w:cs="Aptos"/>
                <w:sz w:val="18"/>
                <w:szCs w:val="18"/>
                <w:lang w:val="en-US"/>
              </w:rPr>
            </w:pPr>
          </w:p>
          <w:p w14:paraId="1DBFDC89" w14:textId="7B56A616" w:rsidR="002D29BC" w:rsidRPr="00973525" w:rsidRDefault="002D29BC" w:rsidP="000E0A64">
            <w:pPr>
              <w:ind w:left="2856" w:hanging="360"/>
              <w:rPr>
                <w:sz w:val="18"/>
                <w:szCs w:val="18"/>
                <w:lang w:val="en-GB"/>
              </w:rPr>
            </w:pPr>
          </w:p>
        </w:tc>
        <w:tc>
          <w:tcPr>
            <w:tcW w:w="236" w:type="dxa"/>
          </w:tcPr>
          <w:p w14:paraId="647C2E83" w14:textId="77777777" w:rsidR="002D29BC" w:rsidRPr="00977CA0" w:rsidRDefault="002D29BC" w:rsidP="0079353D">
            <w:pPr>
              <w:ind w:firstLine="1917"/>
              <w:rPr>
                <w:sz w:val="18"/>
                <w:szCs w:val="18"/>
                <w:lang w:val="en-GB"/>
              </w:rPr>
            </w:pPr>
          </w:p>
        </w:tc>
      </w:tr>
      <w:tr w:rsidR="002D29BC" w:rsidRPr="00C72B68" w14:paraId="48F0A1C1" w14:textId="77777777" w:rsidTr="30964D0C">
        <w:trPr>
          <w:gridAfter w:val="1"/>
          <w:wAfter w:w="16" w:type="dxa"/>
        </w:trPr>
        <w:tc>
          <w:tcPr>
            <w:tcW w:w="2893" w:type="dxa"/>
          </w:tcPr>
          <w:p w14:paraId="2D70DB7A" w14:textId="77777777" w:rsidR="002D29BC" w:rsidRPr="00973525" w:rsidRDefault="002D29BC" w:rsidP="002D29BC">
            <w:pPr>
              <w:rPr>
                <w:sz w:val="18"/>
                <w:szCs w:val="18"/>
                <w:lang w:val="en-US"/>
              </w:rPr>
            </w:pPr>
            <w:r w:rsidRPr="00973525">
              <w:rPr>
                <w:sz w:val="18"/>
                <w:szCs w:val="18"/>
                <w:lang w:val="en-US"/>
              </w:rPr>
              <w:t>4.18.</w:t>
            </w:r>
            <w:r w:rsidRPr="00973525">
              <w:rPr>
                <w:sz w:val="18"/>
                <w:szCs w:val="18"/>
                <w:lang w:val="en-US"/>
              </w:rPr>
              <w:tab/>
              <w:t>Should Article 32(1) be amended to require Member States to lay down rules establishing appropriate administrative sanctions, in the case of negligence or intentional infringement, and remedial measures in case institutional investors fail to meet the requirements provided for in Article 5?</w:t>
            </w:r>
          </w:p>
          <w:p w14:paraId="5DA0AD69" w14:textId="77777777" w:rsidR="002D29BC" w:rsidRPr="00973525" w:rsidRDefault="002D29BC" w:rsidP="002D29BC">
            <w:pPr>
              <w:rPr>
                <w:sz w:val="18"/>
                <w:szCs w:val="18"/>
                <w:lang w:val="en-US"/>
              </w:rPr>
            </w:pPr>
          </w:p>
          <w:p w14:paraId="78298A0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6CA13C8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009C0F57"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5069BCC2" w14:textId="7E053FAA" w:rsidR="002D29BC" w:rsidRPr="00973525" w:rsidRDefault="002D29BC" w:rsidP="002D29BC">
            <w:pPr>
              <w:rPr>
                <w:sz w:val="18"/>
                <w:szCs w:val="18"/>
                <w:lang w:val="en-GB"/>
              </w:rPr>
            </w:pPr>
            <w:r w:rsidRPr="00973525">
              <w:rPr>
                <w:sz w:val="18"/>
                <w:szCs w:val="18"/>
                <w:lang w:val="en-US"/>
              </w:rPr>
              <w:t>Please explain your answer.</w:t>
            </w:r>
          </w:p>
        </w:tc>
        <w:tc>
          <w:tcPr>
            <w:tcW w:w="7740" w:type="dxa"/>
          </w:tcPr>
          <w:p w14:paraId="37051703" w14:textId="77777777" w:rsidR="002D29BC" w:rsidRPr="00973525" w:rsidRDefault="002D29BC" w:rsidP="002D29BC">
            <w:pPr>
              <w:rPr>
                <w:sz w:val="18"/>
                <w:szCs w:val="18"/>
                <w:lang w:val="en-US"/>
              </w:rPr>
            </w:pPr>
            <w:r w:rsidRPr="00973525">
              <w:rPr>
                <w:sz w:val="18"/>
                <w:szCs w:val="18"/>
                <w:lang w:val="en-US"/>
              </w:rPr>
              <w:t>No,</w:t>
            </w:r>
          </w:p>
          <w:p w14:paraId="037B3ADE" w14:textId="5950B245" w:rsidR="002D29BC" w:rsidRPr="00973525" w:rsidRDefault="002D29BC" w:rsidP="002D29BC">
            <w:pPr>
              <w:rPr>
                <w:sz w:val="18"/>
                <w:szCs w:val="18"/>
                <w:lang w:val="en-GB"/>
              </w:rPr>
            </w:pPr>
            <w:r w:rsidRPr="00973525">
              <w:rPr>
                <w:sz w:val="18"/>
                <w:szCs w:val="18"/>
                <w:lang w:val="en-US"/>
              </w:rPr>
              <w:t xml:space="preserve">Adding new sanctions in SECR would only deter more investors </w:t>
            </w:r>
            <w:proofErr w:type="gramStart"/>
            <w:r w:rsidRPr="00973525">
              <w:rPr>
                <w:sz w:val="18"/>
                <w:szCs w:val="18"/>
                <w:lang w:val="en-US"/>
              </w:rPr>
              <w:t>to come</w:t>
            </w:r>
            <w:proofErr w:type="gramEnd"/>
            <w:r w:rsidRPr="00973525">
              <w:rPr>
                <w:sz w:val="18"/>
                <w:szCs w:val="18"/>
                <w:lang w:val="en-US"/>
              </w:rPr>
              <w:t xml:space="preserve"> into the market which would be detrimental to the development of the EU financial market.</w:t>
            </w:r>
          </w:p>
        </w:tc>
        <w:tc>
          <w:tcPr>
            <w:tcW w:w="236" w:type="dxa"/>
          </w:tcPr>
          <w:p w14:paraId="298E08B4" w14:textId="77777777" w:rsidR="002D29BC" w:rsidRPr="00973525" w:rsidRDefault="002D29BC" w:rsidP="0079353D">
            <w:pPr>
              <w:ind w:firstLine="1917"/>
              <w:rPr>
                <w:sz w:val="18"/>
                <w:szCs w:val="18"/>
                <w:lang w:val="en-GB"/>
              </w:rPr>
            </w:pPr>
          </w:p>
        </w:tc>
      </w:tr>
      <w:tr w:rsidR="002D29BC" w:rsidRPr="0000602A" w14:paraId="4773DD68" w14:textId="77777777" w:rsidTr="30964D0C">
        <w:trPr>
          <w:gridAfter w:val="1"/>
          <w:wAfter w:w="16" w:type="dxa"/>
        </w:trPr>
        <w:tc>
          <w:tcPr>
            <w:tcW w:w="2893" w:type="dxa"/>
          </w:tcPr>
          <w:p w14:paraId="527A4413" w14:textId="26E26A45" w:rsidR="002D29BC" w:rsidRPr="00973525" w:rsidRDefault="002D29BC" w:rsidP="002D29BC">
            <w:pPr>
              <w:rPr>
                <w:sz w:val="18"/>
                <w:szCs w:val="18"/>
                <w:lang w:val="en-GB"/>
              </w:rPr>
            </w:pPr>
            <w:r w:rsidRPr="00973525">
              <w:rPr>
                <w:sz w:val="18"/>
                <w:szCs w:val="18"/>
                <w:lang w:val="en-US"/>
              </w:rPr>
              <w:t>4.19.</w:t>
            </w:r>
            <w:r w:rsidRPr="00973525">
              <w:rPr>
                <w:sz w:val="18"/>
                <w:szCs w:val="18"/>
                <w:lang w:val="en-US"/>
              </w:rPr>
              <w:tab/>
            </w:r>
            <w:proofErr w:type="gramStart"/>
            <w:r w:rsidRPr="00973525">
              <w:rPr>
                <w:sz w:val="18"/>
                <w:szCs w:val="18"/>
                <w:lang w:val="en-US"/>
              </w:rPr>
              <w:t>Taking into account</w:t>
            </w:r>
            <w:proofErr w:type="gramEnd"/>
            <w:r w:rsidRPr="00973525">
              <w:rPr>
                <w:sz w:val="18"/>
                <w:szCs w:val="18"/>
                <w:lang w:val="en-US"/>
              </w:rPr>
              <w:t xml:space="preserve"> the answers to the questions above on due diligence requirements, do you think any safeguards should be introduced in Article 5 to prevent the build-up of financial stability risks?</w:t>
            </w:r>
          </w:p>
        </w:tc>
        <w:tc>
          <w:tcPr>
            <w:tcW w:w="7740" w:type="dxa"/>
          </w:tcPr>
          <w:p w14:paraId="64AA31A7" w14:textId="77777777" w:rsidR="002D29BC" w:rsidRPr="00973525" w:rsidRDefault="002D29BC" w:rsidP="002D29BC">
            <w:pPr>
              <w:rPr>
                <w:sz w:val="18"/>
                <w:szCs w:val="18"/>
                <w:lang w:val="en-US"/>
              </w:rPr>
            </w:pPr>
          </w:p>
          <w:p w14:paraId="37927A60" w14:textId="703FAF3A" w:rsidR="002D29BC" w:rsidRPr="00973525" w:rsidRDefault="002D29BC" w:rsidP="002D29BC">
            <w:pPr>
              <w:rPr>
                <w:sz w:val="18"/>
                <w:szCs w:val="18"/>
                <w:lang w:val="en-GB"/>
              </w:rPr>
            </w:pPr>
            <w:r w:rsidRPr="00973525">
              <w:rPr>
                <w:sz w:val="18"/>
                <w:szCs w:val="18"/>
                <w:lang w:val="en-US"/>
              </w:rPr>
              <w:t>No, nothing specific in addition to the above.</w:t>
            </w:r>
          </w:p>
        </w:tc>
        <w:tc>
          <w:tcPr>
            <w:tcW w:w="236" w:type="dxa"/>
          </w:tcPr>
          <w:p w14:paraId="096D76D1" w14:textId="77777777" w:rsidR="002D29BC" w:rsidRPr="00973525" w:rsidRDefault="002D29BC" w:rsidP="0079353D">
            <w:pPr>
              <w:ind w:firstLine="1917"/>
              <w:rPr>
                <w:sz w:val="18"/>
                <w:szCs w:val="18"/>
                <w:lang w:val="en-GB"/>
              </w:rPr>
            </w:pPr>
          </w:p>
        </w:tc>
      </w:tr>
      <w:tr w:rsidR="002D29BC" w:rsidRPr="00973525" w14:paraId="4C8C1944" w14:textId="77777777" w:rsidTr="30964D0C">
        <w:trPr>
          <w:gridAfter w:val="1"/>
          <w:wAfter w:w="16" w:type="dxa"/>
        </w:trPr>
        <w:tc>
          <w:tcPr>
            <w:tcW w:w="2893" w:type="dxa"/>
          </w:tcPr>
          <w:p w14:paraId="42794D08" w14:textId="77777777" w:rsidR="002D29BC" w:rsidRPr="00973525" w:rsidRDefault="002D29BC" w:rsidP="002D29BC">
            <w:pPr>
              <w:rPr>
                <w:sz w:val="18"/>
                <w:szCs w:val="18"/>
                <w:lang w:val="en-US"/>
              </w:rPr>
            </w:pPr>
            <w:r w:rsidRPr="00973525">
              <w:rPr>
                <w:sz w:val="18"/>
                <w:szCs w:val="18"/>
                <w:lang w:val="en-US"/>
              </w:rPr>
              <w:t>4.20.</w:t>
            </w:r>
            <w:r w:rsidRPr="00973525">
              <w:rPr>
                <w:sz w:val="18"/>
                <w:szCs w:val="18"/>
                <w:lang w:val="en-US"/>
              </w:rPr>
              <w:tab/>
            </w:r>
            <w:proofErr w:type="gramStart"/>
            <w:r w:rsidRPr="00973525">
              <w:rPr>
                <w:sz w:val="18"/>
                <w:szCs w:val="18"/>
                <w:lang w:val="en-US"/>
              </w:rPr>
              <w:t>Taking into account</w:t>
            </w:r>
            <w:proofErr w:type="gramEnd"/>
            <w:r w:rsidRPr="00973525">
              <w:rPr>
                <w:sz w:val="18"/>
                <w:szCs w:val="18"/>
                <w:lang w:val="en-US"/>
              </w:rPr>
              <w:t xml:space="preserve"> your answers to the previous questions in this section</w:t>
            </w:r>
            <w:proofErr w:type="gramStart"/>
            <w:r w:rsidRPr="00973525">
              <w:rPr>
                <w:sz w:val="18"/>
                <w:szCs w:val="18"/>
                <w:lang w:val="en-US"/>
              </w:rPr>
              <w:t>, by</w:t>
            </w:r>
            <w:proofErr w:type="gramEnd"/>
            <w:r w:rsidRPr="00973525">
              <w:rPr>
                <w:sz w:val="18"/>
                <w:szCs w:val="18"/>
                <w:lang w:val="en-US"/>
              </w:rPr>
              <w:t xml:space="preserve"> how much would these changes impact the volume of securitisations that you invest in?</w:t>
            </w:r>
          </w:p>
          <w:p w14:paraId="4301C270" w14:textId="77777777" w:rsidR="002D29BC" w:rsidRPr="00973525" w:rsidRDefault="002D29BC" w:rsidP="002D29BC">
            <w:pPr>
              <w:rPr>
                <w:sz w:val="18"/>
                <w:szCs w:val="18"/>
                <w:lang w:val="en-GB"/>
              </w:rPr>
            </w:pPr>
          </w:p>
        </w:tc>
        <w:tc>
          <w:tcPr>
            <w:tcW w:w="7740" w:type="dxa"/>
          </w:tcPr>
          <w:p w14:paraId="358D0C7E" w14:textId="613E4581" w:rsidR="002D29BC" w:rsidRPr="00973525" w:rsidRDefault="002D29BC" w:rsidP="002D29BC">
            <w:pPr>
              <w:rPr>
                <w:sz w:val="18"/>
                <w:szCs w:val="18"/>
                <w:lang w:val="en-GB"/>
              </w:rPr>
            </w:pPr>
            <w:r w:rsidRPr="00973525">
              <w:rPr>
                <w:sz w:val="18"/>
                <w:szCs w:val="18"/>
                <w:lang w:val="en-US"/>
              </w:rPr>
              <w:t>TBD</w:t>
            </w:r>
          </w:p>
        </w:tc>
        <w:tc>
          <w:tcPr>
            <w:tcW w:w="236" w:type="dxa"/>
          </w:tcPr>
          <w:p w14:paraId="7F251463" w14:textId="77777777" w:rsidR="002D29BC" w:rsidRPr="00973525" w:rsidRDefault="002D29BC" w:rsidP="0079353D">
            <w:pPr>
              <w:ind w:firstLine="1917"/>
              <w:rPr>
                <w:sz w:val="18"/>
                <w:szCs w:val="18"/>
              </w:rPr>
            </w:pPr>
          </w:p>
        </w:tc>
      </w:tr>
      <w:tr w:rsidR="002D29BC" w:rsidRPr="00973525" w14:paraId="13DF3095" w14:textId="77777777" w:rsidTr="30964D0C">
        <w:trPr>
          <w:gridAfter w:val="1"/>
          <w:wAfter w:w="16" w:type="dxa"/>
        </w:trPr>
        <w:tc>
          <w:tcPr>
            <w:tcW w:w="2893" w:type="dxa"/>
          </w:tcPr>
          <w:p w14:paraId="35B236EC" w14:textId="3564B61B" w:rsidR="002D29BC" w:rsidRPr="00973525" w:rsidRDefault="002D29BC" w:rsidP="002D29BC">
            <w:pPr>
              <w:rPr>
                <w:sz w:val="18"/>
                <w:szCs w:val="18"/>
                <w:lang w:val="en-GB"/>
              </w:rPr>
            </w:pPr>
            <w:r w:rsidRPr="00973525">
              <w:rPr>
                <w:sz w:val="18"/>
                <w:szCs w:val="18"/>
                <w:lang w:val="en-US"/>
              </w:rPr>
              <w:t>4.21.</w:t>
            </w:r>
            <w:r w:rsidRPr="00973525">
              <w:rPr>
                <w:sz w:val="18"/>
                <w:szCs w:val="18"/>
                <w:lang w:val="en-US"/>
              </w:rPr>
              <w:tab/>
              <w:t xml:space="preserve">If you are a supervisor, how would the changes to the due diligence requirements </w:t>
            </w:r>
            <w:proofErr w:type="gramStart"/>
            <w:r w:rsidRPr="00973525">
              <w:rPr>
                <w:sz w:val="18"/>
                <w:szCs w:val="18"/>
                <w:lang w:val="en-US"/>
              </w:rPr>
              <w:t>suggested  in</w:t>
            </w:r>
            <w:proofErr w:type="gramEnd"/>
            <w:r w:rsidRPr="00973525">
              <w:rPr>
                <w:sz w:val="18"/>
                <w:szCs w:val="18"/>
                <w:lang w:val="en-US"/>
              </w:rPr>
              <w:t xml:space="preserve"> the previous questions affect your supervisory costs?</w:t>
            </w:r>
          </w:p>
        </w:tc>
        <w:tc>
          <w:tcPr>
            <w:tcW w:w="7740" w:type="dxa"/>
          </w:tcPr>
          <w:p w14:paraId="10F1C0D2" w14:textId="0B1A0736" w:rsidR="002D29BC" w:rsidRPr="00973525" w:rsidRDefault="002D29BC" w:rsidP="002D29BC">
            <w:pPr>
              <w:rPr>
                <w:sz w:val="18"/>
                <w:szCs w:val="18"/>
                <w:lang w:val="en-GB"/>
              </w:rPr>
            </w:pPr>
            <w:r w:rsidRPr="00973525">
              <w:rPr>
                <w:sz w:val="18"/>
                <w:szCs w:val="18"/>
                <w:lang w:val="en-US"/>
              </w:rPr>
              <w:t>TBD</w:t>
            </w:r>
          </w:p>
        </w:tc>
        <w:tc>
          <w:tcPr>
            <w:tcW w:w="236" w:type="dxa"/>
          </w:tcPr>
          <w:p w14:paraId="257EFDE6" w14:textId="77777777" w:rsidR="002D29BC" w:rsidRPr="00973525" w:rsidRDefault="002D29BC" w:rsidP="0079353D">
            <w:pPr>
              <w:ind w:firstLine="1917"/>
              <w:rPr>
                <w:sz w:val="18"/>
                <w:szCs w:val="18"/>
              </w:rPr>
            </w:pPr>
          </w:p>
        </w:tc>
      </w:tr>
      <w:tr w:rsidR="002D29BC" w:rsidRPr="00973525" w14:paraId="3CE9288F" w14:textId="77777777" w:rsidTr="30964D0C">
        <w:trPr>
          <w:gridAfter w:val="1"/>
          <w:wAfter w:w="16" w:type="dxa"/>
        </w:trPr>
        <w:tc>
          <w:tcPr>
            <w:tcW w:w="2893" w:type="dxa"/>
          </w:tcPr>
          <w:p w14:paraId="00A400E8" w14:textId="77777777" w:rsidR="002D29BC" w:rsidRPr="00973525" w:rsidRDefault="002D29BC" w:rsidP="002D29BC">
            <w:pPr>
              <w:rPr>
                <w:sz w:val="18"/>
                <w:szCs w:val="18"/>
                <w:lang w:val="en-US"/>
              </w:rPr>
            </w:pPr>
            <w:r w:rsidRPr="00973525">
              <w:rPr>
                <w:sz w:val="18"/>
                <w:szCs w:val="18"/>
                <w:lang w:val="en-US"/>
              </w:rPr>
              <w:t>4.22.</w:t>
            </w:r>
            <w:r w:rsidRPr="00973525">
              <w:rPr>
                <w:sz w:val="18"/>
                <w:szCs w:val="18"/>
                <w:lang w:val="en-US"/>
              </w:rPr>
              <w:tab/>
              <w:t>Should the National Competent Authorities (NCAs) continue to have the possibility to apply administrative sanctions under Article 32 and 33 of SECR in case of infringements of the requirements of Article 5 SECR to either the institutional investor or the party to which the institutional investor has delegated the due diligence obligations?</w:t>
            </w:r>
          </w:p>
          <w:p w14:paraId="2EC37283" w14:textId="77777777" w:rsidR="002D29BC" w:rsidRPr="00973525" w:rsidRDefault="002D29BC" w:rsidP="002D29BC">
            <w:pPr>
              <w:rPr>
                <w:sz w:val="18"/>
                <w:szCs w:val="18"/>
                <w:lang w:val="en-US"/>
              </w:rPr>
            </w:pPr>
          </w:p>
          <w:p w14:paraId="1B0CE83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Yes</w:t>
            </w:r>
          </w:p>
          <w:p w14:paraId="5934E559"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w:t>
            </w:r>
          </w:p>
          <w:p w14:paraId="5D4F705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No opinion</w:t>
            </w:r>
          </w:p>
          <w:p w14:paraId="4B95BC6E" w14:textId="77777777" w:rsidR="002D29BC" w:rsidRPr="00973525" w:rsidRDefault="002D29BC" w:rsidP="002D29BC">
            <w:pPr>
              <w:rPr>
                <w:sz w:val="18"/>
                <w:szCs w:val="18"/>
                <w:lang w:val="en-US"/>
              </w:rPr>
            </w:pPr>
          </w:p>
          <w:p w14:paraId="7457774D" w14:textId="4A6AA758" w:rsidR="002D29BC" w:rsidRPr="00973525" w:rsidRDefault="558504DF" w:rsidP="002D29BC">
            <w:pPr>
              <w:rPr>
                <w:sz w:val="18"/>
                <w:szCs w:val="18"/>
                <w:lang w:val="en-GB"/>
              </w:rPr>
            </w:pPr>
            <w:r w:rsidRPr="30964D0C">
              <w:rPr>
                <w:sz w:val="18"/>
                <w:szCs w:val="18"/>
                <w:lang w:val="en-US"/>
              </w:rPr>
              <w:t>Please explain your answer.</w:t>
            </w:r>
          </w:p>
        </w:tc>
        <w:tc>
          <w:tcPr>
            <w:tcW w:w="7740" w:type="dxa"/>
          </w:tcPr>
          <w:p w14:paraId="310CB4DD" w14:textId="77777777" w:rsidR="002D29BC" w:rsidRPr="00973525" w:rsidRDefault="002D29BC" w:rsidP="002D29BC">
            <w:pPr>
              <w:rPr>
                <w:sz w:val="18"/>
                <w:szCs w:val="18"/>
                <w:lang w:val="en-US"/>
              </w:rPr>
            </w:pPr>
          </w:p>
          <w:p w14:paraId="4AE4CFEC" w14:textId="77777777" w:rsidR="002D29BC" w:rsidRDefault="002D29BC" w:rsidP="002D29BC">
            <w:pPr>
              <w:rPr>
                <w:sz w:val="18"/>
                <w:szCs w:val="18"/>
                <w:lang w:val="en-US"/>
              </w:rPr>
            </w:pPr>
            <w:r w:rsidRPr="00973525">
              <w:rPr>
                <w:sz w:val="18"/>
                <w:szCs w:val="18"/>
                <w:lang w:val="en-US"/>
              </w:rPr>
              <w:t>No</w:t>
            </w:r>
          </w:p>
          <w:p w14:paraId="6F7F54DD" w14:textId="77777777" w:rsidR="00D11218" w:rsidRPr="00D11218" w:rsidRDefault="00D11218" w:rsidP="00D11218">
            <w:pPr>
              <w:rPr>
                <w:sz w:val="18"/>
                <w:szCs w:val="18"/>
                <w:lang w:val="en-GB"/>
              </w:rPr>
            </w:pPr>
            <w:r w:rsidRPr="00D11218">
              <w:rPr>
                <w:sz w:val="18"/>
                <w:szCs w:val="18"/>
                <w:lang w:val="en-GB"/>
              </w:rPr>
              <w:t xml:space="preserve">NCAs already have the possibility to apply sanctions whenever a supervised entity does not comply with any of the requirements of the overall applicable regulation. These powers de facto cover securitisation. </w:t>
            </w:r>
          </w:p>
          <w:p w14:paraId="5A88C77F" w14:textId="4F835335" w:rsidR="002D29BC" w:rsidRPr="00973525" w:rsidRDefault="002D29BC" w:rsidP="002D29BC">
            <w:pPr>
              <w:rPr>
                <w:sz w:val="18"/>
                <w:szCs w:val="18"/>
                <w:lang w:val="en-GB"/>
              </w:rPr>
            </w:pPr>
          </w:p>
        </w:tc>
        <w:tc>
          <w:tcPr>
            <w:tcW w:w="236" w:type="dxa"/>
          </w:tcPr>
          <w:p w14:paraId="4C5A3D29" w14:textId="77777777" w:rsidR="002D29BC" w:rsidRPr="00973525" w:rsidRDefault="002D29BC" w:rsidP="0079353D">
            <w:pPr>
              <w:ind w:firstLine="1917"/>
              <w:rPr>
                <w:sz w:val="18"/>
                <w:szCs w:val="18"/>
              </w:rPr>
            </w:pPr>
          </w:p>
        </w:tc>
      </w:tr>
      <w:tr w:rsidR="002D29BC" w:rsidRPr="0000602A" w14:paraId="6813A43D" w14:textId="77777777" w:rsidTr="30964D0C">
        <w:trPr>
          <w:gridAfter w:val="1"/>
          <w:wAfter w:w="16" w:type="dxa"/>
        </w:trPr>
        <w:tc>
          <w:tcPr>
            <w:tcW w:w="2893" w:type="dxa"/>
          </w:tcPr>
          <w:p w14:paraId="04B0BBB0" w14:textId="77777777" w:rsidR="002D29BC" w:rsidRPr="00973525" w:rsidRDefault="002D29BC" w:rsidP="002D29BC">
            <w:pPr>
              <w:rPr>
                <w:sz w:val="18"/>
                <w:szCs w:val="18"/>
                <w:lang w:val="en-US"/>
              </w:rPr>
            </w:pPr>
            <w:r w:rsidRPr="00973525">
              <w:rPr>
                <w:sz w:val="18"/>
                <w:szCs w:val="18"/>
                <w:lang w:val="en-US"/>
              </w:rPr>
              <w:t>4.23.</w:t>
            </w:r>
            <w:r w:rsidRPr="00973525">
              <w:rPr>
                <w:sz w:val="18"/>
                <w:szCs w:val="18"/>
                <w:lang w:val="en-US"/>
              </w:rPr>
              <w:tab/>
              <w:t>If you answered no to question 4.22, which party should be subject to administrative sanctions in case of infringement of the due diligence requirements?</w:t>
            </w:r>
          </w:p>
          <w:p w14:paraId="0B1D033E" w14:textId="77777777" w:rsidR="002D29BC" w:rsidRPr="00973525" w:rsidRDefault="002D29BC" w:rsidP="002D29BC">
            <w:pPr>
              <w:rPr>
                <w:sz w:val="18"/>
                <w:szCs w:val="18"/>
                <w:lang w:val="en-US"/>
              </w:rPr>
            </w:pPr>
          </w:p>
          <w:p w14:paraId="73120CC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the institutional investor</w:t>
            </w:r>
          </w:p>
          <w:p w14:paraId="57C5C78C" w14:textId="168040E7" w:rsidR="002D29BC" w:rsidRPr="00973525" w:rsidRDefault="002D29BC" w:rsidP="002D29BC">
            <w:pPr>
              <w:rPr>
                <w:sz w:val="18"/>
                <w:szCs w:val="18"/>
                <w:lang w:val="en-GB"/>
              </w:rPr>
            </w:pPr>
            <w:r w:rsidRPr="00973525">
              <w:rPr>
                <w:sz w:val="18"/>
                <w:szCs w:val="18"/>
                <w:lang w:val="en-US"/>
              </w:rPr>
              <w:t>•</w:t>
            </w:r>
            <w:r w:rsidRPr="00973525">
              <w:rPr>
                <w:sz w:val="18"/>
                <w:szCs w:val="18"/>
                <w:lang w:val="en-US"/>
              </w:rPr>
              <w:tab/>
              <w:t>the party to which the institutional investor has delegated the due diligence obligations</w:t>
            </w:r>
          </w:p>
        </w:tc>
        <w:tc>
          <w:tcPr>
            <w:tcW w:w="7740" w:type="dxa"/>
          </w:tcPr>
          <w:p w14:paraId="5416E04B" w14:textId="7F0BB557" w:rsidR="00E01C4B" w:rsidRPr="00B30997" w:rsidRDefault="00F15D5A" w:rsidP="2BD1A8D1">
            <w:pPr>
              <w:rPr>
                <w:strike/>
                <w:sz w:val="18"/>
                <w:szCs w:val="18"/>
              </w:rPr>
            </w:pPr>
            <w:r>
              <w:rPr>
                <w:sz w:val="18"/>
                <w:szCs w:val="18"/>
              </w:rPr>
              <w:t>Laissé VIDE</w:t>
            </w:r>
            <w:r w:rsidRPr="005D4EAE">
              <w:rPr>
                <w:sz w:val="18"/>
                <w:szCs w:val="18"/>
              </w:rPr>
              <w:t xml:space="preserve"> car pas de </w:t>
            </w:r>
            <w:r>
              <w:rPr>
                <w:sz w:val="18"/>
                <w:szCs w:val="18"/>
              </w:rPr>
              <w:t>zone de saisie de texte</w:t>
            </w:r>
          </w:p>
          <w:p w14:paraId="4076F138" w14:textId="7D70310E" w:rsidR="002D29BC" w:rsidRPr="00B30997" w:rsidRDefault="002D29BC" w:rsidP="2BD1A8D1">
            <w:pPr>
              <w:rPr>
                <w:strike/>
                <w:sz w:val="18"/>
                <w:szCs w:val="18"/>
                <w:lang w:val="en-GB"/>
              </w:rPr>
            </w:pPr>
            <w:r w:rsidRPr="00B30997">
              <w:rPr>
                <w:strike/>
                <w:sz w:val="18"/>
                <w:szCs w:val="18"/>
                <w:lang w:val="en-US"/>
              </w:rPr>
              <w:t>It should concern the delegated party and not the delegate.</w:t>
            </w:r>
          </w:p>
          <w:p w14:paraId="59851847" w14:textId="15694DC4" w:rsidR="002D29BC" w:rsidRPr="00B30997" w:rsidRDefault="5D86D96A" w:rsidP="002D29BC">
            <w:pPr>
              <w:rPr>
                <w:strike/>
                <w:sz w:val="18"/>
                <w:szCs w:val="18"/>
                <w:lang w:val="en-GB"/>
              </w:rPr>
            </w:pPr>
            <w:r w:rsidRPr="00B30997">
              <w:rPr>
                <w:strike/>
                <w:sz w:val="18"/>
                <w:szCs w:val="18"/>
                <w:lang w:val="en-US"/>
              </w:rPr>
              <w:t>the party to which the institutional investor has delegated the due diligence obligations</w:t>
            </w:r>
          </w:p>
        </w:tc>
        <w:tc>
          <w:tcPr>
            <w:tcW w:w="236" w:type="dxa"/>
          </w:tcPr>
          <w:p w14:paraId="62015480" w14:textId="61DF3C6E" w:rsidR="002D29BC" w:rsidRPr="00776503" w:rsidRDefault="002D29BC" w:rsidP="0079353D">
            <w:pPr>
              <w:ind w:firstLine="1917"/>
              <w:rPr>
                <w:sz w:val="18"/>
                <w:szCs w:val="18"/>
                <w:lang w:val="en-GB"/>
              </w:rPr>
            </w:pPr>
          </w:p>
        </w:tc>
      </w:tr>
      <w:tr w:rsidR="008B2DD0" w:rsidRPr="0000602A" w14:paraId="13131752" w14:textId="77777777" w:rsidTr="30964D0C">
        <w:tc>
          <w:tcPr>
            <w:tcW w:w="10885" w:type="dxa"/>
            <w:gridSpan w:val="4"/>
            <w:shd w:val="clear" w:color="auto" w:fill="DAE9F7" w:themeFill="text2" w:themeFillTint="1A"/>
          </w:tcPr>
          <w:p w14:paraId="084325F0" w14:textId="0F8CDC6C" w:rsidR="008B2DD0" w:rsidRPr="00973525" w:rsidRDefault="2655753E" w:rsidP="30964D0C">
            <w:pPr>
              <w:rPr>
                <w:sz w:val="18"/>
                <w:szCs w:val="18"/>
                <w:lang w:val="en-GB"/>
              </w:rPr>
            </w:pPr>
            <w:r w:rsidRPr="30964D0C">
              <w:rPr>
                <w:b/>
                <w:bCs/>
                <w:sz w:val="18"/>
                <w:szCs w:val="18"/>
                <w:lang w:val="en-GB"/>
              </w:rPr>
              <w:t>5. Transparency requirements and definition of public securitisation</w:t>
            </w:r>
          </w:p>
        </w:tc>
      </w:tr>
      <w:tr w:rsidR="002D29BC" w:rsidRPr="0000602A" w14:paraId="168D4170" w14:textId="77777777" w:rsidTr="30964D0C">
        <w:trPr>
          <w:gridAfter w:val="1"/>
          <w:wAfter w:w="16" w:type="dxa"/>
        </w:trPr>
        <w:tc>
          <w:tcPr>
            <w:tcW w:w="2893" w:type="dxa"/>
          </w:tcPr>
          <w:p w14:paraId="1F6DE91C" w14:textId="77777777" w:rsidR="002D29BC" w:rsidRPr="00973525" w:rsidRDefault="002D29BC" w:rsidP="002D29BC">
            <w:pPr>
              <w:rPr>
                <w:sz w:val="18"/>
                <w:szCs w:val="18"/>
                <w:lang w:val="en-US"/>
              </w:rPr>
            </w:pPr>
            <w:r w:rsidRPr="00973525">
              <w:rPr>
                <w:sz w:val="18"/>
                <w:szCs w:val="18"/>
                <w:lang w:val="en-US"/>
              </w:rPr>
              <w:t>5.1.</w:t>
            </w:r>
            <w:r w:rsidRPr="00973525">
              <w:rPr>
                <w:sz w:val="18"/>
                <w:szCs w:val="18"/>
                <w:lang w:val="en-US"/>
              </w:rPr>
              <w:tab/>
              <w:t>Please provide an estimate of the total annual recurring costs and/or the average cost per transaction (in EUR) of complying with the transparency regime under Article 7.</w:t>
            </w:r>
          </w:p>
          <w:p w14:paraId="5694A64C" w14:textId="77777777" w:rsidR="002D29BC" w:rsidRPr="00973525" w:rsidRDefault="002D29BC" w:rsidP="002D29BC">
            <w:pPr>
              <w:rPr>
                <w:sz w:val="18"/>
                <w:szCs w:val="18"/>
                <w:lang w:val="en-US"/>
              </w:rPr>
            </w:pPr>
          </w:p>
          <w:p w14:paraId="1FBC8442" w14:textId="77777777" w:rsidR="002D29BC" w:rsidRPr="00973525" w:rsidRDefault="002D29BC" w:rsidP="002D29BC">
            <w:pPr>
              <w:rPr>
                <w:sz w:val="18"/>
                <w:szCs w:val="18"/>
                <w:lang w:val="en-US"/>
              </w:rPr>
            </w:pPr>
            <w:r w:rsidRPr="00973525">
              <w:rPr>
                <w:sz w:val="18"/>
                <w:szCs w:val="18"/>
                <w:lang w:val="en-US"/>
              </w:rPr>
              <w:t xml:space="preserve">Please differentiate between costs that are only due to Article 7 and costs that you </w:t>
            </w:r>
            <w:proofErr w:type="gramStart"/>
            <w:r w:rsidRPr="00973525">
              <w:rPr>
                <w:sz w:val="18"/>
                <w:szCs w:val="18"/>
                <w:lang w:val="en-US"/>
              </w:rPr>
              <w:t>would  incur</w:t>
            </w:r>
            <w:proofErr w:type="gramEnd"/>
            <w:r w:rsidRPr="00973525">
              <w:rPr>
                <w:sz w:val="18"/>
                <w:szCs w:val="18"/>
                <w:lang w:val="en-US"/>
              </w:rPr>
              <w:t xml:space="preserve"> during your regular course of business regardless of Article 7.</w:t>
            </w:r>
          </w:p>
          <w:p w14:paraId="1E2A98DE" w14:textId="77777777" w:rsidR="002D29BC" w:rsidRPr="00973525" w:rsidRDefault="002D29BC" w:rsidP="002D29BC">
            <w:pPr>
              <w:rPr>
                <w:sz w:val="18"/>
                <w:szCs w:val="18"/>
                <w:lang w:val="en-US"/>
              </w:rPr>
            </w:pPr>
          </w:p>
          <w:p w14:paraId="5490AE05" w14:textId="63373BA9" w:rsidR="002D29BC" w:rsidRPr="00973525" w:rsidRDefault="002D29BC" w:rsidP="002D29BC">
            <w:pPr>
              <w:rPr>
                <w:sz w:val="18"/>
                <w:szCs w:val="18"/>
                <w:lang w:val="en-GB"/>
              </w:rPr>
            </w:pPr>
            <w:r w:rsidRPr="00973525">
              <w:rPr>
                <w:sz w:val="18"/>
                <w:szCs w:val="18"/>
                <w:lang w:val="en-US"/>
              </w:rPr>
              <w:t>Please compare the total transparency costs for securitisations with the total transparency costs of other instruments with similar risk characteristics.</w:t>
            </w:r>
          </w:p>
        </w:tc>
        <w:tc>
          <w:tcPr>
            <w:tcW w:w="7740" w:type="dxa"/>
          </w:tcPr>
          <w:p w14:paraId="4D70EB4E" w14:textId="1F7AC3CA" w:rsidR="002D29BC" w:rsidRPr="00973525" w:rsidRDefault="002D29BC" w:rsidP="002D29BC">
            <w:pPr>
              <w:rPr>
                <w:sz w:val="18"/>
                <w:szCs w:val="18"/>
                <w:lang w:val="en-GB"/>
              </w:rPr>
            </w:pPr>
            <w:r w:rsidRPr="00973525">
              <w:rPr>
                <w:sz w:val="18"/>
                <w:szCs w:val="18"/>
                <w:lang w:val="en-US"/>
              </w:rPr>
              <w:t>Figures to be received by the FBF</w:t>
            </w:r>
          </w:p>
        </w:tc>
        <w:tc>
          <w:tcPr>
            <w:tcW w:w="236" w:type="dxa"/>
          </w:tcPr>
          <w:p w14:paraId="7FFFE1FA" w14:textId="77777777" w:rsidR="002D29BC" w:rsidRPr="00973525" w:rsidRDefault="002D29BC" w:rsidP="0079353D">
            <w:pPr>
              <w:ind w:firstLine="1917"/>
              <w:rPr>
                <w:sz w:val="18"/>
                <w:szCs w:val="18"/>
                <w:lang w:val="en-GB"/>
              </w:rPr>
            </w:pPr>
          </w:p>
        </w:tc>
      </w:tr>
      <w:tr w:rsidR="002D29BC" w:rsidRPr="0000602A" w14:paraId="1659690E" w14:textId="77777777" w:rsidTr="30964D0C">
        <w:trPr>
          <w:gridAfter w:val="1"/>
          <w:wAfter w:w="16" w:type="dxa"/>
        </w:trPr>
        <w:tc>
          <w:tcPr>
            <w:tcW w:w="2893" w:type="dxa"/>
          </w:tcPr>
          <w:p w14:paraId="441424DA" w14:textId="58ECA929" w:rsidR="002D29BC" w:rsidRPr="00973525" w:rsidRDefault="002D29BC" w:rsidP="002D29BC">
            <w:pPr>
              <w:rPr>
                <w:sz w:val="18"/>
                <w:szCs w:val="18"/>
                <w:lang w:val="en-GB"/>
              </w:rPr>
            </w:pPr>
            <w:r w:rsidRPr="00973525">
              <w:rPr>
                <w:sz w:val="18"/>
                <w:szCs w:val="18"/>
                <w:lang w:val="en-US"/>
              </w:rPr>
              <w:t>5.2.</w:t>
            </w:r>
            <w:r w:rsidRPr="00973525">
              <w:rPr>
                <w:sz w:val="18"/>
                <w:szCs w:val="18"/>
                <w:lang w:val="en-US"/>
              </w:rPr>
              <w:tab/>
              <w:t>If possible, please estimate the total one-off costs you incurred (in EUR) to set up the necessary procedures to comply with Article 7 of SECR.</w:t>
            </w:r>
          </w:p>
        </w:tc>
        <w:tc>
          <w:tcPr>
            <w:tcW w:w="7740" w:type="dxa"/>
          </w:tcPr>
          <w:p w14:paraId="53D69DC1" w14:textId="33414215" w:rsidR="002D29BC" w:rsidRPr="00973525" w:rsidRDefault="002D29BC" w:rsidP="002D29BC">
            <w:pPr>
              <w:rPr>
                <w:sz w:val="18"/>
                <w:szCs w:val="18"/>
                <w:lang w:val="en-GB"/>
              </w:rPr>
            </w:pPr>
            <w:r w:rsidRPr="00973525">
              <w:rPr>
                <w:sz w:val="18"/>
                <w:szCs w:val="18"/>
                <w:lang w:val="en-US"/>
              </w:rPr>
              <w:t>Figures to be received by the FBF</w:t>
            </w:r>
          </w:p>
        </w:tc>
        <w:tc>
          <w:tcPr>
            <w:tcW w:w="236" w:type="dxa"/>
          </w:tcPr>
          <w:p w14:paraId="6B6ED7CB" w14:textId="77777777" w:rsidR="002D29BC" w:rsidRPr="00973525" w:rsidRDefault="002D29BC" w:rsidP="0079353D">
            <w:pPr>
              <w:ind w:firstLine="1917"/>
              <w:rPr>
                <w:sz w:val="18"/>
                <w:szCs w:val="18"/>
                <w:lang w:val="en-GB"/>
              </w:rPr>
            </w:pPr>
          </w:p>
        </w:tc>
      </w:tr>
      <w:tr w:rsidR="002D29BC" w:rsidRPr="0000602A" w14:paraId="2FED5399" w14:textId="77777777" w:rsidTr="30964D0C">
        <w:trPr>
          <w:gridAfter w:val="1"/>
          <w:wAfter w:w="16" w:type="dxa"/>
        </w:trPr>
        <w:tc>
          <w:tcPr>
            <w:tcW w:w="2893" w:type="dxa"/>
          </w:tcPr>
          <w:p w14:paraId="658107A5" w14:textId="77777777" w:rsidR="002D29BC" w:rsidRPr="00973525" w:rsidRDefault="002D29BC" w:rsidP="002D29BC">
            <w:pPr>
              <w:rPr>
                <w:sz w:val="18"/>
                <w:szCs w:val="18"/>
                <w:lang w:val="en-US"/>
              </w:rPr>
            </w:pPr>
            <w:r w:rsidRPr="00973525">
              <w:rPr>
                <w:sz w:val="18"/>
                <w:szCs w:val="18"/>
                <w:lang w:val="en-US"/>
              </w:rPr>
              <w:t>5.3.</w:t>
            </w:r>
            <w:r w:rsidRPr="00973525">
              <w:rPr>
                <w:sz w:val="18"/>
                <w:szCs w:val="18"/>
                <w:lang w:val="en-US"/>
              </w:rPr>
              <w:tab/>
              <w:t>How do the disclosure costs that you provided in 5.1. compare with the disclosure costs for other instruments with similar risk characteristics?</w:t>
            </w:r>
          </w:p>
          <w:p w14:paraId="220F4239" w14:textId="77777777" w:rsidR="002D29BC" w:rsidRPr="00973525" w:rsidRDefault="002D29BC" w:rsidP="002D29BC">
            <w:pPr>
              <w:rPr>
                <w:sz w:val="18"/>
                <w:szCs w:val="18"/>
                <w:lang w:val="en-US"/>
              </w:rPr>
            </w:pPr>
          </w:p>
          <w:p w14:paraId="3E6C532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Significantly higher (more than 50% higher)</w:t>
            </w:r>
          </w:p>
          <w:p w14:paraId="5CBF0630"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Moderately higher (from 10% to 49% higher)</w:t>
            </w:r>
          </w:p>
          <w:p w14:paraId="275D456B"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Similar</w:t>
            </w:r>
          </w:p>
          <w:p w14:paraId="403CD58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Moderately lower (from 10% to 49% lower)</w:t>
            </w:r>
          </w:p>
          <w:p w14:paraId="78D7F2E7"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Significantly lower (more than 50% lower)</w:t>
            </w:r>
          </w:p>
          <w:p w14:paraId="0F8E92D7" w14:textId="77777777" w:rsidR="002D29BC" w:rsidRPr="00973525" w:rsidRDefault="002D29BC" w:rsidP="002D29BC">
            <w:pPr>
              <w:rPr>
                <w:sz w:val="18"/>
                <w:szCs w:val="18"/>
                <w:lang w:val="en-US"/>
              </w:rPr>
            </w:pPr>
          </w:p>
          <w:p w14:paraId="7F1FFD8C" w14:textId="6BA3EC96" w:rsidR="002D29BC" w:rsidRPr="00973525" w:rsidRDefault="558504DF" w:rsidP="002D29BC">
            <w:pPr>
              <w:rPr>
                <w:sz w:val="18"/>
                <w:szCs w:val="18"/>
                <w:lang w:val="en-GB"/>
              </w:rPr>
            </w:pPr>
            <w:r w:rsidRPr="30964D0C">
              <w:rPr>
                <w:sz w:val="18"/>
                <w:szCs w:val="18"/>
                <w:lang w:val="en-US"/>
              </w:rPr>
              <w:t>Please explain your answer.</w:t>
            </w:r>
          </w:p>
        </w:tc>
        <w:tc>
          <w:tcPr>
            <w:tcW w:w="7740" w:type="dxa"/>
          </w:tcPr>
          <w:p w14:paraId="094EDE4C" w14:textId="462E8956" w:rsidR="002D29BC" w:rsidRPr="00973525" w:rsidRDefault="49EC88EC" w:rsidP="002D29BC">
            <w:pPr>
              <w:rPr>
                <w:sz w:val="18"/>
                <w:szCs w:val="18"/>
                <w:lang w:val="en-GB"/>
              </w:rPr>
            </w:pPr>
            <w:r w:rsidRPr="00D8740E">
              <w:rPr>
                <w:sz w:val="18"/>
                <w:szCs w:val="18"/>
                <w:lang w:val="en-US"/>
              </w:rPr>
              <w:t>From an originator perspective, the costs are significantly higher than for other instruments with similar risk characteristics (debt, covered bonds).</w:t>
            </w:r>
            <w:r w:rsidRPr="501DBB6C">
              <w:rPr>
                <w:rFonts w:ascii="Aptos" w:eastAsia="Aptos" w:hAnsi="Aptos" w:cs="Aptos"/>
                <w:sz w:val="18"/>
                <w:szCs w:val="18"/>
                <w:lang w:val="en-US"/>
              </w:rPr>
              <w:t xml:space="preserve"> </w:t>
            </w:r>
          </w:p>
        </w:tc>
        <w:tc>
          <w:tcPr>
            <w:tcW w:w="236" w:type="dxa"/>
          </w:tcPr>
          <w:p w14:paraId="31B2B598" w14:textId="77777777" w:rsidR="002D29BC" w:rsidRPr="00977CA0" w:rsidRDefault="002D29BC" w:rsidP="0079353D">
            <w:pPr>
              <w:ind w:firstLine="1917"/>
              <w:rPr>
                <w:sz w:val="18"/>
                <w:szCs w:val="18"/>
                <w:lang w:val="en-GB"/>
              </w:rPr>
            </w:pPr>
          </w:p>
        </w:tc>
      </w:tr>
      <w:tr w:rsidR="002D29BC" w:rsidRPr="00C72B68" w14:paraId="75B307BA" w14:textId="77777777" w:rsidTr="30964D0C">
        <w:trPr>
          <w:gridAfter w:val="1"/>
          <w:wAfter w:w="16" w:type="dxa"/>
        </w:trPr>
        <w:tc>
          <w:tcPr>
            <w:tcW w:w="2893" w:type="dxa"/>
          </w:tcPr>
          <w:p w14:paraId="5808BD22" w14:textId="77777777" w:rsidR="002D29BC" w:rsidRPr="00973525" w:rsidRDefault="002D29BC" w:rsidP="002D29BC">
            <w:pPr>
              <w:rPr>
                <w:sz w:val="18"/>
                <w:szCs w:val="18"/>
                <w:lang w:val="en-US"/>
              </w:rPr>
            </w:pPr>
            <w:r w:rsidRPr="00973525">
              <w:rPr>
                <w:sz w:val="18"/>
                <w:szCs w:val="18"/>
                <w:lang w:val="en-US"/>
              </w:rPr>
              <w:t>5.4.</w:t>
            </w:r>
            <w:r w:rsidRPr="00973525">
              <w:rPr>
                <w:sz w:val="18"/>
                <w:szCs w:val="18"/>
                <w:lang w:val="en-US"/>
              </w:rPr>
              <w:tab/>
              <w:t xml:space="preserve">Is the information that investors need to carry out their </w:t>
            </w:r>
            <w:r w:rsidRPr="00973525">
              <w:rPr>
                <w:sz w:val="18"/>
                <w:szCs w:val="18"/>
                <w:lang w:val="en-US"/>
              </w:rPr>
              <w:lastRenderedPageBreak/>
              <w:t>due diligence under Article 5 different from the information that supervisors need?</w:t>
            </w:r>
          </w:p>
          <w:p w14:paraId="624C96EB" w14:textId="77777777" w:rsidR="002D29BC" w:rsidRPr="00973525" w:rsidRDefault="002D29BC" w:rsidP="002D29BC">
            <w:pPr>
              <w:rPr>
                <w:sz w:val="18"/>
                <w:szCs w:val="18"/>
                <w:lang w:val="en-US"/>
              </w:rPr>
            </w:pPr>
          </w:p>
          <w:p w14:paraId="2F469FD8"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Significantly different</w:t>
            </w:r>
          </w:p>
          <w:p w14:paraId="436EFF94"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Moderately different</w:t>
            </w:r>
          </w:p>
          <w:p w14:paraId="144FB001" w14:textId="77777777" w:rsidR="002D29BC" w:rsidRPr="00973525" w:rsidRDefault="002D29BC" w:rsidP="002D29BC">
            <w:pPr>
              <w:rPr>
                <w:sz w:val="18"/>
                <w:szCs w:val="18"/>
                <w:lang w:val="en-US"/>
              </w:rPr>
            </w:pPr>
            <w:r w:rsidRPr="00973525">
              <w:rPr>
                <w:sz w:val="18"/>
                <w:szCs w:val="18"/>
                <w:lang w:val="en-US"/>
              </w:rPr>
              <w:t>•</w:t>
            </w:r>
            <w:r w:rsidRPr="00973525">
              <w:rPr>
                <w:sz w:val="18"/>
                <w:szCs w:val="18"/>
                <w:lang w:val="en-US"/>
              </w:rPr>
              <w:tab/>
              <w:t>Similar</w:t>
            </w:r>
          </w:p>
          <w:p w14:paraId="501FC4AB" w14:textId="77777777" w:rsidR="002D29BC" w:rsidRPr="00973525" w:rsidRDefault="002D29BC" w:rsidP="002D29BC">
            <w:pPr>
              <w:rPr>
                <w:sz w:val="18"/>
                <w:szCs w:val="18"/>
                <w:lang w:val="en-US"/>
              </w:rPr>
            </w:pPr>
          </w:p>
          <w:p w14:paraId="3EACE415" w14:textId="6DC8B7B3" w:rsidR="002D29BC" w:rsidRPr="00973525" w:rsidRDefault="002D29BC" w:rsidP="002D29BC">
            <w:pPr>
              <w:rPr>
                <w:sz w:val="18"/>
                <w:szCs w:val="18"/>
                <w:lang w:val="en-GB"/>
              </w:rPr>
            </w:pPr>
            <w:r w:rsidRPr="00973525">
              <w:rPr>
                <w:sz w:val="18"/>
                <w:szCs w:val="18"/>
                <w:lang w:val="en-US"/>
              </w:rPr>
              <w:t>Please explain your answer.</w:t>
            </w:r>
          </w:p>
        </w:tc>
        <w:tc>
          <w:tcPr>
            <w:tcW w:w="7740" w:type="dxa"/>
          </w:tcPr>
          <w:p w14:paraId="2EBE8780" w14:textId="77777777" w:rsidR="002D29BC" w:rsidRPr="00973525" w:rsidRDefault="002D29BC" w:rsidP="002D29BC">
            <w:pPr>
              <w:rPr>
                <w:sz w:val="18"/>
                <w:szCs w:val="18"/>
                <w:lang w:val="en-US"/>
              </w:rPr>
            </w:pPr>
            <w:r w:rsidRPr="00973525">
              <w:rPr>
                <w:sz w:val="18"/>
                <w:szCs w:val="18"/>
                <w:lang w:val="en-US"/>
              </w:rPr>
              <w:lastRenderedPageBreak/>
              <w:t>Significantly different</w:t>
            </w:r>
          </w:p>
          <w:p w14:paraId="5E60F464" w14:textId="77777777" w:rsidR="002D29BC" w:rsidRPr="00973525" w:rsidRDefault="002D29BC" w:rsidP="002D29BC">
            <w:pPr>
              <w:rPr>
                <w:sz w:val="18"/>
                <w:szCs w:val="18"/>
                <w:lang w:val="en-US"/>
              </w:rPr>
            </w:pPr>
          </w:p>
          <w:p w14:paraId="488C97B0" w14:textId="77777777" w:rsidR="002D29BC" w:rsidRPr="00973525" w:rsidRDefault="002D29BC" w:rsidP="002D29BC">
            <w:pPr>
              <w:rPr>
                <w:sz w:val="18"/>
                <w:szCs w:val="18"/>
                <w:lang w:val="en-US"/>
              </w:rPr>
            </w:pPr>
            <w:r w:rsidRPr="00973525">
              <w:rPr>
                <w:sz w:val="18"/>
                <w:szCs w:val="18"/>
                <w:lang w:val="en-US"/>
              </w:rPr>
              <w:lastRenderedPageBreak/>
              <w:t>As originating banks, arrangers and lead managers of securitisation in the public and private market, our understanding is that the current data disclosure is too detailed and certain mandatory information is not required / used by the investors, rating agencies. The transparency is key for the investors, but excessive disclosure reporting is in our view an obstacle to the development of the securitisation market.</w:t>
            </w:r>
          </w:p>
          <w:p w14:paraId="54A42256" w14:textId="77777777" w:rsidR="002D29BC" w:rsidRPr="00973525" w:rsidRDefault="002D29BC" w:rsidP="002D29BC">
            <w:pPr>
              <w:rPr>
                <w:sz w:val="18"/>
                <w:szCs w:val="18"/>
                <w:lang w:val="en-US"/>
              </w:rPr>
            </w:pPr>
          </w:p>
          <w:p w14:paraId="37C6308F" w14:textId="77777777" w:rsidR="002D29BC" w:rsidRPr="00973525" w:rsidRDefault="002D29BC" w:rsidP="002D29BC">
            <w:pPr>
              <w:rPr>
                <w:sz w:val="18"/>
                <w:szCs w:val="18"/>
                <w:lang w:val="en-US"/>
              </w:rPr>
            </w:pPr>
            <w:r w:rsidRPr="00973525">
              <w:rPr>
                <w:sz w:val="18"/>
                <w:szCs w:val="18"/>
                <w:lang w:val="en-US"/>
              </w:rPr>
              <w:t xml:space="preserve">In practice, certain investors require a detailed information, but this does not necessarily correspond to the information as set out in the ESMA template. As a result, the ESMA templated disclosure is either not used because investors do not require such </w:t>
            </w:r>
            <w:proofErr w:type="gramStart"/>
            <w:r w:rsidRPr="00973525">
              <w:rPr>
                <w:sz w:val="18"/>
                <w:szCs w:val="18"/>
                <w:lang w:val="en-US"/>
              </w:rPr>
              <w:t>level</w:t>
            </w:r>
            <w:proofErr w:type="gramEnd"/>
            <w:r w:rsidRPr="00973525">
              <w:rPr>
                <w:sz w:val="18"/>
                <w:szCs w:val="18"/>
                <w:lang w:val="en-US"/>
              </w:rPr>
              <w:t xml:space="preserve"> of detail, or because they require different information, so that the disclosure needs to be done in two different formats.</w:t>
            </w:r>
          </w:p>
          <w:p w14:paraId="4941A654" w14:textId="77777777" w:rsidR="002D29BC" w:rsidRPr="00973525" w:rsidRDefault="002D29BC" w:rsidP="002D29BC">
            <w:pPr>
              <w:rPr>
                <w:sz w:val="18"/>
                <w:szCs w:val="18"/>
                <w:lang w:val="en-US"/>
              </w:rPr>
            </w:pPr>
          </w:p>
          <w:p w14:paraId="7696D02F" w14:textId="77777777" w:rsidR="002D29BC" w:rsidRPr="00973525" w:rsidRDefault="002D29BC" w:rsidP="002D29BC">
            <w:pPr>
              <w:rPr>
                <w:sz w:val="18"/>
                <w:szCs w:val="18"/>
                <w:lang w:val="en-US"/>
              </w:rPr>
            </w:pPr>
            <w:r w:rsidRPr="00973525">
              <w:rPr>
                <w:sz w:val="18"/>
                <w:szCs w:val="18"/>
                <w:lang w:val="en-US"/>
              </w:rPr>
              <w:t xml:space="preserve">Investors will conduct their assessment depending on some factors including the type of securitisation, the underlying assets (granularity, tenor), the level of seniority of the securitisation position (equity vs senior), the size of the contemplated investment etc.  </w:t>
            </w:r>
            <w:proofErr w:type="gramStart"/>
            <w:r w:rsidRPr="00973525">
              <w:rPr>
                <w:sz w:val="18"/>
                <w:szCs w:val="18"/>
                <w:lang w:val="en-US"/>
              </w:rPr>
              <w:t>In order to</w:t>
            </w:r>
            <w:proofErr w:type="gramEnd"/>
            <w:r w:rsidRPr="00973525">
              <w:rPr>
                <w:sz w:val="18"/>
                <w:szCs w:val="18"/>
                <w:lang w:val="en-US"/>
              </w:rPr>
              <w:t xml:space="preserve"> make their investment decision, investors will need some details on the underlying loans (but generally not on a loan-by-loan basis), details on credit enhancement provided, </w:t>
            </w:r>
            <w:proofErr w:type="spellStart"/>
            <w:r w:rsidRPr="00973525">
              <w:rPr>
                <w:sz w:val="18"/>
                <w:szCs w:val="18"/>
                <w:lang w:val="en-US"/>
              </w:rPr>
              <w:t>amortisation</w:t>
            </w:r>
            <w:proofErr w:type="spellEnd"/>
            <w:r w:rsidRPr="00973525">
              <w:rPr>
                <w:sz w:val="18"/>
                <w:szCs w:val="18"/>
                <w:lang w:val="en-US"/>
              </w:rPr>
              <w:t xml:space="preserve"> &amp; triggers, cash flow models, etc.</w:t>
            </w:r>
          </w:p>
          <w:p w14:paraId="12BD9BF4" w14:textId="77777777" w:rsidR="002D29BC" w:rsidRPr="00973525" w:rsidRDefault="002D29BC" w:rsidP="002D29BC">
            <w:pPr>
              <w:rPr>
                <w:sz w:val="18"/>
                <w:szCs w:val="18"/>
                <w:lang w:val="en-US"/>
              </w:rPr>
            </w:pPr>
          </w:p>
          <w:p w14:paraId="09B6C8C2" w14:textId="0F14A34E" w:rsidR="002D29BC" w:rsidRPr="00973525" w:rsidRDefault="002D29BC" w:rsidP="002D29BC">
            <w:pPr>
              <w:rPr>
                <w:sz w:val="18"/>
                <w:szCs w:val="18"/>
                <w:lang w:val="en-GB"/>
              </w:rPr>
            </w:pPr>
            <w:r w:rsidRPr="00973525">
              <w:rPr>
                <w:sz w:val="18"/>
                <w:szCs w:val="18"/>
                <w:lang w:val="en-US"/>
              </w:rPr>
              <w:t xml:space="preserve">Supervisors shall require only a subset of the information needed for investors, </w:t>
            </w:r>
            <w:proofErr w:type="gramStart"/>
            <w:r w:rsidRPr="00973525">
              <w:rPr>
                <w:sz w:val="18"/>
                <w:szCs w:val="18"/>
                <w:lang w:val="en-US"/>
              </w:rPr>
              <w:t>in order to</w:t>
            </w:r>
            <w:proofErr w:type="gramEnd"/>
            <w:r w:rsidRPr="00973525">
              <w:rPr>
                <w:sz w:val="18"/>
                <w:szCs w:val="18"/>
                <w:lang w:val="en-US"/>
              </w:rPr>
              <w:t xml:space="preserve"> get a broad view of the market (e.g. type of securitisation, asset class, number and size of tranches, risk retention scheme, etc.).  </w:t>
            </w:r>
          </w:p>
        </w:tc>
        <w:tc>
          <w:tcPr>
            <w:tcW w:w="236" w:type="dxa"/>
          </w:tcPr>
          <w:p w14:paraId="444066C2" w14:textId="77777777" w:rsidR="002D29BC" w:rsidRPr="00973525" w:rsidRDefault="002D29BC" w:rsidP="0079353D">
            <w:pPr>
              <w:ind w:firstLine="1917"/>
              <w:rPr>
                <w:sz w:val="18"/>
                <w:szCs w:val="18"/>
                <w:lang w:val="en-GB"/>
              </w:rPr>
            </w:pPr>
          </w:p>
        </w:tc>
      </w:tr>
      <w:tr w:rsidR="00C21071" w:rsidRPr="0000602A" w14:paraId="558922A3" w14:textId="77777777" w:rsidTr="30964D0C">
        <w:trPr>
          <w:gridAfter w:val="1"/>
          <w:wAfter w:w="16" w:type="dxa"/>
        </w:trPr>
        <w:tc>
          <w:tcPr>
            <w:tcW w:w="2893" w:type="dxa"/>
          </w:tcPr>
          <w:p w14:paraId="6D365988" w14:textId="77777777" w:rsidR="00C21071" w:rsidRPr="00973525" w:rsidRDefault="00C21071" w:rsidP="00C21071">
            <w:pPr>
              <w:rPr>
                <w:sz w:val="18"/>
                <w:szCs w:val="18"/>
                <w:lang w:val="en-US"/>
              </w:rPr>
            </w:pPr>
            <w:r w:rsidRPr="00973525">
              <w:rPr>
                <w:sz w:val="18"/>
                <w:szCs w:val="18"/>
                <w:lang w:val="en-US"/>
              </w:rPr>
              <w:t>5.5.</w:t>
            </w:r>
            <w:r w:rsidRPr="00973525">
              <w:rPr>
                <w:sz w:val="18"/>
                <w:szCs w:val="18"/>
                <w:lang w:val="en-US"/>
              </w:rPr>
              <w:tab/>
              <w:t>To ensure that investors and supervisors have sufficient access to information under Article 7, please select your preferred option below.</w:t>
            </w:r>
          </w:p>
          <w:p w14:paraId="5915A526" w14:textId="77777777" w:rsidR="00C21071" w:rsidRPr="00973525" w:rsidRDefault="00C21071" w:rsidP="00C21071">
            <w:pPr>
              <w:rPr>
                <w:sz w:val="18"/>
                <w:szCs w:val="18"/>
                <w:lang w:val="en-US"/>
              </w:rPr>
            </w:pPr>
          </w:p>
          <w:p w14:paraId="703C4FF2" w14:textId="2AA71472" w:rsidR="00C21071" w:rsidRPr="00C21071" w:rsidRDefault="00C21071" w:rsidP="00C21071">
            <w:pPr>
              <w:rPr>
                <w:sz w:val="18"/>
                <w:szCs w:val="18"/>
                <w:lang w:val="en-US"/>
              </w:rPr>
            </w:pPr>
          </w:p>
        </w:tc>
        <w:tc>
          <w:tcPr>
            <w:tcW w:w="7740" w:type="dxa"/>
          </w:tcPr>
          <w:p w14:paraId="1BB8E149" w14:textId="357163D0" w:rsidR="00C21071" w:rsidRDefault="00C21071" w:rsidP="00C21071">
            <w:pPr>
              <w:rPr>
                <w:sz w:val="18"/>
                <w:szCs w:val="18"/>
                <w:lang w:val="en-GB"/>
              </w:rPr>
            </w:pPr>
            <w:proofErr w:type="gramStart"/>
            <w:r w:rsidRPr="00973525">
              <w:rPr>
                <w:sz w:val="18"/>
                <w:szCs w:val="18"/>
                <w:lang w:val="en-GB"/>
              </w:rPr>
              <w:t>Answer</w:t>
            </w:r>
            <w:r>
              <w:rPr>
                <w:sz w:val="18"/>
                <w:szCs w:val="18"/>
                <w:lang w:val="en-GB"/>
              </w:rPr>
              <w:t xml:space="preserve"> :</w:t>
            </w:r>
            <w:proofErr w:type="gramEnd"/>
            <w:r>
              <w:rPr>
                <w:sz w:val="18"/>
                <w:szCs w:val="18"/>
                <w:lang w:val="en-GB"/>
              </w:rPr>
              <w:t xml:space="preserve"> option 1</w:t>
            </w:r>
          </w:p>
          <w:p w14:paraId="4F1ABE77" w14:textId="77777777" w:rsidR="00C21071" w:rsidRPr="00973525" w:rsidRDefault="00C21071" w:rsidP="00C21071">
            <w:pPr>
              <w:rPr>
                <w:sz w:val="18"/>
                <w:szCs w:val="18"/>
                <w:lang w:val="en-GB"/>
              </w:rPr>
            </w:pPr>
          </w:p>
          <w:p w14:paraId="2BAAE113" w14:textId="2CBD6741" w:rsidR="00C21071" w:rsidRPr="00114086" w:rsidRDefault="00000000" w:rsidP="00C21071">
            <w:pPr>
              <w:rPr>
                <w:b/>
                <w:bCs/>
                <w:sz w:val="18"/>
                <w:szCs w:val="18"/>
                <w:lang w:val="en-US"/>
              </w:rPr>
            </w:pPr>
            <w:sdt>
              <w:sdtPr>
                <w:rPr>
                  <w:b/>
                  <w:bCs/>
                  <w:sz w:val="18"/>
                  <w:szCs w:val="18"/>
                  <w:lang w:val="en-GB"/>
                </w:rPr>
                <w:id w:val="-1780029825"/>
                <w14:checkbox>
                  <w14:checked w14:val="1"/>
                  <w14:checkedState w14:val="2612" w14:font="MS Gothic"/>
                  <w14:uncheckedState w14:val="2610" w14:font="MS Gothic"/>
                </w14:checkbox>
              </w:sdtPr>
              <w:sdtContent>
                <w:r w:rsidR="00C21071" w:rsidRPr="00114086">
                  <w:rPr>
                    <w:rFonts w:ascii="Segoe UI Symbol" w:eastAsia="MS Gothic" w:hAnsi="Segoe UI Symbol" w:cs="Segoe UI Symbol"/>
                    <w:b/>
                    <w:bCs/>
                    <w:sz w:val="18"/>
                    <w:szCs w:val="18"/>
                    <w:lang w:val="en-GB"/>
                  </w:rPr>
                  <w:t>☒</w:t>
                </w:r>
              </w:sdtContent>
            </w:sdt>
            <w:r w:rsidR="00C21071" w:rsidRPr="00114086">
              <w:rPr>
                <w:b/>
                <w:bCs/>
                <w:sz w:val="18"/>
                <w:szCs w:val="18"/>
                <w:lang w:val="en-US"/>
              </w:rPr>
              <w:t xml:space="preserve"> Option 1:</w:t>
            </w:r>
          </w:p>
          <w:p w14:paraId="558968B2" w14:textId="77777777" w:rsidR="00C21071" w:rsidRPr="00C21071" w:rsidRDefault="00C21071" w:rsidP="00C21071">
            <w:pPr>
              <w:rPr>
                <w:sz w:val="16"/>
                <w:szCs w:val="16"/>
                <w:lang w:val="en-US"/>
              </w:rPr>
            </w:pPr>
            <w:r w:rsidRPr="00973525">
              <w:rPr>
                <w:sz w:val="18"/>
                <w:szCs w:val="18"/>
                <w:lang w:val="en-US"/>
              </w:rPr>
              <w:t>▪</w:t>
            </w:r>
            <w:r w:rsidRPr="00973525">
              <w:rPr>
                <w:sz w:val="18"/>
                <w:szCs w:val="18"/>
                <w:lang w:val="en-US"/>
              </w:rPr>
              <w:tab/>
            </w:r>
            <w:r w:rsidRPr="00C21071">
              <w:rPr>
                <w:sz w:val="16"/>
                <w:szCs w:val="16"/>
                <w:lang w:val="en-US"/>
              </w:rPr>
              <w:t>Streamline the current disclosure templates16 for public securitisations</w:t>
            </w:r>
          </w:p>
          <w:p w14:paraId="138269DB" w14:textId="77777777" w:rsidR="00C21071" w:rsidRPr="00C21071" w:rsidRDefault="00C21071" w:rsidP="00C21071">
            <w:pPr>
              <w:rPr>
                <w:sz w:val="16"/>
                <w:szCs w:val="16"/>
                <w:lang w:val="en-US"/>
              </w:rPr>
            </w:pPr>
            <w:r w:rsidRPr="00C21071">
              <w:rPr>
                <w:sz w:val="16"/>
                <w:szCs w:val="16"/>
                <w:lang w:val="en-US"/>
              </w:rPr>
              <w:t>▪</w:t>
            </w:r>
            <w:r w:rsidRPr="00C21071">
              <w:rPr>
                <w:sz w:val="16"/>
                <w:szCs w:val="16"/>
                <w:lang w:val="en-US"/>
              </w:rPr>
              <w:tab/>
              <w:t>Introduce a simplified template for private securitisations and require private securitisations to report to securitisation repositories (this reporting will not be public).</w:t>
            </w:r>
          </w:p>
          <w:p w14:paraId="1EA772FB" w14:textId="0D23AD56" w:rsidR="00C21071" w:rsidRPr="00C21071" w:rsidRDefault="00C21071" w:rsidP="00C21071">
            <w:pPr>
              <w:rPr>
                <w:sz w:val="18"/>
                <w:szCs w:val="18"/>
                <w:lang w:val="en-US"/>
              </w:rPr>
            </w:pPr>
          </w:p>
          <w:p w14:paraId="618EF5C4" w14:textId="31A41F6B" w:rsidR="00C21071" w:rsidRPr="00973525" w:rsidRDefault="00000000" w:rsidP="00C21071">
            <w:pPr>
              <w:rPr>
                <w:sz w:val="18"/>
                <w:szCs w:val="18"/>
                <w:lang w:val="en-US"/>
              </w:rPr>
            </w:pPr>
            <w:sdt>
              <w:sdtPr>
                <w:rPr>
                  <w:sz w:val="18"/>
                  <w:szCs w:val="18"/>
                  <w:lang w:val="en-GB"/>
                </w:rPr>
                <w:id w:val="191661626"/>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US"/>
              </w:rPr>
              <w:t xml:space="preserve"> Option 2:</w:t>
            </w:r>
          </w:p>
          <w:p w14:paraId="44774834" w14:textId="77777777" w:rsidR="00C21071" w:rsidRPr="00C21071" w:rsidRDefault="00C21071" w:rsidP="00C21071">
            <w:pPr>
              <w:rPr>
                <w:sz w:val="16"/>
                <w:szCs w:val="16"/>
                <w:lang w:val="en-US"/>
              </w:rPr>
            </w:pPr>
            <w:r w:rsidRPr="00973525">
              <w:rPr>
                <w:sz w:val="18"/>
                <w:szCs w:val="18"/>
                <w:lang w:val="en-US"/>
              </w:rPr>
              <w:t>▪</w:t>
            </w:r>
            <w:r w:rsidRPr="00973525">
              <w:rPr>
                <w:sz w:val="18"/>
                <w:szCs w:val="18"/>
                <w:lang w:val="en-US"/>
              </w:rPr>
              <w:tab/>
            </w:r>
            <w:r w:rsidRPr="00C21071">
              <w:rPr>
                <w:sz w:val="16"/>
                <w:szCs w:val="16"/>
                <w:lang w:val="en-US"/>
              </w:rPr>
              <w:t>Remove the distinction between public and private securitisations.</w:t>
            </w:r>
          </w:p>
          <w:p w14:paraId="2F19D13A" w14:textId="77777777" w:rsidR="00C21071" w:rsidRPr="00C21071" w:rsidRDefault="00C21071" w:rsidP="00C21071">
            <w:pPr>
              <w:rPr>
                <w:sz w:val="16"/>
                <w:szCs w:val="16"/>
                <w:lang w:val="en-US"/>
              </w:rPr>
            </w:pPr>
            <w:r w:rsidRPr="00C21071">
              <w:rPr>
                <w:sz w:val="16"/>
                <w:szCs w:val="16"/>
                <w:lang w:val="en-US"/>
              </w:rPr>
              <w:t>▪</w:t>
            </w:r>
            <w:r w:rsidRPr="00C21071">
              <w:rPr>
                <w:sz w:val="16"/>
                <w:szCs w:val="16"/>
                <w:lang w:val="en-US"/>
              </w:rPr>
              <w:tab/>
              <w:t xml:space="preserve">Introduce principles-based </w:t>
            </w:r>
            <w:proofErr w:type="gramStart"/>
            <w:r w:rsidRPr="00C21071">
              <w:rPr>
                <w:sz w:val="16"/>
                <w:szCs w:val="16"/>
                <w:lang w:val="en-US"/>
              </w:rPr>
              <w:t>disclosure</w:t>
            </w:r>
            <w:proofErr w:type="gramEnd"/>
            <w:r w:rsidRPr="00C21071">
              <w:rPr>
                <w:sz w:val="16"/>
                <w:szCs w:val="16"/>
                <w:lang w:val="en-US"/>
              </w:rPr>
              <w:t xml:space="preserve"> for investors without a prescribed template.</w:t>
            </w:r>
          </w:p>
          <w:p w14:paraId="0C7C6BD9" w14:textId="77777777" w:rsidR="00C21071" w:rsidRPr="00973525" w:rsidRDefault="00C21071" w:rsidP="00C21071">
            <w:pPr>
              <w:rPr>
                <w:sz w:val="18"/>
                <w:szCs w:val="18"/>
                <w:lang w:val="en-US"/>
              </w:rPr>
            </w:pPr>
            <w:r w:rsidRPr="00C21071">
              <w:rPr>
                <w:sz w:val="16"/>
                <w:szCs w:val="16"/>
                <w:lang w:val="en-US"/>
              </w:rPr>
              <w:t>▪</w:t>
            </w:r>
            <w:r w:rsidRPr="00C21071">
              <w:rPr>
                <w:sz w:val="16"/>
                <w:szCs w:val="16"/>
                <w:lang w:val="en-US"/>
              </w:rPr>
              <w:tab/>
              <w:t>Replace the current disclosure templates with a simplified prescribed template that fits the needs of competent authorities with a reduced scope/reduced number of fields than the current templates</w:t>
            </w:r>
            <w:r w:rsidRPr="00973525">
              <w:rPr>
                <w:sz w:val="18"/>
                <w:szCs w:val="18"/>
                <w:lang w:val="en-US"/>
              </w:rPr>
              <w:t>.</w:t>
            </w:r>
          </w:p>
          <w:p w14:paraId="18F2C946" w14:textId="1C422C24" w:rsidR="00C21071" w:rsidRPr="00C21071" w:rsidRDefault="00C21071" w:rsidP="00C21071">
            <w:pPr>
              <w:rPr>
                <w:sz w:val="18"/>
                <w:szCs w:val="18"/>
                <w:lang w:val="en-US"/>
              </w:rPr>
            </w:pPr>
          </w:p>
          <w:p w14:paraId="35203DD9" w14:textId="647E995A" w:rsidR="00C21071" w:rsidRPr="00973525" w:rsidRDefault="00000000" w:rsidP="00C21071">
            <w:pPr>
              <w:rPr>
                <w:color w:val="FF0000"/>
                <w:sz w:val="18"/>
                <w:szCs w:val="18"/>
                <w:lang w:val="en-US"/>
              </w:rPr>
            </w:pPr>
            <w:sdt>
              <w:sdtPr>
                <w:rPr>
                  <w:sz w:val="18"/>
                  <w:szCs w:val="18"/>
                  <w:lang w:val="en-GB"/>
                </w:rPr>
                <w:id w:val="-1002439565"/>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US"/>
              </w:rPr>
              <w:t xml:space="preserve"> Option 3: </w:t>
            </w:r>
            <w:r w:rsidR="00C21071" w:rsidRPr="00C21071">
              <w:rPr>
                <w:sz w:val="16"/>
                <w:szCs w:val="16"/>
                <w:lang w:val="en-US"/>
              </w:rPr>
              <w:t>No change to the existing regime under Article 7.</w:t>
            </w:r>
          </w:p>
          <w:p w14:paraId="54D3EDF9" w14:textId="42648DD0" w:rsidR="00C21071" w:rsidRPr="00973525" w:rsidRDefault="00C21071" w:rsidP="00C21071">
            <w:pPr>
              <w:rPr>
                <w:sz w:val="18"/>
                <w:szCs w:val="18"/>
                <w:lang w:val="en-GB"/>
              </w:rPr>
            </w:pPr>
          </w:p>
        </w:tc>
        <w:tc>
          <w:tcPr>
            <w:tcW w:w="236" w:type="dxa"/>
          </w:tcPr>
          <w:p w14:paraId="615D5B6C" w14:textId="77777777" w:rsidR="00C21071" w:rsidRPr="00C21071" w:rsidRDefault="00C21071" w:rsidP="0079353D">
            <w:pPr>
              <w:ind w:firstLine="1917"/>
              <w:rPr>
                <w:sz w:val="18"/>
                <w:szCs w:val="18"/>
                <w:lang w:val="en-GB"/>
              </w:rPr>
            </w:pPr>
          </w:p>
        </w:tc>
      </w:tr>
      <w:tr w:rsidR="00C21071" w:rsidRPr="00973525" w14:paraId="18673A3E" w14:textId="77777777" w:rsidTr="30964D0C">
        <w:trPr>
          <w:gridAfter w:val="1"/>
          <w:wAfter w:w="16" w:type="dxa"/>
        </w:trPr>
        <w:tc>
          <w:tcPr>
            <w:tcW w:w="2893" w:type="dxa"/>
          </w:tcPr>
          <w:p w14:paraId="0902B058" w14:textId="76360257" w:rsidR="00C21071" w:rsidRPr="00973525" w:rsidRDefault="00C21071" w:rsidP="00C21071">
            <w:pPr>
              <w:rPr>
                <w:sz w:val="18"/>
                <w:szCs w:val="18"/>
                <w:lang w:val="en-GB"/>
              </w:rPr>
            </w:pPr>
            <w:r w:rsidRPr="00973525">
              <w:rPr>
                <w:sz w:val="18"/>
                <w:szCs w:val="18"/>
                <w:lang w:val="en-US"/>
              </w:rPr>
              <w:t>5.6.</w:t>
            </w:r>
            <w:r w:rsidRPr="00973525">
              <w:rPr>
                <w:sz w:val="18"/>
                <w:szCs w:val="18"/>
                <w:lang w:val="en-US"/>
              </w:rPr>
              <w:tab/>
              <w:t xml:space="preserve">If you are a supervisor, what impact (in percent or EUR) would you anticipate Option </w:t>
            </w:r>
            <w:proofErr w:type="gramStart"/>
            <w:r w:rsidRPr="00973525">
              <w:rPr>
                <w:sz w:val="18"/>
                <w:szCs w:val="18"/>
                <w:lang w:val="en-US"/>
              </w:rPr>
              <w:t>1  would</w:t>
            </w:r>
            <w:proofErr w:type="gramEnd"/>
            <w:r w:rsidRPr="00973525">
              <w:rPr>
                <w:sz w:val="18"/>
                <w:szCs w:val="18"/>
                <w:lang w:val="en-US"/>
              </w:rPr>
              <w:t xml:space="preserve"> have on your supervisory costs?</w:t>
            </w:r>
          </w:p>
        </w:tc>
        <w:tc>
          <w:tcPr>
            <w:tcW w:w="7740" w:type="dxa"/>
          </w:tcPr>
          <w:p w14:paraId="4733CD60" w14:textId="11C733E5" w:rsidR="00C21071" w:rsidRPr="00973525" w:rsidRDefault="59EBA4D2" w:rsidP="00C21071">
            <w:pPr>
              <w:rPr>
                <w:sz w:val="18"/>
                <w:szCs w:val="18"/>
                <w:lang w:val="en-GB"/>
              </w:rPr>
            </w:pPr>
            <w:r w:rsidRPr="30964D0C">
              <w:rPr>
                <w:sz w:val="18"/>
                <w:szCs w:val="18"/>
                <w:lang w:val="en-US"/>
              </w:rPr>
              <w:t>N/A</w:t>
            </w:r>
          </w:p>
        </w:tc>
        <w:tc>
          <w:tcPr>
            <w:tcW w:w="236" w:type="dxa"/>
          </w:tcPr>
          <w:p w14:paraId="295AB890" w14:textId="77777777" w:rsidR="00C21071" w:rsidRPr="00973525" w:rsidRDefault="00C21071" w:rsidP="0079353D">
            <w:pPr>
              <w:ind w:firstLine="1917"/>
              <w:rPr>
                <w:sz w:val="18"/>
                <w:szCs w:val="18"/>
              </w:rPr>
            </w:pPr>
          </w:p>
        </w:tc>
      </w:tr>
      <w:tr w:rsidR="00C21071" w:rsidRPr="00973525" w14:paraId="7C5881DD" w14:textId="77777777" w:rsidTr="30964D0C">
        <w:trPr>
          <w:gridAfter w:val="1"/>
          <w:wAfter w:w="16" w:type="dxa"/>
        </w:trPr>
        <w:tc>
          <w:tcPr>
            <w:tcW w:w="2893" w:type="dxa"/>
          </w:tcPr>
          <w:p w14:paraId="7D5D3F03" w14:textId="77777777" w:rsidR="00C21071" w:rsidRPr="00973525" w:rsidRDefault="00C21071" w:rsidP="00C21071">
            <w:pPr>
              <w:rPr>
                <w:sz w:val="18"/>
                <w:szCs w:val="18"/>
                <w:lang w:val="en-US"/>
              </w:rPr>
            </w:pPr>
            <w:r w:rsidRPr="00973525">
              <w:rPr>
                <w:sz w:val="18"/>
                <w:szCs w:val="18"/>
                <w:lang w:val="en-US"/>
              </w:rPr>
              <w:t>5.7.</w:t>
            </w:r>
            <w:r w:rsidRPr="00973525">
              <w:rPr>
                <w:sz w:val="18"/>
                <w:szCs w:val="18"/>
                <w:lang w:val="en-US"/>
              </w:rPr>
              <w:tab/>
              <w:t>Assuming that transparency requirements are amended as suggested in Option 1, by how much would the volume of securitisations that you issue, or invest in, change?</w:t>
            </w:r>
          </w:p>
          <w:p w14:paraId="4B320C67" w14:textId="77777777" w:rsidR="00C21071" w:rsidRPr="00973525" w:rsidRDefault="00C21071" w:rsidP="00C21071">
            <w:pPr>
              <w:rPr>
                <w:sz w:val="18"/>
                <w:szCs w:val="18"/>
                <w:lang w:val="en-GB"/>
              </w:rPr>
            </w:pPr>
          </w:p>
        </w:tc>
        <w:tc>
          <w:tcPr>
            <w:tcW w:w="7740" w:type="dxa"/>
          </w:tcPr>
          <w:p w14:paraId="5A12A7E1" w14:textId="0C75E78B" w:rsidR="00C21071" w:rsidRPr="00973525" w:rsidRDefault="59EBA4D2" w:rsidP="00C21071">
            <w:pPr>
              <w:rPr>
                <w:sz w:val="18"/>
                <w:szCs w:val="18"/>
                <w:lang w:val="en-GB"/>
              </w:rPr>
            </w:pPr>
            <w:r w:rsidRPr="30964D0C">
              <w:rPr>
                <w:sz w:val="18"/>
                <w:szCs w:val="18"/>
                <w:lang w:val="en-US"/>
              </w:rPr>
              <w:t>TBC</w:t>
            </w:r>
          </w:p>
        </w:tc>
        <w:tc>
          <w:tcPr>
            <w:tcW w:w="236" w:type="dxa"/>
          </w:tcPr>
          <w:p w14:paraId="18BF4220" w14:textId="77777777" w:rsidR="00C21071" w:rsidRPr="00973525" w:rsidRDefault="00C21071" w:rsidP="0079353D">
            <w:pPr>
              <w:ind w:firstLine="1917"/>
              <w:rPr>
                <w:sz w:val="18"/>
                <w:szCs w:val="18"/>
              </w:rPr>
            </w:pPr>
          </w:p>
        </w:tc>
      </w:tr>
      <w:tr w:rsidR="00C21071" w:rsidRPr="00973525" w14:paraId="53517AFD" w14:textId="77777777" w:rsidTr="30964D0C">
        <w:trPr>
          <w:gridAfter w:val="1"/>
          <w:wAfter w:w="16" w:type="dxa"/>
        </w:trPr>
        <w:tc>
          <w:tcPr>
            <w:tcW w:w="2893" w:type="dxa"/>
          </w:tcPr>
          <w:p w14:paraId="6A7AFCFC" w14:textId="36C8D5EB" w:rsidR="00C21071" w:rsidRPr="00973525" w:rsidRDefault="00C21071" w:rsidP="00C21071">
            <w:pPr>
              <w:rPr>
                <w:sz w:val="18"/>
                <w:szCs w:val="18"/>
                <w:lang w:val="en-GB"/>
              </w:rPr>
            </w:pPr>
            <w:r w:rsidRPr="00973525">
              <w:rPr>
                <w:sz w:val="18"/>
                <w:szCs w:val="18"/>
                <w:lang w:val="en-US"/>
              </w:rPr>
              <w:t>5.8.</w:t>
            </w:r>
            <w:r w:rsidRPr="00973525">
              <w:rPr>
                <w:sz w:val="18"/>
                <w:szCs w:val="18"/>
                <w:lang w:val="en-US"/>
              </w:rPr>
              <w:tab/>
              <w:t>What impact (in percent or EUR) would you anticipate Option 1 would have on your one-off and annual recurring costs for complying with the transparency requirements in Article 7? Please explain your answer.</w:t>
            </w:r>
          </w:p>
        </w:tc>
        <w:tc>
          <w:tcPr>
            <w:tcW w:w="7740" w:type="dxa"/>
          </w:tcPr>
          <w:p w14:paraId="0B483993" w14:textId="1BEC7EA0" w:rsidR="00C21071" w:rsidRPr="00973525" w:rsidRDefault="59EBA4D2" w:rsidP="00C21071">
            <w:pPr>
              <w:rPr>
                <w:sz w:val="18"/>
                <w:szCs w:val="18"/>
                <w:lang w:val="en-GB"/>
              </w:rPr>
            </w:pPr>
            <w:r w:rsidRPr="30964D0C">
              <w:rPr>
                <w:sz w:val="18"/>
                <w:szCs w:val="18"/>
                <w:lang w:val="en-US"/>
              </w:rPr>
              <w:t>TBC</w:t>
            </w:r>
          </w:p>
        </w:tc>
        <w:tc>
          <w:tcPr>
            <w:tcW w:w="236" w:type="dxa"/>
          </w:tcPr>
          <w:p w14:paraId="6CD570B3" w14:textId="77777777" w:rsidR="00C21071" w:rsidRPr="00973525" w:rsidRDefault="00C21071" w:rsidP="0079353D">
            <w:pPr>
              <w:ind w:firstLine="1917"/>
              <w:rPr>
                <w:sz w:val="18"/>
                <w:szCs w:val="18"/>
              </w:rPr>
            </w:pPr>
          </w:p>
        </w:tc>
      </w:tr>
      <w:tr w:rsidR="00C21071" w:rsidRPr="0000602A" w14:paraId="28BCF47B" w14:textId="77777777" w:rsidTr="30964D0C">
        <w:trPr>
          <w:gridAfter w:val="1"/>
          <w:wAfter w:w="16" w:type="dxa"/>
        </w:trPr>
        <w:tc>
          <w:tcPr>
            <w:tcW w:w="2893" w:type="dxa"/>
          </w:tcPr>
          <w:p w14:paraId="52B94B03" w14:textId="77777777" w:rsidR="00C21071" w:rsidRPr="00973525" w:rsidRDefault="00C21071" w:rsidP="00C21071">
            <w:pPr>
              <w:rPr>
                <w:sz w:val="18"/>
                <w:szCs w:val="18"/>
                <w:lang w:val="en-US"/>
              </w:rPr>
            </w:pPr>
            <w:r w:rsidRPr="00973525">
              <w:rPr>
                <w:sz w:val="18"/>
                <w:szCs w:val="18"/>
                <w:lang w:val="en-US"/>
              </w:rPr>
              <w:t>5.9.</w:t>
            </w:r>
            <w:r w:rsidRPr="00973525">
              <w:rPr>
                <w:sz w:val="18"/>
                <w:szCs w:val="18"/>
                <w:lang w:val="en-US"/>
              </w:rPr>
              <w:tab/>
              <w:t>Do you see any concerns, impediments, or unintended consequences from requiring private securitisations to report to securitisation repositories?</w:t>
            </w:r>
          </w:p>
          <w:p w14:paraId="297F9047" w14:textId="77777777" w:rsidR="00C21071" w:rsidRPr="00973525" w:rsidRDefault="00C21071" w:rsidP="00C21071">
            <w:pPr>
              <w:rPr>
                <w:sz w:val="18"/>
                <w:szCs w:val="18"/>
                <w:lang w:val="en-US"/>
              </w:rPr>
            </w:pPr>
          </w:p>
          <w:p w14:paraId="1DCEB3A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1DCE1E6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07711303"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17F31968" w14:textId="77777777" w:rsidR="00C21071" w:rsidRPr="00973525" w:rsidRDefault="00C21071" w:rsidP="00C21071">
            <w:pPr>
              <w:rPr>
                <w:sz w:val="18"/>
                <w:szCs w:val="18"/>
                <w:lang w:val="en-US"/>
              </w:rPr>
            </w:pPr>
          </w:p>
          <w:p w14:paraId="77E80E67" w14:textId="642270EA" w:rsidR="00C21071" w:rsidRPr="00973525" w:rsidRDefault="00C21071" w:rsidP="00C21071">
            <w:pPr>
              <w:rPr>
                <w:sz w:val="18"/>
                <w:szCs w:val="18"/>
                <w:lang w:val="en-GB"/>
              </w:rPr>
            </w:pPr>
            <w:r w:rsidRPr="00973525">
              <w:rPr>
                <w:sz w:val="18"/>
                <w:szCs w:val="18"/>
                <w:lang w:val="en-US"/>
              </w:rPr>
              <w:t>Please explain your answer.</w:t>
            </w:r>
          </w:p>
        </w:tc>
        <w:tc>
          <w:tcPr>
            <w:tcW w:w="7740" w:type="dxa"/>
          </w:tcPr>
          <w:p w14:paraId="72DC3577" w14:textId="77777777" w:rsidR="00C21071" w:rsidRPr="00973525" w:rsidRDefault="00C21071" w:rsidP="00C21071">
            <w:pPr>
              <w:rPr>
                <w:sz w:val="18"/>
                <w:szCs w:val="18"/>
                <w:lang w:val="en-US"/>
              </w:rPr>
            </w:pPr>
            <w:r w:rsidRPr="00973525">
              <w:rPr>
                <w:sz w:val="18"/>
                <w:szCs w:val="18"/>
                <w:lang w:val="en-US"/>
              </w:rPr>
              <w:lastRenderedPageBreak/>
              <w:t>Yes</w:t>
            </w:r>
          </w:p>
          <w:p w14:paraId="04FC0D38" w14:textId="77777777" w:rsidR="00C21071" w:rsidRPr="00973525" w:rsidRDefault="00C21071" w:rsidP="00C21071">
            <w:pPr>
              <w:rPr>
                <w:sz w:val="18"/>
                <w:szCs w:val="18"/>
                <w:lang w:val="en-US"/>
              </w:rPr>
            </w:pPr>
          </w:p>
          <w:p w14:paraId="5493E1E7" w14:textId="77777777" w:rsidR="00C21071" w:rsidRPr="00973525" w:rsidRDefault="00C21071" w:rsidP="00C21071">
            <w:pPr>
              <w:rPr>
                <w:sz w:val="18"/>
                <w:szCs w:val="18"/>
                <w:lang w:val="en-US"/>
              </w:rPr>
            </w:pPr>
            <w:r w:rsidRPr="00973525">
              <w:rPr>
                <w:sz w:val="18"/>
                <w:szCs w:val="18"/>
                <w:lang w:val="en-US"/>
              </w:rPr>
              <w:t>Requiring private securitisations to report to repositories would represent a significant additional burden. It would not be consistent with the global objective to simplify reporting for private deals.</w:t>
            </w:r>
          </w:p>
          <w:p w14:paraId="484E3C79" w14:textId="77777777" w:rsidR="00C21071" w:rsidRPr="00973525" w:rsidRDefault="00C21071" w:rsidP="00C21071">
            <w:pPr>
              <w:rPr>
                <w:sz w:val="18"/>
                <w:szCs w:val="18"/>
                <w:lang w:val="en-US"/>
              </w:rPr>
            </w:pPr>
            <w:r w:rsidRPr="00973525">
              <w:rPr>
                <w:sz w:val="18"/>
                <w:szCs w:val="18"/>
                <w:lang w:val="en-US"/>
              </w:rPr>
              <w:t xml:space="preserve">In </w:t>
            </w:r>
            <w:proofErr w:type="gramStart"/>
            <w:r w:rsidRPr="00973525">
              <w:rPr>
                <w:sz w:val="18"/>
                <w:szCs w:val="18"/>
                <w:lang w:val="en-US"/>
              </w:rPr>
              <w:t>addition</w:t>
            </w:r>
            <w:proofErr w:type="gramEnd"/>
            <w:r w:rsidRPr="00973525">
              <w:rPr>
                <w:sz w:val="18"/>
                <w:szCs w:val="18"/>
                <w:lang w:val="en-US"/>
              </w:rPr>
              <w:t xml:space="preserve"> we would expect no additional required information compared with the current ESMA reporting (for instance in aggregated annexes 11/13 for ABCP trade receivables securitisations).</w:t>
            </w:r>
          </w:p>
          <w:p w14:paraId="7C72DAD3" w14:textId="77777777" w:rsidR="00C21071" w:rsidRPr="00973525" w:rsidRDefault="00C21071" w:rsidP="00C21071">
            <w:pPr>
              <w:rPr>
                <w:sz w:val="18"/>
                <w:szCs w:val="18"/>
                <w:lang w:val="en-US"/>
              </w:rPr>
            </w:pPr>
          </w:p>
          <w:p w14:paraId="5D41CDEE" w14:textId="77777777" w:rsidR="00C21071" w:rsidRPr="00973525" w:rsidRDefault="00C21071" w:rsidP="00C21071">
            <w:pPr>
              <w:rPr>
                <w:sz w:val="18"/>
                <w:szCs w:val="18"/>
                <w:lang w:val="en-US"/>
              </w:rPr>
            </w:pPr>
            <w:r w:rsidRPr="00973525">
              <w:rPr>
                <w:sz w:val="18"/>
                <w:szCs w:val="18"/>
                <w:lang w:val="en-US"/>
              </w:rPr>
              <w:t>Besides, there are several other existing channels to report, using a repository will add unnecessaries costs.</w:t>
            </w:r>
          </w:p>
          <w:p w14:paraId="40861846" w14:textId="77777777" w:rsidR="00C21071" w:rsidRPr="00973525" w:rsidRDefault="00C21071" w:rsidP="00C21071">
            <w:pPr>
              <w:rPr>
                <w:sz w:val="18"/>
                <w:szCs w:val="18"/>
                <w:lang w:val="en-US"/>
              </w:rPr>
            </w:pPr>
          </w:p>
          <w:p w14:paraId="1C7D8519" w14:textId="735E1616" w:rsidR="00C21071" w:rsidRPr="00973525" w:rsidRDefault="00C21071" w:rsidP="00C21071">
            <w:pPr>
              <w:rPr>
                <w:sz w:val="18"/>
                <w:szCs w:val="18"/>
                <w:lang w:val="en-GB"/>
              </w:rPr>
            </w:pPr>
            <w:r w:rsidRPr="00973525">
              <w:rPr>
                <w:sz w:val="18"/>
                <w:szCs w:val="18"/>
                <w:lang w:val="en-US"/>
              </w:rPr>
              <w:t>This could breach confidentiality duties in respect of the underlying assets, the structure of the securitisation transaction and/or the funding sources and risk management of the originator, as well as the client relationship between the originator and the arranger, sponsor and/or investors</w:t>
            </w:r>
          </w:p>
        </w:tc>
        <w:tc>
          <w:tcPr>
            <w:tcW w:w="236" w:type="dxa"/>
          </w:tcPr>
          <w:p w14:paraId="1667D757" w14:textId="77777777" w:rsidR="00C21071" w:rsidRPr="00973525" w:rsidRDefault="00C21071" w:rsidP="0079353D">
            <w:pPr>
              <w:ind w:firstLine="1917"/>
              <w:rPr>
                <w:sz w:val="18"/>
                <w:szCs w:val="18"/>
                <w:lang w:val="en-GB"/>
              </w:rPr>
            </w:pPr>
          </w:p>
        </w:tc>
      </w:tr>
      <w:tr w:rsidR="00C21071" w:rsidRPr="0000602A" w14:paraId="32B003B1" w14:textId="77777777" w:rsidTr="30964D0C">
        <w:trPr>
          <w:gridAfter w:val="1"/>
          <w:wAfter w:w="16" w:type="dxa"/>
        </w:trPr>
        <w:tc>
          <w:tcPr>
            <w:tcW w:w="2893" w:type="dxa"/>
          </w:tcPr>
          <w:p w14:paraId="4BFD6D47" w14:textId="77777777" w:rsidR="00C21071" w:rsidRPr="00973525" w:rsidRDefault="00C21071" w:rsidP="00C21071">
            <w:pPr>
              <w:rPr>
                <w:sz w:val="18"/>
                <w:szCs w:val="18"/>
                <w:lang w:val="en-US"/>
              </w:rPr>
            </w:pPr>
            <w:r w:rsidRPr="00973525">
              <w:rPr>
                <w:sz w:val="18"/>
                <w:szCs w:val="18"/>
                <w:lang w:val="en-US"/>
              </w:rPr>
              <w:t>5.10.</w:t>
            </w:r>
            <w:r w:rsidRPr="00973525">
              <w:rPr>
                <w:sz w:val="18"/>
                <w:szCs w:val="18"/>
                <w:lang w:val="en-US"/>
              </w:rPr>
              <w:tab/>
              <w:t>Under Option 1, should the current definition of a public securitisation be expanded to a securitisation fulfilling any of the following criteria: (1) a prospectus has been drawn up in compliance with the EU Prospectus Regulation; or (2) notes were admitted a trading venue;  or (3) it was marketed (to a broad range/audience of investors) and the relevant terms and conditions are non-negotiable among the parties?</w:t>
            </w:r>
          </w:p>
          <w:p w14:paraId="54562C6F" w14:textId="77777777" w:rsidR="00C21071" w:rsidRPr="00973525" w:rsidRDefault="00C21071" w:rsidP="00C21071">
            <w:pPr>
              <w:rPr>
                <w:sz w:val="18"/>
                <w:szCs w:val="18"/>
                <w:lang w:val="en-US"/>
              </w:rPr>
            </w:pPr>
          </w:p>
          <w:p w14:paraId="08F390E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030A4A4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3CCF67C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7BCCC755" w14:textId="77777777" w:rsidR="00C21071" w:rsidRPr="00973525" w:rsidRDefault="00C21071" w:rsidP="00C21071">
            <w:pPr>
              <w:rPr>
                <w:sz w:val="18"/>
                <w:szCs w:val="18"/>
                <w:lang w:val="en-US"/>
              </w:rPr>
            </w:pPr>
          </w:p>
          <w:p w14:paraId="73FBDE49" w14:textId="7A0805C1" w:rsidR="00C21071" w:rsidRPr="00973525" w:rsidRDefault="00C21071" w:rsidP="00C21071">
            <w:pPr>
              <w:rPr>
                <w:sz w:val="18"/>
                <w:szCs w:val="18"/>
                <w:lang w:val="en-GB"/>
              </w:rPr>
            </w:pPr>
            <w:r w:rsidRPr="00973525">
              <w:rPr>
                <w:sz w:val="18"/>
                <w:szCs w:val="18"/>
                <w:lang w:val="en-US"/>
              </w:rPr>
              <w:t>Please explain your answer.</w:t>
            </w:r>
          </w:p>
        </w:tc>
        <w:tc>
          <w:tcPr>
            <w:tcW w:w="7740" w:type="dxa"/>
          </w:tcPr>
          <w:p w14:paraId="4C771F2D" w14:textId="77777777" w:rsidR="00C21071" w:rsidRPr="00973525" w:rsidRDefault="00C21071" w:rsidP="00C21071">
            <w:pPr>
              <w:rPr>
                <w:sz w:val="18"/>
                <w:szCs w:val="18"/>
                <w:lang w:val="en-US"/>
              </w:rPr>
            </w:pPr>
            <w:r w:rsidRPr="00973525">
              <w:rPr>
                <w:sz w:val="18"/>
                <w:szCs w:val="18"/>
                <w:lang w:val="en-US"/>
              </w:rPr>
              <w:t>No</w:t>
            </w:r>
          </w:p>
          <w:p w14:paraId="10F3D259" w14:textId="77777777" w:rsidR="00C21071" w:rsidRPr="00973525" w:rsidRDefault="00C21071" w:rsidP="00C21071">
            <w:pPr>
              <w:rPr>
                <w:sz w:val="18"/>
                <w:szCs w:val="18"/>
                <w:lang w:val="en-US"/>
              </w:rPr>
            </w:pPr>
          </w:p>
          <w:p w14:paraId="74D9615E" w14:textId="77777777" w:rsidR="00C21071" w:rsidRPr="00973525" w:rsidRDefault="00C21071" w:rsidP="00C21071">
            <w:pPr>
              <w:rPr>
                <w:sz w:val="18"/>
                <w:szCs w:val="18"/>
                <w:lang w:val="en-US"/>
              </w:rPr>
            </w:pPr>
            <w:r w:rsidRPr="00973525">
              <w:rPr>
                <w:sz w:val="18"/>
                <w:szCs w:val="18"/>
                <w:lang w:val="en-US"/>
              </w:rPr>
              <w:t>The current definition is appropriate in our view, it should not be expanded. The proposed change is likely to create more uncertainty.</w:t>
            </w:r>
          </w:p>
          <w:p w14:paraId="52794676" w14:textId="77777777" w:rsidR="00C21071" w:rsidRPr="00973525" w:rsidRDefault="00C21071" w:rsidP="00C21071">
            <w:pPr>
              <w:rPr>
                <w:sz w:val="18"/>
                <w:szCs w:val="18"/>
                <w:lang w:val="en-US"/>
              </w:rPr>
            </w:pPr>
          </w:p>
          <w:p w14:paraId="11910BB0" w14:textId="77777777" w:rsidR="00C21071" w:rsidRPr="00973525" w:rsidRDefault="00C21071" w:rsidP="00C21071">
            <w:pPr>
              <w:rPr>
                <w:sz w:val="18"/>
                <w:szCs w:val="18"/>
                <w:lang w:val="en-US"/>
              </w:rPr>
            </w:pPr>
            <w:r w:rsidRPr="00973525">
              <w:rPr>
                <w:sz w:val="18"/>
                <w:szCs w:val="18"/>
                <w:lang w:val="en-US"/>
              </w:rPr>
              <w:t>Admission to a trading venue should also not be a relevant criterion.</w:t>
            </w:r>
          </w:p>
          <w:p w14:paraId="047A2B38" w14:textId="77777777" w:rsidR="00C21071" w:rsidRPr="00973525" w:rsidRDefault="00C21071" w:rsidP="00C21071">
            <w:pPr>
              <w:rPr>
                <w:sz w:val="18"/>
                <w:szCs w:val="18"/>
                <w:lang w:val="en-US"/>
              </w:rPr>
            </w:pPr>
          </w:p>
          <w:p w14:paraId="208B7AED" w14:textId="5DD8B35F" w:rsidR="00C21071" w:rsidRPr="00973525" w:rsidRDefault="00C21071" w:rsidP="00C21071">
            <w:pPr>
              <w:rPr>
                <w:sz w:val="18"/>
                <w:szCs w:val="18"/>
                <w:lang w:val="en-GB"/>
              </w:rPr>
            </w:pPr>
            <w:r w:rsidRPr="00973525">
              <w:rPr>
                <w:sz w:val="18"/>
                <w:szCs w:val="18"/>
                <w:lang w:val="en-US"/>
              </w:rPr>
              <w:t>Marketing on a non-negotiable basis to a broad range of investors may be relevant, provided that these criteria are strictly defined to cover only transactions where investors have no direct relationship whatsoever with the originator/sponsor</w:t>
            </w:r>
          </w:p>
        </w:tc>
        <w:tc>
          <w:tcPr>
            <w:tcW w:w="236" w:type="dxa"/>
          </w:tcPr>
          <w:p w14:paraId="21F798DC" w14:textId="77777777" w:rsidR="00C21071" w:rsidRPr="00973525" w:rsidRDefault="00C21071" w:rsidP="0079353D">
            <w:pPr>
              <w:ind w:firstLine="1917"/>
              <w:rPr>
                <w:sz w:val="18"/>
                <w:szCs w:val="18"/>
                <w:lang w:val="en-GB"/>
              </w:rPr>
            </w:pPr>
          </w:p>
        </w:tc>
      </w:tr>
      <w:tr w:rsidR="00C21071" w:rsidRPr="00973525" w14:paraId="1EF59703" w14:textId="77777777" w:rsidTr="30964D0C">
        <w:trPr>
          <w:gridAfter w:val="1"/>
          <w:wAfter w:w="16" w:type="dxa"/>
        </w:trPr>
        <w:tc>
          <w:tcPr>
            <w:tcW w:w="2893" w:type="dxa"/>
          </w:tcPr>
          <w:p w14:paraId="258A79FD" w14:textId="560B7E0D" w:rsidR="00C21071" w:rsidRPr="00973525" w:rsidRDefault="00C21071" w:rsidP="00C21071">
            <w:pPr>
              <w:rPr>
                <w:sz w:val="18"/>
                <w:szCs w:val="18"/>
                <w:lang w:val="en-GB"/>
              </w:rPr>
            </w:pPr>
            <w:r w:rsidRPr="00973525">
              <w:rPr>
                <w:sz w:val="18"/>
                <w:szCs w:val="18"/>
                <w:lang w:val="en-US"/>
              </w:rPr>
              <w:t>5.11.</w:t>
            </w:r>
            <w:r w:rsidRPr="00973525">
              <w:rPr>
                <w:sz w:val="18"/>
                <w:szCs w:val="18"/>
                <w:lang w:val="en-US"/>
              </w:rPr>
              <w:tab/>
              <w:t xml:space="preserve">If you </w:t>
            </w:r>
            <w:proofErr w:type="gramStart"/>
            <w:r w:rsidRPr="00973525">
              <w:rPr>
                <w:sz w:val="18"/>
                <w:szCs w:val="18"/>
                <w:lang w:val="en-US"/>
              </w:rPr>
              <w:t>answered</w:t>
            </w:r>
            <w:proofErr w:type="gramEnd"/>
            <w:r w:rsidRPr="00973525">
              <w:rPr>
                <w:sz w:val="18"/>
                <w:szCs w:val="18"/>
                <w:lang w:val="en-US"/>
              </w:rPr>
              <w:t xml:space="preserve"> </w:t>
            </w:r>
            <w:r w:rsidRPr="00973525">
              <w:rPr>
                <w:b/>
                <w:bCs/>
                <w:sz w:val="18"/>
                <w:szCs w:val="18"/>
                <w:lang w:val="en-US"/>
              </w:rPr>
              <w:t xml:space="preserve">yes to question 5.10., </w:t>
            </w:r>
            <w:r w:rsidRPr="00973525">
              <w:rPr>
                <w:sz w:val="18"/>
                <w:szCs w:val="18"/>
                <w:lang w:val="en-US"/>
              </w:rPr>
              <w:t>what criteria should be used to assess point (3) in the definition above (i.e. a securitisation marketed (to a broad range/audience of investors) and the relevant terms and conditions are non-negotiable among the parties)?</w:t>
            </w:r>
          </w:p>
        </w:tc>
        <w:tc>
          <w:tcPr>
            <w:tcW w:w="7740" w:type="dxa"/>
          </w:tcPr>
          <w:p w14:paraId="4C76ACD6" w14:textId="33FC1ACA" w:rsidR="00C21071" w:rsidRPr="00973525" w:rsidRDefault="00C21071" w:rsidP="00C21071">
            <w:pPr>
              <w:rPr>
                <w:sz w:val="18"/>
                <w:szCs w:val="18"/>
                <w:lang w:val="en-GB"/>
              </w:rPr>
            </w:pPr>
            <w:r w:rsidRPr="00973525">
              <w:rPr>
                <w:sz w:val="18"/>
                <w:szCs w:val="18"/>
                <w:lang w:val="en-US"/>
              </w:rPr>
              <w:t>N/A</w:t>
            </w:r>
          </w:p>
        </w:tc>
        <w:tc>
          <w:tcPr>
            <w:tcW w:w="236" w:type="dxa"/>
          </w:tcPr>
          <w:p w14:paraId="7FD163FB" w14:textId="77777777" w:rsidR="00C21071" w:rsidRPr="00973525" w:rsidRDefault="00C21071" w:rsidP="0079353D">
            <w:pPr>
              <w:ind w:firstLine="1917"/>
              <w:rPr>
                <w:sz w:val="18"/>
                <w:szCs w:val="18"/>
              </w:rPr>
            </w:pPr>
          </w:p>
        </w:tc>
      </w:tr>
      <w:tr w:rsidR="00C21071" w:rsidRPr="00973525" w14:paraId="29FC5AD8" w14:textId="77777777" w:rsidTr="30964D0C">
        <w:trPr>
          <w:gridAfter w:val="1"/>
          <w:wAfter w:w="16" w:type="dxa"/>
        </w:trPr>
        <w:tc>
          <w:tcPr>
            <w:tcW w:w="2893" w:type="dxa"/>
          </w:tcPr>
          <w:p w14:paraId="4EAF0742" w14:textId="323A88EE" w:rsidR="00C21071" w:rsidRPr="00973525" w:rsidRDefault="00C21071" w:rsidP="00C21071">
            <w:pPr>
              <w:rPr>
                <w:sz w:val="18"/>
                <w:szCs w:val="18"/>
                <w:lang w:val="en-GB"/>
              </w:rPr>
            </w:pPr>
            <w:r w:rsidRPr="00973525">
              <w:rPr>
                <w:sz w:val="18"/>
                <w:szCs w:val="18"/>
                <w:lang w:val="en-US"/>
              </w:rPr>
              <w:t>5.12.</w:t>
            </w:r>
            <w:r w:rsidRPr="00973525">
              <w:rPr>
                <w:sz w:val="18"/>
                <w:szCs w:val="18"/>
                <w:lang w:val="en-US"/>
              </w:rPr>
              <w:tab/>
              <w:t xml:space="preserve">If the definition of a public securitisation is expanded (for example, to encompass securitisations fulfilling the criteria set out in question 5.10), what share of your existing private transactions would now fall under this </w:t>
            </w:r>
            <w:proofErr w:type="gramStart"/>
            <w:r w:rsidRPr="00973525">
              <w:rPr>
                <w:sz w:val="18"/>
                <w:szCs w:val="18"/>
                <w:lang w:val="en-US"/>
              </w:rPr>
              <w:t>newly-expanded</w:t>
            </w:r>
            <w:proofErr w:type="gramEnd"/>
            <w:r w:rsidRPr="00973525">
              <w:rPr>
                <w:sz w:val="18"/>
                <w:szCs w:val="18"/>
                <w:lang w:val="en-US"/>
              </w:rPr>
              <w:t xml:space="preserve"> public definition?</w:t>
            </w:r>
          </w:p>
        </w:tc>
        <w:tc>
          <w:tcPr>
            <w:tcW w:w="7740" w:type="dxa"/>
          </w:tcPr>
          <w:p w14:paraId="2BB65F85" w14:textId="32295B2C" w:rsidR="00C21071" w:rsidRPr="00973525" w:rsidRDefault="00C21071" w:rsidP="00C21071">
            <w:pPr>
              <w:rPr>
                <w:sz w:val="18"/>
                <w:szCs w:val="18"/>
                <w:lang w:val="en-GB"/>
              </w:rPr>
            </w:pPr>
            <w:r w:rsidRPr="00973525">
              <w:rPr>
                <w:sz w:val="18"/>
                <w:szCs w:val="18"/>
                <w:lang w:val="en-US"/>
              </w:rPr>
              <w:t>N/A</w:t>
            </w:r>
          </w:p>
        </w:tc>
        <w:tc>
          <w:tcPr>
            <w:tcW w:w="236" w:type="dxa"/>
          </w:tcPr>
          <w:p w14:paraId="0E7B446A" w14:textId="77777777" w:rsidR="00C21071" w:rsidRPr="00973525" w:rsidRDefault="00C21071" w:rsidP="0079353D">
            <w:pPr>
              <w:ind w:firstLine="1917"/>
              <w:rPr>
                <w:sz w:val="18"/>
                <w:szCs w:val="18"/>
              </w:rPr>
            </w:pPr>
          </w:p>
        </w:tc>
      </w:tr>
      <w:tr w:rsidR="00C21071" w:rsidRPr="00973525" w14:paraId="19EE6375" w14:textId="77777777" w:rsidTr="30964D0C">
        <w:trPr>
          <w:gridAfter w:val="1"/>
          <w:wAfter w:w="16" w:type="dxa"/>
        </w:trPr>
        <w:tc>
          <w:tcPr>
            <w:tcW w:w="2893" w:type="dxa"/>
          </w:tcPr>
          <w:p w14:paraId="4B1235A6" w14:textId="77777777" w:rsidR="00C21071" w:rsidRPr="00973525" w:rsidRDefault="00C21071" w:rsidP="00C21071">
            <w:pPr>
              <w:rPr>
                <w:sz w:val="18"/>
                <w:szCs w:val="18"/>
                <w:lang w:val="en-US"/>
              </w:rPr>
            </w:pPr>
            <w:r w:rsidRPr="00973525">
              <w:rPr>
                <w:sz w:val="18"/>
                <w:szCs w:val="18"/>
                <w:lang w:val="en-US"/>
              </w:rPr>
              <w:t>5.13.</w:t>
            </w:r>
            <w:r w:rsidRPr="00973525">
              <w:rPr>
                <w:sz w:val="18"/>
                <w:szCs w:val="18"/>
                <w:lang w:val="en-US"/>
              </w:rPr>
              <w:tab/>
              <w:t>Under Option 1, what would you estimate to be the impact (in percent or EUR) of changing the definition of public securitisation on your one-off and annual recurring costs for complying with Article 7?</w:t>
            </w:r>
          </w:p>
          <w:p w14:paraId="5135DD1F" w14:textId="14A0F7B3" w:rsidR="00C21071" w:rsidRPr="00973525" w:rsidRDefault="00C21071" w:rsidP="00C21071">
            <w:pPr>
              <w:rPr>
                <w:sz w:val="18"/>
                <w:szCs w:val="18"/>
                <w:lang w:val="en-GB"/>
              </w:rPr>
            </w:pPr>
            <w:proofErr w:type="spellStart"/>
            <w:r w:rsidRPr="00973525">
              <w:rPr>
                <w:sz w:val="18"/>
                <w:szCs w:val="18"/>
              </w:rPr>
              <w:t>Please</w:t>
            </w:r>
            <w:proofErr w:type="spellEnd"/>
            <w:r w:rsidRPr="00973525">
              <w:rPr>
                <w:sz w:val="18"/>
                <w:szCs w:val="18"/>
              </w:rPr>
              <w:t xml:space="preserve"> </w:t>
            </w:r>
            <w:proofErr w:type="spellStart"/>
            <w:r w:rsidRPr="00973525">
              <w:rPr>
                <w:sz w:val="18"/>
                <w:szCs w:val="18"/>
              </w:rPr>
              <w:t>explain</w:t>
            </w:r>
            <w:proofErr w:type="spellEnd"/>
            <w:r w:rsidRPr="00973525">
              <w:rPr>
                <w:sz w:val="18"/>
                <w:szCs w:val="18"/>
              </w:rPr>
              <w:t xml:space="preserve"> </w:t>
            </w:r>
            <w:proofErr w:type="spellStart"/>
            <w:r w:rsidRPr="00973525">
              <w:rPr>
                <w:sz w:val="18"/>
                <w:szCs w:val="18"/>
              </w:rPr>
              <w:t>your</w:t>
            </w:r>
            <w:proofErr w:type="spellEnd"/>
            <w:r w:rsidRPr="00973525">
              <w:rPr>
                <w:sz w:val="18"/>
                <w:szCs w:val="18"/>
              </w:rPr>
              <w:t xml:space="preserve"> </w:t>
            </w:r>
            <w:proofErr w:type="spellStart"/>
            <w:r w:rsidRPr="00973525">
              <w:rPr>
                <w:sz w:val="18"/>
                <w:szCs w:val="18"/>
              </w:rPr>
              <w:t>answer</w:t>
            </w:r>
            <w:proofErr w:type="spellEnd"/>
          </w:p>
        </w:tc>
        <w:tc>
          <w:tcPr>
            <w:tcW w:w="7740" w:type="dxa"/>
          </w:tcPr>
          <w:p w14:paraId="1A70C123" w14:textId="1FE6FBA7" w:rsidR="00C21071" w:rsidRPr="00973525" w:rsidRDefault="00C21071" w:rsidP="00C21071">
            <w:pPr>
              <w:rPr>
                <w:sz w:val="18"/>
                <w:szCs w:val="18"/>
                <w:lang w:val="en-GB"/>
              </w:rPr>
            </w:pPr>
            <w:r w:rsidRPr="00973525">
              <w:rPr>
                <w:sz w:val="18"/>
                <w:szCs w:val="18"/>
                <w:lang w:val="en-US"/>
              </w:rPr>
              <w:t>N/A</w:t>
            </w:r>
          </w:p>
        </w:tc>
        <w:tc>
          <w:tcPr>
            <w:tcW w:w="236" w:type="dxa"/>
          </w:tcPr>
          <w:p w14:paraId="72AE0B24" w14:textId="77777777" w:rsidR="00C21071" w:rsidRPr="00973525" w:rsidRDefault="00C21071" w:rsidP="0079353D">
            <w:pPr>
              <w:ind w:firstLine="1917"/>
              <w:rPr>
                <w:sz w:val="18"/>
                <w:szCs w:val="18"/>
              </w:rPr>
            </w:pPr>
          </w:p>
        </w:tc>
      </w:tr>
      <w:tr w:rsidR="00C21071" w:rsidRPr="00973525" w14:paraId="5A63E46B" w14:textId="77777777" w:rsidTr="30964D0C">
        <w:trPr>
          <w:gridAfter w:val="1"/>
          <w:wAfter w:w="16" w:type="dxa"/>
        </w:trPr>
        <w:tc>
          <w:tcPr>
            <w:tcW w:w="2893" w:type="dxa"/>
          </w:tcPr>
          <w:p w14:paraId="696A5140" w14:textId="2A9806F5" w:rsidR="00C21071" w:rsidRPr="00973525" w:rsidRDefault="00C21071" w:rsidP="00C21071">
            <w:pPr>
              <w:rPr>
                <w:sz w:val="18"/>
                <w:szCs w:val="18"/>
                <w:lang w:val="en-GB"/>
              </w:rPr>
            </w:pPr>
            <w:r w:rsidRPr="00973525">
              <w:rPr>
                <w:sz w:val="18"/>
                <w:szCs w:val="18"/>
                <w:lang w:val="en-US"/>
              </w:rPr>
              <w:t>5.14.</w:t>
            </w:r>
            <w:r w:rsidRPr="00973525">
              <w:rPr>
                <w:sz w:val="18"/>
                <w:szCs w:val="18"/>
                <w:lang w:val="en-US"/>
              </w:rPr>
              <w:tab/>
              <w:t>Assuming that transparency requirements are amended as suggested in Option 2, by how much would the volume of securitisations that you issue, or invest in, change?</w:t>
            </w:r>
          </w:p>
        </w:tc>
        <w:tc>
          <w:tcPr>
            <w:tcW w:w="7740" w:type="dxa"/>
          </w:tcPr>
          <w:p w14:paraId="2EBBE49C" w14:textId="69EA83AA" w:rsidR="00C21071" w:rsidRPr="00973525" w:rsidRDefault="00C21071" w:rsidP="00C21071">
            <w:pPr>
              <w:rPr>
                <w:sz w:val="18"/>
                <w:szCs w:val="18"/>
                <w:lang w:val="en-GB"/>
              </w:rPr>
            </w:pPr>
            <w:r w:rsidRPr="00973525">
              <w:rPr>
                <w:sz w:val="18"/>
                <w:szCs w:val="18"/>
                <w:lang w:val="en-US"/>
              </w:rPr>
              <w:t>N/A</w:t>
            </w:r>
          </w:p>
        </w:tc>
        <w:tc>
          <w:tcPr>
            <w:tcW w:w="236" w:type="dxa"/>
          </w:tcPr>
          <w:p w14:paraId="793DFEC6" w14:textId="77777777" w:rsidR="00C21071" w:rsidRPr="00973525" w:rsidRDefault="00C21071" w:rsidP="0079353D">
            <w:pPr>
              <w:ind w:firstLine="1917"/>
              <w:rPr>
                <w:sz w:val="18"/>
                <w:szCs w:val="18"/>
              </w:rPr>
            </w:pPr>
          </w:p>
        </w:tc>
      </w:tr>
      <w:tr w:rsidR="00C21071" w:rsidRPr="00973525" w14:paraId="6A9EB5ED" w14:textId="77777777" w:rsidTr="30964D0C">
        <w:trPr>
          <w:gridAfter w:val="1"/>
          <w:wAfter w:w="16" w:type="dxa"/>
        </w:trPr>
        <w:tc>
          <w:tcPr>
            <w:tcW w:w="2893" w:type="dxa"/>
          </w:tcPr>
          <w:p w14:paraId="453ECBB1" w14:textId="7B0967CC" w:rsidR="00C21071" w:rsidRPr="00973525" w:rsidRDefault="00C21071" w:rsidP="00C21071">
            <w:pPr>
              <w:rPr>
                <w:sz w:val="18"/>
                <w:szCs w:val="18"/>
                <w:lang w:val="en-GB"/>
              </w:rPr>
            </w:pPr>
            <w:r w:rsidRPr="00973525">
              <w:rPr>
                <w:sz w:val="18"/>
                <w:szCs w:val="18"/>
                <w:lang w:val="en-US"/>
              </w:rPr>
              <w:t>5.15.</w:t>
            </w:r>
            <w:r w:rsidRPr="00973525">
              <w:rPr>
                <w:sz w:val="18"/>
                <w:szCs w:val="18"/>
                <w:lang w:val="en-US"/>
              </w:rPr>
              <w:tab/>
              <w:t xml:space="preserve">What impact (in percent or EUR) would you anticipate Option 2 would have on one-off </w:t>
            </w:r>
            <w:r w:rsidRPr="00973525">
              <w:rPr>
                <w:sz w:val="18"/>
                <w:szCs w:val="18"/>
                <w:lang w:val="en-US"/>
              </w:rPr>
              <w:lastRenderedPageBreak/>
              <w:t>and annual recurring costs for complying with the transparency requirements in Article 7? Please explain your answer.</w:t>
            </w:r>
          </w:p>
        </w:tc>
        <w:tc>
          <w:tcPr>
            <w:tcW w:w="7740" w:type="dxa"/>
          </w:tcPr>
          <w:p w14:paraId="15191195" w14:textId="32D7AEA2" w:rsidR="00C21071" w:rsidRPr="00973525" w:rsidRDefault="00C21071" w:rsidP="00C21071">
            <w:pPr>
              <w:rPr>
                <w:sz w:val="18"/>
                <w:szCs w:val="18"/>
                <w:lang w:val="en-GB"/>
              </w:rPr>
            </w:pPr>
            <w:r w:rsidRPr="00973525">
              <w:rPr>
                <w:sz w:val="18"/>
                <w:szCs w:val="18"/>
                <w:lang w:val="en-US"/>
              </w:rPr>
              <w:lastRenderedPageBreak/>
              <w:t>N/A</w:t>
            </w:r>
          </w:p>
        </w:tc>
        <w:tc>
          <w:tcPr>
            <w:tcW w:w="236" w:type="dxa"/>
          </w:tcPr>
          <w:p w14:paraId="7DC43128" w14:textId="77777777" w:rsidR="00C21071" w:rsidRPr="00973525" w:rsidRDefault="00C21071" w:rsidP="0079353D">
            <w:pPr>
              <w:ind w:firstLine="1917"/>
              <w:rPr>
                <w:sz w:val="18"/>
                <w:szCs w:val="18"/>
              </w:rPr>
            </w:pPr>
          </w:p>
        </w:tc>
      </w:tr>
      <w:tr w:rsidR="00C21071" w:rsidRPr="00973525" w14:paraId="7C9C76CD" w14:textId="77777777" w:rsidTr="30964D0C">
        <w:trPr>
          <w:gridAfter w:val="1"/>
          <w:wAfter w:w="16" w:type="dxa"/>
        </w:trPr>
        <w:tc>
          <w:tcPr>
            <w:tcW w:w="2893" w:type="dxa"/>
          </w:tcPr>
          <w:p w14:paraId="57646808" w14:textId="77777777" w:rsidR="00C21071" w:rsidRPr="00973525" w:rsidRDefault="00C21071" w:rsidP="00C21071">
            <w:pPr>
              <w:rPr>
                <w:sz w:val="18"/>
                <w:szCs w:val="18"/>
                <w:lang w:val="en-US"/>
              </w:rPr>
            </w:pPr>
            <w:r w:rsidRPr="00973525">
              <w:rPr>
                <w:sz w:val="18"/>
                <w:szCs w:val="18"/>
                <w:lang w:val="en-US"/>
              </w:rPr>
              <w:t>5.16.</w:t>
            </w:r>
            <w:r w:rsidRPr="00973525">
              <w:rPr>
                <w:sz w:val="18"/>
                <w:szCs w:val="18"/>
                <w:lang w:val="en-US"/>
              </w:rPr>
              <w:tab/>
              <w:t>Under Option 2, what should be included in the principle-based disclosure requirements for investors to reduce compliance costs while ensuring access to information?</w:t>
            </w:r>
          </w:p>
          <w:p w14:paraId="41F7D738" w14:textId="77777777" w:rsidR="00C21071" w:rsidRPr="00973525" w:rsidRDefault="00C21071" w:rsidP="00C21071">
            <w:pPr>
              <w:rPr>
                <w:sz w:val="18"/>
                <w:szCs w:val="18"/>
                <w:lang w:val="en-US"/>
              </w:rPr>
            </w:pPr>
          </w:p>
          <w:p w14:paraId="5C0850CA" w14:textId="77777777" w:rsidR="00C21071" w:rsidRPr="00973525" w:rsidRDefault="00C21071" w:rsidP="00C21071">
            <w:pPr>
              <w:rPr>
                <w:sz w:val="18"/>
                <w:szCs w:val="18"/>
                <w:lang w:val="en-US"/>
              </w:rPr>
            </w:pPr>
            <w:r w:rsidRPr="00973525">
              <w:rPr>
                <w:sz w:val="18"/>
                <w:szCs w:val="18"/>
                <w:lang w:val="en-US"/>
              </w:rPr>
              <w:t>How should investors access this information?</w:t>
            </w:r>
          </w:p>
          <w:p w14:paraId="4610403B" w14:textId="77777777" w:rsidR="00C21071" w:rsidRPr="00973525" w:rsidRDefault="00C21071" w:rsidP="00C21071">
            <w:pPr>
              <w:rPr>
                <w:sz w:val="18"/>
                <w:szCs w:val="18"/>
                <w:lang w:val="en-US"/>
              </w:rPr>
            </w:pPr>
          </w:p>
          <w:p w14:paraId="65B6429A" w14:textId="787CF205" w:rsidR="00C21071" w:rsidRPr="00973525" w:rsidRDefault="00C21071" w:rsidP="00C21071">
            <w:pPr>
              <w:rPr>
                <w:sz w:val="18"/>
                <w:szCs w:val="18"/>
                <w:lang w:val="en-GB"/>
              </w:rPr>
            </w:pPr>
            <w:r w:rsidRPr="00973525">
              <w:rPr>
                <w:sz w:val="18"/>
                <w:szCs w:val="18"/>
                <w:lang w:val="en-US"/>
              </w:rPr>
              <w:t xml:space="preserve">Please explain your answer, listing all relevant information that you think investors need </w:t>
            </w:r>
            <w:proofErr w:type="gramStart"/>
            <w:r w:rsidRPr="00973525">
              <w:rPr>
                <w:sz w:val="18"/>
                <w:szCs w:val="18"/>
                <w:lang w:val="en-US"/>
              </w:rPr>
              <w:t>to  do</w:t>
            </w:r>
            <w:proofErr w:type="gramEnd"/>
            <w:r w:rsidRPr="00973525">
              <w:rPr>
                <w:sz w:val="18"/>
                <w:szCs w:val="18"/>
                <w:lang w:val="en-US"/>
              </w:rPr>
              <w:t xml:space="preserve"> proper due diligence that could be common across all securitisations.</w:t>
            </w:r>
          </w:p>
        </w:tc>
        <w:tc>
          <w:tcPr>
            <w:tcW w:w="7740" w:type="dxa"/>
          </w:tcPr>
          <w:p w14:paraId="1C25F14E" w14:textId="706E75C9" w:rsidR="00C21071" w:rsidRPr="00973525" w:rsidRDefault="00C21071" w:rsidP="00C21071">
            <w:pPr>
              <w:rPr>
                <w:sz w:val="18"/>
                <w:szCs w:val="18"/>
                <w:lang w:val="en-GB"/>
              </w:rPr>
            </w:pPr>
            <w:r w:rsidRPr="00973525">
              <w:rPr>
                <w:sz w:val="18"/>
                <w:szCs w:val="18"/>
                <w:lang w:val="en-US"/>
              </w:rPr>
              <w:t>N/A</w:t>
            </w:r>
          </w:p>
        </w:tc>
        <w:tc>
          <w:tcPr>
            <w:tcW w:w="236" w:type="dxa"/>
          </w:tcPr>
          <w:p w14:paraId="76A6EB44" w14:textId="77777777" w:rsidR="00C21071" w:rsidRPr="00973525" w:rsidRDefault="00C21071" w:rsidP="0079353D">
            <w:pPr>
              <w:ind w:firstLine="1917"/>
              <w:rPr>
                <w:sz w:val="18"/>
                <w:szCs w:val="18"/>
              </w:rPr>
            </w:pPr>
          </w:p>
        </w:tc>
      </w:tr>
      <w:tr w:rsidR="00C21071" w:rsidRPr="00973525" w14:paraId="4CD8B861" w14:textId="77777777" w:rsidTr="30964D0C">
        <w:trPr>
          <w:gridAfter w:val="1"/>
          <w:wAfter w:w="16" w:type="dxa"/>
        </w:trPr>
        <w:tc>
          <w:tcPr>
            <w:tcW w:w="2893" w:type="dxa"/>
          </w:tcPr>
          <w:p w14:paraId="12C9C413" w14:textId="75C45ACD" w:rsidR="00C21071" w:rsidRPr="00973525" w:rsidRDefault="00C21071" w:rsidP="00C21071">
            <w:pPr>
              <w:rPr>
                <w:sz w:val="18"/>
                <w:szCs w:val="18"/>
                <w:lang w:val="en-US"/>
              </w:rPr>
            </w:pPr>
            <w:r w:rsidRPr="00973525">
              <w:rPr>
                <w:sz w:val="18"/>
                <w:szCs w:val="18"/>
                <w:lang w:val="en-US"/>
              </w:rPr>
              <w:t>5.17.</w:t>
            </w:r>
            <w:r w:rsidRPr="00973525">
              <w:rPr>
                <w:sz w:val="18"/>
                <w:szCs w:val="18"/>
                <w:lang w:val="en-US"/>
              </w:rPr>
              <w:tab/>
              <w:t xml:space="preserve">Under Option 2, should intra-group transactions, and securitisations below a </w:t>
            </w:r>
            <w:proofErr w:type="gramStart"/>
            <w:r w:rsidRPr="00973525">
              <w:rPr>
                <w:sz w:val="18"/>
                <w:szCs w:val="18"/>
                <w:lang w:val="en-US"/>
              </w:rPr>
              <w:t>certain  threshold</w:t>
            </w:r>
            <w:proofErr w:type="gramEnd"/>
            <w:r w:rsidRPr="00973525">
              <w:rPr>
                <w:sz w:val="18"/>
                <w:szCs w:val="18"/>
                <w:lang w:val="en-US"/>
              </w:rPr>
              <w:t>, be excluded from the reporting requirements in Article 7?</w:t>
            </w:r>
          </w:p>
          <w:p w14:paraId="6173BC68"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300FC1C4"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678949D4"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18E22AC0" w14:textId="77777777" w:rsidR="00C21071" w:rsidRPr="00973525" w:rsidRDefault="00C21071" w:rsidP="00C21071">
            <w:pPr>
              <w:rPr>
                <w:sz w:val="18"/>
                <w:szCs w:val="18"/>
                <w:lang w:val="en-US"/>
              </w:rPr>
            </w:pPr>
          </w:p>
          <w:p w14:paraId="19869448" w14:textId="378ECE55" w:rsidR="00C21071" w:rsidRPr="00973525" w:rsidRDefault="00C21071" w:rsidP="00C21071">
            <w:pPr>
              <w:rPr>
                <w:sz w:val="18"/>
                <w:szCs w:val="18"/>
                <w:lang w:val="en-GB"/>
              </w:rPr>
            </w:pPr>
            <w:r w:rsidRPr="00973525">
              <w:rPr>
                <w:sz w:val="18"/>
                <w:szCs w:val="18"/>
                <w:lang w:val="en-US"/>
              </w:rPr>
              <w:t>Please explain your answer. If you answered yes, how should intragroup transactions be defined and how should the threshold be determined?</w:t>
            </w:r>
          </w:p>
        </w:tc>
        <w:tc>
          <w:tcPr>
            <w:tcW w:w="7740" w:type="dxa"/>
          </w:tcPr>
          <w:p w14:paraId="5AF340BB" w14:textId="7B162340" w:rsidR="00C21071" w:rsidRPr="00973525" w:rsidRDefault="00C21071" w:rsidP="00C21071">
            <w:pPr>
              <w:rPr>
                <w:sz w:val="18"/>
                <w:szCs w:val="18"/>
                <w:lang w:val="en-GB"/>
              </w:rPr>
            </w:pPr>
            <w:r w:rsidRPr="00973525">
              <w:rPr>
                <w:sz w:val="18"/>
                <w:szCs w:val="18"/>
                <w:lang w:val="en-US"/>
              </w:rPr>
              <w:t>N/A</w:t>
            </w:r>
          </w:p>
        </w:tc>
        <w:tc>
          <w:tcPr>
            <w:tcW w:w="236" w:type="dxa"/>
          </w:tcPr>
          <w:p w14:paraId="41073713" w14:textId="77777777" w:rsidR="00C21071" w:rsidRPr="00973525" w:rsidRDefault="00C21071" w:rsidP="0079353D">
            <w:pPr>
              <w:ind w:firstLine="1917"/>
              <w:rPr>
                <w:sz w:val="18"/>
                <w:szCs w:val="18"/>
              </w:rPr>
            </w:pPr>
          </w:p>
        </w:tc>
      </w:tr>
      <w:tr w:rsidR="00C21071" w:rsidRPr="00973525" w14:paraId="1F190F37" w14:textId="77777777" w:rsidTr="30964D0C">
        <w:trPr>
          <w:gridAfter w:val="1"/>
          <w:wAfter w:w="16" w:type="dxa"/>
        </w:trPr>
        <w:tc>
          <w:tcPr>
            <w:tcW w:w="2893" w:type="dxa"/>
          </w:tcPr>
          <w:p w14:paraId="31265155" w14:textId="7F88D987" w:rsidR="00C21071" w:rsidRPr="00973525" w:rsidRDefault="00C21071" w:rsidP="00C21071">
            <w:pPr>
              <w:rPr>
                <w:sz w:val="18"/>
                <w:szCs w:val="18"/>
                <w:lang w:val="en-GB"/>
              </w:rPr>
            </w:pPr>
            <w:r w:rsidRPr="00973525">
              <w:rPr>
                <w:sz w:val="18"/>
                <w:szCs w:val="18"/>
                <w:lang w:val="en-US"/>
              </w:rPr>
              <w:t>5.18.</w:t>
            </w:r>
            <w:r w:rsidRPr="00973525">
              <w:rPr>
                <w:sz w:val="18"/>
                <w:szCs w:val="18"/>
                <w:lang w:val="en-US"/>
              </w:rPr>
              <w:tab/>
              <w:t xml:space="preserve">Under Option 2, what would be the impact (in percent or EUR) on your one-off and annual recurring costs for complying with the transparency requirements of excluding intra-group transactions and securitisations below a certain threshold </w:t>
            </w:r>
            <w:proofErr w:type="gramStart"/>
            <w:r w:rsidRPr="00973525">
              <w:rPr>
                <w:sz w:val="18"/>
                <w:szCs w:val="18"/>
                <w:lang w:val="en-US"/>
              </w:rPr>
              <w:t>from</w:t>
            </w:r>
            <w:proofErr w:type="gramEnd"/>
            <w:r w:rsidRPr="00973525">
              <w:rPr>
                <w:sz w:val="18"/>
                <w:szCs w:val="18"/>
                <w:lang w:val="en-US"/>
              </w:rPr>
              <w:t xml:space="preserve"> the reporting requirements in Article 7? Please explain your answer.</w:t>
            </w:r>
          </w:p>
        </w:tc>
        <w:tc>
          <w:tcPr>
            <w:tcW w:w="7740" w:type="dxa"/>
          </w:tcPr>
          <w:p w14:paraId="260AF988" w14:textId="627D51EC" w:rsidR="00C21071" w:rsidRPr="00973525" w:rsidRDefault="00C21071" w:rsidP="00C21071">
            <w:pPr>
              <w:rPr>
                <w:sz w:val="18"/>
                <w:szCs w:val="18"/>
                <w:lang w:val="en-GB"/>
              </w:rPr>
            </w:pPr>
            <w:r w:rsidRPr="00973525">
              <w:rPr>
                <w:sz w:val="18"/>
                <w:szCs w:val="18"/>
                <w:lang w:val="en-US"/>
              </w:rPr>
              <w:t>N/A</w:t>
            </w:r>
          </w:p>
        </w:tc>
        <w:tc>
          <w:tcPr>
            <w:tcW w:w="236" w:type="dxa"/>
          </w:tcPr>
          <w:p w14:paraId="0E138D1B" w14:textId="77777777" w:rsidR="00C21071" w:rsidRPr="00973525" w:rsidRDefault="00C21071" w:rsidP="0079353D">
            <w:pPr>
              <w:ind w:firstLine="1917"/>
              <w:rPr>
                <w:sz w:val="18"/>
                <w:szCs w:val="18"/>
              </w:rPr>
            </w:pPr>
          </w:p>
        </w:tc>
      </w:tr>
      <w:tr w:rsidR="00C21071" w:rsidRPr="00973525" w14:paraId="017DD036" w14:textId="77777777" w:rsidTr="30964D0C">
        <w:trPr>
          <w:gridAfter w:val="1"/>
          <w:wAfter w:w="16" w:type="dxa"/>
        </w:trPr>
        <w:tc>
          <w:tcPr>
            <w:tcW w:w="2893" w:type="dxa"/>
          </w:tcPr>
          <w:p w14:paraId="374966B7" w14:textId="4D676F24" w:rsidR="00C21071" w:rsidRPr="00973525" w:rsidRDefault="00C21071" w:rsidP="00C21071">
            <w:pPr>
              <w:rPr>
                <w:sz w:val="18"/>
                <w:szCs w:val="18"/>
                <w:lang w:val="en-US"/>
              </w:rPr>
            </w:pPr>
            <w:r w:rsidRPr="00973525">
              <w:rPr>
                <w:sz w:val="18"/>
                <w:szCs w:val="18"/>
                <w:lang w:val="en-US"/>
              </w:rPr>
              <w:t>5.19.</w:t>
            </w:r>
            <w:r w:rsidRPr="00973525">
              <w:rPr>
                <w:sz w:val="18"/>
                <w:szCs w:val="18"/>
                <w:lang w:val="en-US"/>
              </w:rPr>
              <w:tab/>
              <w:t xml:space="preserve">Should </w:t>
            </w:r>
            <w:proofErr w:type="gramStart"/>
            <w:r w:rsidRPr="00973525">
              <w:rPr>
                <w:sz w:val="18"/>
                <w:szCs w:val="18"/>
                <w:lang w:val="en-US"/>
              </w:rPr>
              <w:t>the text of Article</w:t>
            </w:r>
            <w:proofErr w:type="gramEnd"/>
            <w:r w:rsidRPr="00973525">
              <w:rPr>
                <w:sz w:val="18"/>
                <w:szCs w:val="18"/>
                <w:lang w:val="en-US"/>
              </w:rPr>
              <w:t xml:space="preserve"> 7 of the SECR explicitly provide flexibility for reporting on the underlying assets at aggregated level?</w:t>
            </w:r>
          </w:p>
          <w:p w14:paraId="15F6425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235BBE80"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1F69729F" w14:textId="11A80580"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2B5EF5BC" w14:textId="6F2468FD" w:rsidR="00C21071" w:rsidRPr="00973525" w:rsidRDefault="00C21071" w:rsidP="00C21071">
            <w:pPr>
              <w:rPr>
                <w:sz w:val="18"/>
                <w:szCs w:val="18"/>
                <w:lang w:val="en-GB"/>
              </w:rPr>
            </w:pPr>
            <w:r w:rsidRPr="00973525">
              <w:rPr>
                <w:sz w:val="18"/>
                <w:szCs w:val="18"/>
                <w:lang w:val="en-US"/>
              </w:rPr>
              <w:t>Yes</w:t>
            </w:r>
          </w:p>
        </w:tc>
        <w:tc>
          <w:tcPr>
            <w:tcW w:w="236" w:type="dxa"/>
          </w:tcPr>
          <w:p w14:paraId="7505FB12" w14:textId="77777777" w:rsidR="00C21071" w:rsidRPr="00973525" w:rsidRDefault="00C21071" w:rsidP="0079353D">
            <w:pPr>
              <w:ind w:firstLine="1917"/>
              <w:rPr>
                <w:sz w:val="18"/>
                <w:szCs w:val="18"/>
              </w:rPr>
            </w:pPr>
          </w:p>
        </w:tc>
      </w:tr>
      <w:tr w:rsidR="00C21071" w:rsidRPr="0000602A" w14:paraId="5AAC4CE2" w14:textId="77777777" w:rsidTr="30964D0C">
        <w:trPr>
          <w:gridAfter w:val="1"/>
          <w:wAfter w:w="16" w:type="dxa"/>
        </w:trPr>
        <w:tc>
          <w:tcPr>
            <w:tcW w:w="2893" w:type="dxa"/>
          </w:tcPr>
          <w:p w14:paraId="56D23B15" w14:textId="77777777" w:rsidR="00C21071" w:rsidRPr="00973525" w:rsidRDefault="00C21071" w:rsidP="00C21071">
            <w:pPr>
              <w:rPr>
                <w:sz w:val="18"/>
                <w:szCs w:val="18"/>
                <w:lang w:val="en-US"/>
              </w:rPr>
            </w:pPr>
            <w:r w:rsidRPr="00973525">
              <w:rPr>
                <w:sz w:val="18"/>
                <w:szCs w:val="18"/>
                <w:lang w:val="en-US"/>
              </w:rPr>
              <w:t>5.20</w:t>
            </w:r>
            <w:proofErr w:type="gramStart"/>
            <w:r w:rsidRPr="00973525">
              <w:rPr>
                <w:sz w:val="18"/>
                <w:szCs w:val="18"/>
                <w:lang w:val="en-US"/>
              </w:rPr>
              <w:t>.</w:t>
            </w:r>
            <w:proofErr w:type="gramEnd"/>
            <w:r w:rsidRPr="00973525">
              <w:rPr>
                <w:sz w:val="18"/>
                <w:szCs w:val="18"/>
                <w:lang w:val="en-US"/>
              </w:rPr>
              <w:tab/>
              <w:t xml:space="preserve">If you answered yes to question 5.19., which categories of transactions should be allowed to provide reporting only at </w:t>
            </w:r>
            <w:proofErr w:type="gramStart"/>
            <w:r w:rsidRPr="00973525">
              <w:rPr>
                <w:sz w:val="18"/>
                <w:szCs w:val="18"/>
                <w:lang w:val="en-US"/>
              </w:rPr>
              <w:t>aggregated</w:t>
            </w:r>
            <w:proofErr w:type="gramEnd"/>
            <w:r w:rsidRPr="00973525">
              <w:rPr>
                <w:sz w:val="18"/>
                <w:szCs w:val="18"/>
                <w:lang w:val="en-US"/>
              </w:rPr>
              <w:t xml:space="preserve"> level? You may select more than one option.</w:t>
            </w:r>
          </w:p>
          <w:p w14:paraId="5A318372" w14:textId="77777777" w:rsidR="00C21071" w:rsidRPr="00973525" w:rsidRDefault="00C21071" w:rsidP="00C21071">
            <w:pPr>
              <w:rPr>
                <w:sz w:val="18"/>
                <w:szCs w:val="18"/>
                <w:lang w:val="en-US"/>
              </w:rPr>
            </w:pPr>
          </w:p>
          <w:p w14:paraId="388C9F0E"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Granular portfolios of credit card receivables</w:t>
            </w:r>
          </w:p>
          <w:p w14:paraId="05BEB27B" w14:textId="77777777" w:rsidR="00C21071" w:rsidRPr="00973525" w:rsidRDefault="00C21071" w:rsidP="00C21071">
            <w:pPr>
              <w:rPr>
                <w:sz w:val="18"/>
                <w:szCs w:val="18"/>
                <w:lang w:val="en-US"/>
              </w:rPr>
            </w:pPr>
            <w:r w:rsidRPr="00973525">
              <w:rPr>
                <w:sz w:val="18"/>
                <w:szCs w:val="18"/>
                <w:lang w:val="en-US"/>
              </w:rPr>
              <w:lastRenderedPageBreak/>
              <w:t>•</w:t>
            </w:r>
            <w:r w:rsidRPr="00973525">
              <w:rPr>
                <w:sz w:val="18"/>
                <w:szCs w:val="18"/>
                <w:lang w:val="en-US"/>
              </w:rPr>
              <w:tab/>
              <w:t>Granular portfolios of trade receivables</w:t>
            </w:r>
          </w:p>
          <w:p w14:paraId="7FD1DCB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Other</w:t>
            </w:r>
          </w:p>
          <w:p w14:paraId="310D55FD" w14:textId="77777777" w:rsidR="00C21071" w:rsidRPr="00973525" w:rsidRDefault="00C21071" w:rsidP="00C21071">
            <w:pPr>
              <w:rPr>
                <w:sz w:val="18"/>
                <w:szCs w:val="18"/>
                <w:lang w:val="en-US"/>
              </w:rPr>
            </w:pPr>
          </w:p>
          <w:p w14:paraId="52A96608" w14:textId="67A887FA" w:rsidR="00C21071" w:rsidRPr="00973525" w:rsidRDefault="00C21071" w:rsidP="00C21071">
            <w:pPr>
              <w:rPr>
                <w:sz w:val="18"/>
                <w:szCs w:val="18"/>
                <w:lang w:val="en-GB"/>
              </w:rPr>
            </w:pPr>
            <w:r w:rsidRPr="00973525">
              <w:rPr>
                <w:sz w:val="18"/>
                <w:szCs w:val="18"/>
                <w:lang w:val="en-US"/>
              </w:rPr>
              <w:t>If you chose “other”, please explain.</w:t>
            </w:r>
          </w:p>
        </w:tc>
        <w:tc>
          <w:tcPr>
            <w:tcW w:w="7740" w:type="dxa"/>
          </w:tcPr>
          <w:p w14:paraId="62DCB2DC" w14:textId="77777777" w:rsidR="00C21071" w:rsidRPr="00973525" w:rsidRDefault="00C21071" w:rsidP="00C21071">
            <w:pPr>
              <w:rPr>
                <w:sz w:val="18"/>
                <w:szCs w:val="18"/>
                <w:lang w:val="en-US"/>
              </w:rPr>
            </w:pPr>
            <w:r w:rsidRPr="00973525">
              <w:rPr>
                <w:sz w:val="18"/>
                <w:szCs w:val="18"/>
                <w:lang w:val="en-US"/>
              </w:rPr>
              <w:lastRenderedPageBreak/>
              <w:t>Other,</w:t>
            </w:r>
          </w:p>
          <w:p w14:paraId="47C692FD" w14:textId="77777777" w:rsidR="00C21071" w:rsidRPr="00973525" w:rsidRDefault="00C21071" w:rsidP="00C21071">
            <w:pPr>
              <w:rPr>
                <w:sz w:val="18"/>
                <w:szCs w:val="18"/>
                <w:lang w:val="en-US"/>
              </w:rPr>
            </w:pPr>
          </w:p>
          <w:p w14:paraId="2801D16C" w14:textId="77777777" w:rsidR="00C21071" w:rsidRPr="00973525" w:rsidRDefault="00C21071" w:rsidP="00C21071">
            <w:pPr>
              <w:rPr>
                <w:sz w:val="18"/>
                <w:szCs w:val="18"/>
                <w:lang w:val="en-US"/>
              </w:rPr>
            </w:pPr>
            <w:r w:rsidRPr="00973525">
              <w:rPr>
                <w:sz w:val="18"/>
                <w:szCs w:val="18"/>
                <w:lang w:val="en-US"/>
              </w:rPr>
              <w:t xml:space="preserve">Granular portfolios of credit card receivables and Granular portfolios of trade </w:t>
            </w:r>
            <w:proofErr w:type="gramStart"/>
            <w:r w:rsidRPr="00973525">
              <w:rPr>
                <w:sz w:val="18"/>
                <w:szCs w:val="18"/>
                <w:lang w:val="en-US"/>
              </w:rPr>
              <w:t>receivables ,</w:t>
            </w:r>
            <w:proofErr w:type="gramEnd"/>
            <w:r w:rsidRPr="00973525">
              <w:rPr>
                <w:sz w:val="18"/>
                <w:szCs w:val="18"/>
                <w:lang w:val="en-US"/>
              </w:rPr>
              <w:t xml:space="preserve"> as well as any granular short term receivables.</w:t>
            </w:r>
          </w:p>
          <w:p w14:paraId="68CBEA15" w14:textId="77777777" w:rsidR="00C21071" w:rsidRPr="00973525" w:rsidRDefault="00C21071" w:rsidP="00C21071">
            <w:pPr>
              <w:rPr>
                <w:sz w:val="18"/>
                <w:szCs w:val="18"/>
                <w:lang w:val="en-US"/>
              </w:rPr>
            </w:pPr>
          </w:p>
          <w:p w14:paraId="71E01D43" w14:textId="77777777" w:rsidR="00C21071" w:rsidRPr="00973525" w:rsidRDefault="00C21071" w:rsidP="00C21071">
            <w:pPr>
              <w:rPr>
                <w:sz w:val="18"/>
                <w:szCs w:val="18"/>
                <w:lang w:val="en-US"/>
              </w:rPr>
            </w:pPr>
          </w:p>
          <w:p w14:paraId="3DCF9A49" w14:textId="77777777" w:rsidR="00C21071" w:rsidRPr="00973525" w:rsidRDefault="00C21071" w:rsidP="00C21071">
            <w:pPr>
              <w:rPr>
                <w:sz w:val="18"/>
                <w:szCs w:val="18"/>
                <w:lang w:val="en-US"/>
              </w:rPr>
            </w:pPr>
            <w:r w:rsidRPr="00973525">
              <w:rPr>
                <w:sz w:val="18"/>
                <w:szCs w:val="18"/>
                <w:lang w:val="en-US"/>
              </w:rPr>
              <w:t>For private transactions, it is useless to require mandatory reporting templates when the investors negotiate ad hoc template suited to their own requirements directly with the issuer.</w:t>
            </w:r>
          </w:p>
          <w:p w14:paraId="605EC19A" w14:textId="77777777" w:rsidR="00C21071" w:rsidRPr="00973525" w:rsidRDefault="00C21071" w:rsidP="00C21071">
            <w:pPr>
              <w:rPr>
                <w:sz w:val="18"/>
                <w:szCs w:val="18"/>
                <w:lang w:val="en-US"/>
              </w:rPr>
            </w:pPr>
            <w:r w:rsidRPr="00973525">
              <w:rPr>
                <w:sz w:val="18"/>
                <w:szCs w:val="18"/>
                <w:lang w:val="en-US"/>
              </w:rPr>
              <w:lastRenderedPageBreak/>
              <w:t xml:space="preserve">Indeed, for most private securitisations, the reporting used by investors is not just for risk evaluation but also for the active determination of the borrowing base/ </w:t>
            </w:r>
            <w:proofErr w:type="spellStart"/>
            <w:r w:rsidRPr="00973525">
              <w:rPr>
                <w:sz w:val="18"/>
                <w:szCs w:val="18"/>
                <w:lang w:val="en-US"/>
              </w:rPr>
              <w:t>utilisation</w:t>
            </w:r>
            <w:proofErr w:type="spellEnd"/>
            <w:r w:rsidRPr="00973525">
              <w:rPr>
                <w:sz w:val="18"/>
                <w:szCs w:val="18"/>
                <w:lang w:val="en-US"/>
              </w:rPr>
              <w:t xml:space="preserve"> of the transaction. It therefore requires specific information, tests on eligible assets, concentration limits and dynamic calculations that are not part of the ESMA templates and require tailormade templates.</w:t>
            </w:r>
          </w:p>
          <w:p w14:paraId="2E361E0B" w14:textId="77777777" w:rsidR="00C21071" w:rsidRPr="00973525" w:rsidRDefault="00C21071" w:rsidP="00C21071">
            <w:pPr>
              <w:rPr>
                <w:sz w:val="18"/>
                <w:szCs w:val="18"/>
                <w:lang w:val="en-US"/>
              </w:rPr>
            </w:pPr>
            <w:r w:rsidRPr="00973525">
              <w:rPr>
                <w:sz w:val="18"/>
                <w:szCs w:val="18"/>
                <w:lang w:val="en-US"/>
              </w:rPr>
              <w:t>Most of these private transactions are not ECB eligible and not rated by the rating agencies.</w:t>
            </w:r>
          </w:p>
          <w:p w14:paraId="6D2B5174" w14:textId="77777777" w:rsidR="00C21071" w:rsidRPr="00973525" w:rsidRDefault="00C21071" w:rsidP="00C21071">
            <w:pPr>
              <w:rPr>
                <w:sz w:val="18"/>
                <w:szCs w:val="18"/>
                <w:lang w:val="en-US"/>
              </w:rPr>
            </w:pPr>
            <w:r w:rsidRPr="00973525">
              <w:rPr>
                <w:sz w:val="18"/>
                <w:szCs w:val="18"/>
                <w:lang w:val="en-US"/>
              </w:rPr>
              <w:t xml:space="preserve">In this context, there is no reason to provide detailed line-by-line information in a securitization repository. The level of disclosure should only be negotiated on a bilateral basis between the seller and the </w:t>
            </w:r>
            <w:proofErr w:type="gramStart"/>
            <w:r w:rsidRPr="00973525">
              <w:rPr>
                <w:sz w:val="18"/>
                <w:szCs w:val="18"/>
                <w:lang w:val="en-US"/>
              </w:rPr>
              <w:t>involved investors</w:t>
            </w:r>
            <w:proofErr w:type="gramEnd"/>
            <w:r w:rsidRPr="00973525">
              <w:rPr>
                <w:sz w:val="18"/>
                <w:szCs w:val="18"/>
                <w:lang w:val="en-US"/>
              </w:rPr>
              <w:t>, it being specified that the investors shall in all circumstances be able to conduct a proper evaluation.</w:t>
            </w:r>
          </w:p>
          <w:p w14:paraId="31E0B798" w14:textId="77777777" w:rsidR="00C21071" w:rsidRPr="00973525" w:rsidRDefault="00C21071" w:rsidP="00C21071">
            <w:pPr>
              <w:rPr>
                <w:sz w:val="18"/>
                <w:szCs w:val="18"/>
                <w:lang w:val="en-US"/>
              </w:rPr>
            </w:pPr>
          </w:p>
          <w:p w14:paraId="14EFFDCA" w14:textId="77777777" w:rsidR="00C21071" w:rsidRPr="00973525" w:rsidRDefault="00C21071" w:rsidP="00C21071">
            <w:pPr>
              <w:rPr>
                <w:sz w:val="18"/>
                <w:szCs w:val="18"/>
                <w:lang w:val="en-US"/>
              </w:rPr>
            </w:pPr>
            <w:r w:rsidRPr="00973525">
              <w:rPr>
                <w:sz w:val="18"/>
                <w:szCs w:val="18"/>
                <w:lang w:val="en-US"/>
              </w:rPr>
              <w:t>With regards to new asset classes such as factoring / trade receivables having a short maturity and a considerable number of receivables and for which no data template exists for the time</w:t>
            </w:r>
          </w:p>
          <w:p w14:paraId="55E7F15E" w14:textId="77777777" w:rsidR="00C21071" w:rsidRPr="00973525" w:rsidRDefault="00C21071" w:rsidP="00C21071">
            <w:pPr>
              <w:rPr>
                <w:sz w:val="18"/>
                <w:szCs w:val="18"/>
                <w:lang w:val="en-US"/>
              </w:rPr>
            </w:pPr>
            <w:r w:rsidRPr="00973525">
              <w:rPr>
                <w:sz w:val="18"/>
                <w:szCs w:val="18"/>
                <w:lang w:val="en-US"/>
              </w:rPr>
              <w:t>being (except the esoteric underlying exposure), a granular LLD is not essential for risk analysis. In consequence, it will make sense for sponsors to address disclosure requirements</w:t>
            </w:r>
          </w:p>
          <w:p w14:paraId="3E238BD3" w14:textId="77777777" w:rsidR="00C21071" w:rsidRPr="00973525" w:rsidRDefault="00C21071" w:rsidP="00C21071">
            <w:pPr>
              <w:rPr>
                <w:sz w:val="18"/>
                <w:szCs w:val="18"/>
                <w:lang w:val="en-US"/>
              </w:rPr>
            </w:pPr>
            <w:r w:rsidRPr="00973525">
              <w:rPr>
                <w:sz w:val="18"/>
                <w:szCs w:val="18"/>
                <w:lang w:val="en-US"/>
              </w:rPr>
              <w:t>at an aggregate level.</w:t>
            </w:r>
          </w:p>
          <w:p w14:paraId="74B7EDF9" w14:textId="77777777" w:rsidR="00C21071" w:rsidRPr="00973525" w:rsidRDefault="00C21071" w:rsidP="00C21071">
            <w:pPr>
              <w:rPr>
                <w:sz w:val="18"/>
                <w:szCs w:val="18"/>
                <w:lang w:val="en-US"/>
              </w:rPr>
            </w:pPr>
          </w:p>
          <w:p w14:paraId="4F315EDE" w14:textId="77777777" w:rsidR="00C21071" w:rsidRPr="00973525" w:rsidRDefault="00C21071" w:rsidP="00C21071">
            <w:pPr>
              <w:rPr>
                <w:sz w:val="18"/>
                <w:szCs w:val="18"/>
                <w:lang w:val="en-US"/>
              </w:rPr>
            </w:pPr>
            <w:r w:rsidRPr="00973525">
              <w:rPr>
                <w:sz w:val="18"/>
                <w:szCs w:val="18"/>
                <w:lang w:val="en-US"/>
              </w:rPr>
              <w:t xml:space="preserve">Nevertheless, we don’t think it is necessary to remove LLD granularity for certain highly granular asset classes already covered by a dedicated template (such as residential mortgages) </w:t>
            </w:r>
            <w:proofErr w:type="gramStart"/>
            <w:r w:rsidRPr="00973525">
              <w:rPr>
                <w:sz w:val="18"/>
                <w:szCs w:val="18"/>
                <w:lang w:val="en-US"/>
              </w:rPr>
              <w:t>unless if</w:t>
            </w:r>
            <w:proofErr w:type="gramEnd"/>
            <w:r w:rsidRPr="00973525">
              <w:rPr>
                <w:sz w:val="18"/>
                <w:szCs w:val="18"/>
                <w:lang w:val="en-US"/>
              </w:rPr>
              <w:t xml:space="preserve"> it is at the discretion of the originator / issuer / originator (in particular</w:t>
            </w:r>
          </w:p>
          <w:p w14:paraId="34115CC4" w14:textId="77777777" w:rsidR="00C21071" w:rsidRPr="00973525" w:rsidRDefault="00C21071" w:rsidP="00C21071">
            <w:pPr>
              <w:rPr>
                <w:sz w:val="18"/>
                <w:szCs w:val="18"/>
                <w:lang w:val="en-US"/>
              </w:rPr>
            </w:pPr>
            <w:r w:rsidRPr="00973525">
              <w:rPr>
                <w:sz w:val="18"/>
                <w:szCs w:val="18"/>
                <w:lang w:val="en-US"/>
              </w:rPr>
              <w:t>those who have already developed the reporting infrastructure on these asset classes).</w:t>
            </w:r>
          </w:p>
          <w:p w14:paraId="1920972F" w14:textId="77777777" w:rsidR="00C21071" w:rsidRPr="00973525" w:rsidRDefault="00C21071" w:rsidP="00C21071">
            <w:pPr>
              <w:rPr>
                <w:sz w:val="18"/>
                <w:szCs w:val="18"/>
                <w:lang w:val="en-US"/>
              </w:rPr>
            </w:pPr>
            <w:r w:rsidRPr="00973525">
              <w:rPr>
                <w:sz w:val="18"/>
                <w:szCs w:val="18"/>
                <w:lang w:val="en-US"/>
              </w:rPr>
              <w:t>Indeed, the current templates are already in place and accepted.</w:t>
            </w:r>
          </w:p>
          <w:p w14:paraId="47BC2683" w14:textId="77777777" w:rsidR="00C21071" w:rsidRPr="00973525" w:rsidRDefault="00C21071" w:rsidP="00C21071">
            <w:pPr>
              <w:rPr>
                <w:sz w:val="18"/>
                <w:szCs w:val="18"/>
                <w:lang w:val="en-GB"/>
              </w:rPr>
            </w:pPr>
          </w:p>
        </w:tc>
        <w:tc>
          <w:tcPr>
            <w:tcW w:w="236" w:type="dxa"/>
          </w:tcPr>
          <w:p w14:paraId="181E3A39" w14:textId="77777777" w:rsidR="00C21071" w:rsidRPr="00973525" w:rsidRDefault="00C21071" w:rsidP="0079353D">
            <w:pPr>
              <w:ind w:firstLine="1917"/>
              <w:rPr>
                <w:sz w:val="18"/>
                <w:szCs w:val="18"/>
                <w:lang w:val="en-GB"/>
              </w:rPr>
            </w:pPr>
          </w:p>
        </w:tc>
      </w:tr>
      <w:tr w:rsidR="00C21071" w:rsidRPr="00973525" w14:paraId="5CFFA9D5" w14:textId="77777777" w:rsidTr="30964D0C">
        <w:trPr>
          <w:gridAfter w:val="1"/>
          <w:wAfter w:w="16" w:type="dxa"/>
        </w:trPr>
        <w:tc>
          <w:tcPr>
            <w:tcW w:w="2893" w:type="dxa"/>
          </w:tcPr>
          <w:p w14:paraId="1F0E7270" w14:textId="3CAC1D64" w:rsidR="00C21071" w:rsidRPr="00973525" w:rsidRDefault="00C21071" w:rsidP="00C21071">
            <w:pPr>
              <w:rPr>
                <w:sz w:val="18"/>
                <w:szCs w:val="18"/>
                <w:lang w:val="en-GB"/>
              </w:rPr>
            </w:pPr>
            <w:r w:rsidRPr="00973525">
              <w:rPr>
                <w:sz w:val="18"/>
                <w:szCs w:val="18"/>
                <w:lang w:val="en-US"/>
              </w:rPr>
              <w:t>5.21.</w:t>
            </w:r>
            <w:r w:rsidRPr="00973525">
              <w:rPr>
                <w:sz w:val="18"/>
                <w:szCs w:val="18"/>
                <w:lang w:val="en-US"/>
              </w:rPr>
              <w:tab/>
              <w:t xml:space="preserve">If you are a supervisor, what impact (in percent or EUR) would you anticipate Option </w:t>
            </w:r>
            <w:proofErr w:type="gramStart"/>
            <w:r w:rsidRPr="00973525">
              <w:rPr>
                <w:sz w:val="18"/>
                <w:szCs w:val="18"/>
                <w:lang w:val="en-US"/>
              </w:rPr>
              <w:t>2  would</w:t>
            </w:r>
            <w:proofErr w:type="gramEnd"/>
            <w:r w:rsidRPr="00973525">
              <w:rPr>
                <w:sz w:val="18"/>
                <w:szCs w:val="18"/>
                <w:lang w:val="en-US"/>
              </w:rPr>
              <w:t xml:space="preserve"> have on your supervisory costs?</w:t>
            </w:r>
          </w:p>
        </w:tc>
        <w:tc>
          <w:tcPr>
            <w:tcW w:w="7740" w:type="dxa"/>
          </w:tcPr>
          <w:p w14:paraId="08490197" w14:textId="53A1BBBD" w:rsidR="00C21071" w:rsidRPr="00973525" w:rsidRDefault="00C21071" w:rsidP="00C21071">
            <w:pPr>
              <w:rPr>
                <w:sz w:val="18"/>
                <w:szCs w:val="18"/>
                <w:lang w:val="en-GB"/>
              </w:rPr>
            </w:pPr>
            <w:r w:rsidRPr="00973525">
              <w:rPr>
                <w:sz w:val="18"/>
                <w:szCs w:val="18"/>
                <w:lang w:val="en-US"/>
              </w:rPr>
              <w:t>N/A</w:t>
            </w:r>
          </w:p>
        </w:tc>
        <w:tc>
          <w:tcPr>
            <w:tcW w:w="236" w:type="dxa"/>
          </w:tcPr>
          <w:p w14:paraId="73CEBB98" w14:textId="77777777" w:rsidR="00C21071" w:rsidRPr="00973525" w:rsidRDefault="00C21071" w:rsidP="0079353D">
            <w:pPr>
              <w:ind w:firstLine="1917"/>
              <w:rPr>
                <w:sz w:val="18"/>
                <w:szCs w:val="18"/>
              </w:rPr>
            </w:pPr>
          </w:p>
        </w:tc>
      </w:tr>
      <w:tr w:rsidR="00C21071" w:rsidRPr="00973525" w14:paraId="4EED767E" w14:textId="77777777" w:rsidTr="30964D0C">
        <w:trPr>
          <w:gridAfter w:val="1"/>
          <w:wAfter w:w="16" w:type="dxa"/>
        </w:trPr>
        <w:tc>
          <w:tcPr>
            <w:tcW w:w="2893" w:type="dxa"/>
            <w:shd w:val="clear" w:color="auto" w:fill="DAE9F7" w:themeFill="text2" w:themeFillTint="1A"/>
          </w:tcPr>
          <w:p w14:paraId="00937706" w14:textId="3EFC5860" w:rsidR="00C21071" w:rsidRPr="00973525" w:rsidRDefault="00C21071" w:rsidP="00C21071">
            <w:pPr>
              <w:rPr>
                <w:sz w:val="18"/>
                <w:szCs w:val="18"/>
                <w:lang w:val="en-US"/>
              </w:rPr>
            </w:pPr>
            <w:r w:rsidRPr="00973525">
              <w:rPr>
                <w:b/>
                <w:bCs/>
                <w:sz w:val="18"/>
                <w:szCs w:val="18"/>
              </w:rPr>
              <w:t xml:space="preserve">6. Supervision </w:t>
            </w:r>
          </w:p>
        </w:tc>
        <w:tc>
          <w:tcPr>
            <w:tcW w:w="7740" w:type="dxa"/>
            <w:shd w:val="clear" w:color="auto" w:fill="DAE9F7" w:themeFill="text2" w:themeFillTint="1A"/>
          </w:tcPr>
          <w:p w14:paraId="3449E238" w14:textId="2CCFC5DD" w:rsidR="00C21071" w:rsidRPr="00973525" w:rsidRDefault="00C21071" w:rsidP="00C21071">
            <w:pPr>
              <w:rPr>
                <w:sz w:val="18"/>
                <w:szCs w:val="18"/>
                <w:lang w:val="en-US"/>
              </w:rPr>
            </w:pPr>
          </w:p>
        </w:tc>
        <w:tc>
          <w:tcPr>
            <w:tcW w:w="236" w:type="dxa"/>
            <w:shd w:val="clear" w:color="auto" w:fill="DAE9F7" w:themeFill="text2" w:themeFillTint="1A"/>
          </w:tcPr>
          <w:p w14:paraId="11784B4D" w14:textId="6CCC0ADA" w:rsidR="00C21071" w:rsidRPr="00973525" w:rsidRDefault="00C21071" w:rsidP="0079353D">
            <w:pPr>
              <w:ind w:firstLine="1917"/>
              <w:rPr>
                <w:sz w:val="18"/>
                <w:szCs w:val="18"/>
                <w:lang w:val="en-GB"/>
              </w:rPr>
            </w:pPr>
          </w:p>
        </w:tc>
      </w:tr>
      <w:tr w:rsidR="00C21071" w:rsidRPr="00C72B68" w14:paraId="3CBCAB28" w14:textId="77777777" w:rsidTr="30964D0C">
        <w:trPr>
          <w:gridAfter w:val="1"/>
          <w:wAfter w:w="16" w:type="dxa"/>
        </w:trPr>
        <w:tc>
          <w:tcPr>
            <w:tcW w:w="2893" w:type="dxa"/>
          </w:tcPr>
          <w:p w14:paraId="22952408" w14:textId="39A9B6A2" w:rsidR="00C21071" w:rsidRPr="00973525" w:rsidRDefault="00C21071" w:rsidP="00C21071">
            <w:pPr>
              <w:rPr>
                <w:sz w:val="18"/>
                <w:szCs w:val="18"/>
                <w:lang w:val="en-US"/>
              </w:rPr>
            </w:pPr>
            <w:r w:rsidRPr="00973525">
              <w:rPr>
                <w:sz w:val="18"/>
                <w:szCs w:val="18"/>
                <w:lang w:val="en-US"/>
              </w:rPr>
              <w:t>6.1.</w:t>
            </w:r>
            <w:r w:rsidRPr="00973525">
              <w:rPr>
                <w:sz w:val="18"/>
                <w:szCs w:val="18"/>
                <w:lang w:val="en-US"/>
              </w:rPr>
              <w:tab/>
              <w:t>Have you identified any divergencies or concerns with the supervision, based on the current supervisory set up?</w:t>
            </w:r>
          </w:p>
          <w:p w14:paraId="4E94134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21B3A85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044DD18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572334B5" w14:textId="386BB2D5" w:rsidR="00C21071" w:rsidRPr="00973525" w:rsidRDefault="00C21071" w:rsidP="00C21071">
            <w:pPr>
              <w:rPr>
                <w:sz w:val="18"/>
                <w:szCs w:val="18"/>
                <w:lang w:val="en-GB"/>
              </w:rPr>
            </w:pPr>
            <w:r w:rsidRPr="00973525">
              <w:rPr>
                <w:sz w:val="18"/>
                <w:szCs w:val="18"/>
                <w:lang w:val="en-US"/>
              </w:rPr>
              <w:t>Please explain and give specific examples.</w:t>
            </w:r>
          </w:p>
        </w:tc>
        <w:tc>
          <w:tcPr>
            <w:tcW w:w="7740" w:type="dxa"/>
          </w:tcPr>
          <w:p w14:paraId="2B06D66A" w14:textId="77777777" w:rsidR="00C21071" w:rsidRPr="00973525" w:rsidRDefault="00C21071" w:rsidP="00C21071">
            <w:pPr>
              <w:rPr>
                <w:sz w:val="18"/>
                <w:szCs w:val="18"/>
                <w:lang w:val="en-US"/>
              </w:rPr>
            </w:pPr>
            <w:r w:rsidRPr="00973525">
              <w:rPr>
                <w:sz w:val="18"/>
                <w:szCs w:val="18"/>
                <w:lang w:val="en-US"/>
              </w:rPr>
              <w:t>Yes,</w:t>
            </w:r>
          </w:p>
          <w:p w14:paraId="405C7AA6" w14:textId="77777777" w:rsidR="00C21071" w:rsidRPr="00973525" w:rsidRDefault="00C21071" w:rsidP="00C21071">
            <w:pPr>
              <w:rPr>
                <w:sz w:val="18"/>
                <w:szCs w:val="18"/>
                <w:lang w:val="en-US"/>
              </w:rPr>
            </w:pPr>
          </w:p>
          <w:p w14:paraId="36D9F97D" w14:textId="77777777" w:rsidR="00C21071" w:rsidRPr="00973525" w:rsidRDefault="00C21071" w:rsidP="00C21071">
            <w:pPr>
              <w:rPr>
                <w:sz w:val="18"/>
                <w:szCs w:val="18"/>
                <w:lang w:val="en-US"/>
              </w:rPr>
            </w:pPr>
            <w:r w:rsidRPr="00973525">
              <w:rPr>
                <w:sz w:val="18"/>
                <w:szCs w:val="18"/>
                <w:lang w:val="en-US"/>
              </w:rPr>
              <w:t xml:space="preserve">Regarding the SRT assessment, we believe that the coordination between European central supervision and local regulators' supervision should be reinforced. For </w:t>
            </w:r>
            <w:proofErr w:type="gramStart"/>
            <w:r w:rsidRPr="00973525">
              <w:rPr>
                <w:sz w:val="18"/>
                <w:szCs w:val="18"/>
                <w:lang w:val="en-US"/>
              </w:rPr>
              <w:t>instance</w:t>
            </w:r>
            <w:proofErr w:type="gramEnd"/>
            <w:r w:rsidRPr="00973525">
              <w:rPr>
                <w:sz w:val="18"/>
                <w:szCs w:val="18"/>
                <w:lang w:val="en-US"/>
              </w:rPr>
              <w:t xml:space="preserve"> we observed redundancy of requirements on two SRT transactions, in France and in Italy. </w:t>
            </w:r>
          </w:p>
          <w:p w14:paraId="6344F950" w14:textId="77777777" w:rsidR="00C21071" w:rsidRPr="00973525" w:rsidRDefault="00C21071" w:rsidP="00C21071">
            <w:pPr>
              <w:rPr>
                <w:sz w:val="18"/>
                <w:szCs w:val="18"/>
                <w:lang w:val="en-US"/>
              </w:rPr>
            </w:pPr>
          </w:p>
          <w:p w14:paraId="681D6826" w14:textId="77777777" w:rsidR="00C21071" w:rsidRPr="00973525" w:rsidRDefault="00C21071" w:rsidP="00C21071">
            <w:pPr>
              <w:rPr>
                <w:sz w:val="18"/>
                <w:szCs w:val="18"/>
                <w:lang w:val="en-US"/>
              </w:rPr>
            </w:pPr>
            <w:r w:rsidRPr="00973525">
              <w:rPr>
                <w:sz w:val="18"/>
                <w:szCs w:val="18"/>
                <w:lang w:val="en-US"/>
              </w:rPr>
              <w:t xml:space="preserve">Regarding cash STS deals, redundancy was similarly observed on </w:t>
            </w:r>
            <w:proofErr w:type="gramStart"/>
            <w:r w:rsidRPr="00973525">
              <w:rPr>
                <w:sz w:val="18"/>
                <w:szCs w:val="18"/>
                <w:lang w:val="en-US"/>
              </w:rPr>
              <w:t>a number of</w:t>
            </w:r>
            <w:proofErr w:type="gramEnd"/>
            <w:r w:rsidRPr="00973525">
              <w:rPr>
                <w:sz w:val="18"/>
                <w:szCs w:val="18"/>
                <w:lang w:val="en-US"/>
              </w:rPr>
              <w:t xml:space="preserve"> ABCP transactions implying a pan-European setup, between the French and other EU regulators. </w:t>
            </w:r>
          </w:p>
          <w:p w14:paraId="7CA9E5E8" w14:textId="4B315DD5" w:rsidR="00C21071" w:rsidRPr="00973525" w:rsidRDefault="00C21071" w:rsidP="00C21071">
            <w:pPr>
              <w:rPr>
                <w:sz w:val="18"/>
                <w:szCs w:val="18"/>
                <w:lang w:val="en-GB"/>
              </w:rPr>
            </w:pPr>
            <w:r w:rsidRPr="00973525">
              <w:rPr>
                <w:sz w:val="18"/>
                <w:szCs w:val="18"/>
                <w:lang w:val="en-US"/>
              </w:rPr>
              <w:t xml:space="preserve">In </w:t>
            </w:r>
            <w:proofErr w:type="gramStart"/>
            <w:r w:rsidRPr="00973525">
              <w:rPr>
                <w:sz w:val="18"/>
                <w:szCs w:val="18"/>
                <w:lang w:val="en-US"/>
              </w:rPr>
              <w:t>addition</w:t>
            </w:r>
            <w:proofErr w:type="gramEnd"/>
            <w:r w:rsidRPr="00973525">
              <w:rPr>
                <w:sz w:val="18"/>
                <w:szCs w:val="18"/>
                <w:lang w:val="en-US"/>
              </w:rPr>
              <w:t xml:space="preserve"> there is a possibility that different national authorities form different views on some interpretative points of the regulation, as a reflection of the different views observed at the level of third-party verifiers on some specific points.</w:t>
            </w:r>
          </w:p>
        </w:tc>
        <w:tc>
          <w:tcPr>
            <w:tcW w:w="236" w:type="dxa"/>
          </w:tcPr>
          <w:p w14:paraId="1CE5F38A" w14:textId="77777777" w:rsidR="00C21071" w:rsidRPr="00973525" w:rsidRDefault="00C21071" w:rsidP="0079353D">
            <w:pPr>
              <w:ind w:firstLine="1917"/>
              <w:rPr>
                <w:sz w:val="18"/>
                <w:szCs w:val="18"/>
                <w:lang w:val="en-GB"/>
              </w:rPr>
            </w:pPr>
          </w:p>
        </w:tc>
      </w:tr>
      <w:tr w:rsidR="00C21071" w:rsidRPr="00973525" w14:paraId="41A34E04" w14:textId="77777777" w:rsidTr="30964D0C">
        <w:trPr>
          <w:gridAfter w:val="1"/>
          <w:wAfter w:w="16" w:type="dxa"/>
        </w:trPr>
        <w:tc>
          <w:tcPr>
            <w:tcW w:w="2893" w:type="dxa"/>
          </w:tcPr>
          <w:p w14:paraId="2A499ED9" w14:textId="39EFE298" w:rsidR="00C21071" w:rsidRPr="00973525" w:rsidRDefault="00C21071" w:rsidP="00C21071">
            <w:pPr>
              <w:rPr>
                <w:sz w:val="18"/>
                <w:szCs w:val="18"/>
                <w:lang w:val="en-US"/>
              </w:rPr>
            </w:pPr>
            <w:r w:rsidRPr="00973525">
              <w:rPr>
                <w:sz w:val="18"/>
                <w:szCs w:val="18"/>
                <w:lang w:val="en-US"/>
              </w:rPr>
              <w:t>6.2.</w:t>
            </w:r>
            <w:r w:rsidRPr="00973525">
              <w:rPr>
                <w:sz w:val="18"/>
                <w:szCs w:val="18"/>
                <w:lang w:val="en-US"/>
              </w:rPr>
              <w:tab/>
              <w:t>Would you see merit in streamlining supervision to ensure more coordination and supervisory convergence?</w:t>
            </w:r>
          </w:p>
          <w:p w14:paraId="655FC678"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264DC90E"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5FFD1E2E" w14:textId="1126E14D"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0C7BC05A" w14:textId="00D34B8F" w:rsidR="00C21071" w:rsidRPr="00973525" w:rsidRDefault="00C21071" w:rsidP="00C21071">
            <w:pPr>
              <w:rPr>
                <w:sz w:val="18"/>
                <w:szCs w:val="18"/>
                <w:lang w:val="en-GB"/>
              </w:rPr>
            </w:pPr>
            <w:r w:rsidRPr="00973525">
              <w:rPr>
                <w:sz w:val="18"/>
                <w:szCs w:val="18"/>
                <w:lang w:val="en-US"/>
              </w:rPr>
              <w:t>Yes,</w:t>
            </w:r>
          </w:p>
        </w:tc>
        <w:tc>
          <w:tcPr>
            <w:tcW w:w="236" w:type="dxa"/>
          </w:tcPr>
          <w:p w14:paraId="028EF6EB" w14:textId="77777777" w:rsidR="00C21071" w:rsidRPr="00973525" w:rsidRDefault="00C21071" w:rsidP="0079353D">
            <w:pPr>
              <w:ind w:firstLine="1917"/>
              <w:rPr>
                <w:sz w:val="18"/>
                <w:szCs w:val="18"/>
              </w:rPr>
            </w:pPr>
          </w:p>
        </w:tc>
      </w:tr>
      <w:tr w:rsidR="00C21071" w:rsidRPr="00973525" w14:paraId="044948CA" w14:textId="77777777" w:rsidTr="30964D0C">
        <w:trPr>
          <w:gridAfter w:val="1"/>
          <w:wAfter w:w="16" w:type="dxa"/>
        </w:trPr>
        <w:tc>
          <w:tcPr>
            <w:tcW w:w="2893" w:type="dxa"/>
          </w:tcPr>
          <w:p w14:paraId="163943FA" w14:textId="77777777" w:rsidR="00C21071" w:rsidRPr="00973525" w:rsidRDefault="00C21071" w:rsidP="00C21071">
            <w:pPr>
              <w:rPr>
                <w:sz w:val="18"/>
                <w:szCs w:val="18"/>
                <w:lang w:val="en-US"/>
              </w:rPr>
            </w:pPr>
            <w:r w:rsidRPr="00973525">
              <w:rPr>
                <w:sz w:val="18"/>
                <w:szCs w:val="18"/>
                <w:lang w:val="en-US"/>
              </w:rPr>
              <w:t>6.3.</w:t>
            </w:r>
            <w:r w:rsidRPr="00973525">
              <w:rPr>
                <w:sz w:val="18"/>
                <w:szCs w:val="18"/>
                <w:lang w:val="en-US"/>
              </w:rPr>
              <w:tab/>
              <w:t>If you answered yes to question 6.2., what should be the scope of coordinated supervision?</w:t>
            </w:r>
          </w:p>
          <w:p w14:paraId="2DF19DFF" w14:textId="77777777" w:rsidR="00C21071" w:rsidRPr="00973525" w:rsidRDefault="00C21071" w:rsidP="00C21071">
            <w:pPr>
              <w:rPr>
                <w:sz w:val="18"/>
                <w:szCs w:val="18"/>
                <w:lang w:val="en-US"/>
              </w:rPr>
            </w:pPr>
          </w:p>
          <w:p w14:paraId="294700C0"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STS securitisations only</w:t>
            </w:r>
          </w:p>
          <w:p w14:paraId="23F499AC"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All securitisations</w:t>
            </w:r>
          </w:p>
          <w:p w14:paraId="16BE46C7" w14:textId="79B81FBE"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Other (please specify)</w:t>
            </w:r>
          </w:p>
        </w:tc>
        <w:tc>
          <w:tcPr>
            <w:tcW w:w="7740" w:type="dxa"/>
          </w:tcPr>
          <w:p w14:paraId="1CADF44C" w14:textId="20D36597" w:rsidR="00C21071" w:rsidRPr="00973525" w:rsidRDefault="00C21071" w:rsidP="00C21071">
            <w:pPr>
              <w:rPr>
                <w:sz w:val="18"/>
                <w:szCs w:val="18"/>
                <w:lang w:val="en-GB"/>
              </w:rPr>
            </w:pPr>
            <w:r w:rsidRPr="00973525">
              <w:rPr>
                <w:sz w:val="18"/>
                <w:szCs w:val="18"/>
                <w:lang w:val="en-US"/>
              </w:rPr>
              <w:t>All</w:t>
            </w:r>
          </w:p>
        </w:tc>
        <w:tc>
          <w:tcPr>
            <w:tcW w:w="236" w:type="dxa"/>
          </w:tcPr>
          <w:p w14:paraId="5881BD55" w14:textId="77777777" w:rsidR="00C21071" w:rsidRPr="00973525" w:rsidRDefault="00C21071" w:rsidP="0079353D">
            <w:pPr>
              <w:ind w:firstLine="1917"/>
              <w:rPr>
                <w:sz w:val="18"/>
                <w:szCs w:val="18"/>
              </w:rPr>
            </w:pPr>
          </w:p>
        </w:tc>
      </w:tr>
      <w:tr w:rsidR="00C21071" w:rsidRPr="00C72B68" w14:paraId="4DCA2791" w14:textId="77777777" w:rsidTr="30964D0C">
        <w:trPr>
          <w:gridAfter w:val="1"/>
          <w:wAfter w:w="16" w:type="dxa"/>
        </w:trPr>
        <w:tc>
          <w:tcPr>
            <w:tcW w:w="2893" w:type="dxa"/>
          </w:tcPr>
          <w:p w14:paraId="3F8A91AE" w14:textId="77777777" w:rsidR="00C21071" w:rsidRPr="00973525" w:rsidRDefault="00C21071" w:rsidP="00C21071">
            <w:pPr>
              <w:rPr>
                <w:sz w:val="18"/>
                <w:szCs w:val="18"/>
                <w:lang w:val="en-US"/>
              </w:rPr>
            </w:pPr>
            <w:r w:rsidRPr="00973525">
              <w:rPr>
                <w:sz w:val="18"/>
                <w:szCs w:val="18"/>
                <w:lang w:val="en-US"/>
              </w:rPr>
              <w:t>6.4.</w:t>
            </w:r>
            <w:r w:rsidRPr="00973525">
              <w:rPr>
                <w:sz w:val="18"/>
                <w:szCs w:val="18"/>
                <w:lang w:val="en-US"/>
              </w:rPr>
              <w:tab/>
              <w:t xml:space="preserve">If you answered yes to question 6.2., what should </w:t>
            </w:r>
            <w:proofErr w:type="gramStart"/>
            <w:r w:rsidRPr="00973525">
              <w:rPr>
                <w:sz w:val="18"/>
                <w:szCs w:val="18"/>
                <w:lang w:val="en-US"/>
              </w:rPr>
              <w:t>be the supervisory tasks of coordinated supervision</w:t>
            </w:r>
            <w:proofErr w:type="gramEnd"/>
            <w:r w:rsidRPr="00973525">
              <w:rPr>
                <w:sz w:val="18"/>
                <w:szCs w:val="18"/>
                <w:lang w:val="en-US"/>
              </w:rPr>
              <w:t>?</w:t>
            </w:r>
          </w:p>
          <w:p w14:paraId="4203A391" w14:textId="77777777" w:rsidR="00C21071" w:rsidRPr="00973525" w:rsidRDefault="00C21071" w:rsidP="00C21071">
            <w:pPr>
              <w:rPr>
                <w:sz w:val="18"/>
                <w:szCs w:val="18"/>
                <w:lang w:val="en-US"/>
              </w:rPr>
            </w:pPr>
          </w:p>
          <w:p w14:paraId="20A6C5F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Compliance with Securitisation Regulation as a whole</w:t>
            </w:r>
          </w:p>
          <w:p w14:paraId="3905A232" w14:textId="77777777" w:rsidR="00C21071" w:rsidRPr="00973525" w:rsidRDefault="00C21071" w:rsidP="00C21071">
            <w:pPr>
              <w:rPr>
                <w:sz w:val="18"/>
                <w:szCs w:val="18"/>
                <w:lang w:val="en-US"/>
              </w:rPr>
            </w:pPr>
            <w:r w:rsidRPr="00973525">
              <w:rPr>
                <w:sz w:val="18"/>
                <w:szCs w:val="18"/>
                <w:lang w:val="en-US"/>
              </w:rPr>
              <w:lastRenderedPageBreak/>
              <w:t>•</w:t>
            </w:r>
            <w:r w:rsidRPr="00973525">
              <w:rPr>
                <w:sz w:val="18"/>
                <w:szCs w:val="18"/>
                <w:lang w:val="en-US"/>
              </w:rPr>
              <w:tab/>
              <w:t>Compliance only with STS criteria</w:t>
            </w:r>
          </w:p>
          <w:p w14:paraId="282C2F9B"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Compliance with Securitisation Regulation and prudential requirements for securitisation</w:t>
            </w:r>
          </w:p>
          <w:p w14:paraId="0A7A17DF" w14:textId="422B262C"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Other (please specify)</w:t>
            </w:r>
          </w:p>
        </w:tc>
        <w:tc>
          <w:tcPr>
            <w:tcW w:w="7740" w:type="dxa"/>
          </w:tcPr>
          <w:p w14:paraId="6D112493" w14:textId="77777777" w:rsidR="00C21071" w:rsidRPr="00973525" w:rsidRDefault="00C21071" w:rsidP="00C21071">
            <w:pPr>
              <w:rPr>
                <w:sz w:val="18"/>
                <w:szCs w:val="18"/>
                <w:lang w:val="en-US"/>
              </w:rPr>
            </w:pPr>
            <w:r w:rsidRPr="00973525">
              <w:rPr>
                <w:sz w:val="18"/>
                <w:szCs w:val="18"/>
                <w:lang w:val="en-US"/>
              </w:rPr>
              <w:lastRenderedPageBreak/>
              <w:t>Other,</w:t>
            </w:r>
          </w:p>
          <w:p w14:paraId="45B51BC1" w14:textId="2B35B26E" w:rsidR="00C21071" w:rsidRPr="00973525" w:rsidRDefault="00C21071" w:rsidP="00C21071">
            <w:pPr>
              <w:rPr>
                <w:sz w:val="18"/>
                <w:szCs w:val="18"/>
                <w:lang w:val="en-US"/>
              </w:rPr>
            </w:pPr>
            <w:r w:rsidRPr="00973525">
              <w:rPr>
                <w:sz w:val="18"/>
                <w:szCs w:val="18"/>
                <w:lang w:val="en-US"/>
              </w:rPr>
              <w:t xml:space="preserve">- SRT: the coordination (sharing or exchange of information between the ECB and local supervisors) should be developed in order </w:t>
            </w:r>
            <w:r w:rsidR="18FA280A" w:rsidRPr="501DBB6C">
              <w:rPr>
                <w:sz w:val="18"/>
                <w:szCs w:val="18"/>
                <w:lang w:val="en-US"/>
              </w:rPr>
              <w:t>to,</w:t>
            </w:r>
            <w:r w:rsidRPr="501DBB6C">
              <w:rPr>
                <w:sz w:val="18"/>
                <w:szCs w:val="18"/>
                <w:lang w:val="en-US"/>
              </w:rPr>
              <w:t xml:space="preserve"> </w:t>
            </w:r>
            <w:proofErr w:type="gramStart"/>
            <w:r w:rsidRPr="00973525">
              <w:rPr>
                <w:sz w:val="18"/>
                <w:szCs w:val="18"/>
                <w:lang w:val="en-US"/>
              </w:rPr>
              <w:t>notably</w:t>
            </w:r>
            <w:r w:rsidR="33599BED" w:rsidRPr="501DBB6C">
              <w:rPr>
                <w:sz w:val="18"/>
                <w:szCs w:val="18"/>
                <w:lang w:val="en-US"/>
              </w:rPr>
              <w:t>,</w:t>
            </w:r>
            <w:r w:rsidRPr="00973525">
              <w:rPr>
                <w:sz w:val="18"/>
                <w:szCs w:val="18"/>
                <w:lang w:val="en-US"/>
              </w:rPr>
              <w:t xml:space="preserve">  avoid</w:t>
            </w:r>
            <w:proofErr w:type="gramEnd"/>
            <w:r w:rsidRPr="00973525">
              <w:rPr>
                <w:sz w:val="18"/>
                <w:szCs w:val="18"/>
                <w:lang w:val="en-US"/>
              </w:rPr>
              <w:t xml:space="preserve"> the duplication</w:t>
            </w:r>
            <w:r w:rsidR="0CE16920" w:rsidRPr="501DBB6C">
              <w:rPr>
                <w:sz w:val="18"/>
                <w:szCs w:val="18"/>
                <w:lang w:val="en-US"/>
              </w:rPr>
              <w:t>/</w:t>
            </w:r>
            <w:proofErr w:type="spellStart"/>
            <w:r w:rsidR="0CE16920" w:rsidRPr="501DBB6C">
              <w:rPr>
                <w:sz w:val="18"/>
                <w:szCs w:val="18"/>
                <w:lang w:val="en-US"/>
              </w:rPr>
              <w:t>overlaping</w:t>
            </w:r>
            <w:proofErr w:type="spellEnd"/>
            <w:r w:rsidRPr="00973525">
              <w:rPr>
                <w:sz w:val="18"/>
                <w:szCs w:val="18"/>
                <w:lang w:val="en-US"/>
              </w:rPr>
              <w:t xml:space="preserve"> requests.</w:t>
            </w:r>
          </w:p>
          <w:p w14:paraId="08F2791E" w14:textId="4FF69ACC" w:rsidR="00C21071" w:rsidRPr="00973525" w:rsidRDefault="00C21071" w:rsidP="00C21071">
            <w:pPr>
              <w:rPr>
                <w:sz w:val="18"/>
                <w:szCs w:val="18"/>
                <w:lang w:val="en-GB"/>
              </w:rPr>
            </w:pPr>
            <w:r w:rsidRPr="00973525">
              <w:rPr>
                <w:sz w:val="18"/>
                <w:szCs w:val="18"/>
                <w:lang w:val="en-US"/>
              </w:rPr>
              <w:t xml:space="preserve">- Compliance with SECR as a whole and </w:t>
            </w:r>
            <w:proofErr w:type="gramStart"/>
            <w:r w:rsidRPr="00973525">
              <w:rPr>
                <w:sz w:val="18"/>
                <w:szCs w:val="18"/>
                <w:lang w:val="en-US"/>
              </w:rPr>
              <w:t>in particular STS</w:t>
            </w:r>
            <w:proofErr w:type="gramEnd"/>
            <w:r w:rsidRPr="00973525">
              <w:rPr>
                <w:sz w:val="18"/>
                <w:szCs w:val="18"/>
                <w:lang w:val="en-US"/>
              </w:rPr>
              <w:t>: it would be helpful to have a single authority forming a consistent view on regulatory issues or requirements, for the sake of homogeneity and level playing field in the European market.</w:t>
            </w:r>
          </w:p>
        </w:tc>
        <w:tc>
          <w:tcPr>
            <w:tcW w:w="236" w:type="dxa"/>
          </w:tcPr>
          <w:p w14:paraId="591D22BA" w14:textId="77777777" w:rsidR="00C21071" w:rsidRPr="00973525" w:rsidRDefault="00C21071" w:rsidP="0079353D">
            <w:pPr>
              <w:ind w:firstLine="1917"/>
              <w:rPr>
                <w:sz w:val="18"/>
                <w:szCs w:val="18"/>
                <w:lang w:val="en-GB"/>
              </w:rPr>
            </w:pPr>
          </w:p>
        </w:tc>
      </w:tr>
      <w:tr w:rsidR="00C21071" w:rsidRPr="00C72B68" w14:paraId="60BFB4AE" w14:textId="77777777" w:rsidTr="30964D0C">
        <w:trPr>
          <w:gridAfter w:val="1"/>
          <w:wAfter w:w="16" w:type="dxa"/>
        </w:trPr>
        <w:tc>
          <w:tcPr>
            <w:tcW w:w="2893" w:type="dxa"/>
          </w:tcPr>
          <w:p w14:paraId="33E49F00" w14:textId="77777777" w:rsidR="00C21071" w:rsidRPr="00973525" w:rsidRDefault="00C21071" w:rsidP="00C21071">
            <w:pPr>
              <w:rPr>
                <w:sz w:val="18"/>
                <w:szCs w:val="18"/>
                <w:lang w:val="en-US"/>
              </w:rPr>
            </w:pPr>
            <w:r w:rsidRPr="00973525">
              <w:rPr>
                <w:sz w:val="18"/>
                <w:szCs w:val="18"/>
                <w:lang w:val="en-US"/>
              </w:rPr>
              <w:t>6.5.</w:t>
            </w:r>
            <w:r w:rsidRPr="00973525">
              <w:rPr>
                <w:sz w:val="18"/>
                <w:szCs w:val="18"/>
                <w:lang w:val="en-US"/>
              </w:rPr>
              <w:tab/>
              <w:t>If you answered yes to question 6.2., which model would you prefer?</w:t>
            </w:r>
          </w:p>
          <w:p w14:paraId="64B49545" w14:textId="77777777" w:rsidR="00C21071" w:rsidRPr="00973525" w:rsidRDefault="00C21071" w:rsidP="00C21071">
            <w:pPr>
              <w:rPr>
                <w:sz w:val="18"/>
                <w:szCs w:val="18"/>
                <w:lang w:val="en-US"/>
              </w:rPr>
            </w:pPr>
          </w:p>
          <w:p w14:paraId="7ECF62D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Setting up supervisory hubs</w:t>
            </w:r>
          </w:p>
          <w:p w14:paraId="750FA5B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Having one national authority as lead coordinator in the case of one issuance involving multiple supervisors</w:t>
            </w:r>
          </w:p>
          <w:p w14:paraId="727DCA77" w14:textId="77777777" w:rsidR="00C21071" w:rsidRDefault="00C21071" w:rsidP="00C21071">
            <w:pPr>
              <w:rPr>
                <w:sz w:val="18"/>
                <w:szCs w:val="18"/>
                <w:lang w:val="en-US"/>
              </w:rPr>
            </w:pPr>
            <w:r w:rsidRPr="00973525">
              <w:rPr>
                <w:sz w:val="18"/>
                <w:szCs w:val="18"/>
                <w:lang w:val="en-US"/>
              </w:rPr>
              <w:t>•</w:t>
            </w:r>
            <w:r w:rsidRPr="00973525">
              <w:rPr>
                <w:sz w:val="18"/>
                <w:szCs w:val="18"/>
                <w:lang w:val="en-US"/>
              </w:rPr>
              <w:tab/>
              <w:t>Another arrangement (please specify) Please explain your answer</w:t>
            </w:r>
          </w:p>
          <w:p w14:paraId="55769359" w14:textId="77777777" w:rsidR="008A5D8E" w:rsidRDefault="008A5D8E" w:rsidP="00C21071">
            <w:pPr>
              <w:rPr>
                <w:sz w:val="18"/>
                <w:szCs w:val="18"/>
                <w:lang w:val="en-US"/>
              </w:rPr>
            </w:pPr>
          </w:p>
          <w:p w14:paraId="46202D73" w14:textId="77777777" w:rsidR="008A5D8E" w:rsidRDefault="008A5D8E" w:rsidP="00C21071">
            <w:pPr>
              <w:rPr>
                <w:sz w:val="18"/>
                <w:szCs w:val="18"/>
                <w:lang w:val="en-US"/>
              </w:rPr>
            </w:pPr>
          </w:p>
          <w:p w14:paraId="29E37387" w14:textId="77777777" w:rsidR="008A5D8E" w:rsidRDefault="008A5D8E" w:rsidP="00C21071">
            <w:pPr>
              <w:rPr>
                <w:sz w:val="18"/>
                <w:szCs w:val="18"/>
                <w:lang w:val="en-US"/>
              </w:rPr>
            </w:pPr>
          </w:p>
          <w:p w14:paraId="1FB30E3C" w14:textId="0B4DD697" w:rsidR="00DF6063" w:rsidRPr="00AB73A3" w:rsidRDefault="00DF6063" w:rsidP="00C21071">
            <w:pPr>
              <w:rPr>
                <w:sz w:val="18"/>
                <w:szCs w:val="18"/>
                <w:highlight w:val="yellow"/>
              </w:rPr>
            </w:pPr>
            <w:r w:rsidRPr="0000602A">
              <w:rPr>
                <w:sz w:val="18"/>
                <w:szCs w:val="18"/>
              </w:rPr>
              <w:br/>
            </w:r>
            <w:r w:rsidRPr="00AB73A3">
              <w:rPr>
                <w:sz w:val="18"/>
                <w:szCs w:val="18"/>
                <w:highlight w:val="yellow"/>
              </w:rPr>
              <w:t xml:space="preserve">A scinder en deux réponses : </w:t>
            </w:r>
          </w:p>
          <w:p w14:paraId="354B7682" w14:textId="77777777" w:rsidR="008A5D8E" w:rsidRPr="00AB73A3" w:rsidRDefault="008A5D8E" w:rsidP="00C21071">
            <w:pPr>
              <w:rPr>
                <w:sz w:val="18"/>
                <w:szCs w:val="18"/>
                <w:highlight w:val="yellow"/>
              </w:rPr>
            </w:pPr>
          </w:p>
          <w:p w14:paraId="6795419F" w14:textId="77777777" w:rsidR="00DF6063" w:rsidRPr="00AB73A3" w:rsidRDefault="00DF6063" w:rsidP="00DF6063">
            <w:pPr>
              <w:rPr>
                <w:b/>
                <w:bCs/>
                <w:sz w:val="18"/>
                <w:szCs w:val="18"/>
                <w:highlight w:val="yellow"/>
                <w:lang w:val="en-GB"/>
              </w:rPr>
            </w:pPr>
            <w:r w:rsidRPr="00AB73A3">
              <w:rPr>
                <w:b/>
                <w:bCs/>
                <w:sz w:val="18"/>
                <w:szCs w:val="18"/>
                <w:highlight w:val="yellow"/>
                <w:lang w:val="en-GB"/>
              </w:rPr>
              <w:t>Please explain your answer to question 6.5. If you selected “Another arrangement”, please specify:</w:t>
            </w:r>
          </w:p>
          <w:p w14:paraId="6403546A" w14:textId="77777777" w:rsidR="00DF6063" w:rsidRPr="00AB73A3" w:rsidRDefault="00DF6063" w:rsidP="00DF6063">
            <w:pPr>
              <w:rPr>
                <w:sz w:val="18"/>
                <w:szCs w:val="18"/>
                <w:highlight w:val="yellow"/>
                <w:lang w:val="en-GB"/>
              </w:rPr>
            </w:pPr>
            <w:r w:rsidRPr="00AB73A3">
              <w:rPr>
                <w:sz w:val="18"/>
                <w:szCs w:val="18"/>
                <w:highlight w:val="yellow"/>
                <w:lang w:val="en-GB"/>
              </w:rPr>
              <w:t> Additional help available</w:t>
            </w:r>
          </w:p>
          <w:p w14:paraId="6ECA56AC" w14:textId="77777777" w:rsidR="00DF6063" w:rsidRPr="00AB73A3" w:rsidRDefault="00DF6063" w:rsidP="00DF6063">
            <w:pPr>
              <w:rPr>
                <w:sz w:val="18"/>
                <w:szCs w:val="18"/>
                <w:highlight w:val="yellow"/>
                <w:lang w:val="en-GB"/>
              </w:rPr>
            </w:pPr>
            <w:r w:rsidRPr="00AB73A3">
              <w:rPr>
                <w:sz w:val="18"/>
                <w:szCs w:val="18"/>
                <w:highlight w:val="yellow"/>
                <w:lang w:val="en-GB"/>
              </w:rPr>
              <w:t>including spaces and line breaks, i.e. stricter than the MS Word characters counting method.</w:t>
            </w:r>
          </w:p>
          <w:p w14:paraId="636C0177" w14:textId="77777777" w:rsidR="00DF6063" w:rsidRPr="00AB73A3" w:rsidRDefault="00DF6063" w:rsidP="00DF6063">
            <w:pPr>
              <w:rPr>
                <w:i/>
                <w:sz w:val="18"/>
                <w:szCs w:val="18"/>
                <w:highlight w:val="yellow"/>
                <w:lang w:val="en-US"/>
              </w:rPr>
            </w:pPr>
            <w:proofErr w:type="gramStart"/>
            <w:r w:rsidRPr="00AB73A3">
              <w:rPr>
                <w:i/>
                <w:sz w:val="18"/>
                <w:szCs w:val="18"/>
                <w:highlight w:val="yellow"/>
                <w:lang w:val="en-US"/>
              </w:rPr>
              <w:t>5000 character</w:t>
            </w:r>
            <w:proofErr w:type="gramEnd"/>
            <w:r w:rsidRPr="00AB73A3">
              <w:rPr>
                <w:i/>
                <w:sz w:val="18"/>
                <w:szCs w:val="18"/>
                <w:highlight w:val="yellow"/>
                <w:lang w:val="en-US"/>
              </w:rPr>
              <w:t>(s) maximum</w:t>
            </w:r>
          </w:p>
          <w:p w14:paraId="7A3DE3C8" w14:textId="77777777" w:rsidR="008A5D8E" w:rsidRPr="00AB73A3" w:rsidRDefault="008A5D8E" w:rsidP="00C21071">
            <w:pPr>
              <w:rPr>
                <w:sz w:val="18"/>
                <w:szCs w:val="18"/>
                <w:highlight w:val="yellow"/>
                <w:lang w:val="en-US"/>
              </w:rPr>
            </w:pPr>
          </w:p>
          <w:p w14:paraId="6286F25E" w14:textId="77777777" w:rsidR="008A5D8E" w:rsidRPr="00AB73A3" w:rsidRDefault="008A5D8E" w:rsidP="00C21071">
            <w:pPr>
              <w:rPr>
                <w:sz w:val="18"/>
                <w:szCs w:val="18"/>
                <w:highlight w:val="yellow"/>
                <w:lang w:val="en-US"/>
              </w:rPr>
            </w:pPr>
          </w:p>
          <w:p w14:paraId="263D71FE" w14:textId="77777777" w:rsidR="008A5D8E" w:rsidRPr="00AB73A3" w:rsidRDefault="008A5D8E" w:rsidP="00C21071">
            <w:pPr>
              <w:rPr>
                <w:sz w:val="18"/>
                <w:szCs w:val="18"/>
                <w:highlight w:val="yellow"/>
                <w:lang w:val="en-US"/>
              </w:rPr>
            </w:pPr>
          </w:p>
          <w:p w14:paraId="1726E4C5" w14:textId="77777777" w:rsidR="008A5D8E" w:rsidRPr="00AB73A3" w:rsidRDefault="008A5D8E" w:rsidP="00C21071">
            <w:pPr>
              <w:rPr>
                <w:sz w:val="18"/>
                <w:szCs w:val="18"/>
                <w:highlight w:val="yellow"/>
                <w:lang w:val="en-US"/>
              </w:rPr>
            </w:pPr>
          </w:p>
          <w:p w14:paraId="46CF526D" w14:textId="77777777" w:rsidR="008A5D8E" w:rsidRPr="00AB73A3" w:rsidRDefault="008A5D8E" w:rsidP="00C21071">
            <w:pPr>
              <w:rPr>
                <w:sz w:val="18"/>
                <w:szCs w:val="18"/>
                <w:highlight w:val="yellow"/>
                <w:lang w:val="en-US"/>
              </w:rPr>
            </w:pPr>
          </w:p>
          <w:p w14:paraId="7674BADE" w14:textId="77777777" w:rsidR="008A5D8E" w:rsidRPr="00AB73A3" w:rsidRDefault="008A5D8E" w:rsidP="00C21071">
            <w:pPr>
              <w:rPr>
                <w:sz w:val="18"/>
                <w:szCs w:val="18"/>
                <w:highlight w:val="yellow"/>
                <w:lang w:val="en-US"/>
              </w:rPr>
            </w:pPr>
          </w:p>
          <w:p w14:paraId="7986EE23" w14:textId="77777777" w:rsidR="008A5D8E" w:rsidRPr="00AB73A3" w:rsidRDefault="008A5D8E" w:rsidP="00C21071">
            <w:pPr>
              <w:rPr>
                <w:sz w:val="18"/>
                <w:szCs w:val="18"/>
                <w:highlight w:val="yellow"/>
                <w:lang w:val="en-US"/>
              </w:rPr>
            </w:pPr>
          </w:p>
          <w:p w14:paraId="710E809A" w14:textId="77777777" w:rsidR="008A5D8E" w:rsidRPr="00AB73A3" w:rsidRDefault="008A5D8E" w:rsidP="00C21071">
            <w:pPr>
              <w:rPr>
                <w:sz w:val="18"/>
                <w:szCs w:val="18"/>
                <w:highlight w:val="yellow"/>
                <w:lang w:val="en-US"/>
              </w:rPr>
            </w:pPr>
          </w:p>
          <w:p w14:paraId="4B0CC7D4" w14:textId="77777777" w:rsidR="008A5D8E" w:rsidRPr="00AB73A3" w:rsidRDefault="008A5D8E" w:rsidP="00C21071">
            <w:pPr>
              <w:rPr>
                <w:sz w:val="18"/>
                <w:szCs w:val="18"/>
                <w:highlight w:val="yellow"/>
                <w:lang w:val="en-US"/>
              </w:rPr>
            </w:pPr>
          </w:p>
          <w:p w14:paraId="5676DB1D" w14:textId="77777777" w:rsidR="008A5D8E" w:rsidRPr="00AB73A3" w:rsidRDefault="008A5D8E" w:rsidP="00C21071">
            <w:pPr>
              <w:rPr>
                <w:sz w:val="18"/>
                <w:szCs w:val="18"/>
                <w:highlight w:val="yellow"/>
                <w:lang w:val="en-US"/>
              </w:rPr>
            </w:pPr>
          </w:p>
          <w:p w14:paraId="2720C01D" w14:textId="77777777" w:rsidR="008A5D8E" w:rsidRPr="00AB73A3" w:rsidRDefault="008A5D8E" w:rsidP="00C21071">
            <w:pPr>
              <w:rPr>
                <w:sz w:val="18"/>
                <w:szCs w:val="18"/>
                <w:highlight w:val="yellow"/>
                <w:lang w:val="en-US"/>
              </w:rPr>
            </w:pPr>
          </w:p>
          <w:p w14:paraId="7EE36BAB" w14:textId="77777777" w:rsidR="00B445ED" w:rsidRPr="00AB73A3" w:rsidRDefault="00B445ED" w:rsidP="00B445ED">
            <w:pPr>
              <w:rPr>
                <w:b/>
                <w:bCs/>
                <w:sz w:val="18"/>
                <w:szCs w:val="18"/>
                <w:highlight w:val="yellow"/>
                <w:lang w:val="en-GB"/>
              </w:rPr>
            </w:pPr>
            <w:r w:rsidRPr="00AB73A3">
              <w:rPr>
                <w:b/>
                <w:bCs/>
                <w:sz w:val="18"/>
                <w:szCs w:val="18"/>
                <w:highlight w:val="yellow"/>
                <w:lang w:val="en-GB"/>
              </w:rPr>
              <w:t>If you responded "another arrangement" to question 6.5, please specify to what you refer:</w:t>
            </w:r>
          </w:p>
          <w:p w14:paraId="75A6870A" w14:textId="77777777" w:rsidR="00B445ED" w:rsidRPr="00AB73A3" w:rsidRDefault="00B445ED" w:rsidP="00B445ED">
            <w:pPr>
              <w:rPr>
                <w:sz w:val="18"/>
                <w:szCs w:val="18"/>
                <w:highlight w:val="yellow"/>
                <w:lang w:val="en-GB"/>
              </w:rPr>
            </w:pPr>
            <w:r w:rsidRPr="00AB73A3">
              <w:rPr>
                <w:sz w:val="18"/>
                <w:szCs w:val="18"/>
                <w:highlight w:val="yellow"/>
                <w:lang w:val="en-GB"/>
              </w:rPr>
              <w:t> Additional help available</w:t>
            </w:r>
          </w:p>
          <w:p w14:paraId="109777A8" w14:textId="77777777" w:rsidR="00B445ED" w:rsidRPr="00AB73A3" w:rsidRDefault="00B445ED" w:rsidP="00B445ED">
            <w:pPr>
              <w:rPr>
                <w:sz w:val="18"/>
                <w:szCs w:val="18"/>
                <w:highlight w:val="yellow"/>
                <w:lang w:val="en-GB"/>
              </w:rPr>
            </w:pPr>
            <w:r w:rsidRPr="00AB73A3">
              <w:rPr>
                <w:sz w:val="18"/>
                <w:szCs w:val="18"/>
                <w:highlight w:val="yellow"/>
                <w:lang w:val="en-GB"/>
              </w:rPr>
              <w:t>including spaces and line breaks, i.e. stricter than the MS Word characters counting method.</w:t>
            </w:r>
          </w:p>
          <w:p w14:paraId="1DD62699" w14:textId="77777777" w:rsidR="00B445ED" w:rsidRPr="00B445ED" w:rsidRDefault="00B445ED" w:rsidP="00B445ED">
            <w:pPr>
              <w:rPr>
                <w:i/>
                <w:iCs/>
                <w:sz w:val="18"/>
                <w:szCs w:val="18"/>
              </w:rPr>
            </w:pPr>
            <w:r w:rsidRPr="00AB73A3">
              <w:rPr>
                <w:i/>
                <w:iCs/>
                <w:sz w:val="18"/>
                <w:szCs w:val="18"/>
                <w:highlight w:val="yellow"/>
              </w:rPr>
              <w:t xml:space="preserve">5000 </w:t>
            </w:r>
            <w:proofErr w:type="spellStart"/>
            <w:r w:rsidRPr="00AB73A3">
              <w:rPr>
                <w:i/>
                <w:iCs/>
                <w:sz w:val="18"/>
                <w:szCs w:val="18"/>
                <w:highlight w:val="yellow"/>
              </w:rPr>
              <w:t>character</w:t>
            </w:r>
            <w:proofErr w:type="spellEnd"/>
            <w:r w:rsidRPr="00AB73A3">
              <w:rPr>
                <w:i/>
                <w:iCs/>
                <w:sz w:val="18"/>
                <w:szCs w:val="18"/>
                <w:highlight w:val="yellow"/>
              </w:rPr>
              <w:t>(s) maximum</w:t>
            </w:r>
          </w:p>
          <w:p w14:paraId="5F5CB207" w14:textId="74559F51" w:rsidR="008A5D8E" w:rsidRPr="00973525" w:rsidRDefault="008A5D8E" w:rsidP="00C21071">
            <w:pPr>
              <w:rPr>
                <w:sz w:val="18"/>
                <w:szCs w:val="18"/>
                <w:lang w:val="en-GB"/>
              </w:rPr>
            </w:pPr>
          </w:p>
        </w:tc>
        <w:tc>
          <w:tcPr>
            <w:tcW w:w="7740" w:type="dxa"/>
          </w:tcPr>
          <w:p w14:paraId="5A28F26C" w14:textId="2731CEFE" w:rsidR="00C21071" w:rsidRPr="00973525" w:rsidRDefault="00C21071" w:rsidP="3F97841D">
            <w:pPr>
              <w:rPr>
                <w:sz w:val="18"/>
                <w:szCs w:val="18"/>
                <w:lang w:val="en-US"/>
              </w:rPr>
            </w:pPr>
          </w:p>
          <w:p w14:paraId="49DCE0D3" w14:textId="3DDCA454" w:rsidR="00C21071" w:rsidRPr="00973525" w:rsidRDefault="174F7F4F" w:rsidP="3F97841D">
            <w:pPr>
              <w:rPr>
                <w:sz w:val="18"/>
                <w:szCs w:val="18"/>
                <w:lang w:val="en-US"/>
              </w:rPr>
            </w:pPr>
            <w:r w:rsidRPr="3F97841D">
              <w:rPr>
                <w:sz w:val="18"/>
                <w:szCs w:val="18"/>
                <w:lang w:val="en-US"/>
              </w:rPr>
              <w:t>Rather than a supervisory hub, that would be very complex to establish and may result in additional burden, we would support a better supervisory coordination through a knowledge hub, covering all member states, so that scarce expertise can be leveraged, interpretations would become more consistent and predictable, and this expertise could also be put at work to support the development of securitisation in smaller EU Member States where there is no critical mass for the supervisor to develop such an expertise.</w:t>
            </w:r>
          </w:p>
          <w:p w14:paraId="12BF0502" w14:textId="59BE312E" w:rsidR="00C21071" w:rsidRPr="00AB73A3" w:rsidRDefault="174F7F4F" w:rsidP="3F97841D">
            <w:pPr>
              <w:rPr>
                <w:lang w:val="en-GB"/>
              </w:rPr>
            </w:pPr>
            <w:r w:rsidRPr="3F97841D">
              <w:rPr>
                <w:sz w:val="18"/>
                <w:szCs w:val="18"/>
                <w:lang w:val="en-US"/>
              </w:rPr>
              <w:t xml:space="preserve"> </w:t>
            </w:r>
          </w:p>
          <w:p w14:paraId="66E3B2B2" w14:textId="1F6C3EBE" w:rsidR="00C21071" w:rsidRPr="00AB73A3" w:rsidRDefault="174F7F4F" w:rsidP="3F97841D">
            <w:pPr>
              <w:rPr>
                <w:lang w:val="en-GB"/>
              </w:rPr>
            </w:pPr>
            <w:r w:rsidRPr="3F97841D">
              <w:rPr>
                <w:sz w:val="18"/>
                <w:szCs w:val="18"/>
                <w:lang w:val="en-US"/>
              </w:rPr>
              <w:t xml:space="preserve">Such a knowledge hub should be supported by a regulatory hub, for which the existing Joint Committee of ESAs on securitisation is a good starting point. As Paris </w:t>
            </w:r>
            <w:proofErr w:type="spellStart"/>
            <w:r w:rsidRPr="3F97841D">
              <w:rPr>
                <w:sz w:val="18"/>
                <w:szCs w:val="18"/>
                <w:lang w:val="en-US"/>
              </w:rPr>
              <w:t>Europlace</w:t>
            </w:r>
            <w:proofErr w:type="spellEnd"/>
            <w:r w:rsidRPr="3F97841D">
              <w:rPr>
                <w:sz w:val="18"/>
                <w:szCs w:val="18"/>
                <w:lang w:val="en-US"/>
              </w:rPr>
              <w:t xml:space="preserve"> has proposed in its September 2024 report, the Joint Committee on Securitisation should be empowered to drive the securitisation horizontal regulatory process in close liaison with DG-FISMA. Securitisation is a technical, and multifaceted topic, as there are multiple legal and regulatory texts addressing various aspects or types of regulated entities. Therefore, the capacity to ensure consistency, in both substance and timeline, across the various regulatory bodies involved is key to ensure a proper implementation and achieve the targeted outcome. An evolution of the role and governance of the Joint Committees could be envisaged as part of the upcoming ESAs review.</w:t>
            </w:r>
          </w:p>
          <w:p w14:paraId="42BFA210" w14:textId="1752872C" w:rsidR="00C21071" w:rsidRPr="00AB73A3" w:rsidRDefault="174F7F4F" w:rsidP="3F97841D">
            <w:pPr>
              <w:rPr>
                <w:lang w:val="en-GB"/>
              </w:rPr>
            </w:pPr>
            <w:r w:rsidRPr="3F97841D">
              <w:rPr>
                <w:sz w:val="18"/>
                <w:szCs w:val="18"/>
                <w:lang w:val="en-US"/>
              </w:rPr>
              <w:t xml:space="preserve"> </w:t>
            </w:r>
          </w:p>
          <w:p w14:paraId="05CF3C3C" w14:textId="319A41DF" w:rsidR="00C21071" w:rsidRPr="00AB73A3" w:rsidRDefault="174F7F4F" w:rsidP="3F97841D">
            <w:pPr>
              <w:rPr>
                <w:lang w:val="en-GB"/>
              </w:rPr>
            </w:pPr>
            <w:r w:rsidRPr="3F97841D">
              <w:rPr>
                <w:sz w:val="18"/>
                <w:szCs w:val="18"/>
                <w:lang w:val="en-US"/>
              </w:rPr>
              <w:t xml:space="preserve">These hubs should work on the basis that dialogue with practitioners is essential. This dialogue must be permanent, transparent, and constructive. It needs to include the whole ecosystem, from investors to issuers, but also rating agencies, label providers, law firms, accountants </w:t>
            </w:r>
            <w:proofErr w:type="spellStart"/>
            <w:r w:rsidRPr="3F97841D">
              <w:rPr>
                <w:sz w:val="18"/>
                <w:szCs w:val="18"/>
                <w:lang w:val="en-US"/>
              </w:rPr>
              <w:t>etc</w:t>
            </w:r>
            <w:proofErr w:type="spellEnd"/>
            <w:r w:rsidRPr="3F97841D">
              <w:rPr>
                <w:sz w:val="18"/>
                <w:szCs w:val="18"/>
                <w:lang w:val="en-US"/>
              </w:rPr>
              <w:t xml:space="preserve">… Such a variety of expert profiles do not exist in the existing ESAs Stakeholder Groups. A dedicated Securitisation Experts Group should be created to institutionalize the existing dialogue across various types of players, the Joint Committee, the supervisory hub, and involved national authorities. Leveraging the expertise of the Common </w:t>
            </w:r>
            <w:proofErr w:type="spellStart"/>
            <w:r w:rsidRPr="3F97841D">
              <w:rPr>
                <w:sz w:val="18"/>
                <w:szCs w:val="18"/>
                <w:lang w:val="en-US"/>
              </w:rPr>
              <w:t>Eurosystem</w:t>
            </w:r>
            <w:proofErr w:type="spellEnd"/>
            <w:r w:rsidRPr="3F97841D">
              <w:rPr>
                <w:sz w:val="18"/>
                <w:szCs w:val="18"/>
                <w:lang w:val="en-US"/>
              </w:rPr>
              <w:t xml:space="preserve"> Pricing Hub could also be very helpful on quantitative modelling aspects such as valuation, stress testing </w:t>
            </w:r>
            <w:proofErr w:type="spellStart"/>
            <w:r w:rsidRPr="3F97841D">
              <w:rPr>
                <w:sz w:val="18"/>
                <w:szCs w:val="18"/>
                <w:lang w:val="en-US"/>
              </w:rPr>
              <w:t>etc</w:t>
            </w:r>
            <w:proofErr w:type="spellEnd"/>
            <w:r w:rsidRPr="3F97841D">
              <w:rPr>
                <w:sz w:val="18"/>
                <w:szCs w:val="18"/>
                <w:lang w:val="en-US"/>
              </w:rPr>
              <w:t>… The EIF could also play an important role, as a major EU-wide participant in the securitisation market, with extensive expertise and risk management capabilities, across the whole EU.</w:t>
            </w:r>
          </w:p>
          <w:p w14:paraId="7B5713EC" w14:textId="28EF013C" w:rsidR="00C21071" w:rsidRPr="00AB73A3" w:rsidRDefault="174F7F4F" w:rsidP="3F97841D">
            <w:pPr>
              <w:rPr>
                <w:lang w:val="en-GB"/>
              </w:rPr>
            </w:pPr>
            <w:r w:rsidRPr="3F97841D">
              <w:rPr>
                <w:sz w:val="18"/>
                <w:szCs w:val="18"/>
                <w:lang w:val="en-US"/>
              </w:rPr>
              <w:t xml:space="preserve"> </w:t>
            </w:r>
          </w:p>
          <w:p w14:paraId="0D9261F6" w14:textId="3444624B" w:rsidR="00C21071" w:rsidRPr="00AB73A3" w:rsidRDefault="174F7F4F" w:rsidP="3F97841D">
            <w:pPr>
              <w:rPr>
                <w:lang w:val="en-GB"/>
              </w:rPr>
            </w:pPr>
            <w:r w:rsidRPr="3F97841D">
              <w:rPr>
                <w:sz w:val="18"/>
                <w:szCs w:val="18"/>
                <w:lang w:val="en-US"/>
              </w:rPr>
              <w:t xml:space="preserve">Finally, data sharing across ESAs and competent authorities, including macroprudential </w:t>
            </w:r>
            <w:proofErr w:type="gramStart"/>
            <w:r w:rsidRPr="3F97841D">
              <w:rPr>
                <w:sz w:val="18"/>
                <w:szCs w:val="18"/>
                <w:lang w:val="en-US"/>
              </w:rPr>
              <w:t>ones</w:t>
            </w:r>
            <w:proofErr w:type="gramEnd"/>
            <w:r w:rsidRPr="3F97841D">
              <w:rPr>
                <w:sz w:val="18"/>
                <w:szCs w:val="18"/>
                <w:lang w:val="en-US"/>
              </w:rPr>
              <w:t xml:space="preserve"> should be </w:t>
            </w:r>
            <w:proofErr w:type="spellStart"/>
            <w:r w:rsidRPr="3F97841D">
              <w:rPr>
                <w:sz w:val="18"/>
                <w:szCs w:val="18"/>
                <w:lang w:val="en-US"/>
              </w:rPr>
              <w:t>organised</w:t>
            </w:r>
            <w:proofErr w:type="spellEnd"/>
            <w:r w:rsidRPr="3F97841D">
              <w:rPr>
                <w:sz w:val="18"/>
                <w:szCs w:val="18"/>
                <w:lang w:val="en-US"/>
              </w:rPr>
              <w:t>, to limit duplicative request, and to replace the current fragmented view that each institution has on its own part of the market, by a holistic view which is essential to monitor financial stability.</w:t>
            </w:r>
          </w:p>
          <w:p w14:paraId="022693E8" w14:textId="2C489AE0" w:rsidR="00C21071" w:rsidRPr="00973525" w:rsidRDefault="00C21071" w:rsidP="00C21071">
            <w:pPr>
              <w:rPr>
                <w:sz w:val="18"/>
                <w:szCs w:val="18"/>
                <w:lang w:val="en-US"/>
              </w:rPr>
            </w:pPr>
          </w:p>
        </w:tc>
        <w:tc>
          <w:tcPr>
            <w:tcW w:w="236" w:type="dxa"/>
          </w:tcPr>
          <w:p w14:paraId="1D04EB33" w14:textId="5E0AC3E6" w:rsidR="00C21071" w:rsidRPr="007C79DF" w:rsidRDefault="00C21071" w:rsidP="0079353D">
            <w:pPr>
              <w:ind w:firstLine="1917"/>
              <w:rPr>
                <w:sz w:val="18"/>
                <w:szCs w:val="18"/>
                <w:highlight w:val="yellow"/>
                <w:lang w:val="en-GB"/>
              </w:rPr>
            </w:pPr>
          </w:p>
        </w:tc>
      </w:tr>
      <w:tr w:rsidR="00C21071" w:rsidRPr="00973525" w14:paraId="5F243753" w14:textId="77777777" w:rsidTr="30964D0C">
        <w:trPr>
          <w:gridAfter w:val="1"/>
          <w:wAfter w:w="16" w:type="dxa"/>
        </w:trPr>
        <w:tc>
          <w:tcPr>
            <w:tcW w:w="2893" w:type="dxa"/>
          </w:tcPr>
          <w:p w14:paraId="5C8B8671" w14:textId="77777777" w:rsidR="00C21071" w:rsidRPr="00973525" w:rsidRDefault="00C21071" w:rsidP="00C21071">
            <w:pPr>
              <w:rPr>
                <w:sz w:val="18"/>
                <w:szCs w:val="18"/>
                <w:lang w:val="en-US"/>
              </w:rPr>
            </w:pPr>
            <w:r w:rsidRPr="00973525">
              <w:rPr>
                <w:sz w:val="18"/>
                <w:szCs w:val="18"/>
                <w:lang w:val="en-US"/>
              </w:rPr>
              <w:t>6.6.</w:t>
            </w:r>
            <w:r w:rsidRPr="00973525">
              <w:rPr>
                <w:sz w:val="18"/>
                <w:szCs w:val="18"/>
                <w:lang w:val="en-US"/>
              </w:rPr>
              <w:tab/>
              <w:t>If you answered yes to question 6.2, would you require participation by all NCAs or only</w:t>
            </w:r>
          </w:p>
          <w:p w14:paraId="6FB18366" w14:textId="77777777" w:rsidR="00C21071" w:rsidRPr="00973525" w:rsidRDefault="00C21071" w:rsidP="00C21071">
            <w:pPr>
              <w:rPr>
                <w:sz w:val="18"/>
                <w:szCs w:val="18"/>
                <w:lang w:val="en-US"/>
              </w:rPr>
            </w:pPr>
            <w:r w:rsidRPr="00973525">
              <w:rPr>
                <w:sz w:val="18"/>
                <w:szCs w:val="18"/>
                <w:lang w:val="en-US"/>
              </w:rPr>
              <w:t>some?</w:t>
            </w:r>
          </w:p>
          <w:p w14:paraId="080AE4E8" w14:textId="77777777" w:rsidR="00C21071" w:rsidRPr="00973525" w:rsidRDefault="00C21071" w:rsidP="00C21071">
            <w:pPr>
              <w:rPr>
                <w:sz w:val="18"/>
                <w:szCs w:val="18"/>
                <w:lang w:val="en-US"/>
              </w:rPr>
            </w:pPr>
          </w:p>
          <w:p w14:paraId="24FC4DB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All</w:t>
            </w:r>
          </w:p>
          <w:p w14:paraId="7E3DDFC8"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Some</w:t>
            </w:r>
          </w:p>
          <w:p w14:paraId="35836E0C" w14:textId="26BF035A" w:rsidR="00C21071" w:rsidRPr="00973525" w:rsidRDefault="00C21071" w:rsidP="00C21071">
            <w:pPr>
              <w:rPr>
                <w:sz w:val="18"/>
                <w:szCs w:val="18"/>
                <w:lang w:val="en-GB"/>
              </w:rPr>
            </w:pPr>
            <w:r w:rsidRPr="00973525">
              <w:rPr>
                <w:sz w:val="18"/>
                <w:szCs w:val="18"/>
                <w:lang w:val="en-US"/>
              </w:rPr>
              <w:lastRenderedPageBreak/>
              <w:t>•</w:t>
            </w:r>
            <w:r w:rsidRPr="00973525">
              <w:rPr>
                <w:sz w:val="18"/>
                <w:szCs w:val="18"/>
                <w:lang w:val="en-US"/>
              </w:rPr>
              <w:tab/>
              <w:t>No opinion</w:t>
            </w:r>
          </w:p>
        </w:tc>
        <w:tc>
          <w:tcPr>
            <w:tcW w:w="7740" w:type="dxa"/>
          </w:tcPr>
          <w:p w14:paraId="0E219F59" w14:textId="1C13B4AF" w:rsidR="00C21071" w:rsidRPr="00973525" w:rsidRDefault="00C21071" w:rsidP="00C21071">
            <w:pPr>
              <w:rPr>
                <w:sz w:val="18"/>
                <w:szCs w:val="18"/>
                <w:lang w:val="en-GB"/>
              </w:rPr>
            </w:pPr>
            <w:r w:rsidRPr="00973525">
              <w:rPr>
                <w:sz w:val="18"/>
                <w:szCs w:val="18"/>
                <w:lang w:val="en-US"/>
              </w:rPr>
              <w:lastRenderedPageBreak/>
              <w:t>All</w:t>
            </w:r>
          </w:p>
        </w:tc>
        <w:tc>
          <w:tcPr>
            <w:tcW w:w="236" w:type="dxa"/>
          </w:tcPr>
          <w:p w14:paraId="3AEADCC5" w14:textId="77777777" w:rsidR="00C21071" w:rsidRPr="00973525" w:rsidRDefault="00C21071" w:rsidP="0079353D">
            <w:pPr>
              <w:ind w:firstLine="1917"/>
              <w:rPr>
                <w:sz w:val="18"/>
                <w:szCs w:val="18"/>
              </w:rPr>
            </w:pPr>
          </w:p>
        </w:tc>
      </w:tr>
      <w:tr w:rsidR="00C21071" w:rsidRPr="00973525" w14:paraId="57EB3FB6" w14:textId="77777777" w:rsidTr="30964D0C">
        <w:trPr>
          <w:gridAfter w:val="1"/>
          <w:wAfter w:w="16" w:type="dxa"/>
        </w:trPr>
        <w:tc>
          <w:tcPr>
            <w:tcW w:w="2893" w:type="dxa"/>
          </w:tcPr>
          <w:p w14:paraId="0B6B491E" w14:textId="0A61F58C" w:rsidR="00C21071" w:rsidRPr="00973525" w:rsidRDefault="00C21071" w:rsidP="00C21071">
            <w:pPr>
              <w:rPr>
                <w:sz w:val="18"/>
                <w:szCs w:val="18"/>
                <w:lang w:val="en-GB"/>
              </w:rPr>
            </w:pPr>
            <w:r w:rsidRPr="00973525">
              <w:rPr>
                <w:sz w:val="18"/>
                <w:szCs w:val="18"/>
                <w:lang w:val="en-US"/>
              </w:rPr>
              <w:t>6.7.</w:t>
            </w:r>
            <w:r w:rsidRPr="00973525">
              <w:rPr>
                <w:sz w:val="18"/>
                <w:szCs w:val="18"/>
                <w:lang w:val="en-US"/>
              </w:rPr>
              <w:tab/>
              <w:t>If you answered “Some” to 6.6., based on what criteria would you select NCAs? Please specify.</w:t>
            </w:r>
          </w:p>
        </w:tc>
        <w:tc>
          <w:tcPr>
            <w:tcW w:w="7740" w:type="dxa"/>
          </w:tcPr>
          <w:p w14:paraId="2DE0AED5" w14:textId="27046020" w:rsidR="00C21071" w:rsidRPr="00973525" w:rsidRDefault="00C21071" w:rsidP="00C21071">
            <w:pPr>
              <w:rPr>
                <w:sz w:val="18"/>
                <w:szCs w:val="18"/>
                <w:lang w:val="en-GB"/>
              </w:rPr>
            </w:pPr>
            <w:r w:rsidRPr="00973525">
              <w:rPr>
                <w:sz w:val="18"/>
                <w:szCs w:val="18"/>
                <w:lang w:val="en-US"/>
              </w:rPr>
              <w:t>N/A</w:t>
            </w:r>
          </w:p>
        </w:tc>
        <w:tc>
          <w:tcPr>
            <w:tcW w:w="236" w:type="dxa"/>
          </w:tcPr>
          <w:p w14:paraId="1F9FFE4B" w14:textId="77777777" w:rsidR="00C21071" w:rsidRPr="00973525" w:rsidRDefault="00C21071" w:rsidP="0079353D">
            <w:pPr>
              <w:ind w:firstLine="1917"/>
              <w:rPr>
                <w:sz w:val="18"/>
                <w:szCs w:val="18"/>
              </w:rPr>
            </w:pPr>
          </w:p>
        </w:tc>
      </w:tr>
      <w:tr w:rsidR="00C21071" w:rsidRPr="00973525" w14:paraId="31683EE2" w14:textId="77777777" w:rsidTr="30964D0C">
        <w:trPr>
          <w:gridAfter w:val="1"/>
          <w:wAfter w:w="16" w:type="dxa"/>
        </w:trPr>
        <w:tc>
          <w:tcPr>
            <w:tcW w:w="2893" w:type="dxa"/>
          </w:tcPr>
          <w:p w14:paraId="76F8195B" w14:textId="3D35E269" w:rsidR="00C21071" w:rsidRPr="00973525" w:rsidRDefault="00C21071" w:rsidP="00C21071">
            <w:pPr>
              <w:rPr>
                <w:sz w:val="18"/>
                <w:szCs w:val="18"/>
                <w:lang w:val="en-GB"/>
              </w:rPr>
            </w:pPr>
            <w:r w:rsidRPr="00973525">
              <w:rPr>
                <w:sz w:val="18"/>
                <w:szCs w:val="18"/>
                <w:lang w:val="en-US"/>
              </w:rPr>
              <w:t>6.8.</w:t>
            </w:r>
            <w:r w:rsidRPr="00973525">
              <w:rPr>
                <w:sz w:val="18"/>
                <w:szCs w:val="18"/>
                <w:lang w:val="en-US"/>
              </w:rPr>
              <w:tab/>
              <w:t>If you are a supervisor, how would the changes to supervision suggested in the previous questions affect your supervisory costs?</w:t>
            </w:r>
          </w:p>
        </w:tc>
        <w:tc>
          <w:tcPr>
            <w:tcW w:w="7740" w:type="dxa"/>
          </w:tcPr>
          <w:p w14:paraId="26F1BC02" w14:textId="06EE561D" w:rsidR="00C21071" w:rsidRPr="00973525" w:rsidRDefault="00C21071" w:rsidP="00C21071">
            <w:pPr>
              <w:rPr>
                <w:sz w:val="18"/>
                <w:szCs w:val="18"/>
                <w:lang w:val="en-GB"/>
              </w:rPr>
            </w:pPr>
            <w:r w:rsidRPr="00973525">
              <w:rPr>
                <w:sz w:val="18"/>
                <w:szCs w:val="18"/>
                <w:lang w:val="en-US"/>
              </w:rPr>
              <w:t>N/A</w:t>
            </w:r>
          </w:p>
        </w:tc>
        <w:tc>
          <w:tcPr>
            <w:tcW w:w="236" w:type="dxa"/>
          </w:tcPr>
          <w:p w14:paraId="22C66D9F" w14:textId="77777777" w:rsidR="00C21071" w:rsidRPr="00973525" w:rsidRDefault="00C21071" w:rsidP="0079353D">
            <w:pPr>
              <w:ind w:firstLine="1917"/>
              <w:rPr>
                <w:sz w:val="18"/>
                <w:szCs w:val="18"/>
              </w:rPr>
            </w:pPr>
          </w:p>
        </w:tc>
      </w:tr>
      <w:tr w:rsidR="30964D0C" w14:paraId="3F8F3A4C" w14:textId="77777777" w:rsidTr="30964D0C">
        <w:trPr>
          <w:gridAfter w:val="1"/>
          <w:wAfter w:w="16" w:type="dxa"/>
          <w:trHeight w:val="300"/>
        </w:trPr>
        <w:tc>
          <w:tcPr>
            <w:tcW w:w="2893" w:type="dxa"/>
            <w:shd w:val="clear" w:color="auto" w:fill="E8E8E8" w:themeFill="background2"/>
          </w:tcPr>
          <w:p w14:paraId="3F57EE83" w14:textId="53E593A6" w:rsidR="30964D0C" w:rsidRDefault="30964D0C" w:rsidP="30964D0C">
            <w:pPr>
              <w:rPr>
                <w:sz w:val="18"/>
                <w:szCs w:val="18"/>
                <w:lang w:val="en-GB"/>
              </w:rPr>
            </w:pPr>
          </w:p>
        </w:tc>
        <w:tc>
          <w:tcPr>
            <w:tcW w:w="7740" w:type="dxa"/>
            <w:shd w:val="clear" w:color="auto" w:fill="E8E8E8" w:themeFill="background2"/>
          </w:tcPr>
          <w:p w14:paraId="42F29671" w14:textId="6A3F5E02" w:rsidR="30964D0C" w:rsidRDefault="30964D0C" w:rsidP="30964D0C">
            <w:pPr>
              <w:rPr>
                <w:sz w:val="18"/>
                <w:szCs w:val="18"/>
                <w:lang w:val="en-GB"/>
              </w:rPr>
            </w:pPr>
          </w:p>
        </w:tc>
        <w:tc>
          <w:tcPr>
            <w:tcW w:w="236" w:type="dxa"/>
            <w:shd w:val="clear" w:color="auto" w:fill="E8E8E8" w:themeFill="background2"/>
          </w:tcPr>
          <w:p w14:paraId="4F27BE14" w14:textId="6DBA5B1B" w:rsidR="30964D0C" w:rsidRDefault="30964D0C" w:rsidP="30964D0C">
            <w:pPr>
              <w:ind w:firstLine="1917"/>
              <w:rPr>
                <w:sz w:val="18"/>
                <w:szCs w:val="18"/>
                <w:lang w:val="en-GB"/>
              </w:rPr>
            </w:pPr>
          </w:p>
        </w:tc>
      </w:tr>
      <w:tr w:rsidR="00C21071" w:rsidRPr="00973525" w14:paraId="652644A5" w14:textId="77777777" w:rsidTr="30964D0C">
        <w:trPr>
          <w:gridAfter w:val="1"/>
          <w:wAfter w:w="16" w:type="dxa"/>
        </w:trPr>
        <w:tc>
          <w:tcPr>
            <w:tcW w:w="2893" w:type="dxa"/>
            <w:shd w:val="clear" w:color="auto" w:fill="DAE9F7" w:themeFill="text2" w:themeFillTint="1A"/>
          </w:tcPr>
          <w:p w14:paraId="0CD6EFA9" w14:textId="63C76FA6" w:rsidR="00C21071" w:rsidRPr="00973525" w:rsidRDefault="00C21071" w:rsidP="00C21071">
            <w:pPr>
              <w:rPr>
                <w:sz w:val="18"/>
                <w:szCs w:val="18"/>
                <w:lang w:val="en-US"/>
              </w:rPr>
            </w:pPr>
            <w:r w:rsidRPr="00973525">
              <w:rPr>
                <w:sz w:val="18"/>
                <w:szCs w:val="18"/>
                <w:lang w:val="en-GB"/>
              </w:rPr>
              <w:br w:type="page"/>
            </w:r>
            <w:r w:rsidRPr="00973525">
              <w:rPr>
                <w:b/>
                <w:bCs/>
                <w:sz w:val="18"/>
                <w:szCs w:val="18"/>
              </w:rPr>
              <w:t>7. STS standard</w:t>
            </w:r>
          </w:p>
        </w:tc>
        <w:tc>
          <w:tcPr>
            <w:tcW w:w="7740" w:type="dxa"/>
            <w:shd w:val="clear" w:color="auto" w:fill="DAE9F7" w:themeFill="text2" w:themeFillTint="1A"/>
          </w:tcPr>
          <w:p w14:paraId="2CB4D12E" w14:textId="3C3A8413" w:rsidR="00C21071" w:rsidRPr="00973525" w:rsidRDefault="00C21071" w:rsidP="00C21071">
            <w:pPr>
              <w:rPr>
                <w:sz w:val="18"/>
                <w:szCs w:val="18"/>
                <w:lang w:val="en-US"/>
              </w:rPr>
            </w:pPr>
            <w:r w:rsidRPr="00973525">
              <w:rPr>
                <w:sz w:val="18"/>
                <w:szCs w:val="18"/>
                <w:lang w:val="en-GB"/>
              </w:rPr>
              <w:br w:type="page"/>
            </w:r>
          </w:p>
        </w:tc>
        <w:tc>
          <w:tcPr>
            <w:tcW w:w="236" w:type="dxa"/>
            <w:shd w:val="clear" w:color="auto" w:fill="DAE9F7" w:themeFill="text2" w:themeFillTint="1A"/>
          </w:tcPr>
          <w:p w14:paraId="2FC9A0B0" w14:textId="2BE9ACAA" w:rsidR="00C21071" w:rsidRPr="00973525" w:rsidRDefault="00C21071" w:rsidP="0079353D">
            <w:pPr>
              <w:ind w:firstLine="1917"/>
              <w:rPr>
                <w:sz w:val="18"/>
                <w:szCs w:val="18"/>
                <w:lang w:val="en-GB"/>
              </w:rPr>
            </w:pPr>
            <w:r w:rsidRPr="00973525">
              <w:rPr>
                <w:sz w:val="18"/>
                <w:szCs w:val="18"/>
                <w:lang w:val="en-GB"/>
              </w:rPr>
              <w:br w:type="page"/>
            </w:r>
          </w:p>
        </w:tc>
      </w:tr>
      <w:tr w:rsidR="00C21071" w:rsidRPr="0000602A" w14:paraId="5067417E" w14:textId="77777777" w:rsidTr="30964D0C">
        <w:trPr>
          <w:gridAfter w:val="1"/>
          <w:wAfter w:w="16" w:type="dxa"/>
        </w:trPr>
        <w:tc>
          <w:tcPr>
            <w:tcW w:w="2893" w:type="dxa"/>
          </w:tcPr>
          <w:p w14:paraId="26E9B315" w14:textId="77777777" w:rsidR="00C21071" w:rsidRPr="00973525" w:rsidRDefault="00C21071" w:rsidP="00C21071">
            <w:pPr>
              <w:rPr>
                <w:sz w:val="18"/>
                <w:szCs w:val="18"/>
                <w:lang w:val="en-US"/>
              </w:rPr>
            </w:pPr>
            <w:r w:rsidRPr="00973525">
              <w:rPr>
                <w:sz w:val="18"/>
                <w:szCs w:val="18"/>
                <w:lang w:val="en-US"/>
              </w:rPr>
              <w:t>7.1.</w:t>
            </w:r>
            <w:r w:rsidRPr="00973525">
              <w:rPr>
                <w:sz w:val="18"/>
                <w:szCs w:val="18"/>
                <w:lang w:val="en-US"/>
              </w:rPr>
              <w:tab/>
              <w:t>Do you think that the STS label in its current form has the potential to significantly scale up the EU securitisation market?</w:t>
            </w:r>
          </w:p>
          <w:p w14:paraId="6E8806EA"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737E3A7D"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4C96B470"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No opinion Please </w:t>
            </w:r>
            <w:proofErr w:type="gramStart"/>
            <w:r w:rsidRPr="00973525">
              <w:rPr>
                <w:sz w:val="18"/>
                <w:szCs w:val="18"/>
                <w:lang w:val="en-US"/>
              </w:rPr>
              <w:t>explain</w:t>
            </w:r>
            <w:proofErr w:type="gramEnd"/>
            <w:r w:rsidRPr="00973525">
              <w:rPr>
                <w:sz w:val="18"/>
                <w:szCs w:val="18"/>
                <w:lang w:val="en-US"/>
              </w:rPr>
              <w:t>.</w:t>
            </w:r>
          </w:p>
          <w:p w14:paraId="074140F1" w14:textId="77777777" w:rsidR="00C21071" w:rsidRPr="00973525" w:rsidRDefault="00C21071" w:rsidP="00C21071">
            <w:pPr>
              <w:rPr>
                <w:sz w:val="18"/>
                <w:szCs w:val="18"/>
                <w:lang w:val="en-GB"/>
              </w:rPr>
            </w:pPr>
          </w:p>
        </w:tc>
        <w:tc>
          <w:tcPr>
            <w:tcW w:w="7740" w:type="dxa"/>
          </w:tcPr>
          <w:p w14:paraId="06B1FD45" w14:textId="77777777" w:rsidR="00C21071" w:rsidRPr="00973525" w:rsidRDefault="00C21071" w:rsidP="00C21071">
            <w:pPr>
              <w:rPr>
                <w:sz w:val="18"/>
                <w:szCs w:val="18"/>
                <w:lang w:val="en-US"/>
              </w:rPr>
            </w:pPr>
            <w:r w:rsidRPr="00973525">
              <w:rPr>
                <w:sz w:val="18"/>
                <w:szCs w:val="18"/>
                <w:lang w:val="en-US"/>
              </w:rPr>
              <w:t>No,</w:t>
            </w:r>
          </w:p>
          <w:p w14:paraId="754DE741" w14:textId="77777777" w:rsidR="00C21071" w:rsidRPr="00973525" w:rsidRDefault="00C21071" w:rsidP="00C21071">
            <w:pPr>
              <w:rPr>
                <w:sz w:val="18"/>
                <w:szCs w:val="18"/>
                <w:lang w:val="en-US"/>
              </w:rPr>
            </w:pPr>
          </w:p>
          <w:p w14:paraId="48AD8DE1" w14:textId="77777777" w:rsidR="00C21071" w:rsidRPr="00973525" w:rsidRDefault="00C21071" w:rsidP="00C21071">
            <w:pPr>
              <w:rPr>
                <w:sz w:val="18"/>
                <w:szCs w:val="18"/>
                <w:lang w:val="en-US"/>
              </w:rPr>
            </w:pPr>
            <w:r w:rsidRPr="00973525">
              <w:rPr>
                <w:sz w:val="18"/>
                <w:szCs w:val="18"/>
                <w:lang w:val="en-US"/>
              </w:rPr>
              <w:t xml:space="preserve">We believe that the extension of these measures to non-STS transactions, with adjusted calibration, is key to effectively </w:t>
            </w:r>
            <w:proofErr w:type="gramStart"/>
            <w:r w:rsidRPr="00973525">
              <w:rPr>
                <w:sz w:val="18"/>
                <w:szCs w:val="18"/>
                <w:lang w:val="en-US"/>
              </w:rPr>
              <w:t>relaunch</w:t>
            </w:r>
            <w:proofErr w:type="gramEnd"/>
            <w:r w:rsidRPr="00973525">
              <w:rPr>
                <w:sz w:val="18"/>
                <w:szCs w:val="18"/>
                <w:lang w:val="en-US"/>
              </w:rPr>
              <w:t xml:space="preserve"> the securitization market in Europe. In the current debate to develop the European securitisation </w:t>
            </w:r>
            <w:proofErr w:type="gramStart"/>
            <w:r w:rsidRPr="00973525">
              <w:rPr>
                <w:sz w:val="18"/>
                <w:szCs w:val="18"/>
                <w:lang w:val="en-US"/>
              </w:rPr>
              <w:t>market,  non</w:t>
            </w:r>
            <w:proofErr w:type="gramEnd"/>
            <w:r w:rsidRPr="00973525">
              <w:rPr>
                <w:sz w:val="18"/>
                <w:szCs w:val="18"/>
                <w:lang w:val="en-US"/>
              </w:rPr>
              <w:t xml:space="preserve">-STS securitizations should be also within the scope of prudential improvements,  with an appropriate calibration. Non-STS transactions are equally relevant as STS transactions to foster the </w:t>
            </w:r>
            <w:proofErr w:type="gramStart"/>
            <w:r w:rsidRPr="00973525">
              <w:rPr>
                <w:sz w:val="18"/>
                <w:szCs w:val="18"/>
                <w:lang w:val="en-US"/>
              </w:rPr>
              <w:t>CMU  and</w:t>
            </w:r>
            <w:proofErr w:type="gramEnd"/>
            <w:r w:rsidRPr="00973525">
              <w:rPr>
                <w:sz w:val="18"/>
                <w:szCs w:val="18"/>
                <w:lang w:val="en-US"/>
              </w:rPr>
              <w:t xml:space="preserve"> greatly contribute to the very large financing required for the green and digital transitions of the European economy.</w:t>
            </w:r>
          </w:p>
          <w:p w14:paraId="4528CA21" w14:textId="77777777" w:rsidR="00C21071" w:rsidRPr="00973525" w:rsidRDefault="00C21071" w:rsidP="00C21071">
            <w:pPr>
              <w:rPr>
                <w:sz w:val="18"/>
                <w:szCs w:val="18"/>
                <w:lang w:val="en-US"/>
              </w:rPr>
            </w:pPr>
            <w:r w:rsidRPr="00973525">
              <w:rPr>
                <w:sz w:val="18"/>
                <w:szCs w:val="18"/>
                <w:lang w:val="en-US"/>
              </w:rPr>
              <w:t>While we fully support the STS framework, the label did not bring the hoped-for new originators or investors to the market. Figures provided by the EBA and by AFME evidence that the STS market share is quite low in Europe (around 35% of the total issuances) and that the STS issuance amounts placed in the market are disappointing.</w:t>
            </w:r>
          </w:p>
          <w:p w14:paraId="48DF2237" w14:textId="77777777" w:rsidR="00C21071" w:rsidRPr="00973525" w:rsidRDefault="00C21071" w:rsidP="00C21071">
            <w:pPr>
              <w:rPr>
                <w:sz w:val="18"/>
                <w:szCs w:val="18"/>
                <w:lang w:val="en-US"/>
              </w:rPr>
            </w:pPr>
            <w:r w:rsidRPr="00973525">
              <w:rPr>
                <w:sz w:val="18"/>
                <w:szCs w:val="18"/>
                <w:lang w:val="en-US"/>
              </w:rPr>
              <w:t xml:space="preserve">According to the AFME Securitisation Data Report Q2 2024, EUR 66.6 bn of </w:t>
            </w:r>
            <w:proofErr w:type="spellStart"/>
            <w:r w:rsidRPr="00973525">
              <w:rPr>
                <w:sz w:val="18"/>
                <w:szCs w:val="18"/>
                <w:lang w:val="en-US"/>
              </w:rPr>
              <w:t>securitised</w:t>
            </w:r>
            <w:proofErr w:type="spellEnd"/>
            <w:r w:rsidRPr="00973525">
              <w:rPr>
                <w:sz w:val="18"/>
                <w:szCs w:val="18"/>
                <w:lang w:val="en-US"/>
              </w:rPr>
              <w:t xml:space="preserve"> product was issued in Q2 2024 in Europe, a decrease of 1.4% from Q1 2024 (EUR 67.6 bn). Of the EUR 66.6 bn issued, EUR 45.4 bn was placed in the market among investors, representing 68.2% of the total. Among placed issuance, Pan-European CLOs, UK RMBS and German Auto ABS led placed totals, with EUR 13.9 bn, EUR 10.6 bn and EUR 3.2 bn of issuance, respectively. </w:t>
            </w:r>
          </w:p>
          <w:p w14:paraId="333063BC" w14:textId="77777777" w:rsidR="00C21071" w:rsidRPr="00973525" w:rsidRDefault="00C21071" w:rsidP="00C21071">
            <w:pPr>
              <w:rPr>
                <w:sz w:val="18"/>
                <w:szCs w:val="18"/>
                <w:lang w:val="en-US"/>
              </w:rPr>
            </w:pPr>
            <w:r w:rsidRPr="00973525">
              <w:rPr>
                <w:sz w:val="18"/>
                <w:szCs w:val="18"/>
                <w:lang w:val="en-US"/>
              </w:rPr>
              <w:t>Total outstanding volumes (including CLOs) increased to EUR 1,186.1 bn at the end of Q2 2024.</w:t>
            </w:r>
          </w:p>
          <w:p w14:paraId="626EEF46" w14:textId="77777777" w:rsidR="00C21071" w:rsidRPr="00973525" w:rsidRDefault="00C21071" w:rsidP="00C21071">
            <w:pPr>
              <w:rPr>
                <w:sz w:val="18"/>
                <w:szCs w:val="18"/>
                <w:lang w:val="en-US"/>
              </w:rPr>
            </w:pPr>
          </w:p>
          <w:p w14:paraId="54DE3150" w14:textId="77777777" w:rsidR="00C21071" w:rsidRPr="00973525" w:rsidRDefault="00C21071" w:rsidP="00C21071">
            <w:pPr>
              <w:rPr>
                <w:sz w:val="18"/>
                <w:szCs w:val="18"/>
                <w:lang w:val="en-US"/>
              </w:rPr>
            </w:pPr>
            <w:r w:rsidRPr="00973525">
              <w:rPr>
                <w:sz w:val="18"/>
                <w:szCs w:val="18"/>
                <w:lang w:val="en-US"/>
              </w:rPr>
              <w:t xml:space="preserve">In Q2 2024, EUR 27.2 bn of securitized </w:t>
            </w:r>
            <w:proofErr w:type="gramStart"/>
            <w:r w:rsidRPr="00973525">
              <w:rPr>
                <w:sz w:val="18"/>
                <w:szCs w:val="18"/>
                <w:lang w:val="en-US"/>
              </w:rPr>
              <w:t>product</w:t>
            </w:r>
            <w:proofErr w:type="gramEnd"/>
            <w:r w:rsidRPr="00973525">
              <w:rPr>
                <w:sz w:val="18"/>
                <w:szCs w:val="18"/>
                <w:lang w:val="en-US"/>
              </w:rPr>
              <w:t xml:space="preserve"> was notified as STS to ESMA and the FCA, up from EUR 14.4 bn in Q1 2024. Placed STS issuance volumes increased during Q2 2024 to EUR 20.4 bn, up from EUR 11.7 bn in Q1 2024. Placed STS Securitisation issuance, as a proportion of total placed issuance (</w:t>
            </w:r>
            <w:proofErr w:type="spellStart"/>
            <w:r w:rsidRPr="00973525">
              <w:rPr>
                <w:sz w:val="18"/>
                <w:szCs w:val="18"/>
                <w:lang w:val="en-US"/>
              </w:rPr>
              <w:t>STS+non-STS</w:t>
            </w:r>
            <w:proofErr w:type="spellEnd"/>
            <w:r w:rsidRPr="00973525">
              <w:rPr>
                <w:sz w:val="18"/>
                <w:szCs w:val="18"/>
                <w:lang w:val="en-US"/>
              </w:rPr>
              <w:t xml:space="preserve">), increased to 45% during Q2 2024, up from 37% in Q1 2024. Retained (non-placed) securitisations remain in the originator’s balance sheet, mainly for Central Bank liquidity purposes. </w:t>
            </w:r>
          </w:p>
          <w:p w14:paraId="6B169E94" w14:textId="77777777" w:rsidR="00C21071" w:rsidRPr="00973525" w:rsidRDefault="00C21071" w:rsidP="00C21071">
            <w:pPr>
              <w:rPr>
                <w:sz w:val="18"/>
                <w:szCs w:val="18"/>
                <w:lang w:val="en-US"/>
              </w:rPr>
            </w:pPr>
            <w:r w:rsidRPr="00973525">
              <w:rPr>
                <w:sz w:val="18"/>
                <w:szCs w:val="18"/>
                <w:lang w:val="en-US"/>
              </w:rPr>
              <w:t xml:space="preserve">For the whole year 2023, the total amount of public issuance in Europe is € 213 bn, of which € 95 bn is placed in the market among investors.  </w:t>
            </w:r>
          </w:p>
          <w:p w14:paraId="5DCE8FC5" w14:textId="77777777" w:rsidR="00C21071" w:rsidRPr="00973525" w:rsidRDefault="00C21071" w:rsidP="00C21071">
            <w:pPr>
              <w:rPr>
                <w:sz w:val="18"/>
                <w:szCs w:val="18"/>
                <w:lang w:val="en-US"/>
              </w:rPr>
            </w:pPr>
            <w:r w:rsidRPr="00973525">
              <w:rPr>
                <w:sz w:val="18"/>
                <w:szCs w:val="18"/>
                <w:lang w:val="en-US"/>
              </w:rPr>
              <w:t xml:space="preserve">The total amount of STS issuance in 2023 in Europe is € 76 bn, with only € 44 bn placed in the market. </w:t>
            </w:r>
          </w:p>
          <w:p w14:paraId="586E6A15" w14:textId="77777777" w:rsidR="00C21071" w:rsidRPr="00973525" w:rsidRDefault="00C21071" w:rsidP="00C21071">
            <w:pPr>
              <w:rPr>
                <w:sz w:val="18"/>
                <w:szCs w:val="18"/>
                <w:lang w:val="en-US"/>
              </w:rPr>
            </w:pPr>
            <w:r w:rsidRPr="00973525">
              <w:rPr>
                <w:sz w:val="18"/>
                <w:szCs w:val="18"/>
                <w:lang w:val="en-US"/>
              </w:rPr>
              <w:t xml:space="preserve">We are far from the € 800 bn additional funding needs per year announced by </w:t>
            </w:r>
            <w:proofErr w:type="spellStart"/>
            <w:proofErr w:type="gramStart"/>
            <w:r w:rsidRPr="00973525">
              <w:rPr>
                <w:sz w:val="18"/>
                <w:szCs w:val="18"/>
                <w:lang w:val="en-US"/>
              </w:rPr>
              <w:t>M.Draghi</w:t>
            </w:r>
            <w:proofErr w:type="spellEnd"/>
            <w:proofErr w:type="gramEnd"/>
            <w:r w:rsidRPr="00973525">
              <w:rPr>
                <w:sz w:val="18"/>
                <w:szCs w:val="18"/>
                <w:lang w:val="en-US"/>
              </w:rPr>
              <w:t>.</w:t>
            </w:r>
          </w:p>
          <w:p w14:paraId="1EE88897" w14:textId="77777777" w:rsidR="00C21071" w:rsidRPr="00973525" w:rsidRDefault="00C21071" w:rsidP="00C21071">
            <w:pPr>
              <w:rPr>
                <w:sz w:val="18"/>
                <w:szCs w:val="18"/>
                <w:lang w:val="en-US"/>
              </w:rPr>
            </w:pPr>
          </w:p>
          <w:p w14:paraId="59CCBDFA" w14:textId="77777777" w:rsidR="00C21071" w:rsidRPr="00973525" w:rsidRDefault="00C21071" w:rsidP="00C21071">
            <w:pPr>
              <w:rPr>
                <w:sz w:val="18"/>
                <w:szCs w:val="18"/>
                <w:lang w:val="en-US"/>
              </w:rPr>
            </w:pPr>
            <w:r w:rsidRPr="00973525">
              <w:rPr>
                <w:sz w:val="18"/>
                <w:szCs w:val="18"/>
                <w:lang w:val="en-US"/>
              </w:rPr>
              <w:t xml:space="preserve">Since the entry into force of the SECR in 2019, we observe, despite </w:t>
            </w:r>
            <w:proofErr w:type="gramStart"/>
            <w:r w:rsidRPr="00973525">
              <w:rPr>
                <w:sz w:val="18"/>
                <w:szCs w:val="18"/>
                <w:lang w:val="en-US"/>
              </w:rPr>
              <w:t>being  safe</w:t>
            </w:r>
            <w:proofErr w:type="gramEnd"/>
            <w:r w:rsidRPr="00973525">
              <w:rPr>
                <w:sz w:val="18"/>
                <w:szCs w:val="18"/>
                <w:lang w:val="en-US"/>
              </w:rPr>
              <w:t xml:space="preserve"> and useful, many securitisations, by construction, will never meet all 100+ STS criteria. Focusing prudential improvements only on STS will not trigger sufficient impact on the market and will leave entire segments of the potential scope on the sidelines.</w:t>
            </w:r>
            <w:r w:rsidRPr="00973525">
              <w:rPr>
                <w:sz w:val="18"/>
                <w:szCs w:val="18"/>
                <w:lang w:val="en-US"/>
              </w:rPr>
              <w:tab/>
            </w:r>
          </w:p>
          <w:p w14:paraId="1EA117B5" w14:textId="77777777" w:rsidR="00C21071" w:rsidRPr="00973525" w:rsidRDefault="00C21071" w:rsidP="00C21071">
            <w:pPr>
              <w:rPr>
                <w:sz w:val="18"/>
                <w:szCs w:val="18"/>
                <w:lang w:val="en-US"/>
              </w:rPr>
            </w:pPr>
            <w:r w:rsidRPr="00973525">
              <w:rPr>
                <w:sz w:val="18"/>
                <w:szCs w:val="18"/>
                <w:lang w:val="en-US"/>
              </w:rPr>
              <w:t>Practitioners and investors are fully convinced that both cash and synthetic non-STS securitisations add value in financing the European economy both by enhancing capital allocation efficiency and by diversifying funding sources for segments of retail and non-retail markets that otherwise are not able to access traditional bank lending:</w:t>
            </w:r>
          </w:p>
          <w:p w14:paraId="25174635" w14:textId="77777777" w:rsidR="00C21071" w:rsidRPr="00973525" w:rsidRDefault="00C21071" w:rsidP="00C21071">
            <w:pPr>
              <w:rPr>
                <w:sz w:val="18"/>
                <w:szCs w:val="18"/>
                <w:lang w:val="en-US"/>
              </w:rPr>
            </w:pPr>
            <w:r w:rsidRPr="00973525">
              <w:rPr>
                <w:sz w:val="18"/>
                <w:szCs w:val="18"/>
                <w:lang w:val="en-US"/>
              </w:rPr>
              <w:t xml:space="preserve"> - Some portfolios or transactions cannot meet all the STS criteria by nature (for instance the 2% granularity/concentration criteria (e.g. 50 names minimum) or the homogeneity criteria (both same type of obligor and obligors with residence in the same jurisdiction …): trade receivables, mid-sized corporates and SMEs, corporate loans or revolving credit facilities, most </w:t>
            </w:r>
            <w:proofErr w:type="spellStart"/>
            <w:r w:rsidRPr="00973525">
              <w:rPr>
                <w:sz w:val="18"/>
                <w:szCs w:val="18"/>
                <w:lang w:val="en-US"/>
              </w:rPr>
              <w:t>specialised</w:t>
            </w:r>
            <w:proofErr w:type="spellEnd"/>
            <w:r w:rsidRPr="00973525">
              <w:rPr>
                <w:sz w:val="18"/>
                <w:szCs w:val="18"/>
                <w:lang w:val="en-US"/>
              </w:rPr>
              <w:t xml:space="preserve"> lending (infrastructure financing and energy-based financing that are critical to the green energy transition agenda, , aviation and ship financing, mixed or cross-border commercial loans …) </w:t>
            </w:r>
          </w:p>
          <w:p w14:paraId="08ED35BA" w14:textId="77777777" w:rsidR="00C21071" w:rsidRPr="00973525" w:rsidRDefault="00C21071" w:rsidP="00C21071">
            <w:pPr>
              <w:rPr>
                <w:sz w:val="18"/>
                <w:szCs w:val="18"/>
                <w:lang w:val="en-US"/>
              </w:rPr>
            </w:pPr>
            <w:r w:rsidRPr="00973525">
              <w:rPr>
                <w:sz w:val="18"/>
                <w:szCs w:val="18"/>
                <w:lang w:val="en-US"/>
              </w:rPr>
              <w:t xml:space="preserve">- Some issuers have structural difficulties </w:t>
            </w:r>
            <w:proofErr w:type="gramStart"/>
            <w:r w:rsidRPr="00973525">
              <w:rPr>
                <w:sz w:val="18"/>
                <w:szCs w:val="18"/>
                <w:lang w:val="en-US"/>
              </w:rPr>
              <w:t>to achieve</w:t>
            </w:r>
            <w:proofErr w:type="gramEnd"/>
            <w:r w:rsidRPr="00973525">
              <w:rPr>
                <w:sz w:val="18"/>
                <w:szCs w:val="18"/>
                <w:lang w:val="en-US"/>
              </w:rPr>
              <w:t xml:space="preserve"> the STS label, e.g. new companies (such as </w:t>
            </w:r>
            <w:proofErr w:type="spellStart"/>
            <w:r w:rsidRPr="00973525">
              <w:rPr>
                <w:sz w:val="18"/>
                <w:szCs w:val="18"/>
                <w:lang w:val="en-US"/>
              </w:rPr>
              <w:t>Fintechs</w:t>
            </w:r>
            <w:proofErr w:type="spellEnd"/>
            <w:r w:rsidRPr="00973525">
              <w:rPr>
                <w:sz w:val="18"/>
                <w:szCs w:val="18"/>
                <w:lang w:val="en-US"/>
              </w:rPr>
              <w:t xml:space="preserve"> or solar panels manufacturers) that cannot meet the 5 years historic data requirement, or smaller banks that, by construction, handle smaller pools and fail to achieve the granularity or homogeneity criteria. </w:t>
            </w:r>
          </w:p>
          <w:p w14:paraId="0F32C537" w14:textId="77777777" w:rsidR="00C21071" w:rsidRPr="00973525" w:rsidRDefault="00C21071" w:rsidP="00C21071">
            <w:pPr>
              <w:rPr>
                <w:sz w:val="18"/>
                <w:szCs w:val="18"/>
                <w:lang w:val="en-US"/>
              </w:rPr>
            </w:pPr>
            <w:r w:rsidRPr="00973525">
              <w:rPr>
                <w:sz w:val="18"/>
                <w:szCs w:val="18"/>
                <w:lang w:val="en-US"/>
              </w:rPr>
              <w:lastRenderedPageBreak/>
              <w:t>- Other issuers, such as commercial vehicles or equipment leasing companies, have leases that cannot meet the STS criteria for ABCP (assets residual maturity less than 6 years and the weighted average life of the assets less than 3.5 years)</w:t>
            </w:r>
          </w:p>
          <w:p w14:paraId="29C47BA4" w14:textId="77777777" w:rsidR="00C21071" w:rsidRPr="00973525" w:rsidRDefault="00C21071" w:rsidP="00C21071">
            <w:pPr>
              <w:rPr>
                <w:sz w:val="18"/>
                <w:szCs w:val="18"/>
                <w:lang w:val="en-US"/>
              </w:rPr>
            </w:pPr>
            <w:r w:rsidRPr="00973525">
              <w:rPr>
                <w:sz w:val="18"/>
                <w:szCs w:val="18"/>
                <w:lang w:val="en-US"/>
              </w:rPr>
              <w:t>- Some underlying assets are not eligible to STS label because of the STS criteria “repayment not predominantly based on sale of assets”; this is the case for the certain types of real asset financing (e.g., car fleet and car rental deals).</w:t>
            </w:r>
          </w:p>
          <w:p w14:paraId="71C7FFF1" w14:textId="77777777" w:rsidR="00C21071" w:rsidRPr="00973525" w:rsidRDefault="00C21071" w:rsidP="00C21071">
            <w:pPr>
              <w:rPr>
                <w:sz w:val="18"/>
                <w:szCs w:val="18"/>
                <w:lang w:val="en-US"/>
              </w:rPr>
            </w:pPr>
            <w:r w:rsidRPr="00973525">
              <w:rPr>
                <w:sz w:val="18"/>
                <w:szCs w:val="18"/>
                <w:lang w:val="en-US"/>
              </w:rPr>
              <w:t xml:space="preserve"> Administrative sanctions by Competent Authorities and criminal sanctions by Member States (respectively articles 32 and 34 of SEC-R) may also be a deterrent. </w:t>
            </w:r>
          </w:p>
          <w:p w14:paraId="20B2B7B0" w14:textId="77777777" w:rsidR="00C21071" w:rsidRPr="00973525" w:rsidRDefault="00C21071" w:rsidP="00C21071">
            <w:pPr>
              <w:rPr>
                <w:sz w:val="18"/>
                <w:szCs w:val="18"/>
                <w:lang w:val="en-US"/>
              </w:rPr>
            </w:pPr>
            <w:r w:rsidRPr="00973525">
              <w:rPr>
                <w:sz w:val="18"/>
                <w:szCs w:val="18"/>
                <w:lang w:val="en-US"/>
              </w:rPr>
              <w:t>In addition, some securitization structures may not necessarily meet the STS criteria, while contributing to the efficient financing of the economy:</w:t>
            </w:r>
          </w:p>
          <w:p w14:paraId="033DAD96" w14:textId="77777777" w:rsidR="00C21071" w:rsidRPr="00973525" w:rsidRDefault="00C21071" w:rsidP="00C21071">
            <w:pPr>
              <w:rPr>
                <w:sz w:val="18"/>
                <w:szCs w:val="18"/>
                <w:lang w:val="en-US"/>
              </w:rPr>
            </w:pPr>
            <w:r w:rsidRPr="00973525">
              <w:rPr>
                <w:sz w:val="18"/>
                <w:szCs w:val="18"/>
                <w:lang w:val="en-US"/>
              </w:rPr>
              <w:t xml:space="preserve"> - warehouse financing to third party non-bank lenders which are keen to develop their ability to issue STS labelled securitisations through the capital </w:t>
            </w:r>
            <w:proofErr w:type="gramStart"/>
            <w:r w:rsidRPr="00973525">
              <w:rPr>
                <w:sz w:val="18"/>
                <w:szCs w:val="18"/>
                <w:lang w:val="en-US"/>
              </w:rPr>
              <w:t>markets;</w:t>
            </w:r>
            <w:proofErr w:type="gramEnd"/>
            <w:r w:rsidRPr="00973525">
              <w:rPr>
                <w:sz w:val="18"/>
                <w:szCs w:val="18"/>
                <w:lang w:val="en-US"/>
              </w:rPr>
              <w:t xml:space="preserve"> </w:t>
            </w:r>
          </w:p>
          <w:p w14:paraId="6D65130C" w14:textId="70391461" w:rsidR="00C21071" w:rsidRPr="00973525" w:rsidRDefault="00C21071" w:rsidP="00C21071">
            <w:pPr>
              <w:rPr>
                <w:sz w:val="18"/>
                <w:szCs w:val="18"/>
                <w:lang w:val="en-GB"/>
              </w:rPr>
            </w:pPr>
            <w:r w:rsidRPr="00973525">
              <w:rPr>
                <w:sz w:val="18"/>
                <w:szCs w:val="18"/>
                <w:lang w:val="en-US"/>
              </w:rPr>
              <w:t>- SRT securitisations tailored to specific investors constraints and needs, such as synthetic unfunded securitizations directly protected by Solvency 2 regulated insurers; indeed, (re)insurance companies are not eligible as unfunded protection providers in synthetic STS transactions, as per SEC-R.</w:t>
            </w:r>
          </w:p>
        </w:tc>
        <w:tc>
          <w:tcPr>
            <w:tcW w:w="236" w:type="dxa"/>
          </w:tcPr>
          <w:p w14:paraId="5998A7B9" w14:textId="4DDA69DD" w:rsidR="00C21071" w:rsidRPr="00973525" w:rsidRDefault="00C21071" w:rsidP="0079353D">
            <w:pPr>
              <w:ind w:firstLine="1917"/>
              <w:rPr>
                <w:sz w:val="18"/>
                <w:szCs w:val="18"/>
                <w:lang w:val="en-GB"/>
              </w:rPr>
            </w:pPr>
          </w:p>
        </w:tc>
      </w:tr>
      <w:tr w:rsidR="00C21071" w:rsidRPr="00C72B68" w14:paraId="66FB7D77" w14:textId="77777777" w:rsidTr="30964D0C">
        <w:trPr>
          <w:gridAfter w:val="1"/>
          <w:wAfter w:w="16" w:type="dxa"/>
        </w:trPr>
        <w:tc>
          <w:tcPr>
            <w:tcW w:w="2893" w:type="dxa"/>
          </w:tcPr>
          <w:p w14:paraId="18FDCBD7" w14:textId="77777777" w:rsidR="00C21071" w:rsidRPr="00973525" w:rsidRDefault="00C21071" w:rsidP="00C21071">
            <w:pPr>
              <w:rPr>
                <w:sz w:val="18"/>
                <w:szCs w:val="18"/>
                <w:lang w:val="en-US"/>
              </w:rPr>
            </w:pPr>
            <w:r w:rsidRPr="00973525">
              <w:rPr>
                <w:sz w:val="18"/>
                <w:szCs w:val="18"/>
                <w:lang w:val="en-US"/>
              </w:rPr>
              <w:t>7.2.</w:t>
            </w:r>
            <w:r w:rsidRPr="00973525">
              <w:rPr>
                <w:sz w:val="18"/>
                <w:szCs w:val="18"/>
                <w:lang w:val="en-US"/>
              </w:rPr>
              <w:tab/>
              <w:t>Which of the below factors, if any, do you consider as holding back the expansion of the STS standard in the EU? You may select more than one option.</w:t>
            </w:r>
          </w:p>
          <w:p w14:paraId="5B81BA04" w14:textId="77777777" w:rsidR="00C21071" w:rsidRPr="00973525" w:rsidRDefault="00C21071" w:rsidP="00C21071">
            <w:pPr>
              <w:rPr>
                <w:sz w:val="18"/>
                <w:szCs w:val="18"/>
                <w:lang w:val="en-US"/>
              </w:rPr>
            </w:pPr>
          </w:p>
          <w:p w14:paraId="1ACA0D2A"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Overly restrictive and costly STS criteria</w:t>
            </w:r>
          </w:p>
          <w:p w14:paraId="5467B25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Low returns</w:t>
            </w:r>
          </w:p>
          <w:p w14:paraId="29318248"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High capital charges</w:t>
            </w:r>
          </w:p>
          <w:p w14:paraId="6B5FD35A"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LCR treatment</w:t>
            </w:r>
          </w:p>
          <w:p w14:paraId="24485E16" w14:textId="563C23AC"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Other Please explain</w:t>
            </w:r>
          </w:p>
        </w:tc>
        <w:tc>
          <w:tcPr>
            <w:tcW w:w="7740" w:type="dxa"/>
          </w:tcPr>
          <w:p w14:paraId="33043F0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Overly restrictive and costly STS criteria</w:t>
            </w:r>
          </w:p>
          <w:p w14:paraId="44F2AB0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High capital charges</w:t>
            </w:r>
          </w:p>
          <w:p w14:paraId="2C985AA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LCR treatment</w:t>
            </w:r>
          </w:p>
          <w:p w14:paraId="6BDA7F1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Other   Please explain. </w:t>
            </w:r>
          </w:p>
          <w:p w14:paraId="384AD865" w14:textId="77777777" w:rsidR="00C21071" w:rsidRPr="00973525" w:rsidRDefault="00C21071" w:rsidP="00C21071">
            <w:pPr>
              <w:rPr>
                <w:sz w:val="18"/>
                <w:szCs w:val="18"/>
                <w:lang w:val="en-US"/>
              </w:rPr>
            </w:pPr>
            <w:r w:rsidRPr="00973525">
              <w:rPr>
                <w:sz w:val="18"/>
                <w:szCs w:val="18"/>
                <w:lang w:val="en-US"/>
              </w:rPr>
              <w:t>Other: CRR3 articles 243 (1a) and (2)</w:t>
            </w:r>
          </w:p>
          <w:p w14:paraId="2A5C6D57" w14:textId="77777777" w:rsidR="00C21071" w:rsidRPr="00973525" w:rsidRDefault="00C21071" w:rsidP="00C21071">
            <w:pPr>
              <w:rPr>
                <w:sz w:val="18"/>
                <w:szCs w:val="18"/>
                <w:lang w:val="en-US"/>
              </w:rPr>
            </w:pPr>
          </w:p>
          <w:p w14:paraId="36DB637F" w14:textId="77777777" w:rsidR="00C21071" w:rsidRPr="00973525" w:rsidRDefault="00C21071" w:rsidP="00C21071">
            <w:pPr>
              <w:rPr>
                <w:sz w:val="18"/>
                <w:szCs w:val="18"/>
                <w:lang w:val="en-US"/>
              </w:rPr>
            </w:pPr>
            <w:proofErr w:type="gramStart"/>
            <w:r w:rsidRPr="00973525">
              <w:rPr>
                <w:sz w:val="18"/>
                <w:szCs w:val="18"/>
                <w:lang w:val="en-US"/>
              </w:rPr>
              <w:t>In order to</w:t>
            </w:r>
            <w:proofErr w:type="gramEnd"/>
            <w:r w:rsidRPr="00973525">
              <w:rPr>
                <w:sz w:val="18"/>
                <w:szCs w:val="18"/>
                <w:lang w:val="en-US"/>
              </w:rPr>
              <w:t xml:space="preserve"> benefit from the STS prudential framework, banks need also to meet the CRR Art.243 “Criteria for STS securitisations qualifying for differentiated capital treatment”.</w:t>
            </w:r>
          </w:p>
          <w:p w14:paraId="1984BE27" w14:textId="77777777" w:rsidR="00C21071" w:rsidRPr="00973525" w:rsidRDefault="00C21071" w:rsidP="00C21071">
            <w:pPr>
              <w:rPr>
                <w:sz w:val="18"/>
                <w:szCs w:val="18"/>
                <w:lang w:val="en-US"/>
              </w:rPr>
            </w:pPr>
          </w:p>
          <w:p w14:paraId="147FAECB" w14:textId="77777777" w:rsidR="00C21071" w:rsidRPr="00973525" w:rsidRDefault="00C21071" w:rsidP="00C21071">
            <w:pPr>
              <w:rPr>
                <w:sz w:val="18"/>
                <w:szCs w:val="18"/>
                <w:lang w:val="en-US"/>
              </w:rPr>
            </w:pPr>
            <w:r w:rsidRPr="00973525">
              <w:rPr>
                <w:sz w:val="18"/>
                <w:szCs w:val="18"/>
                <w:lang w:val="en-US"/>
              </w:rPr>
              <w:t xml:space="preserve">When banks issue STS securitisations, they always need to retain a portion of the transaction in their balance sheet (they can choose to retain the senior tranche, or to retain the mezzanine / junior tranche depending on the transaction; and in all transactions, banks need to hold a minimum of 5% because of the risk retention requirement).  The prudential treatment of the retained tranche has a cost in the economic viability of the transaction. That’s why the additional limitations imposed for benefiting from the STS prudential treatment, as per Article 243 of CRR, may discourage banks to issue some transactions under the STS standard. Similarly, when bank </w:t>
            </w:r>
            <w:proofErr w:type="gramStart"/>
            <w:r w:rsidRPr="00973525">
              <w:rPr>
                <w:sz w:val="18"/>
                <w:szCs w:val="18"/>
                <w:lang w:val="en-US"/>
              </w:rPr>
              <w:t>provide</w:t>
            </w:r>
            <w:proofErr w:type="gramEnd"/>
            <w:r w:rsidRPr="00973525">
              <w:rPr>
                <w:sz w:val="18"/>
                <w:szCs w:val="18"/>
                <w:lang w:val="en-US"/>
              </w:rPr>
              <w:t xml:space="preserve"> senior Securitisation funding to clients, under STS format, the prudential benefit of STS for the banks is subject to compliance with Article 243.</w:t>
            </w:r>
          </w:p>
          <w:p w14:paraId="0161664F" w14:textId="77777777" w:rsidR="00C21071" w:rsidRPr="00973525" w:rsidRDefault="00C21071" w:rsidP="00C21071">
            <w:pPr>
              <w:rPr>
                <w:sz w:val="18"/>
                <w:szCs w:val="18"/>
                <w:lang w:val="en-US"/>
              </w:rPr>
            </w:pPr>
          </w:p>
          <w:p w14:paraId="109E9FE5" w14:textId="77777777" w:rsidR="00C21071" w:rsidRPr="00973525" w:rsidRDefault="00C21071" w:rsidP="00C21071">
            <w:pPr>
              <w:rPr>
                <w:sz w:val="18"/>
                <w:szCs w:val="18"/>
                <w:lang w:val="en-US"/>
              </w:rPr>
            </w:pPr>
            <w:r w:rsidRPr="00973525">
              <w:rPr>
                <w:sz w:val="18"/>
                <w:szCs w:val="18"/>
                <w:lang w:val="en-US"/>
              </w:rPr>
              <w:t xml:space="preserve">Under Article 243 (1) (a) of the CRR, positions in an ABCP </w:t>
            </w:r>
            <w:proofErr w:type="spellStart"/>
            <w:r w:rsidRPr="00973525">
              <w:rPr>
                <w:sz w:val="18"/>
                <w:szCs w:val="18"/>
                <w:lang w:val="en-US"/>
              </w:rPr>
              <w:t>programme</w:t>
            </w:r>
            <w:proofErr w:type="spellEnd"/>
            <w:r w:rsidRPr="00973525">
              <w:rPr>
                <w:sz w:val="18"/>
                <w:szCs w:val="18"/>
                <w:lang w:val="en-US"/>
              </w:rPr>
              <w:t xml:space="preserve"> or transaction that qualify as STS shall be eligible for the STS related prudential treatment ( Articles 260, 262 and 264) if the underlying exposures meet, under the </w:t>
            </w:r>
            <w:proofErr w:type="spellStart"/>
            <w:r w:rsidRPr="00973525">
              <w:rPr>
                <w:sz w:val="18"/>
                <w:szCs w:val="18"/>
                <w:lang w:val="en-US"/>
              </w:rPr>
              <w:t>Standardised</w:t>
            </w:r>
            <w:proofErr w:type="spellEnd"/>
            <w:r w:rsidRPr="00973525">
              <w:rPr>
                <w:sz w:val="18"/>
                <w:szCs w:val="18"/>
                <w:lang w:val="en-US"/>
              </w:rPr>
              <w:t xml:space="preserve"> Approach, a risk weight equal to or smaller than 75 % on an individual exposure basis where the exposure is a retail exposure or 100 % for any other exposures. This excludes any corporate loans with </w:t>
            </w:r>
            <w:proofErr w:type="gramStart"/>
            <w:r w:rsidRPr="00973525">
              <w:rPr>
                <w:sz w:val="18"/>
                <w:szCs w:val="18"/>
                <w:lang w:val="en-US"/>
              </w:rPr>
              <w:t>external</w:t>
            </w:r>
            <w:proofErr w:type="gramEnd"/>
            <w:r w:rsidRPr="00973525">
              <w:rPr>
                <w:sz w:val="18"/>
                <w:szCs w:val="18"/>
                <w:lang w:val="en-US"/>
              </w:rPr>
              <w:t xml:space="preserve"> rating of B+ or below and risk weight of 150%, for instance portfolios of leasing, trade receivables or SMEs. The derogation, provided the risk weight of the liquidity facility is below 100%, is limited to institutions applying Internal Assessment Approach (IAA), and unduly excludes those under SEC-IRBA, SEC-SA or SEC-ERBA. </w:t>
            </w:r>
          </w:p>
          <w:p w14:paraId="3068DAB4" w14:textId="77777777" w:rsidR="00C21071" w:rsidRPr="00973525" w:rsidRDefault="00C21071" w:rsidP="00C21071">
            <w:pPr>
              <w:rPr>
                <w:sz w:val="18"/>
                <w:szCs w:val="18"/>
                <w:lang w:val="en-US"/>
              </w:rPr>
            </w:pPr>
          </w:p>
          <w:p w14:paraId="074E2745" w14:textId="419AE772" w:rsidR="00C21071" w:rsidRPr="00973525" w:rsidRDefault="00C21071" w:rsidP="00C21071">
            <w:pPr>
              <w:rPr>
                <w:sz w:val="18"/>
                <w:szCs w:val="18"/>
                <w:lang w:val="en-GB"/>
              </w:rPr>
            </w:pPr>
            <w:r w:rsidRPr="00973525">
              <w:rPr>
                <w:sz w:val="18"/>
                <w:szCs w:val="18"/>
                <w:lang w:val="en-US"/>
              </w:rPr>
              <w:t xml:space="preserve">Under Article 243 (2) of the CRR, positions in a securitisation, other than an ABCP </w:t>
            </w:r>
            <w:proofErr w:type="spellStart"/>
            <w:r w:rsidRPr="00973525">
              <w:rPr>
                <w:sz w:val="18"/>
                <w:szCs w:val="18"/>
                <w:lang w:val="en-US"/>
              </w:rPr>
              <w:t>programme</w:t>
            </w:r>
            <w:proofErr w:type="spellEnd"/>
            <w:r w:rsidRPr="00973525">
              <w:rPr>
                <w:sz w:val="18"/>
                <w:szCs w:val="18"/>
                <w:lang w:val="en-US"/>
              </w:rPr>
              <w:t xml:space="preserve"> or transaction, that qualify as STS, shall be eligible for the STS prudential treatment (Articles 260, 262 and 264) only if the underlying exposures meet, under the </w:t>
            </w:r>
            <w:proofErr w:type="spellStart"/>
            <w:r w:rsidRPr="00973525">
              <w:rPr>
                <w:sz w:val="18"/>
                <w:szCs w:val="18"/>
                <w:lang w:val="en-US"/>
              </w:rPr>
              <w:t>Standardised</w:t>
            </w:r>
            <w:proofErr w:type="spellEnd"/>
            <w:r w:rsidRPr="00973525">
              <w:rPr>
                <w:sz w:val="18"/>
                <w:szCs w:val="18"/>
                <w:lang w:val="en-US"/>
              </w:rPr>
              <w:t xml:space="preserve"> Approach, a risk weight equal to or smaller than: (</w:t>
            </w:r>
            <w:proofErr w:type="spellStart"/>
            <w:r w:rsidRPr="00973525">
              <w:rPr>
                <w:sz w:val="18"/>
                <w:szCs w:val="18"/>
                <w:lang w:val="en-US"/>
              </w:rPr>
              <w:t>i</w:t>
            </w:r>
            <w:proofErr w:type="spellEnd"/>
            <w:r w:rsidRPr="00973525">
              <w:rPr>
                <w:sz w:val="18"/>
                <w:szCs w:val="18"/>
                <w:lang w:val="en-US"/>
              </w:rPr>
              <w:t xml:space="preserve">) 40 % on an exposure value-weighted average basis for the portfolio where the exposures are loans secured by residential mortgages or fully guaranteed residential loans with the additional constraint that no loan in the pool of underlying exposures shall have a loan-to-value ratio higher than 100 % ; (ii) 50 % on an individual exposure basis where the exposure is a loan secured by a commercial mortgage; (iii) 75 % on an individual exposure basis where the exposure is a retail exposure; (iv) for any other exposures, 100 % on an individual exposure basis. This last point (iv) excludes any corporate loans with risk weights above 100%, for instance corporate loans with </w:t>
            </w:r>
            <w:proofErr w:type="gramStart"/>
            <w:r w:rsidRPr="00973525">
              <w:rPr>
                <w:sz w:val="18"/>
                <w:szCs w:val="18"/>
                <w:lang w:val="en-US"/>
              </w:rPr>
              <w:t>external</w:t>
            </w:r>
            <w:proofErr w:type="gramEnd"/>
            <w:r w:rsidRPr="00973525">
              <w:rPr>
                <w:sz w:val="18"/>
                <w:szCs w:val="18"/>
                <w:lang w:val="en-US"/>
              </w:rPr>
              <w:t xml:space="preserve"> rating of B+ or below and standard risk weight of 150%, which can be present in portfolios of leasing, trade receivables or SMEs.</w:t>
            </w:r>
          </w:p>
        </w:tc>
        <w:tc>
          <w:tcPr>
            <w:tcW w:w="236" w:type="dxa"/>
          </w:tcPr>
          <w:p w14:paraId="5C453B29" w14:textId="77777777" w:rsidR="00C21071" w:rsidRPr="00973525" w:rsidRDefault="00C21071" w:rsidP="0079353D">
            <w:pPr>
              <w:ind w:firstLine="1917"/>
              <w:rPr>
                <w:sz w:val="18"/>
                <w:szCs w:val="18"/>
                <w:lang w:val="en-GB"/>
              </w:rPr>
            </w:pPr>
          </w:p>
        </w:tc>
      </w:tr>
      <w:tr w:rsidR="00C21071" w:rsidRPr="0000602A" w14:paraId="023034AD" w14:textId="77777777" w:rsidTr="30964D0C">
        <w:trPr>
          <w:gridAfter w:val="1"/>
          <w:wAfter w:w="16" w:type="dxa"/>
        </w:trPr>
        <w:tc>
          <w:tcPr>
            <w:tcW w:w="2893" w:type="dxa"/>
          </w:tcPr>
          <w:p w14:paraId="59093BCF" w14:textId="08174689" w:rsidR="00C21071" w:rsidRPr="00973525" w:rsidRDefault="00C21071" w:rsidP="00C21071">
            <w:pPr>
              <w:rPr>
                <w:sz w:val="18"/>
                <w:szCs w:val="18"/>
                <w:lang w:val="en-GB"/>
              </w:rPr>
            </w:pPr>
            <w:r w:rsidRPr="00973525">
              <w:rPr>
                <w:sz w:val="18"/>
                <w:szCs w:val="18"/>
                <w:lang w:val="en-US"/>
              </w:rPr>
              <w:t>7.3.</w:t>
            </w:r>
            <w:r w:rsidRPr="00973525">
              <w:rPr>
                <w:sz w:val="18"/>
                <w:szCs w:val="18"/>
                <w:lang w:val="en-US"/>
              </w:rPr>
              <w:tab/>
              <w:t>How can the attractiveness of the EU STS standard be increased, for EU and non-EU investors?</w:t>
            </w:r>
          </w:p>
        </w:tc>
        <w:tc>
          <w:tcPr>
            <w:tcW w:w="7740" w:type="dxa"/>
          </w:tcPr>
          <w:p w14:paraId="1F17CBB3" w14:textId="77777777" w:rsidR="00C21071" w:rsidRPr="00973525" w:rsidRDefault="00C21071" w:rsidP="00C21071">
            <w:pPr>
              <w:rPr>
                <w:sz w:val="18"/>
                <w:szCs w:val="18"/>
                <w:lang w:val="en-US"/>
              </w:rPr>
            </w:pPr>
            <w:r w:rsidRPr="00973525">
              <w:rPr>
                <w:sz w:val="18"/>
                <w:szCs w:val="18"/>
                <w:lang w:val="en-US"/>
              </w:rPr>
              <w:t xml:space="preserve">Firstly, we believe that Article 243 should be </w:t>
            </w:r>
            <w:proofErr w:type="gramStart"/>
            <w:r w:rsidRPr="00973525">
              <w:rPr>
                <w:sz w:val="18"/>
                <w:szCs w:val="18"/>
                <w:lang w:val="en-US"/>
              </w:rPr>
              <w:t>deleted, or</w:t>
            </w:r>
            <w:proofErr w:type="gramEnd"/>
            <w:r w:rsidRPr="00973525">
              <w:rPr>
                <w:sz w:val="18"/>
                <w:szCs w:val="18"/>
                <w:lang w:val="en-US"/>
              </w:rPr>
              <w:t xml:space="preserve"> amended as the </w:t>
            </w:r>
            <w:proofErr w:type="gramStart"/>
            <w:r w:rsidRPr="00973525">
              <w:rPr>
                <w:sz w:val="18"/>
                <w:szCs w:val="18"/>
                <w:lang w:val="en-US"/>
              </w:rPr>
              <w:t>following</w:t>
            </w:r>
            <w:proofErr w:type="gramEnd"/>
            <w:r w:rsidRPr="00973525">
              <w:rPr>
                <w:sz w:val="18"/>
                <w:szCs w:val="18"/>
                <w:lang w:val="en-US"/>
              </w:rPr>
              <w:t xml:space="preserve">. </w:t>
            </w:r>
          </w:p>
          <w:p w14:paraId="6EEE5516" w14:textId="77777777" w:rsidR="00C21071" w:rsidRPr="00973525" w:rsidRDefault="00C21071" w:rsidP="00C21071">
            <w:pPr>
              <w:rPr>
                <w:sz w:val="18"/>
                <w:szCs w:val="18"/>
                <w:lang w:val="en-US"/>
              </w:rPr>
            </w:pPr>
            <w:r w:rsidRPr="00973525">
              <w:rPr>
                <w:sz w:val="18"/>
                <w:szCs w:val="18"/>
                <w:lang w:val="en-US"/>
              </w:rPr>
              <w:t xml:space="preserve">Regarding Article 243 (1)(a) of CRR, we believe that the derogation should apply to all approaches. </w:t>
            </w:r>
          </w:p>
          <w:p w14:paraId="48431CA3" w14:textId="77777777" w:rsidR="00C21071" w:rsidRPr="00973525" w:rsidRDefault="00C21071" w:rsidP="00C21071">
            <w:pPr>
              <w:rPr>
                <w:sz w:val="18"/>
                <w:szCs w:val="18"/>
                <w:lang w:val="en-US"/>
              </w:rPr>
            </w:pPr>
            <w:r w:rsidRPr="00973525">
              <w:rPr>
                <w:sz w:val="18"/>
                <w:szCs w:val="18"/>
                <w:lang w:val="en-US"/>
              </w:rPr>
              <w:t xml:space="preserve">Both for ABCP and non-ABCP STS transactions, the mere presence of one </w:t>
            </w:r>
            <w:proofErr w:type="gramStart"/>
            <w:r w:rsidRPr="00973525">
              <w:rPr>
                <w:sz w:val="18"/>
                <w:szCs w:val="18"/>
                <w:lang w:val="en-US"/>
              </w:rPr>
              <w:t>corporate</w:t>
            </w:r>
            <w:proofErr w:type="gramEnd"/>
            <w:r w:rsidRPr="00973525">
              <w:rPr>
                <w:sz w:val="18"/>
                <w:szCs w:val="18"/>
                <w:lang w:val="en-US"/>
              </w:rPr>
              <w:t xml:space="preserve"> in the pool that has a standard risk weight above 100% leads to no STS prudential benefit for the bank. It is therefore necessary either to increase the risk weight cap from 100% to 150% or to review Article </w:t>
            </w:r>
            <w:r w:rsidRPr="00973525">
              <w:rPr>
                <w:sz w:val="18"/>
                <w:szCs w:val="18"/>
                <w:lang w:val="en-US"/>
              </w:rPr>
              <w:lastRenderedPageBreak/>
              <w:t xml:space="preserve">243 of CRR to introduce a materiality threshold above which the STS benefit is no longer applicable. This is also needed for residential and commercial mortgages especially as the 40% and 50% risk weight criteria were </w:t>
            </w:r>
            <w:proofErr w:type="gramStart"/>
            <w:r w:rsidRPr="00973525">
              <w:rPr>
                <w:sz w:val="18"/>
                <w:szCs w:val="18"/>
                <w:lang w:val="en-US"/>
              </w:rPr>
              <w:t>calibrated</w:t>
            </w:r>
            <w:proofErr w:type="gramEnd"/>
            <w:r w:rsidRPr="00973525">
              <w:rPr>
                <w:sz w:val="18"/>
                <w:szCs w:val="18"/>
                <w:lang w:val="en-US"/>
              </w:rPr>
              <w:t xml:space="preserve"> in CRR2 and </w:t>
            </w:r>
            <w:proofErr w:type="gramStart"/>
            <w:r w:rsidRPr="00973525">
              <w:rPr>
                <w:sz w:val="18"/>
                <w:szCs w:val="18"/>
                <w:lang w:val="en-US"/>
              </w:rPr>
              <w:t>have to</w:t>
            </w:r>
            <w:proofErr w:type="gramEnd"/>
            <w:r w:rsidRPr="00973525">
              <w:rPr>
                <w:sz w:val="18"/>
                <w:szCs w:val="18"/>
                <w:lang w:val="en-US"/>
              </w:rPr>
              <w:t xml:space="preserve"> be recalibrated in line with the changes on standard risk weight in CRR3.</w:t>
            </w:r>
          </w:p>
          <w:p w14:paraId="51AE6591" w14:textId="77777777" w:rsidR="00C21071" w:rsidRPr="00973525" w:rsidRDefault="00C21071" w:rsidP="00C21071">
            <w:pPr>
              <w:rPr>
                <w:sz w:val="18"/>
                <w:szCs w:val="18"/>
                <w:lang w:val="en-US"/>
              </w:rPr>
            </w:pPr>
          </w:p>
          <w:p w14:paraId="2A7B490A" w14:textId="77777777" w:rsidR="00C21071" w:rsidRPr="00973525" w:rsidRDefault="00C21071" w:rsidP="00C21071">
            <w:pPr>
              <w:rPr>
                <w:sz w:val="18"/>
                <w:szCs w:val="18"/>
                <w:lang w:val="en-US"/>
              </w:rPr>
            </w:pPr>
            <w:r w:rsidRPr="00973525">
              <w:rPr>
                <w:sz w:val="18"/>
                <w:szCs w:val="18"/>
                <w:lang w:val="en-US"/>
              </w:rPr>
              <w:t xml:space="preserve">Secondly, only very few countries (EU, UK, Canada, South Africa, China except for ABCP…) have onboarded the ‘optional’ Basel STC label. However, it is key that Europe set up an </w:t>
            </w:r>
            <w:proofErr w:type="gramStart"/>
            <w:r w:rsidRPr="00973525">
              <w:rPr>
                <w:sz w:val="18"/>
                <w:szCs w:val="18"/>
                <w:lang w:val="en-US"/>
              </w:rPr>
              <w:t>equivalence</w:t>
            </w:r>
            <w:proofErr w:type="gramEnd"/>
            <w:r w:rsidRPr="00973525">
              <w:rPr>
                <w:sz w:val="18"/>
                <w:szCs w:val="18"/>
                <w:lang w:val="en-US"/>
              </w:rPr>
              <w:t xml:space="preserve"> regime between the EU STS framework and the UK STS framework, otherwise this will restrict investment options for the EU investor base. Three jurisdictions (US, China, Turkey) do not still even apply the Basel III securitisation framework. Incentivizing only STS transactions /disincentivizing non-STS ones would create an uneven playing field to the detriment of the EU by constraining the range of securitization options available to market stakeholders.</w:t>
            </w:r>
          </w:p>
          <w:p w14:paraId="56ADC48C" w14:textId="77777777" w:rsidR="00C21071" w:rsidRPr="00973525" w:rsidRDefault="00C21071" w:rsidP="00C21071">
            <w:pPr>
              <w:rPr>
                <w:sz w:val="18"/>
                <w:szCs w:val="18"/>
                <w:lang w:val="en-US"/>
              </w:rPr>
            </w:pPr>
          </w:p>
          <w:p w14:paraId="635A0660" w14:textId="77777777" w:rsidR="00C21071" w:rsidRPr="00973525" w:rsidRDefault="00C21071" w:rsidP="00C21071">
            <w:pPr>
              <w:rPr>
                <w:sz w:val="18"/>
                <w:szCs w:val="18"/>
                <w:lang w:val="en-US"/>
              </w:rPr>
            </w:pPr>
            <w:r w:rsidRPr="00973525">
              <w:rPr>
                <w:sz w:val="18"/>
                <w:szCs w:val="18"/>
                <w:lang w:val="en-US"/>
              </w:rPr>
              <w:t xml:space="preserve">Thirdly, a prudential recalibration for both STS and non-STS securitisations, as proposed below, in section 9 for banks and section 10 for insurers, is </w:t>
            </w:r>
            <w:proofErr w:type="gramStart"/>
            <w:r w:rsidRPr="00973525">
              <w:rPr>
                <w:sz w:val="18"/>
                <w:szCs w:val="18"/>
                <w:lang w:val="en-US"/>
              </w:rPr>
              <w:t>absolutely necessary</w:t>
            </w:r>
            <w:proofErr w:type="gramEnd"/>
            <w:r w:rsidRPr="00973525">
              <w:rPr>
                <w:sz w:val="18"/>
                <w:szCs w:val="18"/>
                <w:lang w:val="en-US"/>
              </w:rPr>
              <w:t xml:space="preserve"> to increase the number of transactions in Europe.</w:t>
            </w:r>
          </w:p>
          <w:p w14:paraId="0FB370B6" w14:textId="77777777" w:rsidR="00C21071" w:rsidRPr="00973525" w:rsidRDefault="00C21071" w:rsidP="00C21071">
            <w:pPr>
              <w:rPr>
                <w:sz w:val="18"/>
                <w:szCs w:val="18"/>
                <w:lang w:val="en-US"/>
              </w:rPr>
            </w:pPr>
          </w:p>
          <w:p w14:paraId="52485E86" w14:textId="71F7B5CE" w:rsidR="00C21071" w:rsidRPr="00973525" w:rsidRDefault="00C21071" w:rsidP="00C21071">
            <w:pPr>
              <w:rPr>
                <w:sz w:val="18"/>
                <w:szCs w:val="18"/>
                <w:lang w:val="en-GB"/>
              </w:rPr>
            </w:pPr>
            <w:r w:rsidRPr="00973525">
              <w:rPr>
                <w:sz w:val="18"/>
                <w:szCs w:val="18"/>
                <w:lang w:val="en-US"/>
              </w:rPr>
              <w:t>Finally, (re)insurance companies should be recognized as eligible as unfunded protection providers in synthetic STS transactions in SEC-R, as detailed in questions 7.4 to 7.11.</w:t>
            </w:r>
          </w:p>
        </w:tc>
        <w:tc>
          <w:tcPr>
            <w:tcW w:w="236" w:type="dxa"/>
          </w:tcPr>
          <w:p w14:paraId="3D5F0ADA" w14:textId="77777777" w:rsidR="00C21071" w:rsidRPr="00973525" w:rsidRDefault="00C21071" w:rsidP="0079353D">
            <w:pPr>
              <w:ind w:firstLine="1917"/>
              <w:rPr>
                <w:sz w:val="18"/>
                <w:szCs w:val="18"/>
                <w:lang w:val="en-GB"/>
              </w:rPr>
            </w:pPr>
          </w:p>
        </w:tc>
      </w:tr>
      <w:tr w:rsidR="00C21071" w:rsidRPr="00973525" w14:paraId="40C46180" w14:textId="77777777" w:rsidTr="30964D0C">
        <w:trPr>
          <w:gridAfter w:val="1"/>
          <w:wAfter w:w="16" w:type="dxa"/>
        </w:trPr>
        <w:tc>
          <w:tcPr>
            <w:tcW w:w="2893" w:type="dxa"/>
          </w:tcPr>
          <w:p w14:paraId="14986D11" w14:textId="77777777" w:rsidR="00C21071" w:rsidRPr="00973525" w:rsidRDefault="00C21071" w:rsidP="00C21071">
            <w:pPr>
              <w:rPr>
                <w:sz w:val="18"/>
                <w:szCs w:val="18"/>
                <w:lang w:val="en-US"/>
              </w:rPr>
            </w:pPr>
            <w:r w:rsidRPr="00973525">
              <w:rPr>
                <w:sz w:val="18"/>
                <w:szCs w:val="18"/>
                <w:lang w:val="en-US"/>
              </w:rPr>
              <w:t>7.4.</w:t>
            </w:r>
            <w:r w:rsidRPr="00973525">
              <w:rPr>
                <w:sz w:val="18"/>
                <w:szCs w:val="18"/>
                <w:lang w:val="en-US"/>
              </w:rPr>
              <w:tab/>
              <w:t>In the case of an unfunded credit protection agreement18 agreement where the protection provider provides no collateral to cover his potential future liabilities, should such an agreement be eligible for the STS label, to facilitate on</w:t>
            </w:r>
            <w:r w:rsidRPr="00973525">
              <w:rPr>
                <w:rFonts w:ascii="Cambria Math" w:hAnsi="Cambria Math" w:cs="Cambria Math"/>
                <w:sz w:val="18"/>
                <w:szCs w:val="18"/>
                <w:lang w:val="en-US"/>
              </w:rPr>
              <w:t>‑</w:t>
            </w:r>
            <w:r w:rsidRPr="00973525">
              <w:rPr>
                <w:sz w:val="18"/>
                <w:szCs w:val="18"/>
                <w:lang w:val="en-US"/>
              </w:rPr>
              <w:t>balance</w:t>
            </w:r>
            <w:r w:rsidRPr="00973525">
              <w:rPr>
                <w:rFonts w:ascii="Cambria Math" w:hAnsi="Cambria Math" w:cs="Cambria Math"/>
                <w:sz w:val="18"/>
                <w:szCs w:val="18"/>
                <w:lang w:val="en-US"/>
              </w:rPr>
              <w:t>‑</w:t>
            </w:r>
            <w:r w:rsidRPr="00973525">
              <w:rPr>
                <w:sz w:val="18"/>
                <w:szCs w:val="18"/>
                <w:lang w:val="en-US"/>
              </w:rPr>
              <w:t>sheet STS securitisations?</w:t>
            </w:r>
          </w:p>
          <w:p w14:paraId="369CEA30" w14:textId="77777777" w:rsidR="00C21071" w:rsidRPr="00973525" w:rsidRDefault="00C21071" w:rsidP="00C21071">
            <w:pPr>
              <w:rPr>
                <w:sz w:val="18"/>
                <w:szCs w:val="18"/>
                <w:lang w:val="en-US"/>
              </w:rPr>
            </w:pPr>
          </w:p>
          <w:p w14:paraId="3CD0F214"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36E3BD6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0E617E68" w14:textId="59E63E4F"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4D3B200B" w14:textId="60BB5978" w:rsidR="00C21071" w:rsidRPr="00973525" w:rsidRDefault="00C21071" w:rsidP="00C21071">
            <w:pPr>
              <w:rPr>
                <w:sz w:val="18"/>
                <w:szCs w:val="18"/>
                <w:lang w:val="en-GB"/>
              </w:rPr>
            </w:pPr>
            <w:r w:rsidRPr="00973525">
              <w:rPr>
                <w:sz w:val="18"/>
                <w:szCs w:val="18"/>
                <w:lang w:val="en-US"/>
              </w:rPr>
              <w:t>Yes</w:t>
            </w:r>
          </w:p>
        </w:tc>
        <w:tc>
          <w:tcPr>
            <w:tcW w:w="236" w:type="dxa"/>
          </w:tcPr>
          <w:p w14:paraId="704922AE" w14:textId="77777777" w:rsidR="00C21071" w:rsidRPr="00973525" w:rsidRDefault="00C21071" w:rsidP="0079353D">
            <w:pPr>
              <w:ind w:firstLine="1917"/>
              <w:rPr>
                <w:sz w:val="18"/>
                <w:szCs w:val="18"/>
              </w:rPr>
            </w:pPr>
          </w:p>
        </w:tc>
      </w:tr>
      <w:tr w:rsidR="00C21071" w:rsidRPr="0000602A" w14:paraId="3D1184A4" w14:textId="77777777" w:rsidTr="30964D0C">
        <w:trPr>
          <w:gridAfter w:val="1"/>
          <w:wAfter w:w="16" w:type="dxa"/>
        </w:trPr>
        <w:tc>
          <w:tcPr>
            <w:tcW w:w="2893" w:type="dxa"/>
          </w:tcPr>
          <w:p w14:paraId="71A653B7" w14:textId="77777777" w:rsidR="00C21071" w:rsidRPr="00973525" w:rsidRDefault="00C21071" w:rsidP="00C21071">
            <w:pPr>
              <w:rPr>
                <w:sz w:val="18"/>
                <w:szCs w:val="18"/>
                <w:lang w:val="en-US"/>
              </w:rPr>
            </w:pPr>
            <w:r w:rsidRPr="00973525">
              <w:rPr>
                <w:sz w:val="18"/>
                <w:szCs w:val="18"/>
                <w:lang w:val="en-US"/>
              </w:rPr>
              <w:t>7.5.</w:t>
            </w:r>
            <w:r w:rsidRPr="00973525">
              <w:rPr>
                <w:sz w:val="18"/>
                <w:szCs w:val="18"/>
                <w:lang w:val="en-US"/>
              </w:rPr>
              <w:tab/>
              <w:t>If you answered yes to question 7.4., what safeguards should be put in place to prevent the build-up of financial stability risks arising from the provision of unfunded credit protection?</w:t>
            </w:r>
          </w:p>
          <w:p w14:paraId="14E684B3" w14:textId="77777777" w:rsidR="00C21071" w:rsidRPr="00973525" w:rsidRDefault="00C21071" w:rsidP="00C21071">
            <w:pPr>
              <w:rPr>
                <w:sz w:val="18"/>
                <w:szCs w:val="18"/>
                <w:lang w:val="en-US"/>
              </w:rPr>
            </w:pPr>
          </w:p>
          <w:p w14:paraId="6A7D8C2F"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The protection provider should meet a minimum credit rating requirement.</w:t>
            </w:r>
          </w:p>
          <w:p w14:paraId="6D77DA03"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The provision of unfunded credit protection by the protection provider should not exceed a certain threshold out of their entire business activity.</w:t>
            </w:r>
          </w:p>
          <w:p w14:paraId="29F3975B"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Other </w:t>
            </w:r>
          </w:p>
          <w:p w14:paraId="48DD41BE" w14:textId="0102580D" w:rsidR="00C21071" w:rsidRPr="00973525" w:rsidRDefault="00C21071" w:rsidP="00C21071">
            <w:pPr>
              <w:rPr>
                <w:sz w:val="18"/>
                <w:szCs w:val="18"/>
                <w:lang w:val="en-GB"/>
              </w:rPr>
            </w:pPr>
            <w:r w:rsidRPr="00973525">
              <w:rPr>
                <w:sz w:val="18"/>
                <w:szCs w:val="18"/>
                <w:lang w:val="en-US"/>
              </w:rPr>
              <w:t>Please explain.</w:t>
            </w:r>
          </w:p>
        </w:tc>
        <w:tc>
          <w:tcPr>
            <w:tcW w:w="7740" w:type="dxa"/>
          </w:tcPr>
          <w:p w14:paraId="367176D4" w14:textId="77777777" w:rsidR="00C21071" w:rsidRPr="00973525" w:rsidRDefault="00C21071" w:rsidP="00C21071">
            <w:pPr>
              <w:rPr>
                <w:sz w:val="18"/>
                <w:szCs w:val="18"/>
                <w:lang w:val="en-US"/>
              </w:rPr>
            </w:pPr>
            <w:r w:rsidRPr="00973525">
              <w:rPr>
                <w:sz w:val="18"/>
                <w:szCs w:val="18"/>
                <w:lang w:val="en-US"/>
              </w:rPr>
              <w:t xml:space="preserve">The protection provider should meet a minimum credit rating </w:t>
            </w:r>
            <w:proofErr w:type="gramStart"/>
            <w:r w:rsidRPr="00973525">
              <w:rPr>
                <w:sz w:val="18"/>
                <w:szCs w:val="18"/>
                <w:lang w:val="en-US"/>
              </w:rPr>
              <w:t>requirement;</w:t>
            </w:r>
            <w:proofErr w:type="gramEnd"/>
          </w:p>
          <w:p w14:paraId="39E880AD" w14:textId="77777777" w:rsidR="00C21071" w:rsidRPr="00973525" w:rsidRDefault="00C21071" w:rsidP="00C21071">
            <w:pPr>
              <w:rPr>
                <w:sz w:val="18"/>
                <w:szCs w:val="18"/>
                <w:lang w:val="en-US"/>
              </w:rPr>
            </w:pPr>
          </w:p>
          <w:p w14:paraId="279D48A3" w14:textId="77777777" w:rsidR="00C21071" w:rsidRPr="00973525" w:rsidRDefault="00C21071" w:rsidP="00C21071">
            <w:pPr>
              <w:rPr>
                <w:sz w:val="18"/>
                <w:szCs w:val="18"/>
                <w:lang w:val="en-US"/>
              </w:rPr>
            </w:pPr>
            <w:r w:rsidRPr="00973525">
              <w:rPr>
                <w:sz w:val="18"/>
                <w:szCs w:val="18"/>
                <w:lang w:val="en-US"/>
              </w:rPr>
              <w:t>For instance,</w:t>
            </w:r>
          </w:p>
          <w:p w14:paraId="57F85C3F" w14:textId="77777777" w:rsidR="00C21071" w:rsidRPr="00973525" w:rsidRDefault="00C21071" w:rsidP="00C21071">
            <w:pPr>
              <w:pStyle w:val="Paragraphedeliste"/>
              <w:numPr>
                <w:ilvl w:val="0"/>
                <w:numId w:val="36"/>
              </w:numPr>
              <w:rPr>
                <w:sz w:val="18"/>
                <w:szCs w:val="18"/>
                <w:lang w:val="en-US"/>
              </w:rPr>
            </w:pPr>
            <w:r w:rsidRPr="00973525">
              <w:rPr>
                <w:sz w:val="18"/>
                <w:szCs w:val="18"/>
                <w:lang w:val="en-US"/>
              </w:rPr>
              <w:t xml:space="preserve"> the protection provider should meet a minimum rating requirement of CQS2 (credit quality step 2) at the initiation of the transaction and CQS3 during the life of the transaction or,</w:t>
            </w:r>
          </w:p>
          <w:p w14:paraId="6DF7BE37" w14:textId="77777777" w:rsidR="00C21071" w:rsidRPr="00973525" w:rsidRDefault="00C21071" w:rsidP="00C21071">
            <w:pPr>
              <w:rPr>
                <w:sz w:val="18"/>
                <w:szCs w:val="18"/>
                <w:lang w:val="en-US"/>
              </w:rPr>
            </w:pPr>
          </w:p>
          <w:p w14:paraId="5449424F" w14:textId="77777777" w:rsidR="00C21071" w:rsidRPr="00973525" w:rsidRDefault="00C21071" w:rsidP="00C21071">
            <w:pPr>
              <w:pStyle w:val="Paragraphedeliste"/>
              <w:numPr>
                <w:ilvl w:val="0"/>
                <w:numId w:val="36"/>
              </w:numPr>
              <w:rPr>
                <w:sz w:val="18"/>
                <w:szCs w:val="18"/>
                <w:lang w:val="en-US"/>
              </w:rPr>
            </w:pPr>
            <w:r w:rsidRPr="00973525">
              <w:rPr>
                <w:sz w:val="18"/>
                <w:szCs w:val="18"/>
                <w:lang w:val="en-US"/>
              </w:rPr>
              <w:t>A regulated entity or,</w:t>
            </w:r>
          </w:p>
          <w:p w14:paraId="1981B422" w14:textId="77777777" w:rsidR="00C21071" w:rsidRPr="00973525" w:rsidRDefault="00C21071" w:rsidP="00C21071">
            <w:pPr>
              <w:pStyle w:val="Paragraphedeliste"/>
              <w:rPr>
                <w:sz w:val="18"/>
                <w:szCs w:val="18"/>
                <w:lang w:val="en-US"/>
              </w:rPr>
            </w:pPr>
          </w:p>
          <w:p w14:paraId="6B2FF27C" w14:textId="1FE83141" w:rsidR="00C21071" w:rsidRPr="00973525" w:rsidRDefault="00C21071" w:rsidP="00C21071">
            <w:pPr>
              <w:rPr>
                <w:sz w:val="18"/>
                <w:szCs w:val="18"/>
                <w:lang w:val="en-GB"/>
              </w:rPr>
            </w:pPr>
            <w:r w:rsidRPr="00973525">
              <w:rPr>
                <w:sz w:val="18"/>
                <w:szCs w:val="18"/>
                <w:lang w:val="en-US"/>
              </w:rPr>
              <w:t xml:space="preserve">the level of leverage (e.g. the protection provider could be an SPV so long as it is itself fully </w:t>
            </w:r>
            <w:proofErr w:type="spellStart"/>
            <w:r w:rsidRPr="00973525">
              <w:rPr>
                <w:sz w:val="18"/>
                <w:szCs w:val="18"/>
                <w:lang w:val="en-US"/>
              </w:rPr>
              <w:t>collateralised</w:t>
            </w:r>
            <w:proofErr w:type="spellEnd"/>
            <w:r w:rsidRPr="00973525">
              <w:rPr>
                <w:sz w:val="18"/>
                <w:szCs w:val="18"/>
                <w:lang w:val="en-US"/>
              </w:rPr>
              <w:t>).</w:t>
            </w:r>
          </w:p>
        </w:tc>
        <w:tc>
          <w:tcPr>
            <w:tcW w:w="236" w:type="dxa"/>
          </w:tcPr>
          <w:p w14:paraId="29765E6F" w14:textId="77777777" w:rsidR="00C21071" w:rsidRPr="00973525" w:rsidRDefault="00C21071" w:rsidP="0079353D">
            <w:pPr>
              <w:ind w:firstLine="1917"/>
              <w:rPr>
                <w:sz w:val="18"/>
                <w:szCs w:val="18"/>
                <w:lang w:val="en-GB"/>
              </w:rPr>
            </w:pPr>
          </w:p>
        </w:tc>
      </w:tr>
      <w:tr w:rsidR="00C21071" w:rsidRPr="00C72B68" w14:paraId="2AAD219B" w14:textId="77777777" w:rsidTr="30964D0C">
        <w:trPr>
          <w:gridAfter w:val="1"/>
          <w:wAfter w:w="16" w:type="dxa"/>
        </w:trPr>
        <w:tc>
          <w:tcPr>
            <w:tcW w:w="2893" w:type="dxa"/>
          </w:tcPr>
          <w:p w14:paraId="61823F81" w14:textId="77777777" w:rsidR="00C21071" w:rsidRPr="00973525" w:rsidRDefault="00C21071" w:rsidP="00C21071">
            <w:pPr>
              <w:rPr>
                <w:sz w:val="18"/>
                <w:szCs w:val="18"/>
                <w:lang w:val="en-US"/>
              </w:rPr>
            </w:pPr>
            <w:r w:rsidRPr="00973525">
              <w:rPr>
                <w:sz w:val="18"/>
                <w:szCs w:val="18"/>
                <w:lang w:val="en-US"/>
              </w:rPr>
              <w:t>7.6.</w:t>
            </w:r>
            <w:r w:rsidRPr="00973525">
              <w:rPr>
                <w:sz w:val="18"/>
                <w:szCs w:val="18"/>
                <w:lang w:val="en-US"/>
              </w:rPr>
              <w:tab/>
            </w:r>
            <w:proofErr w:type="gramStart"/>
            <w:r w:rsidRPr="00973525">
              <w:rPr>
                <w:sz w:val="18"/>
                <w:szCs w:val="18"/>
                <w:lang w:val="en-US"/>
              </w:rPr>
              <w:t>What  would</w:t>
            </w:r>
            <w:proofErr w:type="gramEnd"/>
            <w:r w:rsidRPr="00973525">
              <w:rPr>
                <w:sz w:val="18"/>
                <w:szCs w:val="18"/>
                <w:lang w:val="en-US"/>
              </w:rPr>
              <w:t xml:space="preserve">  be  the  implications  for  EU  financial  stability  of  allowing  unfunded  credit</w:t>
            </w:r>
          </w:p>
          <w:p w14:paraId="5CCB129A" w14:textId="77777777" w:rsidR="00C21071" w:rsidRPr="00973525" w:rsidRDefault="00C21071" w:rsidP="00C21071">
            <w:pPr>
              <w:rPr>
                <w:sz w:val="18"/>
                <w:szCs w:val="18"/>
                <w:lang w:val="en-US"/>
              </w:rPr>
            </w:pPr>
            <w:r w:rsidRPr="00973525">
              <w:rPr>
                <w:sz w:val="18"/>
                <w:szCs w:val="18"/>
                <w:lang w:val="en-US"/>
              </w:rPr>
              <w:t>protection to be eligible for the STS label and the associated preferential capital treatment?</w:t>
            </w:r>
          </w:p>
          <w:p w14:paraId="641A69E2" w14:textId="77777777" w:rsidR="00C21071" w:rsidRPr="00973525" w:rsidRDefault="00C21071" w:rsidP="00C21071">
            <w:pPr>
              <w:rPr>
                <w:sz w:val="18"/>
                <w:szCs w:val="18"/>
                <w:lang w:val="en-GB"/>
              </w:rPr>
            </w:pPr>
          </w:p>
        </w:tc>
        <w:tc>
          <w:tcPr>
            <w:tcW w:w="7740" w:type="dxa"/>
          </w:tcPr>
          <w:p w14:paraId="50D77A40" w14:textId="77777777" w:rsidR="00C21071" w:rsidRPr="00973525" w:rsidRDefault="00C21071" w:rsidP="00C21071">
            <w:pPr>
              <w:rPr>
                <w:sz w:val="18"/>
                <w:szCs w:val="18"/>
                <w:lang w:val="en-US"/>
              </w:rPr>
            </w:pPr>
            <w:r w:rsidRPr="00973525">
              <w:rPr>
                <w:sz w:val="18"/>
                <w:szCs w:val="18"/>
                <w:lang w:val="en-US"/>
              </w:rPr>
              <w:t xml:space="preserve">It would have positive impacts on the EU financial </w:t>
            </w:r>
            <w:proofErr w:type="gramStart"/>
            <w:r w:rsidRPr="00973525">
              <w:rPr>
                <w:sz w:val="18"/>
                <w:szCs w:val="18"/>
                <w:lang w:val="en-US"/>
              </w:rPr>
              <w:t>stability  because</w:t>
            </w:r>
            <w:proofErr w:type="gramEnd"/>
            <w:r w:rsidRPr="00973525">
              <w:rPr>
                <w:sz w:val="18"/>
                <w:szCs w:val="18"/>
                <w:lang w:val="en-US"/>
              </w:rPr>
              <w:t xml:space="preserve"> it would induce a more diversified investors' base.</w:t>
            </w:r>
          </w:p>
          <w:p w14:paraId="7579BE97" w14:textId="77777777" w:rsidR="00C21071" w:rsidRPr="00973525" w:rsidRDefault="00C21071" w:rsidP="00C21071">
            <w:pPr>
              <w:rPr>
                <w:sz w:val="18"/>
                <w:szCs w:val="18"/>
                <w:lang w:val="en-US"/>
              </w:rPr>
            </w:pPr>
            <w:r w:rsidRPr="00973525">
              <w:rPr>
                <w:sz w:val="18"/>
                <w:szCs w:val="18"/>
                <w:lang w:val="en-US"/>
              </w:rPr>
              <w:t>Also, more risks would be transferred from the European banking system.</w:t>
            </w:r>
          </w:p>
          <w:p w14:paraId="645CE8ED" w14:textId="5A91A2C9" w:rsidR="00C21071" w:rsidRPr="00973525" w:rsidRDefault="00C21071" w:rsidP="00C21071">
            <w:pPr>
              <w:rPr>
                <w:sz w:val="18"/>
                <w:szCs w:val="18"/>
                <w:lang w:val="en-GB"/>
              </w:rPr>
            </w:pPr>
            <w:proofErr w:type="gramStart"/>
            <w:r w:rsidRPr="00973525">
              <w:rPr>
                <w:sz w:val="18"/>
                <w:szCs w:val="18"/>
                <w:lang w:val="en-US"/>
              </w:rPr>
              <w:t>Last but not least</w:t>
            </w:r>
            <w:proofErr w:type="gramEnd"/>
            <w:r w:rsidRPr="00973525">
              <w:rPr>
                <w:sz w:val="18"/>
                <w:szCs w:val="18"/>
                <w:lang w:val="en-US"/>
              </w:rPr>
              <w:t>, this would generate more level playing field between SA banks and A-IRB banks.</w:t>
            </w:r>
          </w:p>
        </w:tc>
        <w:tc>
          <w:tcPr>
            <w:tcW w:w="236" w:type="dxa"/>
          </w:tcPr>
          <w:p w14:paraId="5B60C687" w14:textId="77777777" w:rsidR="00C21071" w:rsidRPr="00973525" w:rsidRDefault="00C21071" w:rsidP="0079353D">
            <w:pPr>
              <w:ind w:firstLine="1917"/>
              <w:rPr>
                <w:sz w:val="18"/>
                <w:szCs w:val="18"/>
                <w:lang w:val="en-GB"/>
              </w:rPr>
            </w:pPr>
          </w:p>
        </w:tc>
      </w:tr>
      <w:tr w:rsidR="00C21071" w:rsidRPr="0000602A" w14:paraId="2E95847F" w14:textId="77777777" w:rsidTr="30964D0C">
        <w:trPr>
          <w:gridAfter w:val="1"/>
          <w:wAfter w:w="16" w:type="dxa"/>
        </w:trPr>
        <w:tc>
          <w:tcPr>
            <w:tcW w:w="2893" w:type="dxa"/>
          </w:tcPr>
          <w:p w14:paraId="564A26F3" w14:textId="77777777" w:rsidR="00C21071" w:rsidRPr="00973525" w:rsidRDefault="00C21071" w:rsidP="00C21071">
            <w:pPr>
              <w:rPr>
                <w:sz w:val="18"/>
                <w:szCs w:val="18"/>
                <w:lang w:val="en-US"/>
              </w:rPr>
            </w:pPr>
            <w:r w:rsidRPr="00973525">
              <w:rPr>
                <w:sz w:val="18"/>
                <w:szCs w:val="18"/>
                <w:lang w:val="en-US"/>
              </w:rPr>
              <w:t>7.7.</w:t>
            </w:r>
            <w:r w:rsidRPr="00973525">
              <w:rPr>
                <w:sz w:val="18"/>
                <w:szCs w:val="18"/>
                <w:lang w:val="en-US"/>
              </w:rPr>
              <w:tab/>
              <w:t xml:space="preserve">How would allowing unfunded credit protection to be eligible for the STS label and the associated preferential capital </w:t>
            </w:r>
            <w:r w:rsidRPr="00973525">
              <w:rPr>
                <w:sz w:val="18"/>
                <w:szCs w:val="18"/>
                <w:lang w:val="en-US"/>
              </w:rPr>
              <w:lastRenderedPageBreak/>
              <w:t xml:space="preserve">treatment impact EU insurers’ business model of providing credit protection via synthetic securitisation (for example, would EU insurers </w:t>
            </w:r>
            <w:proofErr w:type="gramStart"/>
            <w:r w:rsidRPr="00973525">
              <w:rPr>
                <w:sz w:val="18"/>
                <w:szCs w:val="18"/>
                <w:lang w:val="en-US"/>
              </w:rPr>
              <w:t>account</w:t>
            </w:r>
            <w:proofErr w:type="gramEnd"/>
            <w:r w:rsidRPr="00973525">
              <w:rPr>
                <w:sz w:val="18"/>
                <w:szCs w:val="18"/>
                <w:lang w:val="en-US"/>
              </w:rPr>
              <w:t xml:space="preserve"> such transactions as assets or as liabilities)?</w:t>
            </w:r>
          </w:p>
          <w:p w14:paraId="4EEEF4C0" w14:textId="75C52C7D" w:rsidR="00C21071" w:rsidRPr="00973525" w:rsidRDefault="00C21071" w:rsidP="00C21071">
            <w:pPr>
              <w:rPr>
                <w:sz w:val="18"/>
                <w:szCs w:val="18"/>
                <w:lang w:val="en-GB"/>
              </w:rPr>
            </w:pPr>
            <w:r w:rsidRPr="00973525">
              <w:rPr>
                <w:sz w:val="18"/>
                <w:szCs w:val="18"/>
                <w:lang w:val="en-US"/>
              </w:rPr>
              <w:t>Please explain your answer.</w:t>
            </w:r>
          </w:p>
        </w:tc>
        <w:tc>
          <w:tcPr>
            <w:tcW w:w="7740" w:type="dxa"/>
          </w:tcPr>
          <w:p w14:paraId="5C0FF6A0" w14:textId="77777777" w:rsidR="00C21071" w:rsidRPr="00973525" w:rsidRDefault="00C21071" w:rsidP="00C21071">
            <w:pPr>
              <w:rPr>
                <w:sz w:val="18"/>
                <w:szCs w:val="18"/>
                <w:lang w:val="en-US"/>
              </w:rPr>
            </w:pPr>
            <w:r w:rsidRPr="00973525">
              <w:rPr>
                <w:sz w:val="18"/>
                <w:szCs w:val="18"/>
                <w:lang w:val="en-US"/>
              </w:rPr>
              <w:lastRenderedPageBreak/>
              <w:t>As the credit insurance arm of multiline (well diversified) non-life (re)insurers can sell unfunded credit protection from the liability side of their balance sheets, and cover credit losses in specific tranches of securitisations. Contracts can take the form of credit insurance policies, non-payment insurance, risk participation agreements or guarantees.</w:t>
            </w:r>
          </w:p>
          <w:p w14:paraId="4030417E" w14:textId="6B752F1D" w:rsidR="00C21071" w:rsidRPr="00973525" w:rsidRDefault="00C21071" w:rsidP="00C21071">
            <w:pPr>
              <w:rPr>
                <w:sz w:val="18"/>
                <w:szCs w:val="18"/>
                <w:lang w:val="en-GB"/>
              </w:rPr>
            </w:pPr>
            <w:r w:rsidRPr="00973525">
              <w:rPr>
                <w:sz w:val="18"/>
                <w:szCs w:val="18"/>
                <w:lang w:val="en-US"/>
              </w:rPr>
              <w:lastRenderedPageBreak/>
              <w:t>Because (re)insurers are playing an increasingly important role in the protection of mezzanine tranches of SRT transactions which is expected to be growing further in the frame of the CRR regulation with thicker mezzanine size, we support adding  a new point (d) in Article 26e(8) of SEC-R to explicitly say that highly regulated and well-</w:t>
            </w:r>
            <w:proofErr w:type="spellStart"/>
            <w:r w:rsidRPr="00973525">
              <w:rPr>
                <w:sz w:val="18"/>
                <w:szCs w:val="18"/>
                <w:lang w:val="en-US"/>
              </w:rPr>
              <w:t>capitalised</w:t>
            </w:r>
            <w:proofErr w:type="spellEnd"/>
            <w:r w:rsidRPr="00973525">
              <w:rPr>
                <w:sz w:val="18"/>
                <w:szCs w:val="18"/>
                <w:lang w:val="en-US"/>
              </w:rPr>
              <w:t xml:space="preserve"> (re)insurers (under Solvency II or equivalent) can provide banks with unfunded credit protections guarantees which can be eligible to the STS label.</w:t>
            </w:r>
          </w:p>
        </w:tc>
        <w:tc>
          <w:tcPr>
            <w:tcW w:w="236" w:type="dxa"/>
          </w:tcPr>
          <w:p w14:paraId="164D4D27" w14:textId="77777777" w:rsidR="00C21071" w:rsidRPr="00973525" w:rsidRDefault="00C21071" w:rsidP="0079353D">
            <w:pPr>
              <w:ind w:firstLine="1917"/>
              <w:rPr>
                <w:sz w:val="18"/>
                <w:szCs w:val="18"/>
                <w:lang w:val="en-GB"/>
              </w:rPr>
            </w:pPr>
          </w:p>
        </w:tc>
      </w:tr>
      <w:tr w:rsidR="00C21071" w:rsidRPr="00C72B68" w14:paraId="22A24DAB" w14:textId="77777777" w:rsidTr="30964D0C">
        <w:trPr>
          <w:gridAfter w:val="1"/>
          <w:wAfter w:w="16" w:type="dxa"/>
        </w:trPr>
        <w:tc>
          <w:tcPr>
            <w:tcW w:w="2893" w:type="dxa"/>
          </w:tcPr>
          <w:p w14:paraId="78DC0D4C" w14:textId="77777777" w:rsidR="00C21071" w:rsidRPr="00973525" w:rsidRDefault="00C21071" w:rsidP="00C21071">
            <w:pPr>
              <w:rPr>
                <w:sz w:val="18"/>
                <w:szCs w:val="18"/>
                <w:lang w:val="en-US"/>
              </w:rPr>
            </w:pPr>
            <w:r w:rsidRPr="00973525">
              <w:rPr>
                <w:sz w:val="18"/>
                <w:szCs w:val="18"/>
                <w:lang w:val="en-US"/>
              </w:rPr>
              <w:t>7.8.</w:t>
            </w:r>
            <w:r w:rsidRPr="00973525">
              <w:rPr>
                <w:sz w:val="18"/>
                <w:szCs w:val="18"/>
                <w:lang w:val="en-US"/>
              </w:rPr>
              <w:tab/>
              <w:t xml:space="preserve">If you are an originator, what impact on the volume of on-balance-sheet securitisations that you issue do you expect to </w:t>
            </w:r>
            <w:proofErr w:type="gramStart"/>
            <w:r w:rsidRPr="00973525">
              <w:rPr>
                <w:sz w:val="18"/>
                <w:szCs w:val="18"/>
                <w:lang w:val="en-US"/>
              </w:rPr>
              <w:t>see  if</w:t>
            </w:r>
            <w:proofErr w:type="gramEnd"/>
            <w:r w:rsidRPr="00973525">
              <w:rPr>
                <w:sz w:val="18"/>
                <w:szCs w:val="18"/>
                <w:lang w:val="en-US"/>
              </w:rPr>
              <w:t xml:space="preserve">  unfunded  credit  protection  becomes  eligible  for  the  STS label and the associated preferential capital treatment?</w:t>
            </w:r>
          </w:p>
          <w:p w14:paraId="3908BFDF" w14:textId="77777777" w:rsidR="00C21071" w:rsidRPr="00973525" w:rsidRDefault="00C21071" w:rsidP="00C21071">
            <w:pPr>
              <w:rPr>
                <w:sz w:val="18"/>
                <w:szCs w:val="18"/>
                <w:lang w:val="en-GB"/>
              </w:rPr>
            </w:pPr>
          </w:p>
        </w:tc>
        <w:tc>
          <w:tcPr>
            <w:tcW w:w="7740" w:type="dxa"/>
          </w:tcPr>
          <w:p w14:paraId="1FB5AFA5" w14:textId="76916AF6" w:rsidR="00C21071" w:rsidRPr="00973525" w:rsidRDefault="00C21071" w:rsidP="00C21071">
            <w:pPr>
              <w:rPr>
                <w:sz w:val="18"/>
                <w:szCs w:val="18"/>
                <w:lang w:val="en-GB"/>
              </w:rPr>
            </w:pPr>
            <w:r w:rsidRPr="00973525">
              <w:rPr>
                <w:sz w:val="18"/>
                <w:szCs w:val="18"/>
                <w:lang w:val="en-US"/>
              </w:rPr>
              <w:t xml:space="preserve">Opening STS eligibility to unfunded credit protection investors would </w:t>
            </w:r>
            <w:proofErr w:type="gramStart"/>
            <w:r w:rsidRPr="00973525">
              <w:rPr>
                <w:sz w:val="18"/>
                <w:szCs w:val="18"/>
                <w:lang w:val="en-US"/>
              </w:rPr>
              <w:t>definitely increase</w:t>
            </w:r>
            <w:proofErr w:type="gramEnd"/>
            <w:r w:rsidRPr="00973525">
              <w:rPr>
                <w:sz w:val="18"/>
                <w:szCs w:val="18"/>
                <w:lang w:val="en-US"/>
              </w:rPr>
              <w:t xml:space="preserve"> and diversify demand in the market, foster competition and eventually lead to larger securitisation volumes. Also, some asset classes (e.g. specialized lending, transaction banking) are historically better known by insurers: at least in the first few years, we would expect STS transactions to </w:t>
            </w:r>
            <w:proofErr w:type="gramStart"/>
            <w:r w:rsidRPr="00973525">
              <w:rPr>
                <w:sz w:val="18"/>
                <w:szCs w:val="18"/>
                <w:lang w:val="en-US"/>
              </w:rPr>
              <w:t>be originated</w:t>
            </w:r>
            <w:proofErr w:type="gramEnd"/>
            <w:r w:rsidRPr="00973525">
              <w:rPr>
                <w:sz w:val="18"/>
                <w:szCs w:val="18"/>
                <w:lang w:val="en-US"/>
              </w:rPr>
              <w:t xml:space="preserve"> from these asset classes and distributed to unfunded credit protection providers if such credit protection format became eligible to STS.</w:t>
            </w:r>
          </w:p>
        </w:tc>
        <w:tc>
          <w:tcPr>
            <w:tcW w:w="236" w:type="dxa"/>
          </w:tcPr>
          <w:p w14:paraId="18201A6C" w14:textId="77777777" w:rsidR="00C21071" w:rsidRPr="00973525" w:rsidRDefault="00C21071" w:rsidP="0079353D">
            <w:pPr>
              <w:ind w:firstLine="1917"/>
              <w:rPr>
                <w:sz w:val="18"/>
                <w:szCs w:val="18"/>
                <w:lang w:val="en-GB"/>
              </w:rPr>
            </w:pPr>
          </w:p>
        </w:tc>
      </w:tr>
      <w:tr w:rsidR="00C21071" w:rsidRPr="00973525" w14:paraId="49A19C99" w14:textId="77777777" w:rsidTr="30964D0C">
        <w:trPr>
          <w:gridAfter w:val="1"/>
          <w:wAfter w:w="16" w:type="dxa"/>
        </w:trPr>
        <w:tc>
          <w:tcPr>
            <w:tcW w:w="2893" w:type="dxa"/>
          </w:tcPr>
          <w:p w14:paraId="1FB46254" w14:textId="77777777" w:rsidR="00C21071" w:rsidRPr="00973525" w:rsidRDefault="00C21071" w:rsidP="00C21071">
            <w:pPr>
              <w:rPr>
                <w:sz w:val="18"/>
                <w:szCs w:val="18"/>
                <w:lang w:val="en-US"/>
              </w:rPr>
            </w:pPr>
            <w:r w:rsidRPr="00973525">
              <w:rPr>
                <w:sz w:val="18"/>
                <w:szCs w:val="18"/>
                <w:lang w:val="en-US"/>
              </w:rPr>
              <w:t>7.9.</w:t>
            </w:r>
            <w:r w:rsidRPr="00973525">
              <w:rPr>
                <w:sz w:val="18"/>
                <w:szCs w:val="18"/>
                <w:lang w:val="en-US"/>
              </w:rPr>
              <w:tab/>
              <w:t>If you answered no to question 7.4., do you see merit in expanding the list of eligible high- quality collateral instruments in Article 26</w:t>
            </w:r>
            <w:proofErr w:type="gramStart"/>
            <w:r w:rsidRPr="00973525">
              <w:rPr>
                <w:sz w:val="18"/>
                <w:szCs w:val="18"/>
                <w:lang w:val="en-US"/>
              </w:rPr>
              <w:t>e(</w:t>
            </w:r>
            <w:proofErr w:type="gramEnd"/>
            <w:r w:rsidRPr="00973525">
              <w:rPr>
                <w:sz w:val="18"/>
                <w:szCs w:val="18"/>
                <w:lang w:val="en-US"/>
              </w:rPr>
              <w:t>10) to facilitate on-balance-sheet STS securitisations?</w:t>
            </w:r>
          </w:p>
          <w:p w14:paraId="662CF227" w14:textId="77777777" w:rsidR="00C21071" w:rsidRPr="00973525" w:rsidRDefault="00C21071" w:rsidP="00C21071">
            <w:pPr>
              <w:rPr>
                <w:sz w:val="18"/>
                <w:szCs w:val="18"/>
                <w:lang w:val="en-US"/>
              </w:rPr>
            </w:pPr>
          </w:p>
          <w:p w14:paraId="6552A080"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2DE442A4"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478A67F2" w14:textId="28DD55E3"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23C28C0D" w14:textId="7F5F9D04" w:rsidR="00C21071" w:rsidRPr="00973525" w:rsidRDefault="59529EBF" w:rsidP="00C21071">
            <w:pPr>
              <w:rPr>
                <w:sz w:val="18"/>
                <w:szCs w:val="18"/>
                <w:lang w:val="en-GB"/>
              </w:rPr>
            </w:pPr>
            <w:r w:rsidRPr="5AC4FF4A">
              <w:rPr>
                <w:sz w:val="18"/>
                <w:szCs w:val="18"/>
                <w:lang w:val="en-GB"/>
              </w:rPr>
              <w:t>No</w:t>
            </w:r>
          </w:p>
        </w:tc>
        <w:tc>
          <w:tcPr>
            <w:tcW w:w="236" w:type="dxa"/>
          </w:tcPr>
          <w:p w14:paraId="7983A017" w14:textId="77777777" w:rsidR="00C21071" w:rsidRPr="00973525" w:rsidRDefault="00C21071" w:rsidP="0079353D">
            <w:pPr>
              <w:ind w:firstLine="1917"/>
              <w:rPr>
                <w:sz w:val="18"/>
                <w:szCs w:val="18"/>
              </w:rPr>
            </w:pPr>
          </w:p>
        </w:tc>
      </w:tr>
      <w:tr w:rsidR="00C21071" w:rsidRPr="0000602A" w14:paraId="3C118A18" w14:textId="77777777" w:rsidTr="30964D0C">
        <w:trPr>
          <w:gridAfter w:val="1"/>
          <w:wAfter w:w="16" w:type="dxa"/>
        </w:trPr>
        <w:tc>
          <w:tcPr>
            <w:tcW w:w="2893" w:type="dxa"/>
          </w:tcPr>
          <w:p w14:paraId="4E34A3CE" w14:textId="77777777" w:rsidR="00C21071" w:rsidRPr="00973525" w:rsidRDefault="00C21071" w:rsidP="00C21071">
            <w:pPr>
              <w:rPr>
                <w:sz w:val="18"/>
                <w:szCs w:val="18"/>
                <w:lang w:val="en-US"/>
              </w:rPr>
            </w:pPr>
            <w:r w:rsidRPr="00973525">
              <w:rPr>
                <w:sz w:val="18"/>
                <w:szCs w:val="18"/>
                <w:lang w:val="en-US"/>
              </w:rPr>
              <w:t>7.10.</w:t>
            </w:r>
            <w:r w:rsidRPr="00973525">
              <w:rPr>
                <w:sz w:val="18"/>
                <w:szCs w:val="18"/>
                <w:lang w:val="en-US"/>
              </w:rPr>
              <w:tab/>
              <w:t>If you answered yes to question 7.9., which high-quality collateral instruments should be added to the list?</w:t>
            </w:r>
          </w:p>
          <w:p w14:paraId="5801785D" w14:textId="77777777" w:rsidR="00C21071" w:rsidRPr="00973525" w:rsidRDefault="00C21071" w:rsidP="00C21071">
            <w:pPr>
              <w:rPr>
                <w:sz w:val="18"/>
                <w:szCs w:val="18"/>
                <w:lang w:val="en-GB"/>
              </w:rPr>
            </w:pPr>
          </w:p>
        </w:tc>
        <w:tc>
          <w:tcPr>
            <w:tcW w:w="7740" w:type="dxa"/>
          </w:tcPr>
          <w:p w14:paraId="4B737F5F" w14:textId="689C827A" w:rsidR="00C21071" w:rsidRPr="00973525" w:rsidRDefault="00C21071" w:rsidP="00C21071">
            <w:pPr>
              <w:rPr>
                <w:sz w:val="18"/>
                <w:szCs w:val="18"/>
                <w:lang w:val="en-GB"/>
              </w:rPr>
            </w:pPr>
            <w:proofErr w:type="spellStart"/>
            <w:r w:rsidRPr="00973525">
              <w:rPr>
                <w:sz w:val="18"/>
                <w:szCs w:val="18"/>
                <w:lang w:val="en-US"/>
              </w:rPr>
              <w:t>SecReg</w:t>
            </w:r>
            <w:proofErr w:type="spellEnd"/>
            <w:r w:rsidRPr="00973525">
              <w:rPr>
                <w:sz w:val="18"/>
                <w:szCs w:val="18"/>
                <w:lang w:val="en-US"/>
              </w:rPr>
              <w:t xml:space="preserve"> Article 26b 10 should be deleted: the requirements it sets out on collateral management are too complex. This article could even have negative consequences for financial stability, as a downgrade of the credit protection beneficiary could lead to mandatory transfer of cash collateral, which would cause SRT to end and RWA to go back to originators’ balance sheet.</w:t>
            </w:r>
          </w:p>
        </w:tc>
        <w:tc>
          <w:tcPr>
            <w:tcW w:w="236" w:type="dxa"/>
          </w:tcPr>
          <w:p w14:paraId="28EA3575" w14:textId="77777777" w:rsidR="00C21071" w:rsidRPr="00973525" w:rsidRDefault="00C21071" w:rsidP="0079353D">
            <w:pPr>
              <w:ind w:firstLine="1917"/>
              <w:rPr>
                <w:sz w:val="18"/>
                <w:szCs w:val="18"/>
                <w:lang w:val="en-GB"/>
              </w:rPr>
            </w:pPr>
          </w:p>
        </w:tc>
      </w:tr>
      <w:tr w:rsidR="00C21071" w:rsidRPr="00C72B68" w14:paraId="60B78E43" w14:textId="77777777" w:rsidTr="30964D0C">
        <w:trPr>
          <w:gridAfter w:val="1"/>
          <w:wAfter w:w="16" w:type="dxa"/>
        </w:trPr>
        <w:tc>
          <w:tcPr>
            <w:tcW w:w="2893" w:type="dxa"/>
          </w:tcPr>
          <w:p w14:paraId="07EB843A" w14:textId="58BB893E" w:rsidR="00C21071" w:rsidRPr="00973525" w:rsidRDefault="00C21071" w:rsidP="00C21071">
            <w:pPr>
              <w:rPr>
                <w:sz w:val="18"/>
                <w:szCs w:val="18"/>
                <w:lang w:val="en-GB"/>
              </w:rPr>
            </w:pPr>
            <w:r w:rsidRPr="00973525">
              <w:rPr>
                <w:sz w:val="18"/>
                <w:szCs w:val="18"/>
                <w:lang w:val="en-US"/>
              </w:rPr>
              <w:t>7.11.</w:t>
            </w:r>
            <w:r w:rsidRPr="00973525">
              <w:rPr>
                <w:sz w:val="18"/>
                <w:szCs w:val="18"/>
                <w:lang w:val="en-US"/>
              </w:rPr>
              <w:tab/>
              <w:t>What would be the implications for EU financial stability of extending the list of high-quality collateral arrangements under Article 26</w:t>
            </w:r>
            <w:proofErr w:type="gramStart"/>
            <w:r w:rsidRPr="00973525">
              <w:rPr>
                <w:sz w:val="18"/>
                <w:szCs w:val="18"/>
                <w:lang w:val="en-US"/>
              </w:rPr>
              <w:t>e(</w:t>
            </w:r>
            <w:proofErr w:type="gramEnd"/>
            <w:r w:rsidRPr="00973525">
              <w:rPr>
                <w:sz w:val="18"/>
                <w:szCs w:val="18"/>
                <w:lang w:val="en-US"/>
              </w:rPr>
              <w:t>10)?</w:t>
            </w:r>
          </w:p>
        </w:tc>
        <w:tc>
          <w:tcPr>
            <w:tcW w:w="7740" w:type="dxa"/>
          </w:tcPr>
          <w:p w14:paraId="713C5FD0" w14:textId="77777777" w:rsidR="00C21071" w:rsidRPr="00973525" w:rsidRDefault="00C21071" w:rsidP="00C21071">
            <w:pPr>
              <w:rPr>
                <w:sz w:val="18"/>
                <w:szCs w:val="18"/>
                <w:lang w:val="en-GB"/>
              </w:rPr>
            </w:pPr>
          </w:p>
        </w:tc>
        <w:tc>
          <w:tcPr>
            <w:tcW w:w="236" w:type="dxa"/>
          </w:tcPr>
          <w:p w14:paraId="343497FD" w14:textId="77777777" w:rsidR="00C21071" w:rsidRPr="00973525" w:rsidRDefault="00C21071" w:rsidP="0079353D">
            <w:pPr>
              <w:ind w:firstLine="1917"/>
              <w:rPr>
                <w:sz w:val="18"/>
                <w:szCs w:val="18"/>
                <w:lang w:val="en-GB"/>
              </w:rPr>
            </w:pPr>
          </w:p>
        </w:tc>
      </w:tr>
      <w:tr w:rsidR="00C21071" w:rsidRPr="00C72B68" w14:paraId="7CE5F423" w14:textId="77777777" w:rsidTr="30964D0C">
        <w:trPr>
          <w:gridAfter w:val="1"/>
          <w:wAfter w:w="16" w:type="dxa"/>
        </w:trPr>
        <w:tc>
          <w:tcPr>
            <w:tcW w:w="2893" w:type="dxa"/>
          </w:tcPr>
          <w:p w14:paraId="2D8CEDB6" w14:textId="77777777" w:rsidR="00C21071" w:rsidRPr="00973525" w:rsidRDefault="00C21071" w:rsidP="00C21071">
            <w:pPr>
              <w:rPr>
                <w:sz w:val="18"/>
                <w:szCs w:val="18"/>
                <w:lang w:val="en-US"/>
              </w:rPr>
            </w:pPr>
            <w:r w:rsidRPr="00973525">
              <w:rPr>
                <w:sz w:val="18"/>
                <w:szCs w:val="18"/>
                <w:lang w:val="en-US"/>
              </w:rPr>
              <w:t>7.12.</w:t>
            </w:r>
            <w:r w:rsidRPr="00973525">
              <w:rPr>
                <w:sz w:val="18"/>
                <w:szCs w:val="18"/>
                <w:lang w:val="en-US"/>
              </w:rPr>
              <w:tab/>
              <w:t>Do the homogeneity requirements for STS transactions represent an undue burden for the securitisation of corporate loans, including SMEs? Please explain your answer.</w:t>
            </w:r>
          </w:p>
          <w:p w14:paraId="7CD999DF" w14:textId="77777777" w:rsidR="00C21071" w:rsidRPr="00973525" w:rsidRDefault="00C21071" w:rsidP="00C21071">
            <w:pPr>
              <w:rPr>
                <w:sz w:val="18"/>
                <w:szCs w:val="18"/>
                <w:lang w:val="en-GB"/>
              </w:rPr>
            </w:pPr>
          </w:p>
        </w:tc>
        <w:tc>
          <w:tcPr>
            <w:tcW w:w="7740" w:type="dxa"/>
          </w:tcPr>
          <w:p w14:paraId="57466BF8" w14:textId="77777777" w:rsidR="00C21071" w:rsidRPr="00973525" w:rsidRDefault="00C21071" w:rsidP="00C21071">
            <w:pPr>
              <w:rPr>
                <w:sz w:val="18"/>
                <w:szCs w:val="18"/>
                <w:lang w:val="en-US"/>
              </w:rPr>
            </w:pPr>
          </w:p>
          <w:p w14:paraId="43A8E747" w14:textId="7460526B" w:rsidR="00C21071" w:rsidRPr="00973525" w:rsidRDefault="00C21071" w:rsidP="00C21071">
            <w:pPr>
              <w:rPr>
                <w:sz w:val="18"/>
                <w:szCs w:val="18"/>
                <w:lang w:val="en-US"/>
              </w:rPr>
            </w:pPr>
            <w:r w:rsidRPr="00973525">
              <w:rPr>
                <w:sz w:val="18"/>
                <w:szCs w:val="18"/>
                <w:lang w:val="en-US"/>
              </w:rPr>
              <w:t xml:space="preserve">No, we experience no specific extra burden in relation </w:t>
            </w:r>
            <w:proofErr w:type="gramStart"/>
            <w:r w:rsidRPr="00973525">
              <w:rPr>
                <w:sz w:val="18"/>
                <w:szCs w:val="18"/>
                <w:lang w:val="en-US"/>
              </w:rPr>
              <w:t>with</w:t>
            </w:r>
            <w:proofErr w:type="gramEnd"/>
            <w:r w:rsidRPr="00973525">
              <w:rPr>
                <w:sz w:val="18"/>
                <w:szCs w:val="18"/>
                <w:lang w:val="en-US"/>
              </w:rPr>
              <w:t xml:space="preserve"> this</w:t>
            </w:r>
            <w:r w:rsidR="28797F0B" w:rsidRPr="501DBB6C">
              <w:rPr>
                <w:sz w:val="18"/>
                <w:szCs w:val="18"/>
                <w:lang w:val="en-US"/>
              </w:rPr>
              <w:t xml:space="preserve"> requirement while some originators experience some </w:t>
            </w:r>
            <w:r w:rsidR="3684E554" w:rsidRPr="501DBB6C">
              <w:rPr>
                <w:sz w:val="18"/>
                <w:szCs w:val="18"/>
                <w:lang w:val="en-US"/>
              </w:rPr>
              <w:t>difficulties to fulfil this criterion</w:t>
            </w:r>
            <w:r w:rsidRPr="00973525">
              <w:rPr>
                <w:sz w:val="18"/>
                <w:szCs w:val="18"/>
                <w:lang w:val="en-US"/>
              </w:rPr>
              <w:t>.</w:t>
            </w:r>
          </w:p>
          <w:p w14:paraId="42F0F1AE" w14:textId="77777777" w:rsidR="00C21071" w:rsidRPr="00973525" w:rsidRDefault="00C21071" w:rsidP="00C21071">
            <w:pPr>
              <w:rPr>
                <w:sz w:val="18"/>
                <w:szCs w:val="18"/>
                <w:lang w:val="en-GB"/>
              </w:rPr>
            </w:pPr>
          </w:p>
        </w:tc>
        <w:tc>
          <w:tcPr>
            <w:tcW w:w="236" w:type="dxa"/>
          </w:tcPr>
          <w:p w14:paraId="307468D1" w14:textId="77777777" w:rsidR="00C21071" w:rsidRPr="00973525" w:rsidRDefault="00C21071" w:rsidP="0079353D">
            <w:pPr>
              <w:ind w:firstLine="1917"/>
              <w:rPr>
                <w:sz w:val="18"/>
                <w:szCs w:val="18"/>
                <w:lang w:val="en-GB"/>
              </w:rPr>
            </w:pPr>
          </w:p>
        </w:tc>
      </w:tr>
      <w:tr w:rsidR="00C21071" w:rsidRPr="0000602A" w14:paraId="670ECC72" w14:textId="77777777" w:rsidTr="30964D0C">
        <w:trPr>
          <w:gridAfter w:val="1"/>
          <w:wAfter w:w="16" w:type="dxa"/>
        </w:trPr>
        <w:tc>
          <w:tcPr>
            <w:tcW w:w="2893" w:type="dxa"/>
          </w:tcPr>
          <w:p w14:paraId="432F9E2D" w14:textId="77777777" w:rsidR="00C21071" w:rsidRPr="00973525" w:rsidRDefault="00C21071" w:rsidP="00C21071">
            <w:pPr>
              <w:rPr>
                <w:sz w:val="18"/>
                <w:szCs w:val="18"/>
                <w:lang w:val="en-US"/>
              </w:rPr>
            </w:pPr>
            <w:r w:rsidRPr="00973525">
              <w:rPr>
                <w:sz w:val="18"/>
                <w:szCs w:val="18"/>
                <w:lang w:val="en-US"/>
              </w:rPr>
              <w:t>7.13.</w:t>
            </w:r>
            <w:r w:rsidRPr="00973525">
              <w:rPr>
                <w:sz w:val="18"/>
                <w:szCs w:val="18"/>
                <w:lang w:val="en-US"/>
              </w:rPr>
              <w:tab/>
              <w:t xml:space="preserve">Should the STS criteria (for traditional, </w:t>
            </w:r>
            <w:proofErr w:type="gramStart"/>
            <w:r w:rsidRPr="00973525">
              <w:rPr>
                <w:sz w:val="18"/>
                <w:szCs w:val="18"/>
                <w:lang w:val="en-US"/>
              </w:rPr>
              <w:t>asset backed</w:t>
            </w:r>
            <w:proofErr w:type="gramEnd"/>
            <w:r w:rsidRPr="00973525">
              <w:rPr>
                <w:sz w:val="18"/>
                <w:szCs w:val="18"/>
                <w:lang w:val="en-US"/>
              </w:rPr>
              <w:t xml:space="preserve"> commercial paper (ABCP) or on-balance sheet securitisation) be further simplified or amended? Please explain your answer and provide suggestions.</w:t>
            </w:r>
          </w:p>
          <w:p w14:paraId="14D40A07" w14:textId="77777777" w:rsidR="00C21071" w:rsidRPr="00973525" w:rsidRDefault="00C21071" w:rsidP="00C21071">
            <w:pPr>
              <w:rPr>
                <w:sz w:val="18"/>
                <w:szCs w:val="18"/>
                <w:lang w:val="en-US"/>
              </w:rPr>
            </w:pPr>
          </w:p>
          <w:p w14:paraId="259174AE"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5835EB4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1CD3D73B" w14:textId="27903294"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1C3E2B30" w14:textId="77777777" w:rsidR="00C21071" w:rsidRPr="00973525" w:rsidRDefault="00C21071" w:rsidP="00C21071">
            <w:pPr>
              <w:rPr>
                <w:sz w:val="18"/>
                <w:szCs w:val="18"/>
                <w:lang w:val="en-US"/>
              </w:rPr>
            </w:pPr>
          </w:p>
          <w:p w14:paraId="180B8E08" w14:textId="77777777" w:rsidR="00C21071" w:rsidRPr="00973525" w:rsidRDefault="00C21071" w:rsidP="00C21071">
            <w:pPr>
              <w:rPr>
                <w:sz w:val="18"/>
                <w:szCs w:val="18"/>
                <w:lang w:val="en-US"/>
              </w:rPr>
            </w:pPr>
            <w:r w:rsidRPr="00973525">
              <w:rPr>
                <w:sz w:val="18"/>
                <w:szCs w:val="18"/>
                <w:lang w:val="en-US"/>
              </w:rPr>
              <w:t>Yes. It should be a simplification through removed or lighter criteria (in the sense of not adding any requirement to the pre-existing criteria).</w:t>
            </w:r>
          </w:p>
          <w:p w14:paraId="0E548839" w14:textId="77777777" w:rsidR="00C21071" w:rsidRPr="00973525" w:rsidRDefault="00C21071" w:rsidP="00C21071">
            <w:pPr>
              <w:rPr>
                <w:sz w:val="18"/>
                <w:szCs w:val="18"/>
                <w:lang w:val="en-US"/>
              </w:rPr>
            </w:pPr>
          </w:p>
          <w:p w14:paraId="5BFAB8D7" w14:textId="77777777" w:rsidR="00C21071" w:rsidRPr="00973525" w:rsidRDefault="00C21071" w:rsidP="00C21071">
            <w:pPr>
              <w:rPr>
                <w:sz w:val="18"/>
                <w:szCs w:val="18"/>
                <w:lang w:val="en-US"/>
              </w:rPr>
            </w:pPr>
            <w:r w:rsidRPr="00973525">
              <w:rPr>
                <w:sz w:val="18"/>
                <w:szCs w:val="18"/>
                <w:lang w:val="en-US"/>
              </w:rPr>
              <w:t>Suggestions for synthetic securitisations:</w:t>
            </w:r>
          </w:p>
          <w:p w14:paraId="3C91EA8B" w14:textId="77777777" w:rsidR="00C21071" w:rsidRPr="00973525" w:rsidRDefault="00C21071" w:rsidP="00C21071">
            <w:pPr>
              <w:rPr>
                <w:sz w:val="18"/>
                <w:szCs w:val="18"/>
                <w:lang w:val="en-US"/>
              </w:rPr>
            </w:pPr>
            <w:r w:rsidRPr="00973525">
              <w:rPr>
                <w:sz w:val="18"/>
                <w:szCs w:val="18"/>
                <w:lang w:val="en-US"/>
              </w:rPr>
              <w:t xml:space="preserve">- Criteria 26(e)10: </w:t>
            </w:r>
          </w:p>
          <w:p w14:paraId="44DFB98D" w14:textId="77777777" w:rsidR="00C21071" w:rsidRPr="00973525" w:rsidRDefault="00C21071" w:rsidP="00C21071">
            <w:pPr>
              <w:rPr>
                <w:sz w:val="18"/>
                <w:szCs w:val="18"/>
                <w:lang w:val="en-US"/>
              </w:rPr>
            </w:pPr>
            <w:r w:rsidRPr="00973525">
              <w:rPr>
                <w:sz w:val="18"/>
                <w:szCs w:val="18"/>
                <w:lang w:val="en-US"/>
              </w:rPr>
              <w:t>* Debt securities as collateral: more flexibility would be appreciated regarding the maximum maturity (currently 3 months). We would welcome longer term securities subject to, for instance, higher over-</w:t>
            </w:r>
            <w:proofErr w:type="spellStart"/>
            <w:r w:rsidRPr="00973525">
              <w:rPr>
                <w:sz w:val="18"/>
                <w:szCs w:val="18"/>
                <w:lang w:val="en-US"/>
              </w:rPr>
              <w:t>collateralisation</w:t>
            </w:r>
            <w:proofErr w:type="spellEnd"/>
            <w:r w:rsidRPr="00973525">
              <w:rPr>
                <w:sz w:val="18"/>
                <w:szCs w:val="18"/>
                <w:lang w:val="en-US"/>
              </w:rPr>
              <w:t xml:space="preserve"> levels agreed between the parties.</w:t>
            </w:r>
          </w:p>
          <w:p w14:paraId="55DE3502" w14:textId="77777777" w:rsidR="00C21071" w:rsidRPr="00973525" w:rsidRDefault="00C21071" w:rsidP="00C21071">
            <w:pPr>
              <w:rPr>
                <w:sz w:val="18"/>
                <w:szCs w:val="18"/>
                <w:lang w:val="en-US"/>
              </w:rPr>
            </w:pPr>
            <w:r w:rsidRPr="00973525">
              <w:rPr>
                <w:sz w:val="18"/>
                <w:szCs w:val="18"/>
                <w:lang w:val="en-US"/>
              </w:rPr>
              <w:t>* In addition, for the derogative treatment, the CQS2 threshold may be a concern for some banks whose rating is limited by the country rating ceiling (e.g. Italian banks). This may be captured for instance as a minimum (CQS2, country rating).</w:t>
            </w:r>
          </w:p>
          <w:p w14:paraId="48A45EF3" w14:textId="77777777" w:rsidR="00C21071" w:rsidRPr="00973525" w:rsidRDefault="00C21071" w:rsidP="00C21071">
            <w:pPr>
              <w:rPr>
                <w:sz w:val="18"/>
                <w:szCs w:val="18"/>
                <w:lang w:val="en-US"/>
              </w:rPr>
            </w:pPr>
            <w:r w:rsidRPr="00973525">
              <w:rPr>
                <w:sz w:val="18"/>
                <w:szCs w:val="18"/>
                <w:lang w:val="en-US"/>
              </w:rPr>
              <w:t>- Pool homogeneity (criteria 26.b.8) may represent a limitation for certain businesses (despite the relevant RTS on homogeneity), e.g. excluding very diversified trade finance portfolios with a mix of Corporate &amp; Financial Institutions names.</w:t>
            </w:r>
          </w:p>
          <w:p w14:paraId="64DB6638" w14:textId="77777777" w:rsidR="00C21071" w:rsidRPr="00973525" w:rsidRDefault="00C21071" w:rsidP="00C21071">
            <w:pPr>
              <w:rPr>
                <w:sz w:val="18"/>
                <w:szCs w:val="18"/>
                <w:lang w:val="en-US"/>
              </w:rPr>
            </w:pPr>
            <w:r w:rsidRPr="00973525">
              <w:rPr>
                <w:sz w:val="18"/>
                <w:szCs w:val="18"/>
                <w:lang w:val="en-US"/>
              </w:rPr>
              <w:lastRenderedPageBreak/>
              <w:t>- The requirement to specify the servicing procedures that apply to the underlying exposures (criteria 26.c.7) is burdensome, as the bank usually needs to draft a specific document as a synthesis of servicing procedures with a focus on the relevant asset class, while the topic is usually fully addressed during the on-site due diligence performed by the investors.</w:t>
            </w:r>
          </w:p>
          <w:p w14:paraId="4FED594B" w14:textId="77777777" w:rsidR="00C21071" w:rsidRPr="00973525" w:rsidRDefault="00C21071" w:rsidP="00C21071">
            <w:pPr>
              <w:rPr>
                <w:sz w:val="18"/>
                <w:szCs w:val="18"/>
                <w:lang w:val="en-US"/>
              </w:rPr>
            </w:pPr>
            <w:r w:rsidRPr="00973525">
              <w:rPr>
                <w:sz w:val="18"/>
                <w:szCs w:val="18"/>
                <w:lang w:val="en-US"/>
              </w:rPr>
              <w:t>- Criteria 26.e.4: exhaustive check of the Eligibility Criteria by the Verification Agent is a challenge regarding some criteria that are not 'factual'. We would rather have this addressed by representations made by the bank.</w:t>
            </w:r>
          </w:p>
          <w:p w14:paraId="5F87821D" w14:textId="77777777" w:rsidR="00C21071" w:rsidRPr="00973525" w:rsidRDefault="00C21071" w:rsidP="00C21071">
            <w:pPr>
              <w:rPr>
                <w:sz w:val="18"/>
                <w:szCs w:val="18"/>
                <w:lang w:val="en-US"/>
              </w:rPr>
            </w:pPr>
          </w:p>
          <w:p w14:paraId="6C9773A4" w14:textId="77777777" w:rsidR="00C21071" w:rsidRPr="00973525" w:rsidRDefault="00C21071" w:rsidP="00C21071">
            <w:pPr>
              <w:rPr>
                <w:sz w:val="18"/>
                <w:szCs w:val="18"/>
                <w:lang w:val="en-US"/>
              </w:rPr>
            </w:pPr>
            <w:r w:rsidRPr="00973525">
              <w:rPr>
                <w:sz w:val="18"/>
                <w:szCs w:val="18"/>
                <w:lang w:val="en-US"/>
              </w:rPr>
              <w:t>For traditional securitisations (including ABCP):</w:t>
            </w:r>
          </w:p>
          <w:p w14:paraId="093C4402" w14:textId="77777777" w:rsidR="00C21071" w:rsidRPr="00973525" w:rsidRDefault="00C21071" w:rsidP="00C21071">
            <w:pPr>
              <w:rPr>
                <w:sz w:val="18"/>
                <w:szCs w:val="18"/>
                <w:lang w:val="en-US"/>
              </w:rPr>
            </w:pPr>
            <w:r w:rsidRPr="00973525">
              <w:rPr>
                <w:sz w:val="18"/>
                <w:szCs w:val="18"/>
                <w:lang w:val="en-US"/>
              </w:rPr>
              <w:t xml:space="preserve">- The </w:t>
            </w:r>
            <w:proofErr w:type="gramStart"/>
            <w:r w:rsidRPr="00973525">
              <w:rPr>
                <w:sz w:val="18"/>
                <w:szCs w:val="18"/>
                <w:lang w:val="en-US"/>
              </w:rPr>
              <w:t>territoriality</w:t>
            </w:r>
            <w:proofErr w:type="gramEnd"/>
            <w:r w:rsidRPr="00973525">
              <w:rPr>
                <w:sz w:val="18"/>
                <w:szCs w:val="18"/>
                <w:lang w:val="en-US"/>
              </w:rPr>
              <w:t xml:space="preserve"> provision in article 18 may be viewed as too restrictive for some private pan-European securitisations notably in the context of ABCP transactions. We suggest enabling the transactions with non-EU originators to be eligible to the EU STS label when the sponsor bank is EU (and the transaction fits all the other STS criteria of course).</w:t>
            </w:r>
          </w:p>
          <w:p w14:paraId="6809A3B7" w14:textId="77777777" w:rsidR="00C21071" w:rsidRPr="00973525" w:rsidRDefault="00C21071" w:rsidP="00C21071">
            <w:pPr>
              <w:rPr>
                <w:sz w:val="18"/>
                <w:szCs w:val="18"/>
                <w:lang w:val="en-US"/>
              </w:rPr>
            </w:pPr>
            <w:r w:rsidRPr="00973525">
              <w:rPr>
                <w:sz w:val="18"/>
                <w:szCs w:val="18"/>
                <w:lang w:val="en-US"/>
              </w:rPr>
              <w:t xml:space="preserve">- Removing the requirement for the inclusion of a SSPE in the context of private ABCP transactions, notably for full-support ABCP </w:t>
            </w:r>
            <w:proofErr w:type="gramStart"/>
            <w:r w:rsidRPr="00973525">
              <w:rPr>
                <w:sz w:val="18"/>
                <w:szCs w:val="18"/>
                <w:lang w:val="en-US"/>
              </w:rPr>
              <w:t>programs;</w:t>
            </w:r>
            <w:proofErr w:type="gramEnd"/>
          </w:p>
          <w:p w14:paraId="54DA9D03" w14:textId="77777777" w:rsidR="00C21071" w:rsidRPr="00973525" w:rsidRDefault="00C21071" w:rsidP="00C21071">
            <w:pPr>
              <w:rPr>
                <w:sz w:val="18"/>
                <w:szCs w:val="18"/>
                <w:lang w:val="en-US"/>
              </w:rPr>
            </w:pPr>
            <w:r w:rsidRPr="00973525">
              <w:rPr>
                <w:sz w:val="18"/>
                <w:szCs w:val="18"/>
                <w:lang w:val="en-US"/>
              </w:rPr>
              <w:t>- Significantly simplifying/lightening the credit-impaired criterion, especially for corporates.</w:t>
            </w:r>
          </w:p>
          <w:p w14:paraId="61C66DC1" w14:textId="77777777" w:rsidR="00C21071" w:rsidRPr="00973525" w:rsidRDefault="00C21071" w:rsidP="00C21071">
            <w:pPr>
              <w:rPr>
                <w:sz w:val="18"/>
                <w:szCs w:val="18"/>
                <w:lang w:val="en-US"/>
              </w:rPr>
            </w:pPr>
            <w:r w:rsidRPr="00973525">
              <w:rPr>
                <w:sz w:val="18"/>
                <w:szCs w:val="18"/>
                <w:lang w:val="en-US"/>
              </w:rPr>
              <w:t>- Besides, a recognition of the UK STS label (equivalence regime) would be welcome for EU institutional investors currently facing a competitive disadvantage.</w:t>
            </w:r>
          </w:p>
          <w:p w14:paraId="146D7403" w14:textId="77777777" w:rsidR="00C21071" w:rsidRPr="00973525" w:rsidRDefault="00C21071" w:rsidP="00C21071">
            <w:pPr>
              <w:rPr>
                <w:sz w:val="18"/>
                <w:szCs w:val="18"/>
                <w:lang w:val="en-US"/>
              </w:rPr>
            </w:pPr>
            <w:r w:rsidRPr="00973525">
              <w:rPr>
                <w:sz w:val="18"/>
                <w:szCs w:val="18"/>
                <w:lang w:val="en-US"/>
              </w:rPr>
              <w:t xml:space="preserve">- Reducing the </w:t>
            </w:r>
            <w:proofErr w:type="spellStart"/>
            <w:r w:rsidRPr="00973525">
              <w:rPr>
                <w:sz w:val="18"/>
                <w:szCs w:val="18"/>
                <w:lang w:val="en-US"/>
              </w:rPr>
              <w:t>lenght</w:t>
            </w:r>
            <w:proofErr w:type="spellEnd"/>
            <w:r w:rsidRPr="00973525">
              <w:rPr>
                <w:sz w:val="18"/>
                <w:szCs w:val="18"/>
                <w:lang w:val="en-US"/>
              </w:rPr>
              <w:t xml:space="preserve"> of historical data to be provided for STS qualification (5 years)</w:t>
            </w:r>
          </w:p>
          <w:p w14:paraId="05F4B74C" w14:textId="460843F9" w:rsidR="00C21071" w:rsidRPr="00973525" w:rsidRDefault="00C21071" w:rsidP="00C21071">
            <w:pPr>
              <w:rPr>
                <w:sz w:val="18"/>
                <w:szCs w:val="18"/>
                <w:lang w:val="en-GB"/>
              </w:rPr>
            </w:pPr>
            <w:r w:rsidRPr="00973525">
              <w:rPr>
                <w:sz w:val="18"/>
                <w:szCs w:val="18"/>
                <w:lang w:val="en-US"/>
              </w:rPr>
              <w:t>- Remove the WAL criteria for ABCP transactions or at least extend the WAL lengths</w:t>
            </w:r>
          </w:p>
        </w:tc>
        <w:tc>
          <w:tcPr>
            <w:tcW w:w="236" w:type="dxa"/>
          </w:tcPr>
          <w:p w14:paraId="18288F51" w14:textId="77777777" w:rsidR="00C21071" w:rsidRPr="00973525" w:rsidRDefault="00C21071" w:rsidP="0079353D">
            <w:pPr>
              <w:ind w:firstLine="1917"/>
              <w:rPr>
                <w:sz w:val="18"/>
                <w:szCs w:val="18"/>
                <w:lang w:val="en-GB"/>
              </w:rPr>
            </w:pPr>
          </w:p>
        </w:tc>
      </w:tr>
      <w:tr w:rsidR="00C21071" w:rsidRPr="00C72B68" w14:paraId="705FAFFB" w14:textId="77777777" w:rsidTr="30964D0C">
        <w:trPr>
          <w:gridAfter w:val="1"/>
          <w:wAfter w:w="16" w:type="dxa"/>
        </w:trPr>
        <w:tc>
          <w:tcPr>
            <w:tcW w:w="2893" w:type="dxa"/>
          </w:tcPr>
          <w:p w14:paraId="428E7369" w14:textId="77777777" w:rsidR="00C21071" w:rsidRPr="00973525" w:rsidRDefault="00C21071" w:rsidP="00C21071">
            <w:pPr>
              <w:rPr>
                <w:sz w:val="18"/>
                <w:szCs w:val="18"/>
                <w:lang w:val="en-US"/>
              </w:rPr>
            </w:pPr>
            <w:r w:rsidRPr="00973525">
              <w:rPr>
                <w:sz w:val="18"/>
                <w:szCs w:val="18"/>
                <w:lang w:val="en-US"/>
              </w:rPr>
              <w:t>7.14.</w:t>
            </w:r>
            <w:r w:rsidRPr="00973525">
              <w:rPr>
                <w:sz w:val="18"/>
                <w:szCs w:val="18"/>
                <w:lang w:val="en-US"/>
              </w:rPr>
              <w:tab/>
              <w:t>On a scale of 1 to 5 (1 being the least valuable), please rate the added value of TPVs in the STS securitisation market.</w:t>
            </w:r>
          </w:p>
          <w:p w14:paraId="6DEE4E98" w14:textId="77777777" w:rsidR="00C21071" w:rsidRPr="00973525" w:rsidRDefault="00C21071" w:rsidP="00C21071">
            <w:pPr>
              <w:rPr>
                <w:sz w:val="18"/>
                <w:szCs w:val="18"/>
                <w:lang w:val="en-US"/>
              </w:rPr>
            </w:pPr>
          </w:p>
          <w:p w14:paraId="37D62FE0" w14:textId="6FDE9A08" w:rsidR="00C21071" w:rsidRPr="00973525" w:rsidRDefault="00C21071" w:rsidP="00C21071">
            <w:pPr>
              <w:rPr>
                <w:sz w:val="18"/>
                <w:szCs w:val="18"/>
                <w:lang w:val="en-US"/>
              </w:rPr>
            </w:pPr>
            <w:r w:rsidRPr="00973525">
              <w:rPr>
                <w:sz w:val="18"/>
                <w:szCs w:val="18"/>
                <w:lang w:val="en-US"/>
              </w:rPr>
              <w:t>1 / 2 / 3 / 4 / 5</w:t>
            </w:r>
          </w:p>
          <w:p w14:paraId="3DC63031" w14:textId="2EF78555" w:rsidR="00C21071" w:rsidRPr="00973525" w:rsidRDefault="00C21071" w:rsidP="00C21071">
            <w:pPr>
              <w:rPr>
                <w:sz w:val="18"/>
                <w:szCs w:val="18"/>
                <w:lang w:val="en-GB"/>
              </w:rPr>
            </w:pPr>
            <w:r w:rsidRPr="00973525">
              <w:rPr>
                <w:sz w:val="18"/>
                <w:szCs w:val="18"/>
                <w:lang w:val="en-US"/>
              </w:rPr>
              <w:t>Please explain</w:t>
            </w:r>
          </w:p>
        </w:tc>
        <w:tc>
          <w:tcPr>
            <w:tcW w:w="7740" w:type="dxa"/>
          </w:tcPr>
          <w:p w14:paraId="462479BA" w14:textId="77777777" w:rsidR="00C21071" w:rsidRPr="00973525" w:rsidRDefault="00C21071" w:rsidP="00C21071">
            <w:pPr>
              <w:rPr>
                <w:sz w:val="18"/>
                <w:szCs w:val="18"/>
                <w:lang w:val="en-US"/>
              </w:rPr>
            </w:pPr>
          </w:p>
          <w:p w14:paraId="005EBF59" w14:textId="77777777" w:rsidR="00C21071" w:rsidRPr="00973525" w:rsidRDefault="00C21071" w:rsidP="00C21071">
            <w:pPr>
              <w:rPr>
                <w:sz w:val="18"/>
                <w:szCs w:val="18"/>
                <w:lang w:val="en-US"/>
              </w:rPr>
            </w:pPr>
            <w:r w:rsidRPr="00973525">
              <w:rPr>
                <w:sz w:val="18"/>
                <w:szCs w:val="18"/>
                <w:lang w:val="en-US"/>
              </w:rPr>
              <w:t xml:space="preserve">In the current environment where supervision is delegated to NCAs, we rate at 4. It </w:t>
            </w:r>
            <w:proofErr w:type="gramStart"/>
            <w:r w:rsidRPr="00973525">
              <w:rPr>
                <w:sz w:val="18"/>
                <w:szCs w:val="18"/>
                <w:lang w:val="en-US"/>
              </w:rPr>
              <w:t>allows</w:t>
            </w:r>
            <w:proofErr w:type="gramEnd"/>
            <w:r w:rsidRPr="00973525">
              <w:rPr>
                <w:sz w:val="18"/>
                <w:szCs w:val="18"/>
                <w:lang w:val="en-US"/>
              </w:rPr>
              <w:t xml:space="preserve"> to support in practice a certain level of homogeneity across Europe.</w:t>
            </w:r>
          </w:p>
          <w:p w14:paraId="7733AE86" w14:textId="77777777" w:rsidR="00C21071" w:rsidRPr="00973525" w:rsidRDefault="00C21071" w:rsidP="00C21071">
            <w:pPr>
              <w:rPr>
                <w:sz w:val="18"/>
                <w:szCs w:val="18"/>
                <w:lang w:val="en-GB"/>
              </w:rPr>
            </w:pPr>
          </w:p>
        </w:tc>
        <w:tc>
          <w:tcPr>
            <w:tcW w:w="236" w:type="dxa"/>
          </w:tcPr>
          <w:p w14:paraId="14BB4C02" w14:textId="77777777" w:rsidR="00C21071" w:rsidRPr="00973525" w:rsidRDefault="00C21071" w:rsidP="0079353D">
            <w:pPr>
              <w:ind w:firstLine="1917"/>
              <w:rPr>
                <w:sz w:val="18"/>
                <w:szCs w:val="18"/>
                <w:lang w:val="en-GB"/>
              </w:rPr>
            </w:pPr>
          </w:p>
        </w:tc>
      </w:tr>
      <w:tr w:rsidR="00C21071" w:rsidRPr="0000602A" w14:paraId="0926AE80" w14:textId="77777777" w:rsidTr="30964D0C">
        <w:trPr>
          <w:gridAfter w:val="1"/>
          <w:wAfter w:w="16" w:type="dxa"/>
        </w:trPr>
        <w:tc>
          <w:tcPr>
            <w:tcW w:w="2893" w:type="dxa"/>
          </w:tcPr>
          <w:p w14:paraId="70446DEF" w14:textId="77777777" w:rsidR="00C21071" w:rsidRPr="00973525" w:rsidRDefault="00C21071" w:rsidP="00C21071">
            <w:pPr>
              <w:rPr>
                <w:sz w:val="18"/>
                <w:szCs w:val="18"/>
                <w:lang w:val="en-US"/>
              </w:rPr>
            </w:pPr>
            <w:r w:rsidRPr="00973525">
              <w:rPr>
                <w:sz w:val="18"/>
                <w:szCs w:val="18"/>
                <w:lang w:val="en-US"/>
              </w:rPr>
              <w:t>7.15.</w:t>
            </w:r>
            <w:r w:rsidRPr="00973525">
              <w:rPr>
                <w:sz w:val="18"/>
                <w:szCs w:val="18"/>
                <w:lang w:val="en-US"/>
              </w:rPr>
              <w:tab/>
              <w:t>If you answered yes to question 4.10.(iv), should the TPVs be supervised to ensure that the integrity of the STS standard is upheld?</w:t>
            </w:r>
          </w:p>
          <w:p w14:paraId="0C3A66A9" w14:textId="77777777" w:rsidR="00C21071" w:rsidRPr="00973525" w:rsidRDefault="00C21071" w:rsidP="00C21071">
            <w:pPr>
              <w:rPr>
                <w:sz w:val="18"/>
                <w:szCs w:val="18"/>
                <w:lang w:val="en-US"/>
              </w:rPr>
            </w:pPr>
          </w:p>
          <w:p w14:paraId="3781062F"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6BD71A0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360E806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21EF266C" w14:textId="65607449" w:rsidR="00C21071" w:rsidRPr="00973525" w:rsidRDefault="00C21071" w:rsidP="00C21071">
            <w:pPr>
              <w:rPr>
                <w:sz w:val="18"/>
                <w:szCs w:val="18"/>
                <w:lang w:val="en-GB"/>
              </w:rPr>
            </w:pPr>
            <w:r w:rsidRPr="00973525">
              <w:rPr>
                <w:sz w:val="18"/>
                <w:szCs w:val="18"/>
                <w:lang w:val="en-US"/>
              </w:rPr>
              <w:t>Please explain your answer to the above, including where necessary whether TPVs should be supervised at EU level.</w:t>
            </w:r>
          </w:p>
        </w:tc>
        <w:tc>
          <w:tcPr>
            <w:tcW w:w="7740" w:type="dxa"/>
          </w:tcPr>
          <w:p w14:paraId="4DDF6697" w14:textId="77777777" w:rsidR="00C21071" w:rsidRPr="00973525" w:rsidRDefault="00C21071" w:rsidP="00C21071">
            <w:pPr>
              <w:rPr>
                <w:sz w:val="18"/>
                <w:szCs w:val="18"/>
                <w:lang w:val="en-US"/>
              </w:rPr>
            </w:pPr>
          </w:p>
          <w:p w14:paraId="0E6F7D9C" w14:textId="460AE859" w:rsidR="00C21071" w:rsidRPr="00973525" w:rsidRDefault="03AA1225" w:rsidP="00C21071">
            <w:pPr>
              <w:rPr>
                <w:sz w:val="18"/>
                <w:szCs w:val="18"/>
                <w:lang w:val="en-US"/>
              </w:rPr>
            </w:pPr>
            <w:r w:rsidRPr="0B8299BB">
              <w:rPr>
                <w:sz w:val="18"/>
                <w:szCs w:val="18"/>
                <w:lang w:val="en-US"/>
              </w:rPr>
              <w:t>Yes</w:t>
            </w:r>
          </w:p>
          <w:p w14:paraId="663287DC" w14:textId="77777777" w:rsidR="00C21071" w:rsidRPr="007C79DF" w:rsidRDefault="00C21071" w:rsidP="00C21071">
            <w:pPr>
              <w:rPr>
                <w:sz w:val="14"/>
                <w:szCs w:val="14"/>
                <w:lang w:val="en-US"/>
              </w:rPr>
            </w:pPr>
          </w:p>
          <w:p w14:paraId="0480BF64" w14:textId="2AA8EC46" w:rsidR="00C21071" w:rsidRPr="007C79DF" w:rsidRDefault="18C6EEDA" w:rsidP="007C79DF">
            <w:pPr>
              <w:rPr>
                <w:rFonts w:ascii="Calibri" w:eastAsia="Calibri" w:hAnsi="Calibri" w:cs="Calibri"/>
                <w:sz w:val="18"/>
                <w:szCs w:val="18"/>
                <w:highlight w:val="cyan"/>
                <w:lang w:val="en-US"/>
              </w:rPr>
            </w:pPr>
            <w:r w:rsidRPr="007C79DF">
              <w:rPr>
                <w:rFonts w:ascii="Calibri" w:eastAsia="Calibri" w:hAnsi="Calibri" w:cs="Calibri"/>
                <w:color w:val="000000" w:themeColor="text1"/>
                <w:sz w:val="18"/>
                <w:szCs w:val="18"/>
                <w:lang w:val="en-US"/>
              </w:rPr>
              <w:t xml:space="preserve">  </w:t>
            </w:r>
            <w:r w:rsidRPr="007C79DF">
              <w:rPr>
                <w:rFonts w:ascii="Calibri" w:eastAsia="Calibri" w:hAnsi="Calibri" w:cs="Calibri"/>
                <w:sz w:val="18"/>
                <w:szCs w:val="18"/>
                <w:lang w:val="en-US"/>
              </w:rPr>
              <w:t>However, given that the liability for the STS label mainly lies on the originator and not on the TPVs, supervision of the TPVs does not seem a priority to us unless they were to bear the liability for the STS label. In any case, supervision should be at EU level to favor homogeneity</w:t>
            </w:r>
            <w:r w:rsidRPr="007C79DF">
              <w:rPr>
                <w:rFonts w:ascii="Calibri" w:eastAsia="Calibri" w:hAnsi="Calibri" w:cs="Calibri"/>
                <w:sz w:val="18"/>
                <w:szCs w:val="18"/>
                <w:highlight w:val="cyan"/>
                <w:lang w:val="en-US"/>
              </w:rPr>
              <w:t>.</w:t>
            </w:r>
          </w:p>
          <w:p w14:paraId="579B1081" w14:textId="4DE14847" w:rsidR="18C6EEDA" w:rsidRPr="007C79DF" w:rsidRDefault="18C6EEDA" w:rsidP="007C79DF">
            <w:pPr>
              <w:ind w:left="6"/>
              <w:rPr>
                <w:rFonts w:ascii="Aptos" w:eastAsia="Aptos" w:hAnsi="Aptos" w:cs="Aptos"/>
                <w:sz w:val="18"/>
                <w:szCs w:val="18"/>
                <w:lang w:val="en-US"/>
              </w:rPr>
            </w:pPr>
            <w:r w:rsidRPr="007C79DF">
              <w:rPr>
                <w:rFonts w:ascii="Aptos" w:eastAsia="Aptos" w:hAnsi="Aptos" w:cs="Aptos"/>
                <w:sz w:val="18"/>
                <w:szCs w:val="18"/>
                <w:lang w:val="en-US"/>
              </w:rPr>
              <w:t xml:space="preserve">In the case of Paris-based Prime </w:t>
            </w:r>
            <w:proofErr w:type="spellStart"/>
            <w:r w:rsidRPr="007C79DF">
              <w:rPr>
                <w:rFonts w:ascii="Aptos" w:eastAsia="Aptos" w:hAnsi="Aptos" w:cs="Aptos"/>
                <w:sz w:val="18"/>
                <w:szCs w:val="18"/>
                <w:lang w:val="en-US"/>
              </w:rPr>
              <w:t>Collateralised</w:t>
            </w:r>
            <w:proofErr w:type="spellEnd"/>
            <w:r w:rsidRPr="007C79DF">
              <w:rPr>
                <w:rFonts w:ascii="Aptos" w:eastAsia="Aptos" w:hAnsi="Aptos" w:cs="Aptos"/>
                <w:sz w:val="18"/>
                <w:szCs w:val="18"/>
                <w:lang w:val="en-US"/>
              </w:rPr>
              <w:t xml:space="preserve"> Securities (PCS), a Third-Party Verifier (TPV) with observer status at Paris </w:t>
            </w:r>
            <w:proofErr w:type="spellStart"/>
            <w:r w:rsidRPr="007C79DF">
              <w:rPr>
                <w:rFonts w:ascii="Aptos" w:eastAsia="Aptos" w:hAnsi="Aptos" w:cs="Aptos"/>
                <w:sz w:val="18"/>
                <w:szCs w:val="18"/>
                <w:lang w:val="en-US"/>
              </w:rPr>
              <w:t>Europlace</w:t>
            </w:r>
            <w:proofErr w:type="spellEnd"/>
            <w:r w:rsidRPr="007C79DF">
              <w:rPr>
                <w:rFonts w:ascii="Aptos" w:eastAsia="Aptos" w:hAnsi="Aptos" w:cs="Aptos"/>
                <w:sz w:val="18"/>
                <w:szCs w:val="18"/>
                <w:lang w:val="en-US"/>
              </w:rPr>
              <w:t>, it is already supervised by the AMF, the National Competent Authority (NCA). For its UK-related activities, it is also supervised by the FCA. In both cases, after having gone through a mandatory agreement process, PCS is regularly subject to supervisory questions, as supervisors monitor their ongoing activity. As the TPV are already supervised locally (subject to obtention of an agreement) they could have more added value if the TPV can concentrate the controls related to the STS label mentioned in Q4.10 for the benefice of all investors.</w:t>
            </w:r>
          </w:p>
          <w:p w14:paraId="15ACAC65" w14:textId="230C8BF7" w:rsidR="0B8299BB" w:rsidRDefault="0B8299BB" w:rsidP="0B8299BB">
            <w:pPr>
              <w:rPr>
                <w:sz w:val="18"/>
                <w:szCs w:val="18"/>
                <w:lang w:val="en-US"/>
              </w:rPr>
            </w:pPr>
          </w:p>
          <w:p w14:paraId="6EA1C8FC" w14:textId="77777777" w:rsidR="00C21071" w:rsidRPr="00973525" w:rsidRDefault="00C21071" w:rsidP="00C21071">
            <w:pPr>
              <w:rPr>
                <w:sz w:val="18"/>
                <w:szCs w:val="18"/>
                <w:lang w:val="en-GB"/>
              </w:rPr>
            </w:pPr>
          </w:p>
        </w:tc>
        <w:tc>
          <w:tcPr>
            <w:tcW w:w="236" w:type="dxa"/>
          </w:tcPr>
          <w:p w14:paraId="4FA85DE3" w14:textId="77777777" w:rsidR="00C21071" w:rsidRPr="00973525" w:rsidRDefault="00C21071" w:rsidP="0079353D">
            <w:pPr>
              <w:ind w:firstLine="1917"/>
              <w:rPr>
                <w:sz w:val="18"/>
                <w:szCs w:val="18"/>
                <w:lang w:val="en-GB"/>
              </w:rPr>
            </w:pPr>
          </w:p>
        </w:tc>
      </w:tr>
      <w:tr w:rsidR="00C21071" w:rsidRPr="0000602A" w14:paraId="03440ACE" w14:textId="77777777" w:rsidTr="30964D0C">
        <w:trPr>
          <w:gridAfter w:val="1"/>
          <w:wAfter w:w="16" w:type="dxa"/>
        </w:trPr>
        <w:tc>
          <w:tcPr>
            <w:tcW w:w="2893" w:type="dxa"/>
          </w:tcPr>
          <w:p w14:paraId="1FA41559" w14:textId="77777777" w:rsidR="00C21071" w:rsidRPr="00973525" w:rsidRDefault="00C21071" w:rsidP="00C21071">
            <w:pPr>
              <w:rPr>
                <w:sz w:val="18"/>
                <w:szCs w:val="18"/>
                <w:lang w:val="en-US"/>
              </w:rPr>
            </w:pPr>
            <w:r w:rsidRPr="00973525">
              <w:rPr>
                <w:sz w:val="18"/>
                <w:szCs w:val="18"/>
                <w:lang w:val="en-US"/>
              </w:rPr>
              <w:t>7.16.</w:t>
            </w:r>
            <w:r w:rsidRPr="00973525">
              <w:rPr>
                <w:sz w:val="18"/>
                <w:szCs w:val="18"/>
                <w:lang w:val="en-US"/>
              </w:rPr>
              <w:tab/>
              <w:t>To what extent would supervision of TPVs increase the cost of issuing an STS securitisation?</w:t>
            </w:r>
          </w:p>
          <w:p w14:paraId="74D3B6F1" w14:textId="77777777" w:rsidR="00C21071" w:rsidRPr="00973525" w:rsidRDefault="00C21071" w:rsidP="00C21071">
            <w:pPr>
              <w:rPr>
                <w:sz w:val="18"/>
                <w:szCs w:val="18"/>
                <w:lang w:val="en-US"/>
              </w:rPr>
            </w:pPr>
          </w:p>
          <w:p w14:paraId="791E43EB"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To a large extent</w:t>
            </w:r>
          </w:p>
          <w:p w14:paraId="19207EB1"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To a moderate extent</w:t>
            </w:r>
          </w:p>
          <w:p w14:paraId="0EA90A9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Limited or no effect</w:t>
            </w:r>
          </w:p>
          <w:p w14:paraId="06073459"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 opinion</w:t>
            </w:r>
          </w:p>
          <w:p w14:paraId="2C012098" w14:textId="5D6FDB60" w:rsidR="00C21071" w:rsidRPr="00973525" w:rsidRDefault="00C21071" w:rsidP="00C21071">
            <w:pPr>
              <w:rPr>
                <w:sz w:val="18"/>
                <w:szCs w:val="18"/>
                <w:lang w:val="en-GB"/>
              </w:rPr>
            </w:pPr>
            <w:r w:rsidRPr="00973525">
              <w:rPr>
                <w:sz w:val="18"/>
                <w:szCs w:val="18"/>
                <w:lang w:val="en-US"/>
              </w:rPr>
              <w:t>Please explain your answer, and if available, estimate the total costs in EUR</w:t>
            </w:r>
          </w:p>
        </w:tc>
        <w:tc>
          <w:tcPr>
            <w:tcW w:w="7740" w:type="dxa"/>
          </w:tcPr>
          <w:p w14:paraId="4C284251" w14:textId="5F374C35" w:rsidR="35D1CA4A" w:rsidRDefault="35D1CA4A" w:rsidP="0B8299BB">
            <w:pPr>
              <w:rPr>
                <w:sz w:val="18"/>
                <w:szCs w:val="18"/>
                <w:lang w:val="en-US"/>
              </w:rPr>
            </w:pPr>
            <w:r w:rsidRPr="0B8299BB">
              <w:rPr>
                <w:sz w:val="18"/>
                <w:szCs w:val="18"/>
                <w:lang w:val="en-US"/>
              </w:rPr>
              <w:t>Limited or no effect</w:t>
            </w:r>
          </w:p>
          <w:p w14:paraId="40661600" w14:textId="0F8344E7" w:rsidR="0B8299BB" w:rsidRDefault="0B8299BB" w:rsidP="0B8299BB">
            <w:pPr>
              <w:rPr>
                <w:sz w:val="18"/>
                <w:szCs w:val="18"/>
                <w:lang w:val="en-US"/>
              </w:rPr>
            </w:pPr>
          </w:p>
          <w:p w14:paraId="0E023A0C" w14:textId="04EA3091" w:rsidR="0B8299BB" w:rsidRDefault="0B8299BB" w:rsidP="0B8299BB">
            <w:pPr>
              <w:rPr>
                <w:sz w:val="18"/>
                <w:szCs w:val="18"/>
                <w:lang w:val="en-US"/>
              </w:rPr>
            </w:pPr>
          </w:p>
          <w:p w14:paraId="424C349F" w14:textId="138ADB92" w:rsidR="00C21071" w:rsidRPr="00973525" w:rsidRDefault="28E5313B" w:rsidP="00C21071">
            <w:pPr>
              <w:rPr>
                <w:sz w:val="18"/>
                <w:szCs w:val="18"/>
                <w:lang w:val="en-GB"/>
              </w:rPr>
            </w:pPr>
            <w:r w:rsidRPr="007C79DF">
              <w:rPr>
                <w:sz w:val="18"/>
                <w:szCs w:val="18"/>
                <w:lang w:val="en-US"/>
              </w:rPr>
              <w:t xml:space="preserve"> If done correctly – their role would not be changed. So wouldn’t generate additional costs</w:t>
            </w:r>
          </w:p>
        </w:tc>
        <w:tc>
          <w:tcPr>
            <w:tcW w:w="236" w:type="dxa"/>
          </w:tcPr>
          <w:p w14:paraId="008B8398" w14:textId="77777777" w:rsidR="00C21071" w:rsidRPr="00973525" w:rsidRDefault="00C21071" w:rsidP="0079353D">
            <w:pPr>
              <w:ind w:firstLine="1917"/>
              <w:rPr>
                <w:sz w:val="18"/>
                <w:szCs w:val="18"/>
                <w:lang w:val="en-GB"/>
              </w:rPr>
            </w:pPr>
          </w:p>
        </w:tc>
      </w:tr>
      <w:tr w:rsidR="00C21071" w:rsidRPr="00973525" w14:paraId="7EA61B6A" w14:textId="77777777" w:rsidTr="30964D0C">
        <w:trPr>
          <w:gridAfter w:val="1"/>
          <w:wAfter w:w="16" w:type="dxa"/>
        </w:trPr>
        <w:tc>
          <w:tcPr>
            <w:tcW w:w="2893" w:type="dxa"/>
            <w:shd w:val="clear" w:color="auto" w:fill="DAE9F7" w:themeFill="text2" w:themeFillTint="1A"/>
          </w:tcPr>
          <w:p w14:paraId="334D0E08" w14:textId="0556C700" w:rsidR="00C21071" w:rsidRPr="00973525" w:rsidRDefault="00C21071" w:rsidP="00C21071">
            <w:pPr>
              <w:rPr>
                <w:sz w:val="18"/>
                <w:szCs w:val="18"/>
                <w:lang w:val="en-US"/>
              </w:rPr>
            </w:pPr>
            <w:r w:rsidRPr="00973525">
              <w:rPr>
                <w:sz w:val="18"/>
                <w:szCs w:val="18"/>
                <w:lang w:val="en-GB"/>
              </w:rPr>
              <w:br w:type="page"/>
            </w:r>
            <w:r w:rsidRPr="00973525">
              <w:rPr>
                <w:b/>
                <w:bCs/>
                <w:sz w:val="18"/>
                <w:szCs w:val="18"/>
              </w:rPr>
              <w:t>8. Securitisation platform</w:t>
            </w:r>
          </w:p>
        </w:tc>
        <w:tc>
          <w:tcPr>
            <w:tcW w:w="7740" w:type="dxa"/>
            <w:shd w:val="clear" w:color="auto" w:fill="DAE9F7" w:themeFill="text2" w:themeFillTint="1A"/>
          </w:tcPr>
          <w:p w14:paraId="2E20079F" w14:textId="73AF5D56" w:rsidR="00C21071" w:rsidRPr="00973525" w:rsidRDefault="00C21071" w:rsidP="00C21071">
            <w:pPr>
              <w:rPr>
                <w:sz w:val="18"/>
                <w:szCs w:val="18"/>
                <w:lang w:val="en-US"/>
              </w:rPr>
            </w:pPr>
            <w:r w:rsidRPr="00973525">
              <w:rPr>
                <w:sz w:val="18"/>
                <w:szCs w:val="18"/>
                <w:lang w:val="en-GB"/>
              </w:rPr>
              <w:br w:type="page"/>
            </w:r>
          </w:p>
        </w:tc>
        <w:tc>
          <w:tcPr>
            <w:tcW w:w="236" w:type="dxa"/>
            <w:shd w:val="clear" w:color="auto" w:fill="DAE9F7" w:themeFill="text2" w:themeFillTint="1A"/>
          </w:tcPr>
          <w:p w14:paraId="1DD139E0" w14:textId="299C9A63" w:rsidR="00C21071" w:rsidRPr="00973525" w:rsidRDefault="00C21071" w:rsidP="0079353D">
            <w:pPr>
              <w:ind w:firstLine="1917"/>
              <w:rPr>
                <w:sz w:val="18"/>
                <w:szCs w:val="18"/>
              </w:rPr>
            </w:pPr>
            <w:r w:rsidRPr="00973525">
              <w:rPr>
                <w:sz w:val="18"/>
                <w:szCs w:val="18"/>
                <w:lang w:val="en-GB"/>
              </w:rPr>
              <w:br w:type="page"/>
            </w:r>
          </w:p>
        </w:tc>
      </w:tr>
      <w:tr w:rsidR="00C21071" w:rsidRPr="00973525" w14:paraId="273F6EED" w14:textId="77777777" w:rsidTr="30964D0C">
        <w:trPr>
          <w:gridAfter w:val="1"/>
          <w:wAfter w:w="16" w:type="dxa"/>
        </w:trPr>
        <w:tc>
          <w:tcPr>
            <w:tcW w:w="2893" w:type="dxa"/>
          </w:tcPr>
          <w:p w14:paraId="300CD6A9" w14:textId="5D8CC4D9" w:rsidR="00C21071" w:rsidRPr="00973525" w:rsidRDefault="00C21071" w:rsidP="00C21071">
            <w:pPr>
              <w:rPr>
                <w:sz w:val="18"/>
                <w:szCs w:val="18"/>
                <w:lang w:val="en-US"/>
              </w:rPr>
            </w:pPr>
            <w:r w:rsidRPr="00973525">
              <w:rPr>
                <w:sz w:val="18"/>
                <w:szCs w:val="18"/>
                <w:lang w:val="en-US"/>
              </w:rPr>
              <w:t>8.1.</w:t>
            </w:r>
            <w:r w:rsidRPr="00973525">
              <w:rPr>
                <w:sz w:val="18"/>
                <w:szCs w:val="18"/>
                <w:lang w:val="en-US"/>
              </w:rPr>
              <w:tab/>
              <w:t>Would the establishment of a pan-European securitisation platform be useful to increase the use and attractiveness of securitisation in the EU?</w:t>
            </w:r>
          </w:p>
          <w:p w14:paraId="7793CB7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Yes</w:t>
            </w:r>
          </w:p>
          <w:p w14:paraId="7BF1654D" w14:textId="77777777" w:rsidR="00C21071" w:rsidRPr="00973525" w:rsidRDefault="00C21071" w:rsidP="00C21071">
            <w:pPr>
              <w:rPr>
                <w:sz w:val="18"/>
                <w:szCs w:val="18"/>
                <w:lang w:val="en-US"/>
              </w:rPr>
            </w:pPr>
            <w:r w:rsidRPr="00973525">
              <w:rPr>
                <w:sz w:val="18"/>
                <w:szCs w:val="18"/>
                <w:lang w:val="en-US"/>
              </w:rPr>
              <w:lastRenderedPageBreak/>
              <w:t>•</w:t>
            </w:r>
            <w:r w:rsidRPr="00973525">
              <w:rPr>
                <w:sz w:val="18"/>
                <w:szCs w:val="18"/>
                <w:lang w:val="en-US"/>
              </w:rPr>
              <w:tab/>
              <w:t>No</w:t>
            </w:r>
          </w:p>
          <w:p w14:paraId="645F373C" w14:textId="76C8297D"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33D6D931" w14:textId="6AC74783" w:rsidR="00C21071" w:rsidRPr="00973525" w:rsidRDefault="5FE0F35B" w:rsidP="30964D0C">
            <w:pPr>
              <w:rPr>
                <w:sz w:val="18"/>
                <w:szCs w:val="18"/>
                <w:lang w:val="en-US"/>
              </w:rPr>
            </w:pPr>
            <w:r w:rsidRPr="30964D0C">
              <w:rPr>
                <w:sz w:val="18"/>
                <w:szCs w:val="18"/>
                <w:lang w:val="en-US"/>
              </w:rPr>
              <w:lastRenderedPageBreak/>
              <w:t>Yes</w:t>
            </w:r>
          </w:p>
        </w:tc>
        <w:tc>
          <w:tcPr>
            <w:tcW w:w="236" w:type="dxa"/>
          </w:tcPr>
          <w:p w14:paraId="5456F69B" w14:textId="77777777" w:rsidR="00C21071" w:rsidRPr="00973525" w:rsidRDefault="00C21071" w:rsidP="0079353D">
            <w:pPr>
              <w:ind w:firstLine="1917"/>
              <w:rPr>
                <w:sz w:val="18"/>
                <w:szCs w:val="18"/>
              </w:rPr>
            </w:pPr>
          </w:p>
        </w:tc>
      </w:tr>
      <w:tr w:rsidR="00C21071" w:rsidRPr="00C72B68" w14:paraId="7CC99CDA" w14:textId="77777777" w:rsidTr="30964D0C">
        <w:trPr>
          <w:gridAfter w:val="1"/>
          <w:wAfter w:w="16" w:type="dxa"/>
        </w:trPr>
        <w:tc>
          <w:tcPr>
            <w:tcW w:w="2893" w:type="dxa"/>
          </w:tcPr>
          <w:p w14:paraId="5C57E576" w14:textId="77777777" w:rsidR="00C21071" w:rsidRPr="00973525" w:rsidRDefault="00C21071" w:rsidP="00C21071">
            <w:pPr>
              <w:rPr>
                <w:sz w:val="18"/>
                <w:szCs w:val="18"/>
                <w:lang w:val="en-US"/>
              </w:rPr>
            </w:pPr>
            <w:r w:rsidRPr="00973525">
              <w:rPr>
                <w:sz w:val="18"/>
                <w:szCs w:val="18"/>
                <w:lang w:val="en-US"/>
              </w:rPr>
              <w:t>8.2.</w:t>
            </w:r>
            <w:r w:rsidRPr="00973525">
              <w:rPr>
                <w:sz w:val="18"/>
                <w:szCs w:val="18"/>
                <w:lang w:val="en-US"/>
              </w:rPr>
              <w:tab/>
              <w:t xml:space="preserve">If you answered yes to question 8.1., which of the following objectives should be </w:t>
            </w:r>
            <w:proofErr w:type="gramStart"/>
            <w:r w:rsidRPr="00973525">
              <w:rPr>
                <w:sz w:val="18"/>
                <w:szCs w:val="18"/>
                <w:lang w:val="en-US"/>
              </w:rPr>
              <w:t>main</w:t>
            </w:r>
            <w:proofErr w:type="gramEnd"/>
            <w:r w:rsidRPr="00973525">
              <w:rPr>
                <w:sz w:val="18"/>
                <w:szCs w:val="18"/>
                <w:lang w:val="en-US"/>
              </w:rPr>
              <w:t xml:space="preserve"> objective(s) of the platform? You may select more than one option</w:t>
            </w:r>
          </w:p>
          <w:p w14:paraId="330AC851" w14:textId="77777777" w:rsidR="00C21071" w:rsidRPr="00973525" w:rsidRDefault="00C21071" w:rsidP="00C21071">
            <w:pPr>
              <w:rPr>
                <w:sz w:val="18"/>
                <w:szCs w:val="18"/>
                <w:lang w:val="en-US"/>
              </w:rPr>
            </w:pPr>
          </w:p>
          <w:p w14:paraId="3FB3AD3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Create an EU safe asset</w:t>
            </w:r>
          </w:p>
          <w:p w14:paraId="6B08A5AA"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Foster </w:t>
            </w:r>
            <w:proofErr w:type="spellStart"/>
            <w:r w:rsidRPr="00973525">
              <w:rPr>
                <w:sz w:val="18"/>
                <w:szCs w:val="18"/>
                <w:lang w:val="en-US"/>
              </w:rPr>
              <w:t>standardisation</w:t>
            </w:r>
            <w:proofErr w:type="spellEnd"/>
            <w:r w:rsidRPr="00973525">
              <w:rPr>
                <w:sz w:val="18"/>
                <w:szCs w:val="18"/>
                <w:lang w:val="en-US"/>
              </w:rPr>
              <w:t xml:space="preserve"> (in the underlying assets and in securitisation structures, including contractual </w:t>
            </w:r>
            <w:proofErr w:type="spellStart"/>
            <w:r w:rsidRPr="00973525">
              <w:rPr>
                <w:sz w:val="18"/>
                <w:szCs w:val="18"/>
                <w:lang w:val="en-US"/>
              </w:rPr>
              <w:t>standardisation</w:t>
            </w:r>
            <w:proofErr w:type="spellEnd"/>
            <w:r w:rsidRPr="00973525">
              <w:rPr>
                <w:sz w:val="18"/>
                <w:szCs w:val="18"/>
                <w:lang w:val="en-US"/>
              </w:rPr>
              <w:t>)</w:t>
            </w:r>
          </w:p>
          <w:p w14:paraId="45C85BAD"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Enhance transparency and due diligence processes in the securitisation market</w:t>
            </w:r>
          </w:p>
          <w:p w14:paraId="3271CB7F"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Promote better integration of cross-border securitisation transactions by offering </w:t>
            </w:r>
            <w:proofErr w:type="spellStart"/>
            <w:r w:rsidRPr="00973525">
              <w:rPr>
                <w:sz w:val="18"/>
                <w:szCs w:val="18"/>
                <w:lang w:val="en-US"/>
              </w:rPr>
              <w:t>standardised</w:t>
            </w:r>
            <w:proofErr w:type="spellEnd"/>
            <w:r w:rsidRPr="00973525">
              <w:rPr>
                <w:sz w:val="18"/>
                <w:szCs w:val="18"/>
                <w:lang w:val="en-US"/>
              </w:rPr>
              <w:t xml:space="preserve"> legal frameworks</w:t>
            </w:r>
          </w:p>
          <w:p w14:paraId="5298A43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Lower funding costs for the real economy</w:t>
            </w:r>
          </w:p>
          <w:p w14:paraId="44E002EE"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Lower issuance costs</w:t>
            </w:r>
          </w:p>
          <w:p w14:paraId="60DD4C7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Support the funding of strategic objectives (e.g. twin transition, defense, etc.)</w:t>
            </w:r>
          </w:p>
          <w:p w14:paraId="20F87DAB" w14:textId="44A7DB4D"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Other</w:t>
            </w:r>
          </w:p>
          <w:p w14:paraId="3B8A6FC9" w14:textId="77777777" w:rsidR="00C21071" w:rsidRPr="00973525" w:rsidRDefault="00C21071" w:rsidP="00C21071">
            <w:pPr>
              <w:rPr>
                <w:sz w:val="18"/>
                <w:szCs w:val="18"/>
                <w:lang w:val="en-US"/>
              </w:rPr>
            </w:pPr>
          </w:p>
          <w:p w14:paraId="478F530A" w14:textId="77F9D16C" w:rsidR="00C21071" w:rsidRPr="00973525" w:rsidRDefault="00C21071" w:rsidP="00C21071">
            <w:pPr>
              <w:rPr>
                <w:sz w:val="18"/>
                <w:szCs w:val="18"/>
                <w:lang w:val="en-GB"/>
              </w:rPr>
            </w:pPr>
            <w:r w:rsidRPr="00973525">
              <w:rPr>
                <w:sz w:val="18"/>
                <w:szCs w:val="18"/>
                <w:lang w:val="en-US"/>
              </w:rPr>
              <w:t>Please explain how the platform could be designed to achieve the objectives that you selected in your answer to question 8.2.</w:t>
            </w:r>
          </w:p>
        </w:tc>
        <w:tc>
          <w:tcPr>
            <w:tcW w:w="7740" w:type="dxa"/>
          </w:tcPr>
          <w:p w14:paraId="27711B01"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Create an EU safe asset</w:t>
            </w:r>
          </w:p>
          <w:p w14:paraId="3925AB63"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Foster </w:t>
            </w:r>
            <w:proofErr w:type="spellStart"/>
            <w:r w:rsidRPr="00973525">
              <w:rPr>
                <w:sz w:val="18"/>
                <w:szCs w:val="18"/>
                <w:lang w:val="en-US"/>
              </w:rPr>
              <w:t>standardisation</w:t>
            </w:r>
            <w:proofErr w:type="spellEnd"/>
            <w:r w:rsidRPr="00973525">
              <w:rPr>
                <w:sz w:val="18"/>
                <w:szCs w:val="18"/>
                <w:lang w:val="en-US"/>
              </w:rPr>
              <w:t xml:space="preserve"> (in the underlying assets and in securitisation structures, including contractual </w:t>
            </w:r>
            <w:proofErr w:type="spellStart"/>
            <w:r w:rsidRPr="00973525">
              <w:rPr>
                <w:sz w:val="18"/>
                <w:szCs w:val="18"/>
                <w:lang w:val="en-US"/>
              </w:rPr>
              <w:t>standardisation</w:t>
            </w:r>
            <w:proofErr w:type="spellEnd"/>
            <w:r w:rsidRPr="00973525">
              <w:rPr>
                <w:sz w:val="18"/>
                <w:szCs w:val="18"/>
                <w:lang w:val="en-US"/>
              </w:rPr>
              <w:t>)</w:t>
            </w:r>
          </w:p>
          <w:p w14:paraId="752CCD61"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Enhance transparency and due diligence processes in the securitisation market</w:t>
            </w:r>
          </w:p>
          <w:p w14:paraId="52CFE8F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 xml:space="preserve">Promote better integration of cross-border securitisation transactions by offering </w:t>
            </w:r>
            <w:proofErr w:type="spellStart"/>
            <w:r w:rsidRPr="00973525">
              <w:rPr>
                <w:sz w:val="18"/>
                <w:szCs w:val="18"/>
                <w:lang w:val="en-US"/>
              </w:rPr>
              <w:t>standardised</w:t>
            </w:r>
            <w:proofErr w:type="spellEnd"/>
            <w:r w:rsidRPr="00973525">
              <w:rPr>
                <w:sz w:val="18"/>
                <w:szCs w:val="18"/>
                <w:lang w:val="en-US"/>
              </w:rPr>
              <w:t xml:space="preserve"> legal frameworks</w:t>
            </w:r>
          </w:p>
          <w:p w14:paraId="0D2926C6"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Lower funding costs for the real economy</w:t>
            </w:r>
          </w:p>
          <w:p w14:paraId="7EC121A3"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Lower issuance costs</w:t>
            </w:r>
          </w:p>
          <w:p w14:paraId="523474C2"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Support the funding of strategic objectives (e.g. twin transition, defense, etc.)</w:t>
            </w:r>
          </w:p>
          <w:p w14:paraId="41700AC5" w14:textId="77777777" w:rsidR="00C21071" w:rsidRPr="00973525" w:rsidRDefault="00C21071" w:rsidP="00C21071">
            <w:pPr>
              <w:rPr>
                <w:sz w:val="18"/>
                <w:szCs w:val="18"/>
                <w:lang w:val="en-US"/>
              </w:rPr>
            </w:pPr>
          </w:p>
          <w:p w14:paraId="025A0EAC" w14:textId="77777777" w:rsidR="00C21071" w:rsidRPr="00973525" w:rsidRDefault="00C21071" w:rsidP="00C21071">
            <w:pPr>
              <w:rPr>
                <w:sz w:val="18"/>
                <w:szCs w:val="18"/>
                <w:lang w:val="en-US"/>
              </w:rPr>
            </w:pPr>
            <w:r w:rsidRPr="00973525">
              <w:rPr>
                <w:sz w:val="18"/>
                <w:szCs w:val="18"/>
                <w:lang w:val="en-US"/>
              </w:rPr>
              <w:t>Any pan-</w:t>
            </w:r>
            <w:proofErr w:type="spellStart"/>
            <w:r w:rsidRPr="00973525">
              <w:rPr>
                <w:sz w:val="18"/>
                <w:szCs w:val="18"/>
                <w:lang w:val="en-US"/>
              </w:rPr>
              <w:t>european</w:t>
            </w:r>
            <w:proofErr w:type="spellEnd"/>
            <w:r w:rsidRPr="00973525">
              <w:rPr>
                <w:sz w:val="18"/>
                <w:szCs w:val="18"/>
                <w:lang w:val="en-US"/>
              </w:rPr>
              <w:t xml:space="preserve"> platform would face significant legal and economic hurdles. </w:t>
            </w:r>
          </w:p>
          <w:p w14:paraId="53F18D90" w14:textId="77777777" w:rsidR="00C21071" w:rsidRPr="00973525" w:rsidRDefault="00C21071" w:rsidP="00C21071">
            <w:pPr>
              <w:rPr>
                <w:sz w:val="18"/>
                <w:szCs w:val="18"/>
                <w:lang w:val="en-US"/>
              </w:rPr>
            </w:pPr>
          </w:p>
          <w:p w14:paraId="03840D87" w14:textId="4AE59445" w:rsidR="00C21071" w:rsidRPr="00973525" w:rsidRDefault="00C21071" w:rsidP="00C21071">
            <w:pPr>
              <w:rPr>
                <w:sz w:val="18"/>
                <w:szCs w:val="18"/>
                <w:lang w:val="en-US"/>
              </w:rPr>
            </w:pPr>
            <w:r w:rsidRPr="00973525">
              <w:rPr>
                <w:sz w:val="18"/>
                <w:szCs w:val="18"/>
                <w:lang w:val="en-US"/>
              </w:rPr>
              <w:t xml:space="preserve">Securitisation regulation </w:t>
            </w:r>
            <w:proofErr w:type="gramStart"/>
            <w:r w:rsidRPr="00973525">
              <w:rPr>
                <w:sz w:val="18"/>
                <w:szCs w:val="18"/>
                <w:lang w:val="en-US"/>
              </w:rPr>
              <w:t>as</w:t>
            </w:r>
            <w:proofErr w:type="gramEnd"/>
            <w:r w:rsidRPr="00973525">
              <w:rPr>
                <w:sz w:val="18"/>
                <w:szCs w:val="18"/>
                <w:lang w:val="en-US"/>
              </w:rPr>
              <w:t xml:space="preserve"> already achieved some of these goals, but further standardization efforts would probably be fostered through market </w:t>
            </w:r>
            <w:proofErr w:type="spellStart"/>
            <w:r w:rsidRPr="00973525">
              <w:rPr>
                <w:sz w:val="18"/>
                <w:szCs w:val="18"/>
                <w:lang w:val="en-US"/>
              </w:rPr>
              <w:t>particpants</w:t>
            </w:r>
            <w:proofErr w:type="spellEnd"/>
            <w:r w:rsidRPr="00973525">
              <w:rPr>
                <w:sz w:val="18"/>
                <w:szCs w:val="18"/>
                <w:lang w:val="en-US"/>
              </w:rPr>
              <w:t xml:space="preserve"> associations. Also, originators and investors that would be targeting such a platform are unlikely to use the same processes for the purposes of </w:t>
            </w:r>
            <w:proofErr w:type="gramStart"/>
            <w:r w:rsidRPr="00973525">
              <w:rPr>
                <w:sz w:val="18"/>
                <w:szCs w:val="18"/>
                <w:lang w:val="en-US"/>
              </w:rPr>
              <w:t>entering into</w:t>
            </w:r>
            <w:proofErr w:type="gramEnd"/>
            <w:r w:rsidRPr="00973525">
              <w:rPr>
                <w:sz w:val="18"/>
                <w:szCs w:val="18"/>
                <w:lang w:val="en-US"/>
              </w:rPr>
              <w:t xml:space="preserve"> securitisation transactions of the same category of assets.</w:t>
            </w:r>
          </w:p>
          <w:p w14:paraId="7C07AD36" w14:textId="77777777" w:rsidR="00C21071" w:rsidRPr="00973525" w:rsidRDefault="00C21071" w:rsidP="00C21071">
            <w:pPr>
              <w:rPr>
                <w:sz w:val="18"/>
                <w:szCs w:val="18"/>
                <w:lang w:val="en-US"/>
              </w:rPr>
            </w:pPr>
          </w:p>
          <w:p w14:paraId="4D8CE129" w14:textId="77777777" w:rsidR="00C21071" w:rsidRPr="00973525" w:rsidRDefault="00C21071" w:rsidP="00C21071">
            <w:pPr>
              <w:rPr>
                <w:sz w:val="18"/>
                <w:szCs w:val="18"/>
                <w:lang w:val="en-US"/>
              </w:rPr>
            </w:pPr>
          </w:p>
          <w:p w14:paraId="30A6B524" w14:textId="77777777" w:rsidR="00C21071" w:rsidRPr="00973525" w:rsidRDefault="00C21071" w:rsidP="00C21071">
            <w:pPr>
              <w:rPr>
                <w:sz w:val="18"/>
                <w:szCs w:val="18"/>
                <w:lang w:val="en-US"/>
              </w:rPr>
            </w:pPr>
          </w:p>
          <w:p w14:paraId="60717169" w14:textId="77777777" w:rsidR="00C21071" w:rsidRPr="00973525" w:rsidRDefault="00C21071" w:rsidP="00C21071">
            <w:pPr>
              <w:rPr>
                <w:sz w:val="18"/>
                <w:szCs w:val="18"/>
                <w:lang w:val="en-GB"/>
              </w:rPr>
            </w:pPr>
          </w:p>
        </w:tc>
        <w:tc>
          <w:tcPr>
            <w:tcW w:w="236" w:type="dxa"/>
          </w:tcPr>
          <w:p w14:paraId="7B18AD9F" w14:textId="77777777" w:rsidR="00C21071" w:rsidRPr="00973525" w:rsidRDefault="00C21071" w:rsidP="0079353D">
            <w:pPr>
              <w:ind w:firstLine="1917"/>
              <w:rPr>
                <w:sz w:val="18"/>
                <w:szCs w:val="18"/>
                <w:lang w:val="en-GB"/>
              </w:rPr>
            </w:pPr>
          </w:p>
        </w:tc>
      </w:tr>
      <w:tr w:rsidR="00C21071" w:rsidRPr="0000602A" w14:paraId="45236F0E" w14:textId="77777777" w:rsidTr="30964D0C">
        <w:trPr>
          <w:gridAfter w:val="1"/>
          <w:wAfter w:w="16" w:type="dxa"/>
        </w:trPr>
        <w:tc>
          <w:tcPr>
            <w:tcW w:w="2893" w:type="dxa"/>
          </w:tcPr>
          <w:p w14:paraId="5D934D35" w14:textId="47E03135" w:rsidR="00C21071" w:rsidRPr="00973525" w:rsidRDefault="00C21071" w:rsidP="00C21071">
            <w:pPr>
              <w:rPr>
                <w:sz w:val="18"/>
                <w:szCs w:val="18"/>
                <w:lang w:val="en-GB"/>
              </w:rPr>
            </w:pPr>
            <w:r w:rsidRPr="00973525">
              <w:rPr>
                <w:sz w:val="18"/>
                <w:szCs w:val="18"/>
                <w:lang w:val="en-US"/>
              </w:rPr>
              <w:t>8.3.</w:t>
            </w:r>
            <w:r w:rsidRPr="00973525">
              <w:rPr>
                <w:sz w:val="18"/>
                <w:szCs w:val="18"/>
                <w:lang w:val="en-US"/>
              </w:rPr>
              <w:tab/>
              <w:t>If you answered yes to question 8.1., how would access to a pan-European securitisation platform increase the use and attractiveness of securitisation in the EU?</w:t>
            </w:r>
          </w:p>
        </w:tc>
        <w:tc>
          <w:tcPr>
            <w:tcW w:w="7740" w:type="dxa"/>
          </w:tcPr>
          <w:p w14:paraId="067FF85A" w14:textId="0FADE486" w:rsidR="00C21071" w:rsidRPr="00973525" w:rsidRDefault="00C21071" w:rsidP="00C21071">
            <w:pPr>
              <w:rPr>
                <w:sz w:val="18"/>
                <w:szCs w:val="18"/>
                <w:lang w:val="en-US"/>
              </w:rPr>
            </w:pPr>
            <w:r w:rsidRPr="00973525">
              <w:rPr>
                <w:sz w:val="18"/>
                <w:szCs w:val="18"/>
                <w:lang w:val="en-US"/>
              </w:rPr>
              <w:t>A pan-European securitisation platform could, in principle,</w:t>
            </w:r>
            <w:r w:rsidR="002333CA">
              <w:rPr>
                <w:sz w:val="18"/>
                <w:szCs w:val="18"/>
                <w:lang w:val="en-US"/>
              </w:rPr>
              <w:t xml:space="preserve"> </w:t>
            </w:r>
            <w:r w:rsidRPr="00973525">
              <w:rPr>
                <w:sz w:val="18"/>
                <w:szCs w:val="18"/>
                <w:lang w:val="en-US"/>
              </w:rPr>
              <w:t xml:space="preserve">increase the use of selling the eligibles assets (NB: le US Agencies do not issue securitisation as such since there is no tranching) should the needed standardization (eligibility, price, structuring, </w:t>
            </w:r>
            <w:proofErr w:type="spellStart"/>
            <w:proofErr w:type="gramStart"/>
            <w:r w:rsidRPr="00973525">
              <w:rPr>
                <w:sz w:val="18"/>
                <w:szCs w:val="18"/>
                <w:lang w:val="en-US"/>
              </w:rPr>
              <w:t>documentation,etc</w:t>
            </w:r>
            <w:proofErr w:type="spellEnd"/>
            <w:proofErr w:type="gramEnd"/>
            <w:r w:rsidRPr="00973525">
              <w:rPr>
                <w:sz w:val="18"/>
                <w:szCs w:val="18"/>
                <w:lang w:val="en-US"/>
              </w:rPr>
              <w:t>) be adequality determined despite the European assets heterogeneity.</w:t>
            </w:r>
          </w:p>
          <w:p w14:paraId="7667591A" w14:textId="77777777" w:rsidR="00C21071" w:rsidRPr="00973525" w:rsidRDefault="00C21071" w:rsidP="00C21071">
            <w:pPr>
              <w:rPr>
                <w:sz w:val="18"/>
                <w:szCs w:val="18"/>
                <w:lang w:val="en-US"/>
              </w:rPr>
            </w:pPr>
            <w:r w:rsidRPr="00973525">
              <w:rPr>
                <w:sz w:val="18"/>
                <w:szCs w:val="18"/>
                <w:lang w:val="en-US"/>
              </w:rPr>
              <w:t>It is also unclear, on a fundamental level, whether a European</w:t>
            </w:r>
          </w:p>
          <w:p w14:paraId="75D2346D" w14:textId="77777777" w:rsidR="00C21071" w:rsidRPr="00973525" w:rsidRDefault="00C21071" w:rsidP="00C21071">
            <w:pPr>
              <w:rPr>
                <w:sz w:val="18"/>
                <w:szCs w:val="18"/>
                <w:lang w:val="en-US"/>
              </w:rPr>
            </w:pPr>
            <w:r w:rsidRPr="00973525">
              <w:rPr>
                <w:sz w:val="18"/>
                <w:szCs w:val="18"/>
                <w:lang w:val="en-US"/>
              </w:rPr>
              <w:t xml:space="preserve">wide platform could even be </w:t>
            </w:r>
            <w:proofErr w:type="spellStart"/>
            <w:r w:rsidRPr="00973525">
              <w:rPr>
                <w:sz w:val="18"/>
                <w:szCs w:val="18"/>
                <w:lang w:val="en-US"/>
              </w:rPr>
              <w:t>realised</w:t>
            </w:r>
            <w:proofErr w:type="spellEnd"/>
            <w:r w:rsidRPr="00973525">
              <w:rPr>
                <w:sz w:val="18"/>
                <w:szCs w:val="18"/>
                <w:lang w:val="en-US"/>
              </w:rPr>
              <w:t>.</w:t>
            </w:r>
          </w:p>
          <w:p w14:paraId="1C322EB7" w14:textId="77777777" w:rsidR="00C21071" w:rsidRPr="00973525" w:rsidRDefault="00C21071" w:rsidP="00C21071">
            <w:pPr>
              <w:rPr>
                <w:sz w:val="18"/>
                <w:szCs w:val="18"/>
                <w:lang w:val="en-US"/>
              </w:rPr>
            </w:pPr>
            <w:r w:rsidRPr="00973525">
              <w:rPr>
                <w:sz w:val="18"/>
                <w:szCs w:val="18"/>
                <w:lang w:val="en-US"/>
              </w:rPr>
              <w:t>As a rule, this could only be done with the application of significant public resources.</w:t>
            </w:r>
          </w:p>
          <w:p w14:paraId="4C36D25C" w14:textId="77777777" w:rsidR="00C21071" w:rsidRPr="00973525" w:rsidRDefault="00C21071" w:rsidP="00C21071">
            <w:pPr>
              <w:rPr>
                <w:sz w:val="18"/>
                <w:szCs w:val="18"/>
                <w:lang w:val="en-US"/>
              </w:rPr>
            </w:pPr>
          </w:p>
          <w:p w14:paraId="7705C763" w14:textId="24F78BA2" w:rsidR="00C21071" w:rsidRPr="00973525" w:rsidRDefault="00C21071" w:rsidP="00C21071">
            <w:pPr>
              <w:rPr>
                <w:sz w:val="18"/>
                <w:szCs w:val="18"/>
                <w:lang w:val="en-GB"/>
              </w:rPr>
            </w:pPr>
          </w:p>
        </w:tc>
        <w:tc>
          <w:tcPr>
            <w:tcW w:w="236" w:type="dxa"/>
          </w:tcPr>
          <w:p w14:paraId="33BF18B4" w14:textId="77777777" w:rsidR="00C21071" w:rsidRPr="00973525" w:rsidRDefault="00C21071" w:rsidP="0079353D">
            <w:pPr>
              <w:ind w:firstLine="1917"/>
              <w:rPr>
                <w:sz w:val="18"/>
                <w:szCs w:val="18"/>
                <w:lang w:val="en-GB"/>
              </w:rPr>
            </w:pPr>
          </w:p>
        </w:tc>
      </w:tr>
      <w:tr w:rsidR="00C21071" w:rsidRPr="00973525" w14:paraId="30044412" w14:textId="77777777" w:rsidTr="30964D0C">
        <w:trPr>
          <w:gridAfter w:val="1"/>
          <w:wAfter w:w="16" w:type="dxa"/>
        </w:trPr>
        <w:tc>
          <w:tcPr>
            <w:tcW w:w="2893" w:type="dxa"/>
          </w:tcPr>
          <w:p w14:paraId="2A98D835" w14:textId="77777777" w:rsidR="00C21071" w:rsidRPr="00973525" w:rsidRDefault="59EBA4D2" w:rsidP="00C21071">
            <w:pPr>
              <w:rPr>
                <w:sz w:val="18"/>
                <w:szCs w:val="18"/>
                <w:lang w:val="en-US"/>
              </w:rPr>
            </w:pPr>
            <w:r w:rsidRPr="30964D0C">
              <w:rPr>
                <w:sz w:val="18"/>
                <w:szCs w:val="18"/>
                <w:lang w:val="en-US"/>
              </w:rPr>
              <w:t>8.4.</w:t>
            </w:r>
            <w:r w:rsidR="00C21071" w:rsidRPr="00887C5B">
              <w:rPr>
                <w:lang w:val="en-GB"/>
              </w:rPr>
              <w:tab/>
            </w:r>
            <w:r w:rsidRPr="30964D0C">
              <w:rPr>
                <w:sz w:val="18"/>
                <w:szCs w:val="18"/>
                <w:lang w:val="en-US"/>
              </w:rPr>
              <w:t>Should the platform target specific asset classes?</w:t>
            </w:r>
          </w:p>
          <w:p w14:paraId="44AB2DE3" w14:textId="77777777" w:rsidR="00C21071" w:rsidRPr="00973525" w:rsidRDefault="00C21071" w:rsidP="00C21071">
            <w:pPr>
              <w:rPr>
                <w:sz w:val="18"/>
                <w:szCs w:val="18"/>
                <w:lang w:val="en-US"/>
              </w:rPr>
            </w:pPr>
          </w:p>
          <w:p w14:paraId="760C45FD" w14:textId="77777777" w:rsidR="00C21071" w:rsidRPr="00973525" w:rsidRDefault="59EBA4D2" w:rsidP="00C21071">
            <w:pPr>
              <w:rPr>
                <w:sz w:val="18"/>
                <w:szCs w:val="18"/>
                <w:lang w:val="en-US"/>
              </w:rPr>
            </w:pPr>
            <w:r w:rsidRPr="30964D0C">
              <w:rPr>
                <w:sz w:val="18"/>
                <w:szCs w:val="18"/>
                <w:lang w:val="en-US"/>
              </w:rPr>
              <w:t>•</w:t>
            </w:r>
            <w:r w:rsidR="00C21071">
              <w:tab/>
            </w:r>
            <w:r w:rsidRPr="30964D0C">
              <w:rPr>
                <w:sz w:val="18"/>
                <w:szCs w:val="18"/>
                <w:lang w:val="en-US"/>
              </w:rPr>
              <w:t>Yes</w:t>
            </w:r>
          </w:p>
          <w:p w14:paraId="4FE5E3A9" w14:textId="77777777" w:rsidR="00C21071" w:rsidRPr="00973525" w:rsidRDefault="59EBA4D2" w:rsidP="00C21071">
            <w:pPr>
              <w:rPr>
                <w:sz w:val="18"/>
                <w:szCs w:val="18"/>
                <w:lang w:val="en-US"/>
              </w:rPr>
            </w:pPr>
            <w:r w:rsidRPr="30964D0C">
              <w:rPr>
                <w:sz w:val="18"/>
                <w:szCs w:val="18"/>
                <w:lang w:val="en-US"/>
              </w:rPr>
              <w:t>•</w:t>
            </w:r>
            <w:r w:rsidR="00C21071">
              <w:tab/>
            </w:r>
            <w:r w:rsidRPr="30964D0C">
              <w:rPr>
                <w:sz w:val="18"/>
                <w:szCs w:val="18"/>
                <w:lang w:val="en-US"/>
              </w:rPr>
              <w:t>No</w:t>
            </w:r>
          </w:p>
          <w:p w14:paraId="7B6858BB" w14:textId="415BA1D6" w:rsidR="00C21071" w:rsidRPr="00973525" w:rsidRDefault="59EBA4D2" w:rsidP="00C21071">
            <w:pPr>
              <w:rPr>
                <w:sz w:val="18"/>
                <w:szCs w:val="18"/>
                <w:lang w:val="en-GB"/>
              </w:rPr>
            </w:pPr>
            <w:r w:rsidRPr="30964D0C">
              <w:rPr>
                <w:sz w:val="18"/>
                <w:szCs w:val="18"/>
                <w:lang w:val="en-US"/>
              </w:rPr>
              <w:t>•</w:t>
            </w:r>
            <w:r w:rsidR="00C21071">
              <w:tab/>
            </w:r>
            <w:r w:rsidRPr="30964D0C">
              <w:rPr>
                <w:sz w:val="18"/>
                <w:szCs w:val="18"/>
                <w:lang w:val="en-US"/>
              </w:rPr>
              <w:t>No opinion</w:t>
            </w:r>
          </w:p>
        </w:tc>
        <w:tc>
          <w:tcPr>
            <w:tcW w:w="7740" w:type="dxa"/>
          </w:tcPr>
          <w:p w14:paraId="31A6C091" w14:textId="77777777" w:rsidR="00C21071" w:rsidRPr="00973525" w:rsidRDefault="00C21071" w:rsidP="00C21071">
            <w:pPr>
              <w:rPr>
                <w:sz w:val="18"/>
                <w:szCs w:val="18"/>
                <w:shd w:val="clear" w:color="auto" w:fill="E59EDC" w:themeFill="accent5" w:themeFillTint="66"/>
                <w:lang w:val="en-US"/>
              </w:rPr>
            </w:pPr>
          </w:p>
          <w:p w14:paraId="6D20E64E" w14:textId="65363831" w:rsidR="00C21071" w:rsidRPr="00973525" w:rsidRDefault="59EBA4D2" w:rsidP="00C21071">
            <w:pPr>
              <w:rPr>
                <w:sz w:val="18"/>
                <w:szCs w:val="18"/>
                <w:lang w:val="en-GB"/>
              </w:rPr>
            </w:pPr>
            <w:r w:rsidRPr="30964D0C">
              <w:rPr>
                <w:sz w:val="18"/>
                <w:szCs w:val="18"/>
                <w:lang w:val="en-US"/>
              </w:rPr>
              <w:t>No opinion</w:t>
            </w:r>
          </w:p>
        </w:tc>
        <w:tc>
          <w:tcPr>
            <w:tcW w:w="236" w:type="dxa"/>
          </w:tcPr>
          <w:p w14:paraId="22303F97" w14:textId="77777777" w:rsidR="00C21071" w:rsidRPr="00973525" w:rsidRDefault="00C21071" w:rsidP="0079353D">
            <w:pPr>
              <w:ind w:firstLine="1917"/>
              <w:rPr>
                <w:sz w:val="18"/>
                <w:szCs w:val="18"/>
              </w:rPr>
            </w:pPr>
          </w:p>
        </w:tc>
      </w:tr>
      <w:tr w:rsidR="00C21071" w:rsidRPr="00776503" w14:paraId="6310A25E" w14:textId="77777777" w:rsidTr="30964D0C">
        <w:trPr>
          <w:gridAfter w:val="1"/>
          <w:wAfter w:w="16" w:type="dxa"/>
        </w:trPr>
        <w:tc>
          <w:tcPr>
            <w:tcW w:w="2893" w:type="dxa"/>
          </w:tcPr>
          <w:p w14:paraId="1B0BDF8B" w14:textId="77777777" w:rsidR="00C21071" w:rsidRPr="00973525" w:rsidRDefault="00C21071" w:rsidP="00C21071">
            <w:pPr>
              <w:rPr>
                <w:sz w:val="18"/>
                <w:szCs w:val="18"/>
                <w:lang w:val="en-US"/>
              </w:rPr>
            </w:pPr>
            <w:r w:rsidRPr="00973525">
              <w:rPr>
                <w:sz w:val="18"/>
                <w:szCs w:val="18"/>
                <w:lang w:val="en-US"/>
              </w:rPr>
              <w:t>8.5.</w:t>
            </w:r>
            <w:r w:rsidRPr="00973525">
              <w:rPr>
                <w:sz w:val="18"/>
                <w:szCs w:val="18"/>
                <w:lang w:val="en-US"/>
              </w:rPr>
              <w:tab/>
              <w:t>If you answered yes to question 8.4., which asset classes should the platform target? Please provide a justification.</w:t>
            </w:r>
          </w:p>
          <w:p w14:paraId="318B8547"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SME loans</w:t>
            </w:r>
          </w:p>
          <w:p w14:paraId="5084CDF5"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Green loans (i.e. green renovation, green mobility)</w:t>
            </w:r>
          </w:p>
          <w:p w14:paraId="11DE0FB1"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Mortgages</w:t>
            </w:r>
          </w:p>
          <w:p w14:paraId="0F0CAB0E"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Corporate loans</w:t>
            </w:r>
          </w:p>
          <w:p w14:paraId="119F36AE" w14:textId="740B02F0"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Other</w:t>
            </w:r>
          </w:p>
        </w:tc>
        <w:tc>
          <w:tcPr>
            <w:tcW w:w="7740" w:type="dxa"/>
          </w:tcPr>
          <w:p w14:paraId="24015A33" w14:textId="40CCA853" w:rsidR="00C21071" w:rsidRPr="0021770E" w:rsidRDefault="5AF50AE8" w:rsidP="30964D0C">
            <w:pPr>
              <w:rPr>
                <w:sz w:val="18"/>
                <w:szCs w:val="18"/>
                <w:lang w:val="en-GB"/>
              </w:rPr>
            </w:pPr>
            <w:r w:rsidRPr="30964D0C">
              <w:rPr>
                <w:sz w:val="18"/>
                <w:szCs w:val="18"/>
                <w:lang w:val="en-GB"/>
              </w:rPr>
              <w:t>N/a</w:t>
            </w:r>
          </w:p>
        </w:tc>
        <w:tc>
          <w:tcPr>
            <w:tcW w:w="236" w:type="dxa"/>
          </w:tcPr>
          <w:p w14:paraId="62EE17B7" w14:textId="77777777" w:rsidR="00C21071" w:rsidRPr="00973525" w:rsidRDefault="00C21071" w:rsidP="0079353D">
            <w:pPr>
              <w:ind w:firstLine="1917"/>
              <w:rPr>
                <w:sz w:val="18"/>
                <w:szCs w:val="18"/>
                <w:lang w:val="en-GB"/>
              </w:rPr>
            </w:pPr>
          </w:p>
        </w:tc>
      </w:tr>
      <w:tr w:rsidR="00C21071" w:rsidRPr="00973525" w14:paraId="11DBC7D0" w14:textId="77777777" w:rsidTr="30964D0C">
        <w:trPr>
          <w:gridAfter w:val="1"/>
          <w:wAfter w:w="16" w:type="dxa"/>
        </w:trPr>
        <w:tc>
          <w:tcPr>
            <w:tcW w:w="2893" w:type="dxa"/>
          </w:tcPr>
          <w:p w14:paraId="6C98DE51" w14:textId="77777777" w:rsidR="00C21071" w:rsidRPr="00973525" w:rsidRDefault="00C21071" w:rsidP="00C21071">
            <w:pPr>
              <w:rPr>
                <w:sz w:val="18"/>
                <w:szCs w:val="18"/>
                <w:lang w:val="en-US"/>
              </w:rPr>
            </w:pPr>
            <w:r w:rsidRPr="00973525">
              <w:rPr>
                <w:sz w:val="18"/>
                <w:szCs w:val="18"/>
                <w:lang w:val="en-US"/>
              </w:rPr>
              <w:t>8.6.</w:t>
            </w:r>
            <w:r w:rsidRPr="00973525">
              <w:rPr>
                <w:sz w:val="18"/>
                <w:szCs w:val="18"/>
                <w:lang w:val="en-US"/>
              </w:rPr>
              <w:tab/>
              <w:t>Are guarantees necessary?</w:t>
            </w:r>
          </w:p>
          <w:p w14:paraId="3F95B446" w14:textId="77777777" w:rsidR="00C21071" w:rsidRPr="00973525" w:rsidRDefault="00C21071" w:rsidP="00C21071">
            <w:pPr>
              <w:rPr>
                <w:sz w:val="18"/>
                <w:szCs w:val="18"/>
                <w:lang w:val="en-US"/>
              </w:rPr>
            </w:pPr>
            <w:r w:rsidRPr="00973525">
              <w:rPr>
                <w:sz w:val="18"/>
                <w:szCs w:val="18"/>
                <w:lang w:val="en-US"/>
              </w:rPr>
              <w:lastRenderedPageBreak/>
              <w:t>•</w:t>
            </w:r>
            <w:r w:rsidRPr="00973525">
              <w:rPr>
                <w:sz w:val="18"/>
                <w:szCs w:val="18"/>
                <w:lang w:val="en-US"/>
              </w:rPr>
              <w:tab/>
              <w:t>Yes</w:t>
            </w:r>
          </w:p>
          <w:p w14:paraId="6D31BC2A" w14:textId="77777777" w:rsidR="00C21071" w:rsidRPr="00973525" w:rsidRDefault="00C21071" w:rsidP="00C21071">
            <w:pPr>
              <w:rPr>
                <w:sz w:val="18"/>
                <w:szCs w:val="18"/>
                <w:lang w:val="en-US"/>
              </w:rPr>
            </w:pPr>
            <w:r w:rsidRPr="00973525">
              <w:rPr>
                <w:sz w:val="18"/>
                <w:szCs w:val="18"/>
                <w:lang w:val="en-US"/>
              </w:rPr>
              <w:t>•</w:t>
            </w:r>
            <w:r w:rsidRPr="00973525">
              <w:rPr>
                <w:sz w:val="18"/>
                <w:szCs w:val="18"/>
                <w:lang w:val="en-US"/>
              </w:rPr>
              <w:tab/>
              <w:t>No</w:t>
            </w:r>
          </w:p>
          <w:p w14:paraId="1031D6A7" w14:textId="280C9630" w:rsidR="00C21071" w:rsidRPr="00973525" w:rsidRDefault="00C21071" w:rsidP="00C21071">
            <w:pPr>
              <w:rPr>
                <w:sz w:val="18"/>
                <w:szCs w:val="18"/>
                <w:lang w:val="en-GB"/>
              </w:rPr>
            </w:pPr>
            <w:r w:rsidRPr="00973525">
              <w:rPr>
                <w:sz w:val="18"/>
                <w:szCs w:val="18"/>
                <w:lang w:val="en-US"/>
              </w:rPr>
              <w:t>•</w:t>
            </w:r>
            <w:r w:rsidRPr="00973525">
              <w:rPr>
                <w:sz w:val="18"/>
                <w:szCs w:val="18"/>
                <w:lang w:val="en-US"/>
              </w:rPr>
              <w:tab/>
              <w:t>No opinion</w:t>
            </w:r>
          </w:p>
        </w:tc>
        <w:tc>
          <w:tcPr>
            <w:tcW w:w="7740" w:type="dxa"/>
          </w:tcPr>
          <w:p w14:paraId="63048AB9" w14:textId="0A92DFA1" w:rsidR="00C21071" w:rsidRPr="00973525" w:rsidRDefault="7C96F315" w:rsidP="00C21071">
            <w:pPr>
              <w:rPr>
                <w:sz w:val="18"/>
                <w:szCs w:val="18"/>
                <w:lang w:val="en-GB"/>
              </w:rPr>
            </w:pPr>
            <w:r w:rsidRPr="30964D0C">
              <w:rPr>
                <w:sz w:val="18"/>
                <w:szCs w:val="18"/>
                <w:lang w:val="en-US"/>
              </w:rPr>
              <w:lastRenderedPageBreak/>
              <w:t xml:space="preserve"> No Opinion</w:t>
            </w:r>
          </w:p>
        </w:tc>
        <w:tc>
          <w:tcPr>
            <w:tcW w:w="236" w:type="dxa"/>
          </w:tcPr>
          <w:p w14:paraId="404AD50A" w14:textId="77777777" w:rsidR="00C21071" w:rsidRPr="00973525" w:rsidRDefault="00C21071" w:rsidP="0079353D">
            <w:pPr>
              <w:ind w:firstLine="1917"/>
              <w:rPr>
                <w:sz w:val="18"/>
                <w:szCs w:val="18"/>
              </w:rPr>
            </w:pPr>
          </w:p>
        </w:tc>
      </w:tr>
      <w:tr w:rsidR="00C21071" w:rsidRPr="0000602A" w14:paraId="1C33FA2B" w14:textId="77777777" w:rsidTr="30964D0C">
        <w:trPr>
          <w:gridAfter w:val="1"/>
          <w:wAfter w:w="16" w:type="dxa"/>
        </w:trPr>
        <w:tc>
          <w:tcPr>
            <w:tcW w:w="2893" w:type="dxa"/>
          </w:tcPr>
          <w:p w14:paraId="0FEC4E20" w14:textId="77777777" w:rsidR="00C21071" w:rsidRPr="00973525" w:rsidRDefault="00C21071" w:rsidP="00C21071">
            <w:pPr>
              <w:rPr>
                <w:sz w:val="18"/>
                <w:szCs w:val="18"/>
                <w:lang w:val="en-US"/>
              </w:rPr>
            </w:pPr>
            <w:r w:rsidRPr="00973525">
              <w:rPr>
                <w:sz w:val="18"/>
                <w:szCs w:val="18"/>
                <w:lang w:val="en-US"/>
              </w:rPr>
              <w:t>8.7.</w:t>
            </w:r>
            <w:r w:rsidRPr="00973525">
              <w:rPr>
                <w:sz w:val="18"/>
                <w:szCs w:val="18"/>
                <w:lang w:val="en-US"/>
              </w:rPr>
              <w:tab/>
              <w:t>If you answered yes to question 8.6., please explain who (private or public) would provide it and how you would design such a guarantee.</w:t>
            </w:r>
          </w:p>
          <w:p w14:paraId="378D2E9C" w14:textId="77777777" w:rsidR="00C21071" w:rsidRPr="00973525" w:rsidRDefault="00C21071" w:rsidP="00C21071">
            <w:pPr>
              <w:rPr>
                <w:sz w:val="18"/>
                <w:szCs w:val="18"/>
                <w:lang w:val="en-GB"/>
              </w:rPr>
            </w:pPr>
          </w:p>
        </w:tc>
        <w:tc>
          <w:tcPr>
            <w:tcW w:w="7740" w:type="dxa"/>
          </w:tcPr>
          <w:p w14:paraId="43225E31" w14:textId="72DDEB49" w:rsidR="00E66ED6" w:rsidRDefault="00E66ED6" w:rsidP="00C21071">
            <w:pPr>
              <w:rPr>
                <w:sz w:val="18"/>
                <w:szCs w:val="18"/>
                <w:lang w:val="en-US"/>
              </w:rPr>
            </w:pPr>
            <w:r>
              <w:rPr>
                <w:sz w:val="18"/>
                <w:szCs w:val="18"/>
                <w:lang w:val="en-US"/>
              </w:rPr>
              <w:t>N/A</w:t>
            </w:r>
          </w:p>
          <w:p w14:paraId="265CD4AF" w14:textId="77777777" w:rsidR="00E66ED6" w:rsidRDefault="00E66ED6" w:rsidP="00C21071">
            <w:pPr>
              <w:rPr>
                <w:sz w:val="18"/>
                <w:szCs w:val="18"/>
                <w:lang w:val="en-US"/>
              </w:rPr>
            </w:pPr>
          </w:p>
          <w:p w14:paraId="64F05295" w14:textId="18844BCE" w:rsidR="00C21071" w:rsidRPr="00973525" w:rsidRDefault="00C21071" w:rsidP="00C21071">
            <w:pPr>
              <w:rPr>
                <w:sz w:val="18"/>
                <w:szCs w:val="18"/>
                <w:lang w:val="en-US"/>
              </w:rPr>
            </w:pPr>
            <w:proofErr w:type="gramStart"/>
            <w:r w:rsidRPr="00973525">
              <w:rPr>
                <w:sz w:val="18"/>
                <w:szCs w:val="18"/>
                <w:lang w:val="en-US"/>
              </w:rPr>
              <w:t>Public :The</w:t>
            </w:r>
            <w:proofErr w:type="gramEnd"/>
            <w:r w:rsidRPr="00973525">
              <w:rPr>
                <w:sz w:val="18"/>
                <w:szCs w:val="18"/>
                <w:lang w:val="en-US"/>
              </w:rPr>
              <w:t xml:space="preserve"> EIB and EIF should be firstly involved.</w:t>
            </w:r>
          </w:p>
          <w:p w14:paraId="729D1783" w14:textId="77777777" w:rsidR="00C21071" w:rsidRPr="00973525" w:rsidRDefault="00C21071" w:rsidP="00C21071">
            <w:pPr>
              <w:rPr>
                <w:sz w:val="18"/>
                <w:szCs w:val="18"/>
                <w:lang w:val="en-US"/>
              </w:rPr>
            </w:pPr>
          </w:p>
          <w:p w14:paraId="3E41EB6B" w14:textId="0F9BE053" w:rsidR="00C21071" w:rsidRPr="00973525" w:rsidRDefault="00C21071" w:rsidP="00C21071">
            <w:pPr>
              <w:rPr>
                <w:sz w:val="18"/>
                <w:szCs w:val="18"/>
                <w:lang w:val="en-GB"/>
              </w:rPr>
            </w:pPr>
            <w:r w:rsidRPr="00973525">
              <w:rPr>
                <w:sz w:val="18"/>
                <w:szCs w:val="18"/>
                <w:lang w:val="en-US"/>
              </w:rPr>
              <w:t>A private guarantee for a project of this magnitude will probably generate systemic risk</w:t>
            </w:r>
          </w:p>
        </w:tc>
        <w:tc>
          <w:tcPr>
            <w:tcW w:w="236" w:type="dxa"/>
          </w:tcPr>
          <w:p w14:paraId="01F12C0F" w14:textId="77777777" w:rsidR="00C21071" w:rsidRPr="00973525" w:rsidRDefault="00C21071" w:rsidP="0079353D">
            <w:pPr>
              <w:ind w:firstLine="1917"/>
              <w:rPr>
                <w:sz w:val="18"/>
                <w:szCs w:val="18"/>
                <w:lang w:val="en-GB"/>
              </w:rPr>
            </w:pPr>
          </w:p>
        </w:tc>
      </w:tr>
      <w:tr w:rsidR="00C21071" w:rsidRPr="0000602A" w14:paraId="38AAE6F8" w14:textId="77777777" w:rsidTr="30964D0C">
        <w:trPr>
          <w:gridAfter w:val="1"/>
          <w:wAfter w:w="16" w:type="dxa"/>
        </w:trPr>
        <w:tc>
          <w:tcPr>
            <w:tcW w:w="2893" w:type="dxa"/>
          </w:tcPr>
          <w:p w14:paraId="6CD775F4" w14:textId="77777777" w:rsidR="00C21071" w:rsidRPr="00973525" w:rsidRDefault="00C21071" w:rsidP="00C21071">
            <w:pPr>
              <w:rPr>
                <w:sz w:val="18"/>
                <w:szCs w:val="18"/>
                <w:lang w:val="en-US"/>
              </w:rPr>
            </w:pPr>
            <w:r w:rsidRPr="00973525">
              <w:rPr>
                <w:sz w:val="18"/>
                <w:szCs w:val="18"/>
                <w:lang w:val="en-US"/>
              </w:rPr>
              <w:t>8.8.</w:t>
            </w:r>
            <w:r w:rsidRPr="00973525">
              <w:rPr>
                <w:sz w:val="18"/>
                <w:szCs w:val="18"/>
                <w:lang w:val="en-US"/>
              </w:rPr>
              <w:tab/>
              <w:t>What do you view as the main challenges associated with the introduction of such a platform in the EU, and how could these be managed?</w:t>
            </w:r>
          </w:p>
          <w:p w14:paraId="1110F860" w14:textId="77777777" w:rsidR="00C21071" w:rsidRPr="00973525" w:rsidRDefault="00C21071" w:rsidP="00C21071">
            <w:pPr>
              <w:rPr>
                <w:sz w:val="18"/>
                <w:szCs w:val="18"/>
                <w:lang w:val="en-GB"/>
              </w:rPr>
            </w:pPr>
          </w:p>
        </w:tc>
        <w:tc>
          <w:tcPr>
            <w:tcW w:w="7740" w:type="dxa"/>
          </w:tcPr>
          <w:p w14:paraId="69F97AA2" w14:textId="77777777" w:rsidR="00C21071" w:rsidRPr="00973525" w:rsidRDefault="00C21071" w:rsidP="00C21071">
            <w:pPr>
              <w:rPr>
                <w:sz w:val="18"/>
                <w:szCs w:val="18"/>
                <w:lang w:val="en-US"/>
              </w:rPr>
            </w:pPr>
            <w:r w:rsidRPr="00973525">
              <w:rPr>
                <w:sz w:val="18"/>
                <w:szCs w:val="18"/>
                <w:lang w:val="en-US"/>
              </w:rPr>
              <w:t>Structural projects such as the European securitisation platform or public guarantees, could be addressed at a later stage and should not delay the short-term priorities to address all regulatory (SEC-R) and prudential (CRR3, Solvency II and LCR Delegated Act) barriers.</w:t>
            </w:r>
          </w:p>
          <w:p w14:paraId="22E298AE" w14:textId="77777777" w:rsidR="00C21071" w:rsidRPr="00973525" w:rsidRDefault="00C21071" w:rsidP="00C21071">
            <w:pPr>
              <w:rPr>
                <w:sz w:val="18"/>
                <w:szCs w:val="18"/>
                <w:lang w:val="en-US"/>
              </w:rPr>
            </w:pPr>
          </w:p>
          <w:p w14:paraId="5315408F" w14:textId="21F26565" w:rsidR="00C21071" w:rsidRPr="00973525" w:rsidRDefault="00C21071" w:rsidP="00C21071">
            <w:pPr>
              <w:rPr>
                <w:sz w:val="18"/>
                <w:szCs w:val="18"/>
                <w:lang w:val="en-GB"/>
              </w:rPr>
            </w:pPr>
          </w:p>
        </w:tc>
        <w:tc>
          <w:tcPr>
            <w:tcW w:w="236" w:type="dxa"/>
          </w:tcPr>
          <w:p w14:paraId="715A84F0" w14:textId="676C1A5A" w:rsidR="00C21071" w:rsidRPr="000E0A64" w:rsidRDefault="00C21071" w:rsidP="0079353D">
            <w:pPr>
              <w:ind w:firstLine="1917"/>
              <w:rPr>
                <w:sz w:val="18"/>
                <w:szCs w:val="18"/>
                <w:highlight w:val="yellow"/>
                <w:lang w:val="en-GB"/>
              </w:rPr>
            </w:pPr>
          </w:p>
        </w:tc>
      </w:tr>
      <w:tr w:rsidR="00C21071" w:rsidRPr="0000602A" w14:paraId="20021492" w14:textId="77777777" w:rsidTr="30964D0C">
        <w:trPr>
          <w:gridAfter w:val="1"/>
          <w:wAfter w:w="16" w:type="dxa"/>
        </w:trPr>
        <w:tc>
          <w:tcPr>
            <w:tcW w:w="2893" w:type="dxa"/>
          </w:tcPr>
          <w:p w14:paraId="3562B999" w14:textId="77777777" w:rsidR="00C21071" w:rsidRPr="00973525" w:rsidRDefault="00C21071" w:rsidP="00C21071">
            <w:pPr>
              <w:rPr>
                <w:sz w:val="18"/>
                <w:szCs w:val="18"/>
                <w:lang w:val="en-US"/>
              </w:rPr>
            </w:pPr>
            <w:r w:rsidRPr="00973525">
              <w:rPr>
                <w:sz w:val="18"/>
                <w:szCs w:val="18"/>
                <w:lang w:val="en-US"/>
              </w:rPr>
              <w:t>8.9.</w:t>
            </w:r>
            <w:r w:rsidRPr="00973525">
              <w:rPr>
                <w:sz w:val="18"/>
                <w:szCs w:val="18"/>
                <w:lang w:val="en-US"/>
              </w:rPr>
              <w:tab/>
              <w:t>What key considerations need to be taken in designing a pan-European securitisation platform, for such a platform to be usable and attractive for originators and/or investors?</w:t>
            </w:r>
          </w:p>
          <w:p w14:paraId="0F6B94A2" w14:textId="77777777" w:rsidR="00C21071" w:rsidRPr="00973525" w:rsidRDefault="00C21071" w:rsidP="00C21071">
            <w:pPr>
              <w:rPr>
                <w:sz w:val="18"/>
                <w:szCs w:val="18"/>
                <w:lang w:val="en-GB"/>
              </w:rPr>
            </w:pPr>
          </w:p>
        </w:tc>
        <w:tc>
          <w:tcPr>
            <w:tcW w:w="7740" w:type="dxa"/>
          </w:tcPr>
          <w:p w14:paraId="2D31CAD8" w14:textId="591F0045" w:rsidR="00C21071" w:rsidRPr="00973525" w:rsidRDefault="00C21071" w:rsidP="00C21071">
            <w:pPr>
              <w:rPr>
                <w:sz w:val="18"/>
                <w:szCs w:val="18"/>
                <w:lang w:val="en-GB"/>
              </w:rPr>
            </w:pPr>
          </w:p>
        </w:tc>
        <w:tc>
          <w:tcPr>
            <w:tcW w:w="236" w:type="dxa"/>
          </w:tcPr>
          <w:p w14:paraId="6A3F7896" w14:textId="393BE0F6" w:rsidR="00C21071" w:rsidRPr="000E0A64" w:rsidRDefault="00C21071" w:rsidP="0079353D">
            <w:pPr>
              <w:ind w:firstLine="1917"/>
              <w:rPr>
                <w:sz w:val="18"/>
                <w:szCs w:val="18"/>
                <w:highlight w:val="yellow"/>
                <w:lang w:val="en-GB"/>
              </w:rPr>
            </w:pPr>
          </w:p>
        </w:tc>
      </w:tr>
      <w:tr w:rsidR="00C21071" w:rsidRPr="0000602A" w14:paraId="1C80383F" w14:textId="77777777" w:rsidTr="30964D0C">
        <w:trPr>
          <w:gridAfter w:val="1"/>
          <w:wAfter w:w="16" w:type="dxa"/>
        </w:trPr>
        <w:tc>
          <w:tcPr>
            <w:tcW w:w="2893" w:type="dxa"/>
          </w:tcPr>
          <w:p w14:paraId="7C02DA9C" w14:textId="77777777" w:rsidR="00C21071" w:rsidRPr="00973525" w:rsidRDefault="00C21071" w:rsidP="00C21071">
            <w:pPr>
              <w:rPr>
                <w:sz w:val="18"/>
                <w:szCs w:val="18"/>
                <w:lang w:val="en-US"/>
              </w:rPr>
            </w:pPr>
            <w:r w:rsidRPr="00973525">
              <w:rPr>
                <w:sz w:val="18"/>
                <w:szCs w:val="18"/>
                <w:lang w:val="en-US"/>
              </w:rPr>
              <w:t>8.10.</w:t>
            </w:r>
            <w:r w:rsidRPr="00973525">
              <w:rPr>
                <w:sz w:val="18"/>
                <w:szCs w:val="18"/>
                <w:lang w:val="en-US"/>
              </w:rPr>
              <w:tab/>
              <w:t xml:space="preserve">Besides the creation of a securitisation platform, do you see other initiatives that could further increase the level of </w:t>
            </w:r>
            <w:proofErr w:type="spellStart"/>
            <w:r w:rsidRPr="00973525">
              <w:rPr>
                <w:sz w:val="18"/>
                <w:szCs w:val="18"/>
                <w:lang w:val="en-US"/>
              </w:rPr>
              <w:t>standardisation</w:t>
            </w:r>
            <w:proofErr w:type="spellEnd"/>
            <w:r w:rsidRPr="00973525">
              <w:rPr>
                <w:sz w:val="18"/>
                <w:szCs w:val="18"/>
                <w:lang w:val="en-US"/>
              </w:rPr>
              <w:t xml:space="preserve"> and convergence for EU securitisations, in a way that increases securitisation volumes but also benefits the deepening and integration of the market?</w:t>
            </w:r>
          </w:p>
          <w:p w14:paraId="0ADBE51B" w14:textId="77777777" w:rsidR="00C21071" w:rsidRPr="00973525" w:rsidRDefault="00C21071" w:rsidP="00C21071">
            <w:pPr>
              <w:rPr>
                <w:sz w:val="18"/>
                <w:szCs w:val="18"/>
                <w:lang w:val="en-GB"/>
              </w:rPr>
            </w:pPr>
          </w:p>
        </w:tc>
        <w:tc>
          <w:tcPr>
            <w:tcW w:w="7740" w:type="dxa"/>
          </w:tcPr>
          <w:p w14:paraId="30F0FBE6" w14:textId="29143EFD" w:rsidR="00C21071" w:rsidRPr="00973525" w:rsidRDefault="00C21071" w:rsidP="00C21071">
            <w:pPr>
              <w:rPr>
                <w:sz w:val="18"/>
                <w:szCs w:val="18"/>
                <w:lang w:val="en-GB"/>
              </w:rPr>
            </w:pPr>
            <w:r w:rsidRPr="00973525">
              <w:rPr>
                <w:sz w:val="18"/>
                <w:szCs w:val="18"/>
                <w:lang w:val="en-US"/>
              </w:rPr>
              <w:t>Further integration of the CMU, especially focusing on cross-border transfer of receivables, the harmonization of the bankruptcy remoteness of the transfer of receivables, SSPEs and more generally the assets and cash used as collateral.</w:t>
            </w:r>
          </w:p>
        </w:tc>
        <w:tc>
          <w:tcPr>
            <w:tcW w:w="236" w:type="dxa"/>
          </w:tcPr>
          <w:p w14:paraId="27FC7E26" w14:textId="77777777" w:rsidR="00C21071" w:rsidRPr="00973525" w:rsidRDefault="00C21071" w:rsidP="0079353D">
            <w:pPr>
              <w:ind w:firstLine="1917"/>
              <w:rPr>
                <w:sz w:val="18"/>
                <w:szCs w:val="18"/>
                <w:lang w:val="en-GB"/>
              </w:rPr>
            </w:pPr>
          </w:p>
        </w:tc>
      </w:tr>
      <w:tr w:rsidR="00C21071" w:rsidRPr="0000602A" w14:paraId="3253BFF1" w14:textId="77777777" w:rsidTr="30964D0C">
        <w:tc>
          <w:tcPr>
            <w:tcW w:w="10885" w:type="dxa"/>
            <w:gridSpan w:val="4"/>
            <w:shd w:val="clear" w:color="auto" w:fill="A6A6A6" w:themeFill="background1" w:themeFillShade="A6"/>
          </w:tcPr>
          <w:p w14:paraId="66E3201C" w14:textId="40D4EA3A" w:rsidR="00C21071" w:rsidRPr="00973525" w:rsidRDefault="00C21071" w:rsidP="0079353D">
            <w:pPr>
              <w:ind w:firstLine="1917"/>
              <w:rPr>
                <w:b/>
                <w:bCs/>
                <w:sz w:val="18"/>
                <w:szCs w:val="18"/>
                <w:highlight w:val="lightGray"/>
                <w:lang w:val="en-GB"/>
              </w:rPr>
            </w:pPr>
            <w:r w:rsidRPr="00973525">
              <w:rPr>
                <w:sz w:val="18"/>
                <w:szCs w:val="18"/>
                <w:lang w:val="en-GB"/>
              </w:rPr>
              <w:br w:type="page"/>
            </w:r>
          </w:p>
        </w:tc>
      </w:tr>
      <w:tr w:rsidR="00C21071" w:rsidRPr="00C72B68" w14:paraId="236DCF15" w14:textId="77777777" w:rsidTr="30964D0C">
        <w:trPr>
          <w:trHeight w:val="3957"/>
        </w:trPr>
        <w:tc>
          <w:tcPr>
            <w:tcW w:w="10885" w:type="dxa"/>
            <w:gridSpan w:val="4"/>
          </w:tcPr>
          <w:p w14:paraId="6C6A4BD5" w14:textId="77777777" w:rsidR="00C21071" w:rsidRPr="00973525" w:rsidRDefault="00C21071" w:rsidP="00265131">
            <w:pPr>
              <w:jc w:val="both"/>
              <w:rPr>
                <w:b/>
                <w:bCs/>
                <w:sz w:val="18"/>
                <w:szCs w:val="18"/>
                <w:lang w:val="en-GB"/>
              </w:rPr>
            </w:pPr>
            <w:r w:rsidRPr="00973525">
              <w:rPr>
                <w:b/>
                <w:bCs/>
                <w:sz w:val="18"/>
                <w:szCs w:val="18"/>
                <w:highlight w:val="lightGray"/>
                <w:lang w:val="en-GB"/>
              </w:rPr>
              <w:t>9. Prudential and liquidity risk treatment of securitisation for banks</w:t>
            </w:r>
          </w:p>
          <w:p w14:paraId="23D41616" w14:textId="77777777" w:rsidR="00C21071" w:rsidRPr="00973525" w:rsidRDefault="00C21071" w:rsidP="00265131">
            <w:pPr>
              <w:jc w:val="both"/>
              <w:rPr>
                <w:sz w:val="18"/>
                <w:szCs w:val="18"/>
                <w:lang w:val="en-GB"/>
              </w:rPr>
            </w:pPr>
            <w:r w:rsidRPr="00973525">
              <w:rPr>
                <w:sz w:val="18"/>
                <w:szCs w:val="18"/>
                <w:lang w:val="en-GB"/>
              </w:rPr>
              <w:t xml:space="preserve">Banks are central players in the EU securitisation market. </w:t>
            </w:r>
          </w:p>
          <w:p w14:paraId="6FA874F8" w14:textId="77777777" w:rsidR="00C21071" w:rsidRPr="00973525" w:rsidRDefault="00C21071" w:rsidP="00265131">
            <w:pPr>
              <w:jc w:val="both"/>
              <w:rPr>
                <w:sz w:val="18"/>
                <w:szCs w:val="18"/>
                <w:lang w:val="en-GB"/>
              </w:rPr>
            </w:pPr>
            <w:r w:rsidRPr="00973525">
              <w:rPr>
                <w:sz w:val="18"/>
                <w:szCs w:val="18"/>
                <w:lang w:val="en-GB"/>
              </w:rPr>
              <w:t xml:space="preserve">On the issuer side, securitisation is a useful tool in banks’ toolkit for diversifying funding sources, and for balance sheet and credit risk management purposes. </w:t>
            </w:r>
          </w:p>
          <w:p w14:paraId="44EC2EA1" w14:textId="1A5FFE38" w:rsidR="00C21071" w:rsidRPr="00973525" w:rsidRDefault="00C21071" w:rsidP="00265131">
            <w:pPr>
              <w:jc w:val="both"/>
              <w:rPr>
                <w:sz w:val="18"/>
                <w:szCs w:val="18"/>
                <w:lang w:val="en-GB"/>
              </w:rPr>
            </w:pPr>
            <w:r w:rsidRPr="00973525">
              <w:rPr>
                <w:sz w:val="18"/>
                <w:szCs w:val="18"/>
                <w:lang w:val="en-GB"/>
              </w:rPr>
              <w:t xml:space="preserve">On the demand side, while banks hold significant exposures towards EU securitisation transactions and </w:t>
            </w:r>
            <w:proofErr w:type="gramStart"/>
            <w:r w:rsidRPr="00973525">
              <w:rPr>
                <w:sz w:val="18"/>
                <w:szCs w:val="18"/>
                <w:lang w:val="en-GB"/>
              </w:rPr>
              <w:t>in particular to</w:t>
            </w:r>
            <w:proofErr w:type="gramEnd"/>
            <w:r w:rsidRPr="00973525">
              <w:rPr>
                <w:sz w:val="18"/>
                <w:szCs w:val="18"/>
                <w:lang w:val="en-GB"/>
              </w:rPr>
              <w:t xml:space="preserve"> senior tranches, most are in the form of retained securitisations, including asset</w:t>
            </w:r>
            <w:r w:rsidRPr="00973525">
              <w:rPr>
                <w:sz w:val="18"/>
                <w:szCs w:val="18"/>
                <w:lang w:val="en-GB"/>
              </w:rPr>
              <w:noBreakHyphen/>
              <w:t xml:space="preserve">backed securities (ABS) that are used as </w:t>
            </w:r>
            <w:r w:rsidRPr="00973525">
              <w:rPr>
                <w:b/>
                <w:bCs/>
                <w:sz w:val="18"/>
                <w:szCs w:val="18"/>
                <w:lang w:val="en-GB"/>
              </w:rPr>
              <w:t>collateral for central bank</w:t>
            </w:r>
            <w:r w:rsidRPr="00973525">
              <w:rPr>
                <w:sz w:val="18"/>
                <w:szCs w:val="18"/>
                <w:lang w:val="en-GB"/>
              </w:rPr>
              <w:t xml:space="preserve"> operations to obtain liquidity. Exposures to other banks’ securitisations are overall limited. The high percentage of retained securitisations limits the depth and liquidity of the securitisation market in the EU.</w:t>
            </w:r>
          </w:p>
          <w:p w14:paraId="33C5A0E5" w14:textId="77777777" w:rsidR="00C21071" w:rsidRPr="00973525" w:rsidRDefault="00C21071" w:rsidP="00265131">
            <w:pPr>
              <w:jc w:val="both"/>
              <w:rPr>
                <w:sz w:val="18"/>
                <w:szCs w:val="18"/>
                <w:lang w:val="en-GB"/>
              </w:rPr>
            </w:pPr>
            <w:r w:rsidRPr="00973525">
              <w:rPr>
                <w:sz w:val="18"/>
                <w:szCs w:val="18"/>
                <w:lang w:val="en-GB"/>
              </w:rPr>
              <w:t>The prudential treatment of securitisation is set out in </w:t>
            </w:r>
            <w:r>
              <w:fldChar w:fldCharType="begin"/>
            </w:r>
            <w:r w:rsidRPr="0000602A">
              <w:rPr>
                <w:lang w:val="en-GB"/>
              </w:rPr>
              <w:instrText>HYPERLINK "https://eur-lex.europa.eu/legal-content/EN/TXT/?uri=CELEX:02013R0575-20240709" \t "_blank"</w:instrText>
            </w:r>
            <w:r>
              <w:fldChar w:fldCharType="separate"/>
            </w:r>
            <w:r w:rsidRPr="00973525">
              <w:rPr>
                <w:rStyle w:val="Lienhypertexte"/>
                <w:sz w:val="18"/>
                <w:szCs w:val="18"/>
                <w:lang w:val="en-GB"/>
              </w:rPr>
              <w:t>Regulation (EU) No 575/2013 (Capital Requirements Regulation - CRR)</w:t>
            </w:r>
            <w:r>
              <w:rPr>
                <w:rStyle w:val="Lienhypertexte"/>
                <w:sz w:val="18"/>
                <w:szCs w:val="18"/>
                <w:lang w:val="en-GB"/>
              </w:rPr>
              <w:fldChar w:fldCharType="end"/>
            </w:r>
            <w:r w:rsidRPr="00973525">
              <w:rPr>
                <w:sz w:val="18"/>
                <w:szCs w:val="18"/>
                <w:lang w:val="en-GB"/>
              </w:rPr>
              <w:t>. It specifies requirements for the prudential treatment of securitisation exposures by banks, acting as originators, investors and sponsors in securitisation. The main features of the prudential treatment are defined in the Part Three, Title II, Chapter 5 of the CRR, which sets out the regulatory capital calculation approaches, a specific risk</w:t>
            </w:r>
            <w:r w:rsidRPr="00973525">
              <w:rPr>
                <w:sz w:val="18"/>
                <w:szCs w:val="18"/>
                <w:lang w:val="en-GB"/>
              </w:rPr>
              <w:noBreakHyphen/>
              <w:t>sensitive treatment for STS securitisations and additional criteria for the STS securitisations to be eligible for that treatment, the framework for the significant risk transfer (SRT), specific treatment for securitisation of non</w:t>
            </w:r>
            <w:r w:rsidRPr="00973525">
              <w:rPr>
                <w:sz w:val="18"/>
                <w:szCs w:val="18"/>
                <w:lang w:val="en-GB"/>
              </w:rPr>
              <w:noBreakHyphen/>
              <w:t>performing exposures and other specific requirements. Besides, the prudential treatment under the CRR, the liquidity risk treatment of the securitisation exposures under the </w:t>
            </w:r>
            <w:r>
              <w:fldChar w:fldCharType="begin"/>
            </w:r>
            <w:r w:rsidRPr="0000602A">
              <w:rPr>
                <w:lang w:val="en-GB"/>
              </w:rPr>
              <w:instrText>HYPERLINK "https://eur-lex.europa.eu/legal-content/EN/TXT/?uri=CELEX%3A02015R0061-20220708" \t "_blank"</w:instrText>
            </w:r>
            <w:r>
              <w:fldChar w:fldCharType="separate"/>
            </w:r>
            <w:r w:rsidRPr="00973525">
              <w:rPr>
                <w:rStyle w:val="Lienhypertexte"/>
                <w:sz w:val="18"/>
                <w:szCs w:val="18"/>
                <w:lang w:val="en-GB"/>
              </w:rPr>
              <w:t>LCR Delegated Regulation (Delegated Regulation (EU) 2015/61 on liquidity coverage requirements for credit institutions)</w:t>
            </w:r>
            <w:r>
              <w:rPr>
                <w:rStyle w:val="Lienhypertexte"/>
                <w:sz w:val="18"/>
                <w:szCs w:val="18"/>
                <w:lang w:val="en-GB"/>
              </w:rPr>
              <w:fldChar w:fldCharType="end"/>
            </w:r>
            <w:r w:rsidRPr="00973525">
              <w:rPr>
                <w:sz w:val="18"/>
                <w:szCs w:val="18"/>
                <w:lang w:val="en-GB"/>
              </w:rPr>
              <w:t> is also relevant for banks.</w:t>
            </w:r>
          </w:p>
          <w:p w14:paraId="363D02CE" w14:textId="3644EB6A" w:rsidR="00C21071" w:rsidRPr="00973525" w:rsidRDefault="00C21071" w:rsidP="00265131">
            <w:pPr>
              <w:jc w:val="both"/>
              <w:rPr>
                <w:sz w:val="18"/>
                <w:szCs w:val="18"/>
                <w:lang w:val="en-GB"/>
              </w:rPr>
            </w:pPr>
            <w:r w:rsidRPr="00973525">
              <w:rPr>
                <w:sz w:val="18"/>
                <w:szCs w:val="18"/>
                <w:lang w:val="en-GB"/>
              </w:rPr>
              <w:t>In their </w:t>
            </w:r>
            <w:r>
              <w:fldChar w:fldCharType="begin"/>
            </w:r>
            <w:r w:rsidRPr="00C72B68">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 "_blank"</w:instrText>
            </w:r>
            <w:r>
              <w:fldChar w:fldCharType="separate"/>
            </w:r>
            <w:r w:rsidRPr="00973525">
              <w:rPr>
                <w:rStyle w:val="Lienhypertexte"/>
                <w:sz w:val="18"/>
                <w:szCs w:val="18"/>
                <w:lang w:val="en-GB"/>
              </w:rPr>
              <w:t>advice from December 2022, the European Supervisory Authorities (ESAs)</w:t>
            </w:r>
            <w:r>
              <w:rPr>
                <w:rStyle w:val="Lienhypertexte"/>
                <w:sz w:val="18"/>
                <w:szCs w:val="18"/>
                <w:lang w:val="en-GB"/>
              </w:rPr>
              <w:fldChar w:fldCharType="end"/>
            </w:r>
            <w:r w:rsidRPr="00973525">
              <w:rPr>
                <w:sz w:val="18"/>
                <w:szCs w:val="18"/>
                <w:lang w:val="en-GB"/>
              </w:rPr>
              <w:t xml:space="preserve"> concluded that the prudential and the liquidity treatment of securitisation is not the key obstacle to the revival of the securitisation market, and that the subdued status of the securitisation market is rather the result of a series of factors, including the interplay between low supply and low demand. At the same time, the ESAs also recognised in their report that it is possible </w:t>
            </w:r>
            <w:r w:rsidRPr="00973525">
              <w:rPr>
                <w:b/>
                <w:bCs/>
                <w:sz w:val="18"/>
                <w:szCs w:val="18"/>
                <w:lang w:val="en-GB"/>
              </w:rPr>
              <w:t>to increase the risk sensitivity</w:t>
            </w:r>
            <w:r w:rsidRPr="00973525">
              <w:rPr>
                <w:sz w:val="18"/>
                <w:szCs w:val="18"/>
                <w:lang w:val="en-GB"/>
              </w:rPr>
              <w:t xml:space="preserve"> of the prudential framework. Many stakeholders consider the prudential and liquidity treatment as having a </w:t>
            </w:r>
            <w:r w:rsidRPr="00973525">
              <w:rPr>
                <w:b/>
                <w:bCs/>
                <w:sz w:val="18"/>
                <w:szCs w:val="18"/>
                <w:lang w:val="en-GB"/>
              </w:rPr>
              <w:t>decisive impact on the attractiveness</w:t>
            </w:r>
            <w:r w:rsidRPr="00973525">
              <w:rPr>
                <w:sz w:val="18"/>
                <w:szCs w:val="18"/>
                <w:lang w:val="en-GB"/>
              </w:rPr>
              <w:t xml:space="preserve"> of the securitisation instrument for banks and in addition point out </w:t>
            </w:r>
            <w:proofErr w:type="gramStart"/>
            <w:r w:rsidRPr="00973525">
              <w:rPr>
                <w:sz w:val="18"/>
                <w:szCs w:val="18"/>
                <w:lang w:val="en-GB"/>
              </w:rPr>
              <w:t>in particular to</w:t>
            </w:r>
            <w:proofErr w:type="gramEnd"/>
            <w:r w:rsidRPr="00973525">
              <w:rPr>
                <w:sz w:val="18"/>
                <w:szCs w:val="18"/>
                <w:lang w:val="en-GB"/>
              </w:rPr>
              <w:t xml:space="preserve"> a </w:t>
            </w:r>
            <w:r w:rsidRPr="00973525">
              <w:rPr>
                <w:b/>
                <w:bCs/>
                <w:sz w:val="18"/>
                <w:szCs w:val="18"/>
                <w:lang w:val="en-GB"/>
              </w:rPr>
              <w:t>relative disadvantage</w:t>
            </w:r>
            <w:r w:rsidRPr="00973525">
              <w:rPr>
                <w:sz w:val="18"/>
                <w:szCs w:val="18"/>
                <w:lang w:val="en-GB"/>
              </w:rPr>
              <w:t xml:space="preserve"> of the prudential treatment for some types of securitisations </w:t>
            </w:r>
            <w:r w:rsidRPr="00973525">
              <w:rPr>
                <w:b/>
                <w:bCs/>
                <w:sz w:val="18"/>
                <w:szCs w:val="18"/>
                <w:lang w:val="en-GB"/>
              </w:rPr>
              <w:t>in comparison with other financial instruments</w:t>
            </w:r>
            <w:r w:rsidRPr="00973525">
              <w:rPr>
                <w:sz w:val="18"/>
                <w:szCs w:val="18"/>
                <w:lang w:val="en-GB"/>
              </w:rPr>
              <w:t>.</w:t>
            </w:r>
          </w:p>
          <w:p w14:paraId="36ACEF87" w14:textId="77777777" w:rsidR="00C21071" w:rsidRPr="00973525" w:rsidRDefault="00C21071" w:rsidP="00265131">
            <w:pPr>
              <w:ind w:firstLine="1917"/>
              <w:jc w:val="both"/>
              <w:rPr>
                <w:sz w:val="18"/>
                <w:szCs w:val="18"/>
                <w:lang w:val="en-GB"/>
              </w:rPr>
            </w:pPr>
          </w:p>
        </w:tc>
      </w:tr>
      <w:tr w:rsidR="00C21071" w:rsidRPr="00973525" w14:paraId="22454295" w14:textId="77777777" w:rsidTr="30964D0C">
        <w:trPr>
          <w:gridAfter w:val="1"/>
          <w:wAfter w:w="16" w:type="dxa"/>
        </w:trPr>
        <w:tc>
          <w:tcPr>
            <w:tcW w:w="2893" w:type="dxa"/>
            <w:shd w:val="clear" w:color="auto" w:fill="DAE9F7" w:themeFill="text2" w:themeFillTint="1A"/>
          </w:tcPr>
          <w:p w14:paraId="36E41A63" w14:textId="725DB028" w:rsidR="00C21071" w:rsidRPr="00973525" w:rsidRDefault="00C21071" w:rsidP="00C21071">
            <w:pPr>
              <w:rPr>
                <w:b/>
                <w:bCs/>
                <w:i/>
                <w:iCs/>
                <w:sz w:val="18"/>
                <w:szCs w:val="18"/>
                <w:lang w:val="en-GB"/>
              </w:rPr>
            </w:pPr>
            <w:r w:rsidRPr="00973525">
              <w:rPr>
                <w:b/>
                <w:bCs/>
                <w:i/>
                <w:iCs/>
                <w:sz w:val="18"/>
                <w:szCs w:val="18"/>
                <w:lang w:val="en-GB"/>
              </w:rPr>
              <w:t>Questions</w:t>
            </w:r>
          </w:p>
        </w:tc>
        <w:tc>
          <w:tcPr>
            <w:tcW w:w="7740" w:type="dxa"/>
            <w:shd w:val="clear" w:color="auto" w:fill="DAE9F7" w:themeFill="text2" w:themeFillTint="1A"/>
          </w:tcPr>
          <w:p w14:paraId="67D51BA8" w14:textId="44C8A3ED" w:rsidR="00C21071" w:rsidRPr="00973525" w:rsidRDefault="1AD559A4" w:rsidP="30964D0C">
            <w:r w:rsidRPr="30964D0C">
              <w:rPr>
                <w:b/>
                <w:bCs/>
                <w:i/>
                <w:iCs/>
                <w:sz w:val="18"/>
                <w:szCs w:val="18"/>
                <w:lang w:val="en-GB"/>
              </w:rPr>
              <w:t xml:space="preserve">FBF </w:t>
            </w:r>
            <w:proofErr w:type="spellStart"/>
            <w:r w:rsidRPr="30964D0C">
              <w:rPr>
                <w:b/>
                <w:bCs/>
                <w:i/>
                <w:iCs/>
                <w:sz w:val="18"/>
                <w:szCs w:val="18"/>
                <w:lang w:val="en-GB"/>
              </w:rPr>
              <w:t>Anwers</w:t>
            </w:r>
            <w:proofErr w:type="spellEnd"/>
          </w:p>
        </w:tc>
        <w:tc>
          <w:tcPr>
            <w:tcW w:w="236" w:type="dxa"/>
            <w:shd w:val="clear" w:color="auto" w:fill="DAE9F7" w:themeFill="text2" w:themeFillTint="1A"/>
          </w:tcPr>
          <w:p w14:paraId="7592F81C" w14:textId="0DB98381" w:rsidR="00C21071" w:rsidRPr="00973525" w:rsidRDefault="00C21071" w:rsidP="0079353D">
            <w:pPr>
              <w:pStyle w:val="Paragraphedeliste"/>
              <w:ind w:left="0" w:firstLine="1917"/>
              <w:rPr>
                <w:b/>
                <w:bCs/>
                <w:i/>
                <w:iCs/>
                <w:sz w:val="18"/>
                <w:szCs w:val="18"/>
                <w:lang w:val="en-GB"/>
              </w:rPr>
            </w:pPr>
          </w:p>
        </w:tc>
      </w:tr>
      <w:tr w:rsidR="00C21071" w:rsidRPr="0000602A" w14:paraId="31A553BF" w14:textId="77777777" w:rsidTr="30964D0C">
        <w:trPr>
          <w:gridAfter w:val="1"/>
          <w:wAfter w:w="16" w:type="dxa"/>
        </w:trPr>
        <w:tc>
          <w:tcPr>
            <w:tcW w:w="2893" w:type="dxa"/>
          </w:tcPr>
          <w:p w14:paraId="03253056" w14:textId="77777777" w:rsidR="00C21071" w:rsidRPr="00973525" w:rsidRDefault="00C21071" w:rsidP="00C21071">
            <w:pPr>
              <w:rPr>
                <w:sz w:val="18"/>
                <w:szCs w:val="18"/>
                <w:lang w:val="en-GB"/>
              </w:rPr>
            </w:pPr>
            <w:r w:rsidRPr="00973525">
              <w:rPr>
                <w:sz w:val="18"/>
                <w:szCs w:val="18"/>
                <w:lang w:val="en-GB"/>
              </w:rPr>
              <w:t xml:space="preserve">Question 9.1. What </w:t>
            </w:r>
            <w:r w:rsidRPr="00973525">
              <w:rPr>
                <w:b/>
                <w:bCs/>
                <w:sz w:val="18"/>
                <w:szCs w:val="18"/>
                <w:lang w:val="en-GB"/>
              </w:rPr>
              <w:t>concrete prudential provisions</w:t>
            </w:r>
            <w:r w:rsidRPr="00973525">
              <w:rPr>
                <w:sz w:val="18"/>
                <w:szCs w:val="18"/>
                <w:lang w:val="en-GB"/>
              </w:rPr>
              <w:t xml:space="preserve"> in the CRR </w:t>
            </w:r>
            <w:r w:rsidRPr="00973525">
              <w:rPr>
                <w:sz w:val="18"/>
                <w:szCs w:val="18"/>
                <w:lang w:val="en-GB"/>
              </w:rPr>
              <w:lastRenderedPageBreak/>
              <w:t xml:space="preserve">have the </w:t>
            </w:r>
            <w:r w:rsidRPr="00973525">
              <w:rPr>
                <w:b/>
                <w:bCs/>
                <w:sz w:val="18"/>
                <w:szCs w:val="18"/>
                <w:lang w:val="en-GB"/>
              </w:rPr>
              <w:t>strongest influence</w:t>
            </w:r>
            <w:r w:rsidRPr="00973525">
              <w:rPr>
                <w:sz w:val="18"/>
                <w:szCs w:val="18"/>
                <w:lang w:val="en-GB"/>
              </w:rPr>
              <w:t xml:space="preserve"> on the banks’ </w:t>
            </w:r>
            <w:r w:rsidRPr="00973525">
              <w:rPr>
                <w:b/>
                <w:bCs/>
                <w:sz w:val="18"/>
                <w:szCs w:val="18"/>
                <w:lang w:val="en-GB"/>
              </w:rPr>
              <w:t>issuance</w:t>
            </w:r>
            <w:r w:rsidRPr="00973525">
              <w:rPr>
                <w:sz w:val="18"/>
                <w:szCs w:val="18"/>
                <w:lang w:val="en-GB"/>
              </w:rPr>
              <w:t xml:space="preserve"> of and </w:t>
            </w:r>
            <w:r w:rsidRPr="00973525">
              <w:rPr>
                <w:b/>
                <w:bCs/>
                <w:sz w:val="18"/>
                <w:szCs w:val="18"/>
                <w:lang w:val="en-GB"/>
              </w:rPr>
              <w:t>demand</w:t>
            </w:r>
            <w:r w:rsidRPr="00973525">
              <w:rPr>
                <w:sz w:val="18"/>
                <w:szCs w:val="18"/>
                <w:lang w:val="en-GB"/>
              </w:rPr>
              <w:t xml:space="preserve"> for those types of traditional, i.e. true sale, securitisation which involve the senior tranche being sold to external investors and not retained by the originator?</w:t>
            </w:r>
          </w:p>
          <w:p w14:paraId="5C7CBCC2" w14:textId="77777777" w:rsidR="00C21071" w:rsidRPr="00973525" w:rsidRDefault="00C21071" w:rsidP="00C21071">
            <w:pPr>
              <w:rPr>
                <w:sz w:val="18"/>
                <w:szCs w:val="18"/>
                <w:lang w:val="en-GB"/>
              </w:rPr>
            </w:pPr>
          </w:p>
        </w:tc>
        <w:tc>
          <w:tcPr>
            <w:tcW w:w="7740" w:type="dxa"/>
          </w:tcPr>
          <w:p w14:paraId="04467228" w14:textId="405CA7BD" w:rsidR="00C21071" w:rsidRPr="00973525" w:rsidRDefault="00C21071" w:rsidP="00C21071">
            <w:pPr>
              <w:rPr>
                <w:sz w:val="18"/>
                <w:szCs w:val="18"/>
                <w:lang w:val="en-US"/>
              </w:rPr>
            </w:pPr>
            <w:r w:rsidRPr="00973525">
              <w:rPr>
                <w:sz w:val="18"/>
                <w:szCs w:val="18"/>
                <w:lang w:val="en-US"/>
              </w:rPr>
              <w:lastRenderedPageBreak/>
              <w:t xml:space="preserve">We consider that the current lack of appetite from bank investors and issuers comes mainly from </w:t>
            </w:r>
            <w:r w:rsidR="0073008E">
              <w:rPr>
                <w:sz w:val="18"/>
                <w:szCs w:val="18"/>
                <w:lang w:val="en-US"/>
              </w:rPr>
              <w:t>simultaneous</w:t>
            </w:r>
            <w:r w:rsidR="00494F50">
              <w:rPr>
                <w:sz w:val="18"/>
                <w:szCs w:val="18"/>
                <w:lang w:val="en-US"/>
              </w:rPr>
              <w:t xml:space="preserve"> </w:t>
            </w:r>
            <w:r w:rsidRPr="00973525">
              <w:rPr>
                <w:sz w:val="18"/>
                <w:szCs w:val="18"/>
                <w:lang w:val="en-US"/>
              </w:rPr>
              <w:t>LCR lack of eligibility,</w:t>
            </w:r>
            <w:r w:rsidR="00300AC0">
              <w:rPr>
                <w:sz w:val="18"/>
                <w:szCs w:val="18"/>
                <w:lang w:val="en-US"/>
              </w:rPr>
              <w:t xml:space="preserve"> </w:t>
            </w:r>
            <w:proofErr w:type="spellStart"/>
            <w:r w:rsidR="00D04F80">
              <w:rPr>
                <w:sz w:val="18"/>
                <w:szCs w:val="18"/>
                <w:lang w:val="en-US"/>
              </w:rPr>
              <w:t>miscalibrated</w:t>
            </w:r>
            <w:proofErr w:type="spellEnd"/>
            <w:r w:rsidR="00D04F80">
              <w:rPr>
                <w:sz w:val="18"/>
                <w:szCs w:val="18"/>
                <w:lang w:val="en-US"/>
              </w:rPr>
              <w:t xml:space="preserve"> </w:t>
            </w:r>
            <w:r w:rsidRPr="00973525">
              <w:rPr>
                <w:sz w:val="18"/>
                <w:szCs w:val="18"/>
                <w:lang w:val="en-US"/>
              </w:rPr>
              <w:t>RW treatment</w:t>
            </w:r>
            <w:r w:rsidR="004434B0">
              <w:rPr>
                <w:sz w:val="18"/>
                <w:szCs w:val="18"/>
                <w:lang w:val="en-US"/>
              </w:rPr>
              <w:t>s</w:t>
            </w:r>
            <w:r w:rsidRPr="00973525">
              <w:rPr>
                <w:sz w:val="18"/>
                <w:szCs w:val="18"/>
                <w:lang w:val="en-US"/>
              </w:rPr>
              <w:t xml:space="preserve">, and heavy due </w:t>
            </w:r>
            <w:proofErr w:type="gramStart"/>
            <w:r w:rsidRPr="00973525">
              <w:rPr>
                <w:sz w:val="18"/>
                <w:szCs w:val="18"/>
                <w:lang w:val="en-US"/>
              </w:rPr>
              <w:t>diligences</w:t>
            </w:r>
            <w:proofErr w:type="gramEnd"/>
          </w:p>
          <w:p w14:paraId="00F5B73D" w14:textId="155A2A8A" w:rsidR="00C21071" w:rsidRPr="00973525" w:rsidRDefault="00C21071" w:rsidP="00C21071">
            <w:pPr>
              <w:pStyle w:val="Paragraphedeliste"/>
              <w:numPr>
                <w:ilvl w:val="0"/>
                <w:numId w:val="14"/>
              </w:numPr>
              <w:rPr>
                <w:sz w:val="18"/>
                <w:szCs w:val="18"/>
                <w:lang w:val="en-US"/>
              </w:rPr>
            </w:pPr>
            <w:r w:rsidRPr="00973525">
              <w:rPr>
                <w:sz w:val="18"/>
                <w:szCs w:val="18"/>
                <w:u w:val="single"/>
                <w:lang w:val="en-US"/>
              </w:rPr>
              <w:lastRenderedPageBreak/>
              <w:t>Concerning liquidity,</w:t>
            </w:r>
            <w:r w:rsidRPr="00973525">
              <w:rPr>
                <w:sz w:val="18"/>
                <w:szCs w:val="18"/>
                <w:lang w:val="en-US"/>
              </w:rPr>
              <w:t xml:space="preserve"> revising LCR eligibility and haircuts for senior ABS to make them consistent with alternative fixed income instruments. This should lead to the promotion of Senior STS to Level 2A and the enlargement of the eligibility of securitisation in the Level 2B LCR buffer.</w:t>
            </w:r>
          </w:p>
          <w:p w14:paraId="363C846E" w14:textId="1D94FB2B" w:rsidR="00C21071" w:rsidRPr="00973525" w:rsidRDefault="00C21071" w:rsidP="00C21071">
            <w:pPr>
              <w:pStyle w:val="Paragraphedeliste"/>
              <w:numPr>
                <w:ilvl w:val="0"/>
                <w:numId w:val="14"/>
              </w:numPr>
              <w:rPr>
                <w:sz w:val="18"/>
                <w:szCs w:val="18"/>
                <w:lang w:val="en-US"/>
              </w:rPr>
            </w:pPr>
            <w:r w:rsidRPr="00973525">
              <w:rPr>
                <w:sz w:val="18"/>
                <w:szCs w:val="18"/>
                <w:u w:val="single"/>
                <w:lang w:val="en-US"/>
              </w:rPr>
              <w:t>Concerning capital treatment</w:t>
            </w:r>
            <w:r w:rsidRPr="00973525">
              <w:rPr>
                <w:sz w:val="18"/>
                <w:szCs w:val="18"/>
                <w:lang w:val="en-US"/>
              </w:rPr>
              <w:t xml:space="preserve">, </w:t>
            </w:r>
          </w:p>
          <w:p w14:paraId="467F2B00" w14:textId="7A313450" w:rsidR="00C21071" w:rsidRPr="004A15CE" w:rsidRDefault="00E30985" w:rsidP="003212CB">
            <w:pPr>
              <w:pStyle w:val="Paragraphedeliste"/>
              <w:numPr>
                <w:ilvl w:val="1"/>
                <w:numId w:val="14"/>
              </w:numPr>
              <w:rPr>
                <w:sz w:val="18"/>
                <w:szCs w:val="18"/>
                <w:lang w:val="en-GB"/>
              </w:rPr>
            </w:pPr>
            <w:r w:rsidRPr="00973525">
              <w:rPr>
                <w:sz w:val="18"/>
                <w:szCs w:val="18"/>
                <w:lang w:val="en-US"/>
              </w:rPr>
              <w:t>The</w:t>
            </w:r>
            <w:r w:rsidR="00C21071" w:rsidRPr="00973525">
              <w:rPr>
                <w:sz w:val="18"/>
                <w:szCs w:val="18"/>
                <w:lang w:val="en-US"/>
              </w:rPr>
              <w:t xml:space="preserve"> revision of the RW floor (on all regulatory methods, IAA, SEC ERBA, SEC SA, SEC IRBA) is the simplest and the most impactful measure, based on the proposal of a </w:t>
            </w:r>
            <w:r w:rsidR="00D76DD9">
              <w:rPr>
                <w:sz w:val="18"/>
                <w:szCs w:val="18"/>
                <w:lang w:val="en-US"/>
              </w:rPr>
              <w:t>R</w:t>
            </w:r>
            <w:r w:rsidR="00D76DD9" w:rsidRPr="00973525">
              <w:rPr>
                <w:sz w:val="18"/>
                <w:szCs w:val="18"/>
                <w:lang w:val="en-US"/>
              </w:rPr>
              <w:t xml:space="preserve">isk </w:t>
            </w:r>
            <w:r w:rsidR="002D30FF" w:rsidRPr="00D829E0">
              <w:rPr>
                <w:sz w:val="18"/>
                <w:szCs w:val="18"/>
                <w:lang w:val="en-US"/>
              </w:rPr>
              <w:t>_</w:t>
            </w:r>
            <w:r w:rsidR="00D76DD9" w:rsidRPr="00D829E0">
              <w:rPr>
                <w:sz w:val="18"/>
                <w:szCs w:val="18"/>
                <w:lang w:val="en-US"/>
              </w:rPr>
              <w:t>S</w:t>
            </w:r>
            <w:r w:rsidR="00C21071" w:rsidRPr="00D829E0">
              <w:rPr>
                <w:sz w:val="18"/>
                <w:szCs w:val="18"/>
                <w:lang w:val="en-US"/>
              </w:rPr>
              <w:t>ensitive floor</w:t>
            </w:r>
            <w:r w:rsidR="00C10146">
              <w:rPr>
                <w:sz w:val="18"/>
                <w:szCs w:val="18"/>
                <w:lang w:val="en-US"/>
              </w:rPr>
              <w:t xml:space="preserve">. </w:t>
            </w:r>
            <w:r w:rsidR="00C10146" w:rsidRPr="00C10146">
              <w:rPr>
                <w:sz w:val="18"/>
                <w:szCs w:val="18"/>
                <w:lang w:val="en-GB"/>
              </w:rPr>
              <w:t>It should be based on a fraction of the risk weight of the underlying pool (Po</w:t>
            </w:r>
            <w:r w:rsidR="00C10146" w:rsidRPr="00C10146">
              <w:rPr>
                <w:sz w:val="18"/>
                <w:szCs w:val="18"/>
                <w:vertAlign w:val="subscript"/>
                <w:lang w:val="en-GB"/>
              </w:rPr>
              <w:t>pol</w:t>
            </w:r>
            <w:r w:rsidR="00C10146" w:rsidRPr="00C10146">
              <w:rPr>
                <w:sz w:val="18"/>
                <w:szCs w:val="18"/>
                <w:lang w:val="en-GB"/>
              </w:rPr>
              <w:t xml:space="preserve">). </w:t>
            </w:r>
            <w:r w:rsidR="00795D23">
              <w:rPr>
                <w:sz w:val="18"/>
                <w:szCs w:val="18"/>
                <w:lang w:val="en-GB"/>
              </w:rPr>
              <w:br/>
            </w:r>
            <w:r w:rsidR="00C10146" w:rsidRPr="00C10146">
              <w:rPr>
                <w:sz w:val="18"/>
                <w:szCs w:val="18"/>
                <w:lang w:val="en-GB"/>
              </w:rPr>
              <w:t xml:space="preserve">A distinction between STS and Non-STS could be made so that for STS, such that RW Floor equals 7% of </w:t>
            </w:r>
            <w:proofErr w:type="spellStart"/>
            <w:r w:rsidR="00C10146" w:rsidRPr="00C10146">
              <w:rPr>
                <w:sz w:val="18"/>
                <w:szCs w:val="18"/>
                <w:lang w:val="en-GB"/>
              </w:rPr>
              <w:t>RW</w:t>
            </w:r>
            <w:r w:rsidR="00C10146" w:rsidRPr="00C10146">
              <w:rPr>
                <w:sz w:val="18"/>
                <w:szCs w:val="18"/>
                <w:vertAlign w:val="subscript"/>
                <w:lang w:val="en-GB"/>
              </w:rPr>
              <w:t>Pool</w:t>
            </w:r>
            <w:proofErr w:type="spellEnd"/>
            <w:r w:rsidR="00C10146" w:rsidRPr="00C10146">
              <w:rPr>
                <w:sz w:val="18"/>
                <w:szCs w:val="18"/>
                <w:lang w:val="en-GB"/>
              </w:rPr>
              <w:t xml:space="preserve">, and for Non-STS, RW Floor equals to 12% of </w:t>
            </w:r>
            <w:proofErr w:type="spellStart"/>
            <w:r w:rsidR="00C10146" w:rsidRPr="00C10146">
              <w:rPr>
                <w:sz w:val="18"/>
                <w:szCs w:val="18"/>
                <w:lang w:val="en-GB"/>
              </w:rPr>
              <w:t>RW</w:t>
            </w:r>
            <w:r w:rsidR="00C10146" w:rsidRPr="00C10146">
              <w:rPr>
                <w:sz w:val="18"/>
                <w:szCs w:val="18"/>
                <w:vertAlign w:val="subscript"/>
                <w:lang w:val="en-GB"/>
              </w:rPr>
              <w:t>Pool</w:t>
            </w:r>
            <w:proofErr w:type="spellEnd"/>
            <w:r w:rsidR="00C10146" w:rsidRPr="00C10146">
              <w:rPr>
                <w:sz w:val="18"/>
                <w:szCs w:val="18"/>
                <w:lang w:val="en-GB"/>
              </w:rPr>
              <w:t>.</w:t>
            </w:r>
            <w:r w:rsidR="00241167">
              <w:rPr>
                <w:sz w:val="18"/>
                <w:szCs w:val="18"/>
                <w:lang w:val="en-GB"/>
              </w:rPr>
              <w:br/>
              <w:t xml:space="preserve"> =</w:t>
            </w:r>
            <w:proofErr w:type="gramStart"/>
            <w:r w:rsidR="00241167">
              <w:rPr>
                <w:sz w:val="16"/>
                <w:szCs w:val="16"/>
                <w:lang w:val="en-GB"/>
              </w:rPr>
              <w:t>&gt;</w:t>
            </w:r>
            <w:r w:rsidR="000B7E87">
              <w:rPr>
                <w:sz w:val="18"/>
                <w:szCs w:val="18"/>
                <w:lang w:val="en-US"/>
              </w:rPr>
              <w:t>[</w:t>
            </w:r>
            <w:proofErr w:type="gramEnd"/>
            <w:r w:rsidR="00C21071" w:rsidRPr="000B7E87">
              <w:rPr>
                <w:sz w:val="18"/>
                <w:szCs w:val="18"/>
                <w:lang w:val="en-US"/>
              </w:rPr>
              <w:t>7% x RW</w:t>
            </w:r>
            <w:r w:rsidR="003C29D7" w:rsidRPr="000B7E87">
              <w:rPr>
                <w:sz w:val="18"/>
                <w:szCs w:val="18"/>
                <w:lang w:val="en-US"/>
              </w:rPr>
              <w:t xml:space="preserve"> </w:t>
            </w:r>
            <w:r w:rsidR="00C21071" w:rsidRPr="000B7E87">
              <w:rPr>
                <w:sz w:val="18"/>
                <w:szCs w:val="18"/>
                <w:lang w:val="en-US"/>
              </w:rPr>
              <w:t>pool for STS and 12%</w:t>
            </w:r>
            <w:r w:rsidR="00D829E0" w:rsidRPr="000B7E87">
              <w:rPr>
                <w:sz w:val="18"/>
                <w:szCs w:val="18"/>
                <w:lang w:val="en-US"/>
              </w:rPr>
              <w:t xml:space="preserve"> </w:t>
            </w:r>
            <w:r w:rsidR="00C21071" w:rsidRPr="000B7E87">
              <w:rPr>
                <w:sz w:val="18"/>
                <w:szCs w:val="18"/>
                <w:lang w:val="en-US"/>
              </w:rPr>
              <w:t>x</w:t>
            </w:r>
            <w:r w:rsidR="00D829E0" w:rsidRPr="000B7E87">
              <w:rPr>
                <w:sz w:val="18"/>
                <w:szCs w:val="18"/>
                <w:lang w:val="en-US"/>
              </w:rPr>
              <w:t xml:space="preserve"> </w:t>
            </w:r>
            <w:proofErr w:type="spellStart"/>
            <w:r w:rsidR="00C21071" w:rsidRPr="000B7E87">
              <w:rPr>
                <w:sz w:val="18"/>
                <w:szCs w:val="18"/>
                <w:lang w:val="en-US"/>
              </w:rPr>
              <w:t>RWpool</w:t>
            </w:r>
            <w:proofErr w:type="spellEnd"/>
            <w:r w:rsidR="00C21071" w:rsidRPr="000B7E87">
              <w:rPr>
                <w:sz w:val="18"/>
                <w:szCs w:val="18"/>
                <w:lang w:val="en-US"/>
              </w:rPr>
              <w:t xml:space="preserve"> for non-STS </w:t>
            </w:r>
            <w:r w:rsidR="000B7E87">
              <w:rPr>
                <w:sz w:val="18"/>
                <w:szCs w:val="18"/>
                <w:lang w:val="en-US"/>
              </w:rPr>
              <w:t>]</w:t>
            </w:r>
            <w:r w:rsidR="00C21071" w:rsidRPr="000B7E87">
              <w:rPr>
                <w:sz w:val="18"/>
                <w:szCs w:val="18"/>
                <w:lang w:val="en-US"/>
              </w:rPr>
              <w:t>.</w:t>
            </w:r>
            <w:r w:rsidR="004A15CE">
              <w:rPr>
                <w:sz w:val="18"/>
                <w:szCs w:val="18"/>
                <w:lang w:val="en-US"/>
              </w:rPr>
              <w:br/>
            </w:r>
          </w:p>
          <w:p w14:paraId="4B3C9C90" w14:textId="5E9E632E" w:rsidR="00C21071" w:rsidRPr="00D60E7C" w:rsidRDefault="00C21071" w:rsidP="00C21071">
            <w:pPr>
              <w:pStyle w:val="Paragraphedeliste"/>
              <w:numPr>
                <w:ilvl w:val="1"/>
                <w:numId w:val="14"/>
              </w:numPr>
              <w:rPr>
                <w:sz w:val="18"/>
                <w:szCs w:val="18"/>
                <w:lang w:val="en-US"/>
              </w:rPr>
            </w:pPr>
            <w:r w:rsidRPr="00D60E7C">
              <w:rPr>
                <w:sz w:val="18"/>
                <w:szCs w:val="18"/>
                <w:u w:val="single"/>
                <w:lang w:val="en-US"/>
              </w:rPr>
              <w:t>the extension of article 465</w:t>
            </w:r>
            <w:r w:rsidRPr="00D60E7C">
              <w:rPr>
                <w:sz w:val="18"/>
                <w:szCs w:val="18"/>
                <w:lang w:val="en-US"/>
              </w:rPr>
              <w:t>, which is a transitional approach with reduced p-factor on the standard measure used for the calculation of the output floor, so that it becomes permanent and applies to the SEC-SA beyond the output floor</w:t>
            </w:r>
            <w:r w:rsidR="003541E3" w:rsidRPr="00D60E7C">
              <w:rPr>
                <w:sz w:val="18"/>
                <w:szCs w:val="18"/>
                <w:lang w:val="en-US"/>
              </w:rPr>
              <w:t xml:space="preserve"> </w:t>
            </w:r>
            <w:r w:rsidRPr="00D60E7C">
              <w:rPr>
                <w:sz w:val="18"/>
                <w:szCs w:val="18"/>
                <w:lang w:val="en-US"/>
              </w:rPr>
              <w:t xml:space="preserve">(“Boyer amendment”). </w:t>
            </w:r>
          </w:p>
          <w:p w14:paraId="38624893" w14:textId="66E7EC00" w:rsidR="00C21071" w:rsidRPr="00973525" w:rsidRDefault="00C21071" w:rsidP="00C21071">
            <w:pPr>
              <w:rPr>
                <w:sz w:val="18"/>
                <w:szCs w:val="18"/>
                <w:lang w:val="en-US"/>
              </w:rPr>
            </w:pPr>
            <w:r w:rsidRPr="00973525">
              <w:rPr>
                <w:sz w:val="18"/>
                <w:szCs w:val="18"/>
                <w:lang w:val="en-US"/>
              </w:rPr>
              <w:tab/>
            </w:r>
          </w:p>
        </w:tc>
        <w:tc>
          <w:tcPr>
            <w:tcW w:w="236" w:type="dxa"/>
          </w:tcPr>
          <w:p w14:paraId="2D871109" w14:textId="61A79311" w:rsidR="00C21071" w:rsidRPr="00597791" w:rsidRDefault="00C21071" w:rsidP="0079353D">
            <w:pPr>
              <w:ind w:firstLine="1917"/>
              <w:rPr>
                <w:sz w:val="18"/>
                <w:szCs w:val="18"/>
                <w:lang w:val="en-US"/>
              </w:rPr>
            </w:pPr>
          </w:p>
        </w:tc>
      </w:tr>
      <w:tr w:rsidR="00C21071" w:rsidRPr="0000602A" w14:paraId="1DD839AD" w14:textId="77777777" w:rsidTr="30964D0C">
        <w:trPr>
          <w:gridAfter w:val="1"/>
          <w:wAfter w:w="16" w:type="dxa"/>
        </w:trPr>
        <w:tc>
          <w:tcPr>
            <w:tcW w:w="2893" w:type="dxa"/>
          </w:tcPr>
          <w:p w14:paraId="6F833B3F" w14:textId="77777777" w:rsidR="00C21071" w:rsidRPr="00973525" w:rsidRDefault="00C21071" w:rsidP="00C21071">
            <w:pPr>
              <w:rPr>
                <w:sz w:val="18"/>
                <w:szCs w:val="18"/>
                <w:lang w:val="en-GB"/>
              </w:rPr>
            </w:pPr>
            <w:r w:rsidRPr="00973525">
              <w:rPr>
                <w:sz w:val="18"/>
                <w:szCs w:val="18"/>
                <w:lang w:val="en-GB"/>
              </w:rPr>
              <w:t xml:space="preserve">Question 9.2. Please explain how possible </w:t>
            </w:r>
            <w:r w:rsidRPr="00973525">
              <w:rPr>
                <w:b/>
                <w:bCs/>
                <w:sz w:val="18"/>
                <w:szCs w:val="18"/>
                <w:lang w:val="en-GB"/>
              </w:rPr>
              <w:t>changes</w:t>
            </w:r>
            <w:r w:rsidRPr="00973525">
              <w:rPr>
                <w:sz w:val="18"/>
                <w:szCs w:val="18"/>
                <w:lang w:val="en-GB"/>
              </w:rPr>
              <w:t xml:space="preserve"> in the prudential treatment would </w:t>
            </w:r>
            <w:r w:rsidRPr="00973525">
              <w:rPr>
                <w:b/>
                <w:bCs/>
                <w:sz w:val="18"/>
                <w:szCs w:val="18"/>
                <w:lang w:val="en-GB"/>
              </w:rPr>
              <w:t>change the volume</w:t>
            </w:r>
            <w:r w:rsidRPr="00973525">
              <w:rPr>
                <w:sz w:val="18"/>
                <w:szCs w:val="18"/>
                <w:lang w:val="en-GB"/>
              </w:rPr>
              <w:t xml:space="preserve"> of the securitisation that you </w:t>
            </w:r>
            <w:r w:rsidRPr="00973525">
              <w:rPr>
                <w:b/>
                <w:bCs/>
                <w:sz w:val="18"/>
                <w:szCs w:val="18"/>
                <w:lang w:val="en-GB"/>
              </w:rPr>
              <w:t>issue</w:t>
            </w:r>
            <w:r w:rsidRPr="00973525">
              <w:rPr>
                <w:sz w:val="18"/>
                <w:szCs w:val="18"/>
                <w:lang w:val="en-GB"/>
              </w:rPr>
              <w:t xml:space="preserve">, or </w:t>
            </w:r>
            <w:r w:rsidRPr="00973525">
              <w:rPr>
                <w:b/>
                <w:bCs/>
                <w:sz w:val="18"/>
                <w:szCs w:val="18"/>
                <w:lang w:val="en-GB"/>
              </w:rPr>
              <w:t>invest in</w:t>
            </w:r>
            <w:r w:rsidRPr="00973525">
              <w:rPr>
                <w:sz w:val="18"/>
                <w:szCs w:val="18"/>
                <w:lang w:val="en-GB"/>
              </w:rPr>
              <w:t xml:space="preserve"> (for the latter, split the rationale and volumes for different tranches):</w:t>
            </w:r>
          </w:p>
          <w:p w14:paraId="2E8A992F" w14:textId="77777777" w:rsidR="00C21071" w:rsidRPr="00973525" w:rsidRDefault="00C21071" w:rsidP="00C21071">
            <w:pPr>
              <w:rPr>
                <w:sz w:val="18"/>
                <w:szCs w:val="18"/>
                <w:lang w:val="en-GB"/>
              </w:rPr>
            </w:pPr>
          </w:p>
        </w:tc>
        <w:tc>
          <w:tcPr>
            <w:tcW w:w="7740" w:type="dxa"/>
          </w:tcPr>
          <w:p w14:paraId="0B33C073" w14:textId="7E930446" w:rsidR="00F46740" w:rsidRDefault="00E12B48" w:rsidP="002749CD">
            <w:pPr>
              <w:pStyle w:val="Paragraphedeliste"/>
              <w:numPr>
                <w:ilvl w:val="0"/>
                <w:numId w:val="5"/>
              </w:numPr>
              <w:rPr>
                <w:sz w:val="18"/>
                <w:szCs w:val="18"/>
                <w:lang w:val="en-US"/>
              </w:rPr>
            </w:pPr>
            <w:r w:rsidRPr="00B8267D">
              <w:rPr>
                <w:sz w:val="18"/>
                <w:szCs w:val="18"/>
                <w:u w:val="single"/>
                <w:lang w:val="en-US"/>
              </w:rPr>
              <w:t>When securitisation</w:t>
            </w:r>
            <w:r w:rsidR="00C21071" w:rsidRPr="00B8267D">
              <w:rPr>
                <w:sz w:val="18"/>
                <w:szCs w:val="18"/>
                <w:u w:val="single"/>
                <w:lang w:val="en-US"/>
              </w:rPr>
              <w:t xml:space="preserve"> </w:t>
            </w:r>
            <w:proofErr w:type="gramStart"/>
            <w:r w:rsidR="00C21071" w:rsidRPr="00B8267D">
              <w:rPr>
                <w:sz w:val="18"/>
                <w:szCs w:val="18"/>
                <w:u w:val="single"/>
                <w:lang w:val="en-US"/>
              </w:rPr>
              <w:t xml:space="preserve">risk </w:t>
            </w:r>
            <w:r w:rsidR="00F92D94" w:rsidRPr="00B8267D">
              <w:rPr>
                <w:sz w:val="18"/>
                <w:szCs w:val="18"/>
                <w:u w:val="single"/>
                <w:lang w:val="en-US"/>
              </w:rPr>
              <w:t>weights</w:t>
            </w:r>
            <w:proofErr w:type="gramEnd"/>
            <w:r w:rsidR="00D807F5" w:rsidRPr="00B8267D">
              <w:rPr>
                <w:sz w:val="18"/>
                <w:szCs w:val="18"/>
                <w:lang w:val="en-US"/>
              </w:rPr>
              <w:t xml:space="preserve"> </w:t>
            </w:r>
            <w:r w:rsidR="00C21071" w:rsidRPr="00B8267D">
              <w:rPr>
                <w:sz w:val="18"/>
                <w:szCs w:val="18"/>
                <w:lang w:val="en-US"/>
              </w:rPr>
              <w:t xml:space="preserve">become closer to capital neutrality on senior tranches (as </w:t>
            </w:r>
            <w:r w:rsidR="00C21071" w:rsidRPr="00B8267D">
              <w:rPr>
                <w:i/>
                <w:iCs/>
                <w:sz w:val="18"/>
                <w:szCs w:val="18"/>
                <w:lang w:val="en-US"/>
              </w:rPr>
              <w:t>we propose a floor sensitive to the RW of the pool associated with a permanent p-factor under SEC-SA divided by two),</w:t>
            </w:r>
            <w:r w:rsidR="00C21071" w:rsidRPr="00B8267D">
              <w:rPr>
                <w:sz w:val="18"/>
                <w:szCs w:val="18"/>
                <w:lang w:val="en-US"/>
              </w:rPr>
              <w:t xml:space="preserve"> then securitisation </w:t>
            </w:r>
            <w:r w:rsidR="00AE3276" w:rsidRPr="00B8267D">
              <w:rPr>
                <w:sz w:val="18"/>
                <w:szCs w:val="18"/>
                <w:lang w:val="en-US"/>
              </w:rPr>
              <w:t xml:space="preserve">will </w:t>
            </w:r>
            <w:r w:rsidR="00C21071" w:rsidRPr="00B8267D">
              <w:rPr>
                <w:sz w:val="18"/>
                <w:szCs w:val="18"/>
                <w:lang w:val="en-US"/>
              </w:rPr>
              <w:t xml:space="preserve">be more efficient as a tool to redistribute risks (through SRT) on any </w:t>
            </w:r>
            <w:r w:rsidR="0007313A" w:rsidRPr="00B8267D">
              <w:rPr>
                <w:sz w:val="18"/>
                <w:szCs w:val="18"/>
                <w:lang w:val="en-US"/>
              </w:rPr>
              <w:t xml:space="preserve">kind </w:t>
            </w:r>
            <w:r w:rsidR="00EC5A13" w:rsidRPr="00B8267D">
              <w:rPr>
                <w:sz w:val="18"/>
                <w:szCs w:val="18"/>
                <w:lang w:val="en-US"/>
              </w:rPr>
              <w:t xml:space="preserve">of </w:t>
            </w:r>
            <w:r w:rsidR="00C21071" w:rsidRPr="00B8267D">
              <w:rPr>
                <w:sz w:val="18"/>
                <w:szCs w:val="18"/>
                <w:lang w:val="en-US"/>
              </w:rPr>
              <w:t xml:space="preserve">portfolio (including those attracting lower capital charges). </w:t>
            </w:r>
            <w:r w:rsidR="0082696C" w:rsidRPr="002749CD">
              <w:rPr>
                <w:sz w:val="18"/>
                <w:szCs w:val="18"/>
                <w:lang w:val="en-US"/>
              </w:rPr>
              <w:t xml:space="preserve">Note that </w:t>
            </w:r>
            <w:r w:rsidR="00C21071" w:rsidRPr="002749CD">
              <w:rPr>
                <w:sz w:val="18"/>
                <w:szCs w:val="18"/>
                <w:lang w:val="en-US"/>
              </w:rPr>
              <w:t xml:space="preserve">portfolios with low risk that cannot currently be used </w:t>
            </w:r>
            <w:r w:rsidR="0082696C" w:rsidRPr="002749CD">
              <w:rPr>
                <w:sz w:val="18"/>
                <w:szCs w:val="18"/>
                <w:lang w:val="en-US"/>
              </w:rPr>
              <w:t xml:space="preserve">currently </w:t>
            </w:r>
            <w:r w:rsidR="00C21071" w:rsidRPr="002749CD">
              <w:rPr>
                <w:sz w:val="18"/>
                <w:szCs w:val="18"/>
                <w:lang w:val="en-US"/>
              </w:rPr>
              <w:t xml:space="preserve">in </w:t>
            </w:r>
            <w:r w:rsidR="00C02B93" w:rsidRPr="002749CD">
              <w:rPr>
                <w:sz w:val="18"/>
                <w:szCs w:val="18"/>
                <w:lang w:val="en-US"/>
              </w:rPr>
              <w:t>securitisation</w:t>
            </w:r>
            <w:r w:rsidR="00C21071" w:rsidRPr="002749CD">
              <w:rPr>
                <w:sz w:val="18"/>
                <w:szCs w:val="18"/>
                <w:lang w:val="en-US"/>
              </w:rPr>
              <w:t xml:space="preserve"> represent a huge potential pool of assets.</w:t>
            </w:r>
          </w:p>
          <w:p w14:paraId="10C50376" w14:textId="77777777" w:rsidR="002749CD" w:rsidRPr="002749CD" w:rsidRDefault="002749CD" w:rsidP="002749CD">
            <w:pPr>
              <w:pStyle w:val="Paragraphedeliste"/>
              <w:numPr>
                <w:ilvl w:val="0"/>
                <w:numId w:val="5"/>
              </w:numPr>
              <w:rPr>
                <w:sz w:val="18"/>
                <w:szCs w:val="18"/>
                <w:lang w:val="en-US"/>
              </w:rPr>
            </w:pPr>
          </w:p>
          <w:p w14:paraId="038C64EE" w14:textId="4031421A" w:rsidR="00C21071" w:rsidRPr="002749CD" w:rsidRDefault="00F46740" w:rsidP="002749CD">
            <w:pPr>
              <w:pStyle w:val="Paragraphedeliste"/>
              <w:numPr>
                <w:ilvl w:val="0"/>
                <w:numId w:val="5"/>
              </w:numPr>
              <w:rPr>
                <w:sz w:val="18"/>
                <w:szCs w:val="18"/>
                <w:lang w:val="en-US"/>
              </w:rPr>
            </w:pPr>
            <w:r w:rsidRPr="002749CD">
              <w:rPr>
                <w:sz w:val="18"/>
                <w:szCs w:val="18"/>
                <w:lang w:val="en-US"/>
              </w:rPr>
              <w:t>If</w:t>
            </w:r>
            <w:r w:rsidR="00C21071" w:rsidRPr="00973525">
              <w:rPr>
                <w:sz w:val="18"/>
                <w:szCs w:val="18"/>
                <w:u w:val="single"/>
                <w:lang w:val="en-US"/>
              </w:rPr>
              <w:t xml:space="preserve"> LCR is fixed as well</w:t>
            </w:r>
            <w:r w:rsidR="00C21071" w:rsidRPr="00973525">
              <w:rPr>
                <w:sz w:val="18"/>
                <w:szCs w:val="18"/>
                <w:lang w:val="en-US"/>
              </w:rPr>
              <w:t>, it will support both the primary and the secondary market of ABS in terms of pricing and market liquidity, thanks to a broader and more stable investor base</w:t>
            </w:r>
            <w:r>
              <w:rPr>
                <w:sz w:val="18"/>
                <w:szCs w:val="18"/>
                <w:lang w:val="en-US"/>
              </w:rPr>
              <w:t xml:space="preserve"> (</w:t>
            </w:r>
            <w:r w:rsidR="00432AA8">
              <w:rPr>
                <w:sz w:val="18"/>
                <w:szCs w:val="18"/>
                <w:lang w:val="en-US"/>
              </w:rPr>
              <w:t>r</w:t>
            </w:r>
            <w:r w:rsidR="00432AA8" w:rsidRPr="00432AA8">
              <w:rPr>
                <w:sz w:val="18"/>
                <w:szCs w:val="18"/>
                <w:lang w:val="en-GB"/>
              </w:rPr>
              <w:t xml:space="preserve">reviving their </w:t>
            </w:r>
            <w:r w:rsidR="00432AA8">
              <w:rPr>
                <w:sz w:val="18"/>
                <w:szCs w:val="18"/>
                <w:lang w:val="en-GB"/>
              </w:rPr>
              <w:t>appetite</w:t>
            </w:r>
            <w:r>
              <w:rPr>
                <w:sz w:val="18"/>
                <w:szCs w:val="18"/>
                <w:lang w:val="en-GB"/>
              </w:rPr>
              <w:t>)</w:t>
            </w:r>
            <w:r w:rsidR="00C21071" w:rsidRPr="00973525">
              <w:rPr>
                <w:sz w:val="18"/>
                <w:szCs w:val="18"/>
                <w:lang w:val="en-US"/>
              </w:rPr>
              <w:t xml:space="preserve">. </w:t>
            </w:r>
            <w:r w:rsidR="00C21071" w:rsidRPr="002749CD">
              <w:rPr>
                <w:sz w:val="18"/>
                <w:szCs w:val="18"/>
                <w:lang w:val="en-US"/>
              </w:rPr>
              <w:t>Moreover, even non-bank investors are valuing LCR eligibility for their investments, hence it will help develop the market on non-banks, creating a global positive and active market ecosystem, increasing all liquidity parameters.</w:t>
            </w:r>
          </w:p>
          <w:p w14:paraId="344E997B" w14:textId="77777777" w:rsidR="00C21071" w:rsidRPr="00973525" w:rsidRDefault="00C21071" w:rsidP="00C21071">
            <w:pPr>
              <w:rPr>
                <w:sz w:val="18"/>
                <w:szCs w:val="18"/>
                <w:lang w:val="en-US"/>
              </w:rPr>
            </w:pPr>
          </w:p>
          <w:p w14:paraId="6B457A52" w14:textId="7EDCFD33" w:rsidR="009C2A0F" w:rsidRPr="007101BF" w:rsidRDefault="00DF4395" w:rsidP="007101BF">
            <w:pPr>
              <w:pStyle w:val="Paragraphedeliste"/>
              <w:numPr>
                <w:ilvl w:val="0"/>
                <w:numId w:val="5"/>
              </w:numPr>
              <w:rPr>
                <w:sz w:val="18"/>
                <w:szCs w:val="18"/>
                <w:lang w:val="en-US"/>
              </w:rPr>
            </w:pPr>
            <w:r w:rsidRPr="00C02B93">
              <w:rPr>
                <w:sz w:val="18"/>
                <w:szCs w:val="18"/>
                <w:lang w:val="en-US"/>
              </w:rPr>
              <w:t>L</w:t>
            </w:r>
            <w:r w:rsidR="00C21071" w:rsidRPr="00C02B93">
              <w:rPr>
                <w:sz w:val="18"/>
                <w:szCs w:val="18"/>
                <w:lang w:val="en-US"/>
              </w:rPr>
              <w:t xml:space="preserve">et’s take an </w:t>
            </w:r>
            <w:r w:rsidR="00C02B93" w:rsidRPr="00C02B93">
              <w:rPr>
                <w:sz w:val="18"/>
                <w:szCs w:val="18"/>
                <w:lang w:val="en-US"/>
              </w:rPr>
              <w:t>example:</w:t>
            </w:r>
            <w:r w:rsidR="007101BF">
              <w:rPr>
                <w:sz w:val="18"/>
                <w:szCs w:val="18"/>
                <w:lang w:val="en-US"/>
              </w:rPr>
              <w:br/>
            </w:r>
            <w:r w:rsidR="00C21071" w:rsidRPr="007101BF">
              <w:rPr>
                <w:sz w:val="18"/>
                <w:szCs w:val="18"/>
                <w:lang w:val="en-US"/>
              </w:rPr>
              <w:t xml:space="preserve">Assuming that the current RW floor is in majority around 10% and will migrate to 7%, and that p-factor has decreased to make the transaction economically viable, the new RW floor applied to a portfolio </w:t>
            </w:r>
            <w:r w:rsidR="003115F1" w:rsidRPr="007101BF">
              <w:rPr>
                <w:sz w:val="18"/>
                <w:szCs w:val="18"/>
                <w:lang w:val="en-US"/>
              </w:rPr>
              <w:t xml:space="preserve">bearing </w:t>
            </w:r>
            <w:r w:rsidR="00C21071" w:rsidRPr="007101BF">
              <w:rPr>
                <w:sz w:val="18"/>
                <w:szCs w:val="18"/>
                <w:lang w:val="en-US"/>
              </w:rPr>
              <w:t xml:space="preserve">with </w:t>
            </w:r>
            <w:r w:rsidR="003115F1" w:rsidRPr="007101BF">
              <w:rPr>
                <w:sz w:val="18"/>
                <w:szCs w:val="18"/>
                <w:lang w:val="en-US"/>
              </w:rPr>
              <w:t>a 75</w:t>
            </w:r>
            <w:r w:rsidR="00C21071" w:rsidRPr="007101BF">
              <w:rPr>
                <w:sz w:val="18"/>
                <w:szCs w:val="18"/>
                <w:lang w:val="en-US"/>
              </w:rPr>
              <w:t xml:space="preserve">% RWA would become  5% (assuming a majority of retail assets), then </w:t>
            </w:r>
            <w:r w:rsidR="00C21071" w:rsidRPr="007101BF">
              <w:rPr>
                <w:sz w:val="18"/>
                <w:szCs w:val="18"/>
                <w:u w:val="single"/>
                <w:lang w:val="en-US"/>
              </w:rPr>
              <w:t>we can easily expect a mechanical doubling</w:t>
            </w:r>
            <w:r w:rsidR="00C21071" w:rsidRPr="007101BF">
              <w:rPr>
                <w:sz w:val="18"/>
                <w:szCs w:val="18"/>
                <w:lang w:val="en-US"/>
              </w:rPr>
              <w:t xml:space="preserve"> in volume</w:t>
            </w:r>
            <w:r w:rsidR="009A5377" w:rsidRPr="007101BF">
              <w:rPr>
                <w:sz w:val="18"/>
                <w:szCs w:val="18"/>
                <w:lang w:val="en-US"/>
              </w:rPr>
              <w:t>, se</w:t>
            </w:r>
            <w:r w:rsidR="009C2A0F" w:rsidRPr="007101BF">
              <w:rPr>
                <w:sz w:val="18"/>
                <w:szCs w:val="18"/>
                <w:lang w:val="en-US"/>
              </w:rPr>
              <w:t xml:space="preserve">tting  aside the </w:t>
            </w:r>
            <w:r w:rsidR="0016370A" w:rsidRPr="007101BF">
              <w:rPr>
                <w:sz w:val="18"/>
                <w:szCs w:val="18"/>
                <w:lang w:val="en-US"/>
              </w:rPr>
              <w:t>additional</w:t>
            </w:r>
            <w:r w:rsidR="00EA0B9E" w:rsidRPr="007101BF">
              <w:rPr>
                <w:sz w:val="18"/>
                <w:szCs w:val="18"/>
                <w:lang w:val="en-US"/>
              </w:rPr>
              <w:t xml:space="preserve"> </w:t>
            </w:r>
            <w:r w:rsidR="0016370A" w:rsidRPr="007101BF">
              <w:rPr>
                <w:sz w:val="18"/>
                <w:szCs w:val="18"/>
                <w:lang w:val="en-US"/>
              </w:rPr>
              <w:t xml:space="preserve">positive </w:t>
            </w:r>
            <w:r w:rsidR="009C2A0F" w:rsidRPr="007101BF">
              <w:rPr>
                <w:sz w:val="18"/>
                <w:szCs w:val="18"/>
                <w:lang w:val="en-US"/>
              </w:rPr>
              <w:t>impact of any further development of new assets or the impact on non-banks</w:t>
            </w:r>
            <w:r w:rsidR="00EA0B9E" w:rsidRPr="007101BF">
              <w:rPr>
                <w:sz w:val="18"/>
                <w:szCs w:val="18"/>
                <w:lang w:val="en-US"/>
              </w:rPr>
              <w:t>.</w:t>
            </w:r>
          </w:p>
          <w:p w14:paraId="5A596EC1" w14:textId="77777777" w:rsidR="009C2A0F" w:rsidRPr="009C2A0F" w:rsidRDefault="009C2A0F" w:rsidP="00C21071">
            <w:pPr>
              <w:rPr>
                <w:sz w:val="18"/>
                <w:szCs w:val="18"/>
                <w:lang w:val="en-US"/>
              </w:rPr>
            </w:pPr>
          </w:p>
          <w:p w14:paraId="64B066DD" w14:textId="4E7FF184" w:rsidR="00C21071" w:rsidRPr="00973525" w:rsidRDefault="00C21071" w:rsidP="002749CD">
            <w:pPr>
              <w:pStyle w:val="Paragraphedeliste"/>
              <w:numPr>
                <w:ilvl w:val="0"/>
                <w:numId w:val="5"/>
              </w:numPr>
              <w:rPr>
                <w:sz w:val="18"/>
                <w:szCs w:val="18"/>
                <w:lang w:val="en-US"/>
              </w:rPr>
            </w:pPr>
            <w:r w:rsidRPr="00973525">
              <w:rPr>
                <w:sz w:val="18"/>
                <w:szCs w:val="18"/>
                <w:lang w:val="en-US"/>
              </w:rPr>
              <w:t>There is no doubt that this effect will create a momentum and</w:t>
            </w:r>
            <w:r w:rsidR="00C02B93">
              <w:rPr>
                <w:sz w:val="18"/>
                <w:szCs w:val="18"/>
                <w:lang w:val="en-US"/>
              </w:rPr>
              <w:t>,</w:t>
            </w:r>
            <w:r w:rsidRPr="00973525">
              <w:rPr>
                <w:sz w:val="18"/>
                <w:szCs w:val="18"/>
                <w:lang w:val="en-US"/>
              </w:rPr>
              <w:t xml:space="preserve"> </w:t>
            </w:r>
            <w:r w:rsidR="00C02B93">
              <w:rPr>
                <w:sz w:val="18"/>
                <w:szCs w:val="18"/>
                <w:lang w:val="en-US"/>
              </w:rPr>
              <w:t xml:space="preserve">once </w:t>
            </w:r>
            <w:r w:rsidRPr="00973525">
              <w:rPr>
                <w:sz w:val="18"/>
                <w:szCs w:val="18"/>
                <w:lang w:val="en-US"/>
              </w:rPr>
              <w:t xml:space="preserve">combined with developments concerning non-banks (such as the Solvency II treatment) </w:t>
            </w:r>
            <w:r w:rsidR="009675E8">
              <w:rPr>
                <w:sz w:val="18"/>
                <w:szCs w:val="18"/>
                <w:lang w:val="en-US"/>
              </w:rPr>
              <w:t xml:space="preserve">or LCR, it </w:t>
            </w:r>
            <w:r w:rsidRPr="00973525">
              <w:rPr>
                <w:sz w:val="18"/>
                <w:szCs w:val="18"/>
                <w:lang w:val="en-US"/>
              </w:rPr>
              <w:t>could lead to a strong expansion on the securitisation market of low-risk portfolios (such as RMBS)</w:t>
            </w:r>
            <w:r w:rsidR="00455872">
              <w:rPr>
                <w:sz w:val="18"/>
                <w:szCs w:val="18"/>
                <w:lang w:val="en-US"/>
              </w:rPr>
              <w:t>, but not limited to</w:t>
            </w:r>
            <w:r w:rsidR="00EB0BAA">
              <w:rPr>
                <w:sz w:val="18"/>
                <w:szCs w:val="18"/>
                <w:lang w:val="en-US"/>
              </w:rPr>
              <w:t xml:space="preserve"> them</w:t>
            </w:r>
            <w:r w:rsidR="00DF4395">
              <w:rPr>
                <w:sz w:val="18"/>
                <w:szCs w:val="18"/>
                <w:lang w:val="en-US"/>
              </w:rPr>
              <w:t>.</w:t>
            </w:r>
          </w:p>
          <w:p w14:paraId="1F6D954E" w14:textId="77777777" w:rsidR="00C21071" w:rsidRPr="00C02B93" w:rsidRDefault="00C21071" w:rsidP="00C21071">
            <w:pPr>
              <w:rPr>
                <w:sz w:val="18"/>
                <w:szCs w:val="18"/>
                <w:lang w:val="en-GB"/>
              </w:rPr>
            </w:pPr>
          </w:p>
          <w:p w14:paraId="16236EE7" w14:textId="77777777" w:rsidR="00C21071" w:rsidRPr="00C02B93" w:rsidRDefault="00C21071" w:rsidP="00C21071">
            <w:pPr>
              <w:rPr>
                <w:sz w:val="18"/>
                <w:szCs w:val="18"/>
                <w:lang w:val="en-GB"/>
              </w:rPr>
            </w:pPr>
          </w:p>
        </w:tc>
        <w:tc>
          <w:tcPr>
            <w:tcW w:w="236" w:type="dxa"/>
          </w:tcPr>
          <w:p w14:paraId="68624AB0" w14:textId="23CC04DF" w:rsidR="00C21071" w:rsidRPr="007C79DF" w:rsidRDefault="00C21071" w:rsidP="0079353D">
            <w:pPr>
              <w:ind w:firstLine="1917"/>
              <w:rPr>
                <w:sz w:val="18"/>
                <w:szCs w:val="18"/>
                <w:lang w:val="en-GB"/>
              </w:rPr>
            </w:pPr>
          </w:p>
        </w:tc>
      </w:tr>
      <w:tr w:rsidR="00C21071" w:rsidRPr="0000602A" w14:paraId="49FFB964" w14:textId="77777777" w:rsidTr="30964D0C">
        <w:trPr>
          <w:gridAfter w:val="1"/>
          <w:wAfter w:w="16" w:type="dxa"/>
        </w:trPr>
        <w:tc>
          <w:tcPr>
            <w:tcW w:w="2893" w:type="dxa"/>
          </w:tcPr>
          <w:p w14:paraId="3E7CFF3C" w14:textId="77777777" w:rsidR="00C21071" w:rsidRPr="00973525" w:rsidRDefault="00C21071" w:rsidP="00C21071">
            <w:pPr>
              <w:rPr>
                <w:sz w:val="18"/>
                <w:szCs w:val="18"/>
                <w:lang w:val="en-GB"/>
              </w:rPr>
            </w:pPr>
            <w:r w:rsidRPr="00973525">
              <w:rPr>
                <w:sz w:val="18"/>
                <w:szCs w:val="18"/>
                <w:lang w:val="en-GB"/>
              </w:rPr>
              <w:t xml:space="preserve">Question 9.3. Based on your answer to 9.1, please explain </w:t>
            </w:r>
            <w:r w:rsidRPr="00973525">
              <w:rPr>
                <w:b/>
                <w:bCs/>
                <w:sz w:val="18"/>
                <w:szCs w:val="18"/>
                <w:lang w:val="en-GB"/>
              </w:rPr>
              <w:t>how</w:t>
            </w:r>
            <w:r w:rsidRPr="00973525">
              <w:rPr>
                <w:sz w:val="18"/>
                <w:szCs w:val="18"/>
                <w:lang w:val="en-GB"/>
              </w:rPr>
              <w:t xml:space="preserve"> possible changes in the prudential treatment could </w:t>
            </w:r>
            <w:r w:rsidRPr="00973525">
              <w:rPr>
                <w:b/>
                <w:bCs/>
                <w:sz w:val="18"/>
                <w:szCs w:val="18"/>
                <w:lang w:val="en-GB"/>
              </w:rPr>
              <w:t>support the supply for and demand of SME and corporate</w:t>
            </w:r>
            <w:r w:rsidRPr="00973525">
              <w:rPr>
                <w:sz w:val="18"/>
                <w:szCs w:val="18"/>
                <w:lang w:val="en-GB"/>
              </w:rPr>
              <w:t xml:space="preserve"> exposure</w:t>
            </w:r>
            <w:r w:rsidRPr="00973525">
              <w:rPr>
                <w:sz w:val="18"/>
                <w:szCs w:val="18"/>
                <w:lang w:val="en-GB"/>
              </w:rPr>
              <w:noBreakHyphen/>
              <w:t>based securitisation transactions:</w:t>
            </w:r>
          </w:p>
          <w:p w14:paraId="0B295F5E" w14:textId="77777777" w:rsidR="00C21071" w:rsidRPr="00973525" w:rsidRDefault="00C21071" w:rsidP="00C21071">
            <w:pPr>
              <w:rPr>
                <w:sz w:val="18"/>
                <w:szCs w:val="18"/>
                <w:lang w:val="en-GB"/>
              </w:rPr>
            </w:pPr>
          </w:p>
        </w:tc>
        <w:tc>
          <w:tcPr>
            <w:tcW w:w="7740" w:type="dxa"/>
          </w:tcPr>
          <w:p w14:paraId="6AE3EB27" w14:textId="363E733C" w:rsidR="00C21071" w:rsidRPr="00973525" w:rsidRDefault="00C21071" w:rsidP="00C21071">
            <w:pPr>
              <w:pStyle w:val="Paragraphedeliste"/>
              <w:numPr>
                <w:ilvl w:val="0"/>
                <w:numId w:val="5"/>
              </w:numPr>
              <w:rPr>
                <w:sz w:val="18"/>
                <w:szCs w:val="18"/>
                <w:lang w:val="en-US"/>
              </w:rPr>
            </w:pPr>
            <w:r w:rsidRPr="00973525">
              <w:rPr>
                <w:sz w:val="18"/>
                <w:szCs w:val="18"/>
                <w:lang w:val="en-US"/>
              </w:rPr>
              <w:t>As for any typology of underlying assets, SME and corporate assets are suffering from inefficient prudential treatment (especially here, RW floor)</w:t>
            </w:r>
          </w:p>
          <w:p w14:paraId="67546143" w14:textId="77777777" w:rsidR="00C21071" w:rsidRPr="00973525" w:rsidRDefault="00C21071" w:rsidP="00C21071">
            <w:pPr>
              <w:pStyle w:val="Paragraphedeliste"/>
              <w:ind w:left="405"/>
              <w:rPr>
                <w:sz w:val="18"/>
                <w:szCs w:val="18"/>
                <w:lang w:val="en-US"/>
              </w:rPr>
            </w:pPr>
          </w:p>
          <w:p w14:paraId="5089C60D" w14:textId="66CE98C2" w:rsidR="00C21071" w:rsidRPr="00973525" w:rsidRDefault="00C21071" w:rsidP="00C21071">
            <w:pPr>
              <w:pStyle w:val="Paragraphedeliste"/>
              <w:numPr>
                <w:ilvl w:val="0"/>
                <w:numId w:val="5"/>
              </w:numPr>
              <w:rPr>
                <w:sz w:val="18"/>
                <w:szCs w:val="18"/>
                <w:lang w:val="en-US"/>
              </w:rPr>
            </w:pPr>
            <w:r w:rsidRPr="00973525">
              <w:rPr>
                <w:sz w:val="18"/>
                <w:szCs w:val="18"/>
                <w:lang w:val="en-US"/>
              </w:rPr>
              <w:t>They are usually</w:t>
            </w:r>
            <w:r w:rsidR="00543E80">
              <w:rPr>
                <w:sz w:val="18"/>
                <w:szCs w:val="18"/>
                <w:lang w:val="en-US"/>
              </w:rPr>
              <w:t>/currently</w:t>
            </w:r>
            <w:r w:rsidRPr="00973525">
              <w:rPr>
                <w:sz w:val="18"/>
                <w:szCs w:val="18"/>
                <w:lang w:val="en-US"/>
              </w:rPr>
              <w:t xml:space="preserve"> used in </w:t>
            </w:r>
            <w:r w:rsidRPr="00973525">
              <w:rPr>
                <w:i/>
                <w:iCs/>
                <w:sz w:val="18"/>
                <w:szCs w:val="18"/>
                <w:lang w:val="en-US"/>
              </w:rPr>
              <w:t xml:space="preserve">Synthetic </w:t>
            </w:r>
            <w:r w:rsidRPr="00973525">
              <w:rPr>
                <w:sz w:val="18"/>
                <w:szCs w:val="18"/>
                <w:lang w:val="en-US"/>
              </w:rPr>
              <w:t xml:space="preserve">and </w:t>
            </w:r>
            <w:r w:rsidRPr="00973525">
              <w:rPr>
                <w:i/>
                <w:iCs/>
                <w:sz w:val="18"/>
                <w:szCs w:val="18"/>
                <w:lang w:val="en-US"/>
              </w:rPr>
              <w:t>Private</w:t>
            </w:r>
            <w:r w:rsidRPr="00973525">
              <w:rPr>
                <w:sz w:val="18"/>
                <w:szCs w:val="18"/>
                <w:lang w:val="en-US"/>
              </w:rPr>
              <w:t xml:space="preserve"> securitisation (with lower constraints, in line with their low margins context</w:t>
            </w:r>
            <w:r w:rsidR="007101BF" w:rsidRPr="00973525">
              <w:rPr>
                <w:sz w:val="18"/>
                <w:szCs w:val="18"/>
                <w:lang w:val="en-US"/>
              </w:rPr>
              <w:t>),</w:t>
            </w:r>
            <w:r w:rsidR="007101BF">
              <w:rPr>
                <w:sz w:val="18"/>
                <w:szCs w:val="18"/>
                <w:lang w:val="en-US"/>
              </w:rPr>
              <w:t xml:space="preserve"> with</w:t>
            </w:r>
            <w:r w:rsidR="00C54959">
              <w:rPr>
                <w:sz w:val="18"/>
                <w:szCs w:val="18"/>
                <w:lang w:val="en-US"/>
              </w:rPr>
              <w:t xml:space="preserve"> </w:t>
            </w:r>
            <w:r w:rsidRPr="00973525">
              <w:rPr>
                <w:sz w:val="18"/>
                <w:szCs w:val="18"/>
                <w:lang w:val="en-US"/>
              </w:rPr>
              <w:t xml:space="preserve">protection on lower tranches </w:t>
            </w:r>
            <w:r w:rsidR="00C54959" w:rsidRPr="00973525">
              <w:rPr>
                <w:sz w:val="18"/>
                <w:szCs w:val="18"/>
                <w:lang w:val="en-US"/>
              </w:rPr>
              <w:t xml:space="preserve">where </w:t>
            </w:r>
            <w:r w:rsidRPr="00973525">
              <w:rPr>
                <w:sz w:val="18"/>
                <w:szCs w:val="18"/>
                <w:lang w:val="en-US"/>
              </w:rPr>
              <w:t>and senior tranche is retained.</w:t>
            </w:r>
          </w:p>
          <w:p w14:paraId="5D330CAF" w14:textId="77777777" w:rsidR="00C21071" w:rsidRPr="00973525" w:rsidRDefault="00C21071" w:rsidP="00C21071">
            <w:pPr>
              <w:pStyle w:val="Paragraphedeliste"/>
              <w:ind w:left="405"/>
              <w:rPr>
                <w:sz w:val="18"/>
                <w:szCs w:val="18"/>
                <w:lang w:val="en-US"/>
              </w:rPr>
            </w:pPr>
          </w:p>
          <w:p w14:paraId="072A30DB" w14:textId="4F3B2CA1" w:rsidR="00C21071" w:rsidRPr="00543E80" w:rsidRDefault="00C21071" w:rsidP="00C21071">
            <w:pPr>
              <w:pStyle w:val="Paragraphedeliste"/>
              <w:numPr>
                <w:ilvl w:val="0"/>
                <w:numId w:val="5"/>
              </w:numPr>
              <w:rPr>
                <w:sz w:val="18"/>
                <w:szCs w:val="18"/>
                <w:lang w:val="en-US"/>
              </w:rPr>
            </w:pPr>
            <w:r w:rsidRPr="00973525">
              <w:rPr>
                <w:sz w:val="18"/>
                <w:szCs w:val="18"/>
                <w:lang w:val="en-GB"/>
              </w:rPr>
              <w:t xml:space="preserve">A significant volume of SME and corporate </w:t>
            </w:r>
            <w:proofErr w:type="spellStart"/>
            <w:r w:rsidRPr="00973525">
              <w:rPr>
                <w:sz w:val="18"/>
                <w:szCs w:val="18"/>
                <w:lang w:val="en-GB"/>
              </w:rPr>
              <w:t>underlyings</w:t>
            </w:r>
            <w:proofErr w:type="spellEnd"/>
            <w:r w:rsidRPr="00973525">
              <w:rPr>
                <w:sz w:val="18"/>
                <w:szCs w:val="18"/>
                <w:lang w:val="en-GB"/>
              </w:rPr>
              <w:t xml:space="preserve"> are also managed through ABCP structures, which remain fully supported in terms of capital and liquidity by the sponsor bank</w:t>
            </w:r>
            <w:r w:rsidRPr="00973525">
              <w:rPr>
                <w:sz w:val="18"/>
                <w:szCs w:val="18"/>
                <w:lang w:val="en-US"/>
              </w:rPr>
              <w:t xml:space="preserve">, </w:t>
            </w:r>
            <w:r w:rsidR="00543E80">
              <w:rPr>
                <w:sz w:val="18"/>
                <w:szCs w:val="18"/>
                <w:lang w:val="en-US"/>
              </w:rPr>
              <w:t>which make</w:t>
            </w:r>
            <w:r w:rsidRPr="00973525">
              <w:rPr>
                <w:sz w:val="18"/>
                <w:szCs w:val="18"/>
                <w:lang w:val="en-US"/>
              </w:rPr>
              <w:t xml:space="preserve"> them highly sensitive to current prudential </w:t>
            </w:r>
            <w:r w:rsidRPr="00543E80">
              <w:rPr>
                <w:sz w:val="18"/>
                <w:szCs w:val="18"/>
                <w:lang w:val="en-US"/>
              </w:rPr>
              <w:t>mistreatment.</w:t>
            </w:r>
          </w:p>
          <w:p w14:paraId="4A059ED0" w14:textId="54553E22" w:rsidR="00C21071" w:rsidRPr="00973525" w:rsidRDefault="00C21071" w:rsidP="00C21071">
            <w:pPr>
              <w:pStyle w:val="Paragraphedeliste"/>
              <w:numPr>
                <w:ilvl w:val="0"/>
                <w:numId w:val="5"/>
              </w:numPr>
              <w:rPr>
                <w:sz w:val="18"/>
                <w:szCs w:val="18"/>
                <w:lang w:val="en-US"/>
              </w:rPr>
            </w:pPr>
            <w:r w:rsidRPr="00543E80">
              <w:rPr>
                <w:sz w:val="18"/>
                <w:szCs w:val="18"/>
                <w:lang w:val="en-US"/>
              </w:rPr>
              <w:t xml:space="preserve">=&gt; As such, expected adjustments to </w:t>
            </w:r>
            <w:r w:rsidRPr="00543E80">
              <w:rPr>
                <w:sz w:val="18"/>
                <w:szCs w:val="18"/>
                <w:u w:val="single"/>
                <w:lang w:val="en-US"/>
              </w:rPr>
              <w:t xml:space="preserve">a risk sensitive RW floor, </w:t>
            </w:r>
            <w:r w:rsidRPr="00B8267D">
              <w:rPr>
                <w:sz w:val="18"/>
                <w:szCs w:val="18"/>
                <w:u w:val="single"/>
                <w:lang w:val="en-US"/>
              </w:rPr>
              <w:t>associated with lower p-factors</w:t>
            </w:r>
            <w:r w:rsidRPr="00543E80">
              <w:rPr>
                <w:sz w:val="18"/>
                <w:szCs w:val="18"/>
                <w:u w:val="single"/>
                <w:lang w:val="en-US"/>
              </w:rPr>
              <w:t>,</w:t>
            </w:r>
            <w:r w:rsidRPr="00543E80">
              <w:rPr>
                <w:sz w:val="18"/>
                <w:szCs w:val="18"/>
                <w:lang w:val="en-US"/>
              </w:rPr>
              <w:t xml:space="preserve"> would remove the current disconnection with the economical RW of the securitized pool, </w:t>
            </w:r>
            <w:r w:rsidR="00543E80">
              <w:rPr>
                <w:sz w:val="18"/>
                <w:szCs w:val="18"/>
                <w:lang w:val="en-US"/>
              </w:rPr>
              <w:t>especially</w:t>
            </w:r>
            <w:r w:rsidRPr="00973525">
              <w:rPr>
                <w:sz w:val="18"/>
                <w:szCs w:val="18"/>
                <w:lang w:val="en-US"/>
              </w:rPr>
              <w:t xml:space="preserve"> for low-risk pools, both from an originator point of view (when the senior tranche is retained) and from the investor (when the senior tranche is sold).</w:t>
            </w:r>
          </w:p>
          <w:p w14:paraId="27D8EC40" w14:textId="47A37472" w:rsidR="00C21071" w:rsidRPr="00973525" w:rsidRDefault="00C21071" w:rsidP="00C21071">
            <w:pPr>
              <w:pStyle w:val="Paragraphedeliste"/>
              <w:numPr>
                <w:ilvl w:val="0"/>
                <w:numId w:val="11"/>
              </w:numPr>
              <w:rPr>
                <w:sz w:val="18"/>
                <w:szCs w:val="18"/>
                <w:lang w:val="en-US"/>
              </w:rPr>
            </w:pPr>
            <w:r w:rsidRPr="00973525">
              <w:rPr>
                <w:sz w:val="18"/>
                <w:szCs w:val="18"/>
                <w:lang w:val="en-US"/>
              </w:rPr>
              <w:lastRenderedPageBreak/>
              <w:t>SME benefiting from the SME supporting factor, they are closer to low-risk weight pools and hence they would benefit actively from a risk sensitive floor.</w:t>
            </w:r>
          </w:p>
          <w:p w14:paraId="01C1EFA8" w14:textId="77777777" w:rsidR="00C21071" w:rsidRPr="00973525" w:rsidRDefault="00C21071" w:rsidP="00C21071">
            <w:pPr>
              <w:rPr>
                <w:sz w:val="18"/>
                <w:szCs w:val="18"/>
                <w:lang w:val="en-US"/>
              </w:rPr>
            </w:pPr>
          </w:p>
          <w:p w14:paraId="4549598D" w14:textId="069FA2F7" w:rsidR="00C21071" w:rsidRPr="00973525" w:rsidRDefault="00C21071" w:rsidP="00C21071">
            <w:pPr>
              <w:rPr>
                <w:color w:val="FF0000"/>
                <w:sz w:val="18"/>
                <w:szCs w:val="18"/>
                <w:lang w:val="en-US"/>
              </w:rPr>
            </w:pPr>
            <w:r w:rsidRPr="00973525">
              <w:rPr>
                <w:sz w:val="18"/>
                <w:szCs w:val="18"/>
                <w:lang w:val="en-GB"/>
              </w:rPr>
              <w:t>Beyond the sole adjustment to the floor, the LCR treatment review could also enhance demand if SMEs and corporates benefit from the proposed enlargement of buckets.</w:t>
            </w:r>
          </w:p>
          <w:p w14:paraId="4D3C517E" w14:textId="77777777" w:rsidR="00C21071" w:rsidRPr="00973525" w:rsidRDefault="00C21071" w:rsidP="00C21071">
            <w:pPr>
              <w:rPr>
                <w:sz w:val="18"/>
                <w:szCs w:val="18"/>
                <w:lang w:val="en-GB"/>
              </w:rPr>
            </w:pPr>
          </w:p>
        </w:tc>
        <w:tc>
          <w:tcPr>
            <w:tcW w:w="236" w:type="dxa"/>
          </w:tcPr>
          <w:p w14:paraId="1E0F3F65" w14:textId="453E7AB9" w:rsidR="00C21071" w:rsidRPr="007C79DF" w:rsidRDefault="00C21071" w:rsidP="0079353D">
            <w:pPr>
              <w:ind w:firstLine="1917"/>
              <w:rPr>
                <w:color w:val="000000" w:themeColor="text1"/>
                <w:sz w:val="18"/>
                <w:szCs w:val="18"/>
                <w:lang w:val="en-GB"/>
              </w:rPr>
            </w:pPr>
          </w:p>
        </w:tc>
      </w:tr>
      <w:tr w:rsidR="00C21071" w:rsidRPr="0000602A" w14:paraId="445D4DE9" w14:textId="77777777" w:rsidTr="30964D0C">
        <w:trPr>
          <w:gridAfter w:val="1"/>
          <w:wAfter w:w="16" w:type="dxa"/>
        </w:trPr>
        <w:tc>
          <w:tcPr>
            <w:tcW w:w="2893" w:type="dxa"/>
          </w:tcPr>
          <w:p w14:paraId="727817E7" w14:textId="7AD111AB" w:rsidR="00C21071" w:rsidRPr="00973525" w:rsidRDefault="00C21071" w:rsidP="00C21071">
            <w:pPr>
              <w:rPr>
                <w:sz w:val="18"/>
                <w:szCs w:val="18"/>
                <w:lang w:val="en-GB"/>
              </w:rPr>
            </w:pPr>
            <w:r w:rsidRPr="00973525">
              <w:rPr>
                <w:sz w:val="18"/>
                <w:szCs w:val="18"/>
                <w:lang w:val="en-GB"/>
              </w:rPr>
              <w:t xml:space="preserve">Question 9.4. Does the prudential treatment of securitisation in the CRR appropriately </w:t>
            </w:r>
            <w:r w:rsidRPr="00973525">
              <w:rPr>
                <w:b/>
                <w:bCs/>
                <w:sz w:val="18"/>
                <w:szCs w:val="18"/>
                <w:lang w:val="en-GB"/>
              </w:rPr>
              <w:t>reflect the different roles</w:t>
            </w:r>
            <w:r w:rsidRPr="00973525">
              <w:rPr>
                <w:sz w:val="18"/>
                <w:szCs w:val="18"/>
                <w:lang w:val="en-GB"/>
              </w:rPr>
              <w:t xml:space="preserve"> a bank can play in the securitisation chain, concretely the </w:t>
            </w:r>
            <w:r w:rsidRPr="00973525">
              <w:rPr>
                <w:b/>
                <w:bCs/>
                <w:sz w:val="18"/>
                <w:szCs w:val="18"/>
                <w:lang w:val="en-GB"/>
              </w:rPr>
              <w:t>roles of originator</w:t>
            </w:r>
            <w:r w:rsidRPr="00973525">
              <w:rPr>
                <w:sz w:val="18"/>
                <w:szCs w:val="18"/>
                <w:lang w:val="en-GB"/>
              </w:rPr>
              <w:t xml:space="preserve"> (limb ‘a’ and limb ‘b’ of the definition of the originator in the Securitisation Regulation</w:t>
            </w:r>
            <w:r w:rsidRPr="00973525">
              <w:rPr>
                <w:b/>
                <w:bCs/>
                <w:sz w:val="18"/>
                <w:szCs w:val="18"/>
                <w:vertAlign w:val="superscript"/>
                <w:lang w:val="en-GB"/>
              </w:rPr>
              <w:t xml:space="preserve"> [*]</w:t>
            </w:r>
            <w:r w:rsidRPr="00973525">
              <w:rPr>
                <w:b/>
                <w:bCs/>
                <w:sz w:val="18"/>
                <w:szCs w:val="18"/>
                <w:lang w:val="en-GB"/>
              </w:rPr>
              <w:t>), servicer and investor</w:t>
            </w:r>
            <w:r w:rsidRPr="00973525">
              <w:rPr>
                <w:sz w:val="18"/>
                <w:szCs w:val="18"/>
                <w:lang w:val="en-GB"/>
              </w:rPr>
              <w:t>?</w:t>
            </w:r>
            <w:r w:rsidRPr="00973525">
              <w:rPr>
                <w:sz w:val="18"/>
                <w:szCs w:val="18"/>
                <w:lang w:val="en-GB"/>
              </w:rPr>
              <w:br/>
            </w:r>
            <w:r w:rsidRPr="00973525">
              <w:rPr>
                <w:sz w:val="18"/>
                <w:szCs w:val="18"/>
                <w:lang w:val="en-GB"/>
              </w:rPr>
              <w:br/>
              <w:t>* According to Article 3(2) of the </w:t>
            </w:r>
            <w:r>
              <w:fldChar w:fldCharType="begin"/>
            </w:r>
            <w:r w:rsidRPr="0000602A">
              <w:rPr>
                <w:lang w:val="en-GB"/>
              </w:rPr>
              <w:instrText>HYPERLINK "https://eur-lex.europa.eu/legal-content/EN/TXT/?uri=CELEX:32017R2402" \t "_blank"</w:instrText>
            </w:r>
            <w:r>
              <w:fldChar w:fldCharType="separate"/>
            </w:r>
            <w:r w:rsidRPr="00973525">
              <w:rPr>
                <w:rStyle w:val="Lienhypertexte"/>
                <w:sz w:val="18"/>
                <w:szCs w:val="18"/>
                <w:lang w:val="en-GB"/>
              </w:rPr>
              <w:t>Securitisation Regulation</w:t>
            </w:r>
            <w:r>
              <w:rPr>
                <w:rStyle w:val="Lienhypertexte"/>
                <w:sz w:val="18"/>
                <w:szCs w:val="18"/>
                <w:lang w:val="en-GB"/>
              </w:rPr>
              <w:fldChar w:fldCharType="end"/>
            </w:r>
            <w:r w:rsidRPr="00973525">
              <w:rPr>
                <w:sz w:val="18"/>
                <w:szCs w:val="18"/>
                <w:lang w:val="en-GB"/>
              </w:rPr>
              <w:t>, an originator can be an entity that has originated the exposures that are securitised (letter (a)), or has purchased a third party’s exposures on its own account and then securitises them (letter (b))</w:t>
            </w:r>
          </w:p>
        </w:tc>
        <w:tc>
          <w:tcPr>
            <w:tcW w:w="7740" w:type="dxa"/>
          </w:tcPr>
          <w:p w14:paraId="77767627" w14:textId="77777777" w:rsidR="00C21071" w:rsidRPr="00973525" w:rsidRDefault="00C21071" w:rsidP="00C21071">
            <w:pPr>
              <w:rPr>
                <w:sz w:val="18"/>
                <w:szCs w:val="18"/>
                <w:lang w:val="en-GB"/>
              </w:rPr>
            </w:pPr>
            <w:r w:rsidRPr="00973525">
              <w:rPr>
                <w:sz w:val="18"/>
                <w:szCs w:val="18"/>
                <w:lang w:val="en-GB"/>
              </w:rPr>
              <w:t>Answer</w:t>
            </w:r>
          </w:p>
          <w:p w14:paraId="169FA6CA" w14:textId="38876274" w:rsidR="00C21071" w:rsidRPr="00973525" w:rsidRDefault="00000000" w:rsidP="00C21071">
            <w:pPr>
              <w:rPr>
                <w:sz w:val="18"/>
                <w:szCs w:val="18"/>
                <w:lang w:val="en-GB"/>
              </w:rPr>
            </w:pPr>
            <w:sdt>
              <w:sdtPr>
                <w:rPr>
                  <w:sz w:val="18"/>
                  <w:szCs w:val="18"/>
                  <w:lang w:val="en-GB"/>
                </w:rPr>
                <w:id w:val="-1877156384"/>
                <w14:checkbox>
                  <w14:checked w14:val="0"/>
                  <w14:checkedState w14:val="2612" w14:font="MS Gothic"/>
                  <w14:uncheckedState w14:val="2610" w14:font="MS Gothic"/>
                </w14:checkbox>
              </w:sdtPr>
              <w:sdtContent>
                <w:r w:rsidR="00C21071" w:rsidRPr="00973525">
                  <w:rPr>
                    <w:rFonts w:ascii="MS Gothic" w:eastAsia="MS Gothic" w:hAnsi="MS Gothic" w:cs="Segoe UI Symbol" w:hint="eastAsia"/>
                    <w:sz w:val="18"/>
                    <w:szCs w:val="18"/>
                    <w:lang w:val="en-GB"/>
                  </w:rPr>
                  <w:t>☐</w:t>
                </w:r>
              </w:sdtContent>
            </w:sdt>
            <w:r w:rsidR="00C21071" w:rsidRPr="00973525">
              <w:rPr>
                <w:sz w:val="18"/>
                <w:szCs w:val="18"/>
                <w:lang w:val="en-GB"/>
              </w:rPr>
              <w:t>Yes</w:t>
            </w:r>
          </w:p>
          <w:p w14:paraId="05CE472A" w14:textId="6C0D5822" w:rsidR="00C21071" w:rsidRPr="00973525" w:rsidRDefault="00000000" w:rsidP="00C21071">
            <w:pPr>
              <w:rPr>
                <w:sz w:val="18"/>
                <w:szCs w:val="18"/>
                <w:lang w:val="en-US"/>
              </w:rPr>
            </w:pPr>
            <w:sdt>
              <w:sdtPr>
                <w:rPr>
                  <w:sz w:val="18"/>
                  <w:szCs w:val="18"/>
                  <w:lang w:val="en-US"/>
                </w:rPr>
                <w:id w:val="919606663"/>
                <w14:checkbox>
                  <w14:checked w14:val="1"/>
                  <w14:checkedState w14:val="2612" w14:font="MS Gothic"/>
                  <w14:uncheckedState w14:val="2610" w14:font="MS Gothic"/>
                </w14:checkbox>
              </w:sdtPr>
              <w:sdtContent>
                <w:r w:rsidR="00C21071" w:rsidRPr="00973525">
                  <w:rPr>
                    <w:rFonts w:ascii="MS Gothic" w:eastAsia="MS Gothic" w:hAnsi="MS Gothic" w:hint="eastAsia"/>
                    <w:sz w:val="18"/>
                    <w:szCs w:val="18"/>
                    <w:lang w:val="en-US"/>
                  </w:rPr>
                  <w:t>☒</w:t>
                </w:r>
              </w:sdtContent>
            </w:sdt>
            <w:r w:rsidR="00C21071" w:rsidRPr="00973525">
              <w:rPr>
                <w:sz w:val="18"/>
                <w:szCs w:val="18"/>
                <w:lang w:val="en-US"/>
              </w:rPr>
              <w:t>No</w:t>
            </w:r>
          </w:p>
          <w:p w14:paraId="0439EC50" w14:textId="558CB713" w:rsidR="00C21071" w:rsidRPr="00973525" w:rsidRDefault="00000000" w:rsidP="00C21071">
            <w:pPr>
              <w:rPr>
                <w:sz w:val="18"/>
                <w:szCs w:val="18"/>
                <w:lang w:val="en-GB"/>
              </w:rPr>
            </w:pPr>
            <w:sdt>
              <w:sdtPr>
                <w:rPr>
                  <w:sz w:val="18"/>
                  <w:szCs w:val="18"/>
                  <w:lang w:val="en-GB"/>
                </w:rPr>
                <w:id w:val="995611689"/>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tc>
        <w:tc>
          <w:tcPr>
            <w:tcW w:w="236" w:type="dxa"/>
          </w:tcPr>
          <w:p w14:paraId="3D2B620C" w14:textId="6A2E993C" w:rsidR="00C21071" w:rsidRPr="00973525" w:rsidRDefault="00C21071" w:rsidP="0079353D">
            <w:pPr>
              <w:ind w:firstLine="1917"/>
              <w:rPr>
                <w:sz w:val="18"/>
                <w:szCs w:val="18"/>
                <w:lang w:val="en-GB"/>
              </w:rPr>
            </w:pPr>
          </w:p>
        </w:tc>
      </w:tr>
      <w:tr w:rsidR="00C21071" w:rsidRPr="0000602A" w14:paraId="1A2431DD" w14:textId="77777777" w:rsidTr="30964D0C">
        <w:trPr>
          <w:gridAfter w:val="1"/>
          <w:wAfter w:w="16" w:type="dxa"/>
        </w:trPr>
        <w:tc>
          <w:tcPr>
            <w:tcW w:w="2893" w:type="dxa"/>
          </w:tcPr>
          <w:p w14:paraId="04F681DA" w14:textId="4E2165A5" w:rsidR="00C21071" w:rsidRPr="00973525" w:rsidRDefault="00C21071" w:rsidP="00C21071">
            <w:pPr>
              <w:rPr>
                <w:sz w:val="18"/>
                <w:szCs w:val="18"/>
                <w:lang w:val="en-GB"/>
              </w:rPr>
            </w:pPr>
            <w:r w:rsidRPr="00973525">
              <w:rPr>
                <w:sz w:val="18"/>
                <w:szCs w:val="18"/>
                <w:lang w:val="en-GB"/>
              </w:rPr>
              <w:t xml:space="preserve">Question 9.5. If you </w:t>
            </w:r>
            <w:r w:rsidRPr="00973525">
              <w:rPr>
                <w:color w:val="000000" w:themeColor="text1"/>
                <w:sz w:val="18"/>
                <w:szCs w:val="18"/>
                <w:lang w:val="en-GB"/>
              </w:rPr>
              <w:t>answered</w:t>
            </w:r>
            <w:r w:rsidRPr="00973525">
              <w:rPr>
                <w:b/>
                <w:bCs/>
                <w:color w:val="000000" w:themeColor="text1"/>
                <w:sz w:val="18"/>
                <w:szCs w:val="18"/>
                <w:lang w:val="en-GB"/>
              </w:rPr>
              <w:t xml:space="preserve"> NO</w:t>
            </w:r>
            <w:r w:rsidRPr="00973525">
              <w:rPr>
                <w:color w:val="000000" w:themeColor="text1"/>
                <w:sz w:val="18"/>
                <w:szCs w:val="18"/>
                <w:lang w:val="en-GB"/>
              </w:rPr>
              <w:t xml:space="preserve"> to </w:t>
            </w:r>
            <w:r w:rsidRPr="00973525">
              <w:rPr>
                <w:sz w:val="18"/>
                <w:szCs w:val="18"/>
                <w:lang w:val="en-GB"/>
              </w:rPr>
              <w:t xml:space="preserve">question 9.4., please </w:t>
            </w:r>
            <w:r w:rsidRPr="00973525">
              <w:rPr>
                <w:b/>
                <w:bCs/>
                <w:sz w:val="18"/>
                <w:szCs w:val="18"/>
                <w:lang w:val="en-GB"/>
              </w:rPr>
              <w:t>explain</w:t>
            </w:r>
            <w:r w:rsidRPr="00973525">
              <w:rPr>
                <w:sz w:val="18"/>
                <w:szCs w:val="18"/>
                <w:lang w:val="en-GB"/>
              </w:rPr>
              <w:t xml:space="preserve"> and provide suggestions for </w:t>
            </w:r>
            <w:r w:rsidRPr="00973525">
              <w:rPr>
                <w:b/>
                <w:bCs/>
                <w:sz w:val="18"/>
                <w:szCs w:val="18"/>
                <w:lang w:val="en-GB"/>
              </w:rPr>
              <w:t>targeted amendments</w:t>
            </w:r>
            <w:r w:rsidRPr="00973525">
              <w:rPr>
                <w:sz w:val="18"/>
                <w:szCs w:val="18"/>
                <w:lang w:val="en-GB"/>
              </w:rPr>
              <w:t xml:space="preserve"> to more appropriately reflect the different roles of banks as originator, investor, and servicer:</w:t>
            </w:r>
          </w:p>
          <w:p w14:paraId="4A82BE88" w14:textId="77777777" w:rsidR="00C21071" w:rsidRPr="00973525" w:rsidRDefault="00C21071" w:rsidP="00C21071">
            <w:pPr>
              <w:rPr>
                <w:sz w:val="18"/>
                <w:szCs w:val="18"/>
                <w:lang w:val="en-GB"/>
              </w:rPr>
            </w:pPr>
          </w:p>
        </w:tc>
        <w:tc>
          <w:tcPr>
            <w:tcW w:w="7740" w:type="dxa"/>
          </w:tcPr>
          <w:p w14:paraId="37D43A17" w14:textId="497B92F0" w:rsidR="00C21071" w:rsidRPr="00973525" w:rsidRDefault="00C21071" w:rsidP="00C21071">
            <w:pPr>
              <w:pStyle w:val="Corpsdetexte"/>
              <w:spacing w:before="11"/>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 xml:space="preserve">We consider that prudential treatment required adjustments </w:t>
            </w:r>
            <w:r w:rsidRPr="004250A7">
              <w:rPr>
                <w:rFonts w:asciiTheme="minorHAnsi" w:eastAsiaTheme="minorHAnsi" w:hAnsiTheme="minorHAnsi" w:cstheme="minorBidi"/>
                <w:kern w:val="2"/>
                <w:sz w:val="18"/>
                <w:szCs w:val="18"/>
                <w:u w:val="single"/>
                <w14:ligatures w14:val="standardContextual"/>
              </w:rPr>
              <w:t>should apply to all</w:t>
            </w:r>
            <w:r w:rsidRPr="00973525">
              <w:rPr>
                <w:rFonts w:asciiTheme="minorHAnsi" w:eastAsiaTheme="minorHAnsi" w:hAnsiTheme="minorHAnsi" w:cstheme="minorBidi"/>
                <w:kern w:val="2"/>
                <w:sz w:val="18"/>
                <w:szCs w:val="18"/>
                <w14:ligatures w14:val="standardContextual"/>
              </w:rPr>
              <w:t xml:space="preserve"> </w:t>
            </w:r>
            <w:r w:rsidR="00D0635D" w:rsidRPr="00973525">
              <w:rPr>
                <w:rFonts w:asciiTheme="minorHAnsi" w:eastAsiaTheme="minorHAnsi" w:hAnsiTheme="minorHAnsi" w:cstheme="minorBidi"/>
                <w:kern w:val="2"/>
                <w:sz w:val="18"/>
                <w:szCs w:val="18"/>
                <w14:ligatures w14:val="standardContextual"/>
              </w:rPr>
              <w:t>[</w:t>
            </w:r>
            <w:r w:rsidR="00D0635D" w:rsidRPr="00973525">
              <w:rPr>
                <w:rFonts w:asciiTheme="minorHAnsi" w:eastAsiaTheme="minorHAnsi" w:hAnsiTheme="minorHAnsi" w:cstheme="minorBidi"/>
                <w:i/>
                <w:iCs/>
                <w:kern w:val="2"/>
                <w:sz w:val="18"/>
                <w:szCs w:val="18"/>
                <w14:ligatures w14:val="standardContextual"/>
              </w:rPr>
              <w:t>a</w:t>
            </w:r>
            <w:r w:rsidRPr="00973525">
              <w:rPr>
                <w:rFonts w:asciiTheme="minorHAnsi" w:eastAsiaTheme="minorHAnsi" w:hAnsiTheme="minorHAnsi" w:cstheme="minorBidi"/>
                <w:i/>
                <w:iCs/>
                <w:kern w:val="2"/>
                <w:sz w:val="18"/>
                <w:szCs w:val="18"/>
                <w14:ligatures w14:val="standardContextual"/>
              </w:rPr>
              <w:t>) banks in all their roles (originators, sponsors but also b) investors</w:t>
            </w:r>
            <w:proofErr w:type="gramStart"/>
            <w:r w:rsidRPr="00973525">
              <w:rPr>
                <w:rFonts w:asciiTheme="minorHAnsi" w:eastAsiaTheme="minorHAnsi" w:hAnsiTheme="minorHAnsi" w:cstheme="minorBidi"/>
                <w:i/>
                <w:iCs/>
                <w:kern w:val="2"/>
                <w:sz w:val="18"/>
                <w:szCs w:val="18"/>
                <w14:ligatures w14:val="standardContextual"/>
              </w:rPr>
              <w:t>)</w:t>
            </w:r>
            <w:r w:rsidRPr="00973525">
              <w:rPr>
                <w:rFonts w:asciiTheme="minorHAnsi" w:eastAsiaTheme="minorHAnsi" w:hAnsiTheme="minorHAnsi" w:cstheme="minorBidi"/>
                <w:kern w:val="2"/>
                <w:sz w:val="18"/>
                <w:szCs w:val="18"/>
                <w14:ligatures w14:val="standardContextual"/>
              </w:rPr>
              <w:t xml:space="preserve"> ]</w:t>
            </w:r>
            <w:proofErr w:type="gramEnd"/>
            <w:r w:rsidRPr="00973525">
              <w:rPr>
                <w:rFonts w:asciiTheme="minorHAnsi" w:eastAsiaTheme="minorHAnsi" w:hAnsiTheme="minorHAnsi" w:cstheme="minorBidi"/>
                <w:kern w:val="2"/>
                <w:sz w:val="18"/>
                <w:szCs w:val="18"/>
                <w14:ligatures w14:val="standardContextual"/>
              </w:rPr>
              <w:t>, through CRR but also through any other regulation that could prevent regulated investors from getting active in this market, as for an example, Solvency II prudential framework should be reviewed to make insurers come back as investors.</w:t>
            </w:r>
          </w:p>
          <w:p w14:paraId="36751329" w14:textId="77777777" w:rsidR="00C21071" w:rsidRPr="00973525" w:rsidRDefault="00C21071" w:rsidP="00C21071">
            <w:pPr>
              <w:pStyle w:val="Corpsdetexte"/>
              <w:spacing w:before="11"/>
              <w:jc w:val="both"/>
              <w:rPr>
                <w:rFonts w:asciiTheme="minorHAnsi" w:eastAsiaTheme="minorHAnsi" w:hAnsiTheme="minorHAnsi" w:cstheme="minorBidi"/>
                <w:kern w:val="2"/>
                <w:sz w:val="18"/>
                <w:szCs w:val="18"/>
                <w14:ligatures w14:val="standardContextual"/>
              </w:rPr>
            </w:pPr>
          </w:p>
          <w:p w14:paraId="7A7697E9" w14:textId="77777777" w:rsidR="00C21071" w:rsidRPr="00973525" w:rsidRDefault="00C21071" w:rsidP="00C21071">
            <w:pPr>
              <w:rPr>
                <w:sz w:val="18"/>
                <w:szCs w:val="18"/>
                <w:lang w:val="en-US"/>
              </w:rPr>
            </w:pPr>
            <w:r w:rsidRPr="00973525">
              <w:rPr>
                <w:sz w:val="18"/>
                <w:szCs w:val="18"/>
                <w:lang w:val="en-US"/>
              </w:rPr>
              <w:t xml:space="preserve">We believe there is </w:t>
            </w:r>
            <w:r w:rsidRPr="00973525">
              <w:rPr>
                <w:sz w:val="18"/>
                <w:szCs w:val="18"/>
                <w:u w:val="single"/>
                <w:lang w:val="en-US"/>
              </w:rPr>
              <w:t>no reason to differentiate investor and originator/sponsor role</w:t>
            </w:r>
            <w:r w:rsidRPr="00973525">
              <w:rPr>
                <w:sz w:val="18"/>
                <w:szCs w:val="18"/>
                <w:lang w:val="en-US"/>
              </w:rPr>
              <w:t xml:space="preserve">. </w:t>
            </w:r>
          </w:p>
          <w:p w14:paraId="3C4F8CC9" w14:textId="7EC4FC85" w:rsidR="00C21071" w:rsidRPr="00973525" w:rsidRDefault="00C21071" w:rsidP="00C21071">
            <w:pPr>
              <w:pStyle w:val="Paragraphedeliste"/>
              <w:numPr>
                <w:ilvl w:val="0"/>
                <w:numId w:val="5"/>
              </w:numPr>
              <w:rPr>
                <w:sz w:val="18"/>
                <w:szCs w:val="18"/>
                <w:lang w:val="en-US"/>
              </w:rPr>
            </w:pPr>
            <w:r w:rsidRPr="00973525">
              <w:rPr>
                <w:sz w:val="18"/>
                <w:szCs w:val="18"/>
                <w:lang w:val="en-US"/>
              </w:rPr>
              <w:t xml:space="preserve">On one hand, originators/sponsors know quite well their portfolio unlike a pure investor that will have to deal with asymmetry of information. </w:t>
            </w:r>
          </w:p>
          <w:p w14:paraId="19552A8D" w14:textId="2FFFEE46" w:rsidR="00C21071" w:rsidRPr="00973525" w:rsidRDefault="00C21071" w:rsidP="00C21071">
            <w:pPr>
              <w:pStyle w:val="Paragraphedeliste"/>
              <w:numPr>
                <w:ilvl w:val="0"/>
                <w:numId w:val="5"/>
              </w:numPr>
              <w:rPr>
                <w:sz w:val="18"/>
                <w:szCs w:val="18"/>
                <w:lang w:val="en-US"/>
              </w:rPr>
            </w:pPr>
            <w:r w:rsidRPr="00973525">
              <w:rPr>
                <w:sz w:val="18"/>
                <w:szCs w:val="18"/>
                <w:lang w:val="en-US"/>
              </w:rPr>
              <w:t xml:space="preserve">On the other hand, securitisations are structured with eligibility criteria, some of whom are dictated by STS criteria, others on customer request, that contain the portfolio to its best part (no delinquencies, no restructuration/forbearance, etc.). </w:t>
            </w:r>
          </w:p>
          <w:p w14:paraId="32AEC360" w14:textId="043FA979" w:rsidR="00C21071" w:rsidRPr="00973525" w:rsidRDefault="00C21071" w:rsidP="00C21071">
            <w:pPr>
              <w:ind w:left="45"/>
              <w:rPr>
                <w:sz w:val="18"/>
                <w:szCs w:val="18"/>
                <w:lang w:val="en-US"/>
              </w:rPr>
            </w:pPr>
            <w:r w:rsidRPr="00973525">
              <w:rPr>
                <w:sz w:val="18"/>
                <w:szCs w:val="18"/>
                <w:lang w:val="en-US"/>
              </w:rPr>
              <w:t>Those opposite effects are relatively well balanced and there is no reason that one role should benefit from favorable treatment.</w:t>
            </w:r>
          </w:p>
          <w:p w14:paraId="758A0BEB" w14:textId="1A9F6CB2" w:rsidR="00C21071" w:rsidRPr="00973525" w:rsidRDefault="00C21071" w:rsidP="00C21071">
            <w:pPr>
              <w:rPr>
                <w:sz w:val="18"/>
                <w:szCs w:val="18"/>
                <w:lang w:val="en-US"/>
              </w:rPr>
            </w:pPr>
            <w:r w:rsidRPr="00973525">
              <w:rPr>
                <w:sz w:val="18"/>
                <w:szCs w:val="18"/>
                <w:lang w:val="en-US"/>
              </w:rPr>
              <w:t>In both situations, securitisation should be seen as transforming the risk of the pool, with a small but now well-contained inefficiency, which means that the new capital allocation should be quite close to capital neutrality.</w:t>
            </w:r>
          </w:p>
          <w:p w14:paraId="14D44DE9" w14:textId="77777777" w:rsidR="00C21071" w:rsidRPr="00973525" w:rsidRDefault="00C21071" w:rsidP="00C21071">
            <w:pPr>
              <w:rPr>
                <w:sz w:val="18"/>
                <w:szCs w:val="18"/>
                <w:lang w:val="en-US"/>
              </w:rPr>
            </w:pPr>
          </w:p>
        </w:tc>
        <w:tc>
          <w:tcPr>
            <w:tcW w:w="236" w:type="dxa"/>
          </w:tcPr>
          <w:p w14:paraId="2FBDA9B4" w14:textId="5AD17743" w:rsidR="00C21071" w:rsidRPr="007C79DF" w:rsidRDefault="00C21071" w:rsidP="0079353D">
            <w:pPr>
              <w:ind w:firstLine="1917"/>
              <w:rPr>
                <w:sz w:val="18"/>
                <w:szCs w:val="18"/>
                <w:lang w:val="en-GB"/>
              </w:rPr>
            </w:pPr>
          </w:p>
        </w:tc>
      </w:tr>
      <w:tr w:rsidR="00C21071" w:rsidRPr="0000602A" w14:paraId="03FE7181" w14:textId="77777777" w:rsidTr="30964D0C">
        <w:trPr>
          <w:gridAfter w:val="1"/>
          <w:wAfter w:w="16" w:type="dxa"/>
        </w:trPr>
        <w:tc>
          <w:tcPr>
            <w:tcW w:w="2893" w:type="dxa"/>
          </w:tcPr>
          <w:p w14:paraId="334BB03C" w14:textId="77777777" w:rsidR="00C21071" w:rsidRPr="00973525" w:rsidRDefault="00C21071" w:rsidP="00C21071">
            <w:pPr>
              <w:rPr>
                <w:sz w:val="18"/>
                <w:szCs w:val="18"/>
                <w:lang w:val="en-GB"/>
              </w:rPr>
            </w:pPr>
            <w:r w:rsidRPr="00973525">
              <w:rPr>
                <w:sz w:val="18"/>
                <w:szCs w:val="18"/>
                <w:lang w:val="en-GB"/>
              </w:rPr>
              <w:t xml:space="preserve">Question 9.6. Have you </w:t>
            </w:r>
            <w:r w:rsidRPr="00973525">
              <w:rPr>
                <w:b/>
                <w:bCs/>
                <w:sz w:val="18"/>
                <w:szCs w:val="18"/>
                <w:lang w:val="en-GB"/>
              </w:rPr>
              <w:t>identified</w:t>
            </w:r>
            <w:r w:rsidRPr="00973525">
              <w:rPr>
                <w:sz w:val="18"/>
                <w:szCs w:val="18"/>
                <w:lang w:val="en-GB"/>
              </w:rPr>
              <w:t xml:space="preserve"> any areas of </w:t>
            </w:r>
            <w:r w:rsidRPr="00973525">
              <w:rPr>
                <w:b/>
                <w:bCs/>
                <w:sz w:val="18"/>
                <w:szCs w:val="18"/>
                <w:lang w:val="en-GB"/>
              </w:rPr>
              <w:t>technical inconsistencies or ambiguities</w:t>
            </w:r>
            <w:r w:rsidRPr="00973525">
              <w:rPr>
                <w:sz w:val="18"/>
                <w:szCs w:val="18"/>
                <w:lang w:val="en-GB"/>
              </w:rPr>
              <w:t xml:space="preserve"> in the prudential treatment of securitisation in the CRR (</w:t>
            </w:r>
            <w:r w:rsidRPr="00973525">
              <w:rPr>
                <w:b/>
                <w:bCs/>
                <w:sz w:val="18"/>
                <w:szCs w:val="18"/>
                <w:lang w:val="en-GB"/>
              </w:rPr>
              <w:t>other than the ‘quick fixes’</w:t>
            </w:r>
            <w:r w:rsidRPr="00973525">
              <w:rPr>
                <w:sz w:val="18"/>
                <w:szCs w:val="18"/>
                <w:lang w:val="en-GB"/>
              </w:rPr>
              <w:t xml:space="preserve"> identified by the </w:t>
            </w:r>
            <w:r>
              <w:fldChar w:fldCharType="begin"/>
            </w:r>
            <w:r w:rsidRPr="0000602A">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 "_blank"</w:instrText>
            </w:r>
            <w:r>
              <w:fldChar w:fldCharType="separate"/>
            </w:r>
            <w:r w:rsidRPr="00973525">
              <w:rPr>
                <w:rStyle w:val="Lienhypertexte"/>
                <w:sz w:val="18"/>
                <w:szCs w:val="18"/>
                <w:lang w:val="en-GB"/>
              </w:rPr>
              <w:t>ESAs in the report JC/2022/66</w:t>
            </w:r>
            <w:r>
              <w:rPr>
                <w:rStyle w:val="Lienhypertexte"/>
                <w:sz w:val="18"/>
                <w:szCs w:val="18"/>
                <w:lang w:val="en-GB"/>
              </w:rPr>
              <w:fldChar w:fldCharType="end"/>
            </w:r>
            <w:r w:rsidRPr="00973525">
              <w:rPr>
                <w:sz w:val="18"/>
                <w:szCs w:val="18"/>
                <w:lang w:val="en-GB"/>
              </w:rPr>
              <w:t>) that could benefit from further clarification?</w:t>
            </w:r>
          </w:p>
          <w:p w14:paraId="7999AC18" w14:textId="77777777" w:rsidR="00C21071" w:rsidRPr="00973525" w:rsidRDefault="00C21071" w:rsidP="00C21071">
            <w:pPr>
              <w:rPr>
                <w:sz w:val="18"/>
                <w:szCs w:val="18"/>
                <w:lang w:val="en-GB"/>
              </w:rPr>
            </w:pPr>
          </w:p>
        </w:tc>
        <w:tc>
          <w:tcPr>
            <w:tcW w:w="7740" w:type="dxa"/>
          </w:tcPr>
          <w:p w14:paraId="28001C94" w14:textId="77777777" w:rsidR="00C21071" w:rsidRPr="00973525" w:rsidRDefault="00C21071" w:rsidP="00C21071">
            <w:pPr>
              <w:rPr>
                <w:sz w:val="18"/>
                <w:szCs w:val="18"/>
                <w:lang w:val="en-GB"/>
              </w:rPr>
            </w:pPr>
            <w:r w:rsidRPr="00973525">
              <w:rPr>
                <w:sz w:val="18"/>
                <w:szCs w:val="18"/>
                <w:lang w:val="en-GB"/>
              </w:rPr>
              <w:t>Answer</w:t>
            </w:r>
          </w:p>
          <w:p w14:paraId="2755193B" w14:textId="77777777" w:rsidR="00C21071" w:rsidRPr="00973525" w:rsidRDefault="00000000" w:rsidP="00C21071">
            <w:pPr>
              <w:rPr>
                <w:sz w:val="18"/>
                <w:szCs w:val="18"/>
                <w:lang w:val="en-GB"/>
              </w:rPr>
            </w:pPr>
            <w:sdt>
              <w:sdtPr>
                <w:rPr>
                  <w:sz w:val="18"/>
                  <w:szCs w:val="18"/>
                  <w:lang w:val="en-GB"/>
                </w:rPr>
                <w:id w:val="-2067025561"/>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sz w:val="18"/>
                    <w:szCs w:val="18"/>
                    <w:lang w:val="en-GB"/>
                  </w:rPr>
                  <w:t>☒</w:t>
                </w:r>
              </w:sdtContent>
            </w:sdt>
            <w:r w:rsidR="00C21071" w:rsidRPr="00973525">
              <w:rPr>
                <w:sz w:val="18"/>
                <w:szCs w:val="18"/>
                <w:lang w:val="en-GB"/>
              </w:rPr>
              <w:t>Yes</w:t>
            </w:r>
          </w:p>
          <w:p w14:paraId="06B5C082" w14:textId="77777777" w:rsidR="00C21071" w:rsidRPr="00973525" w:rsidRDefault="00000000" w:rsidP="00C21071">
            <w:pPr>
              <w:rPr>
                <w:sz w:val="18"/>
                <w:szCs w:val="18"/>
                <w:lang w:val="en-GB"/>
              </w:rPr>
            </w:pPr>
            <w:sdt>
              <w:sdtPr>
                <w:rPr>
                  <w:sz w:val="18"/>
                  <w:szCs w:val="18"/>
                  <w:lang w:val="en-GB"/>
                </w:rPr>
                <w:id w:val="239990001"/>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No</w:t>
            </w:r>
          </w:p>
          <w:p w14:paraId="05A6E710" w14:textId="77777777" w:rsidR="00C21071" w:rsidRPr="00973525" w:rsidRDefault="00000000" w:rsidP="00C21071">
            <w:pPr>
              <w:rPr>
                <w:color w:val="FF0000"/>
                <w:sz w:val="18"/>
                <w:szCs w:val="18"/>
                <w:lang w:val="en-US"/>
              </w:rPr>
            </w:pPr>
            <w:sdt>
              <w:sdtPr>
                <w:rPr>
                  <w:sz w:val="18"/>
                  <w:szCs w:val="18"/>
                  <w:lang w:val="en-GB"/>
                </w:rPr>
                <w:id w:val="1023668351"/>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176C197F" w14:textId="77777777" w:rsidR="00C21071" w:rsidRPr="00973525" w:rsidRDefault="00C21071" w:rsidP="00C21071">
            <w:pPr>
              <w:rPr>
                <w:sz w:val="18"/>
                <w:szCs w:val="18"/>
                <w:lang w:val="en-US"/>
              </w:rPr>
            </w:pPr>
          </w:p>
        </w:tc>
        <w:tc>
          <w:tcPr>
            <w:tcW w:w="236" w:type="dxa"/>
          </w:tcPr>
          <w:p w14:paraId="291ACB85" w14:textId="6929A845" w:rsidR="00C21071" w:rsidRPr="00973525" w:rsidRDefault="00C21071" w:rsidP="0079353D">
            <w:pPr>
              <w:ind w:firstLine="1917"/>
              <w:rPr>
                <w:sz w:val="18"/>
                <w:szCs w:val="18"/>
                <w:lang w:val="en-GB"/>
              </w:rPr>
            </w:pPr>
          </w:p>
        </w:tc>
      </w:tr>
      <w:tr w:rsidR="00C21071" w:rsidRPr="0000602A" w14:paraId="08EE9CB8" w14:textId="77777777" w:rsidTr="30964D0C">
        <w:trPr>
          <w:gridAfter w:val="1"/>
          <w:wAfter w:w="16" w:type="dxa"/>
        </w:trPr>
        <w:tc>
          <w:tcPr>
            <w:tcW w:w="2893" w:type="dxa"/>
          </w:tcPr>
          <w:p w14:paraId="459C32FF" w14:textId="77777777" w:rsidR="00C21071" w:rsidRPr="00973525" w:rsidRDefault="00C21071" w:rsidP="00C21071">
            <w:pPr>
              <w:rPr>
                <w:sz w:val="18"/>
                <w:szCs w:val="18"/>
                <w:lang w:val="en-GB"/>
              </w:rPr>
            </w:pPr>
            <w:r w:rsidRPr="00973525">
              <w:rPr>
                <w:sz w:val="18"/>
                <w:szCs w:val="18"/>
                <w:lang w:val="en-GB"/>
              </w:rPr>
              <w:t xml:space="preserve">Question 9.7. If you answered yes to question 9.6., please </w:t>
            </w:r>
            <w:r w:rsidRPr="00973525">
              <w:rPr>
                <w:b/>
                <w:bCs/>
                <w:sz w:val="18"/>
                <w:szCs w:val="18"/>
                <w:lang w:val="en-GB"/>
              </w:rPr>
              <w:t xml:space="preserve">explain </w:t>
            </w:r>
            <w:r w:rsidRPr="00973525">
              <w:rPr>
                <w:sz w:val="18"/>
                <w:szCs w:val="18"/>
                <w:lang w:val="en-GB"/>
              </w:rPr>
              <w:t>and provide suggestions for possible clarifications:</w:t>
            </w:r>
          </w:p>
          <w:p w14:paraId="53552094" w14:textId="77777777" w:rsidR="00C21071" w:rsidRPr="00973525" w:rsidRDefault="00C21071" w:rsidP="00C21071">
            <w:pPr>
              <w:rPr>
                <w:sz w:val="18"/>
                <w:szCs w:val="18"/>
                <w:lang w:val="en-GB"/>
              </w:rPr>
            </w:pPr>
          </w:p>
        </w:tc>
        <w:tc>
          <w:tcPr>
            <w:tcW w:w="7740" w:type="dxa"/>
          </w:tcPr>
          <w:p w14:paraId="6A1AF843" w14:textId="77777777" w:rsidR="000E1513" w:rsidRPr="00973525" w:rsidRDefault="000E1513" w:rsidP="000E1513">
            <w:pPr>
              <w:spacing w:line="252" w:lineRule="auto"/>
              <w:rPr>
                <w:rFonts w:eastAsia="Times New Roman"/>
                <w:sz w:val="18"/>
                <w:szCs w:val="18"/>
                <w:u w:val="single"/>
                <w:lang w:val="en-US" w:eastAsia="fr-FR"/>
                <w14:ligatures w14:val="none"/>
              </w:rPr>
            </w:pPr>
            <w:r>
              <w:rPr>
                <w:rFonts w:eastAsia="Times New Roman"/>
                <w:sz w:val="18"/>
                <w:szCs w:val="18"/>
                <w:u w:val="single"/>
                <w:lang w:val="en-US" w:eastAsia="fr-FR"/>
                <w14:ligatures w14:val="none"/>
              </w:rPr>
              <w:t>S</w:t>
            </w:r>
            <w:r w:rsidRPr="00973525">
              <w:rPr>
                <w:rFonts w:eastAsia="Times New Roman"/>
                <w:sz w:val="18"/>
                <w:szCs w:val="18"/>
                <w:u w:val="single"/>
                <w:lang w:val="en-US" w:eastAsia="fr-FR"/>
                <w14:ligatures w14:val="none"/>
              </w:rPr>
              <w:t>uggestions:</w:t>
            </w:r>
          </w:p>
          <w:p w14:paraId="27B31296" w14:textId="5A7DE0FD" w:rsidR="000E1513" w:rsidRPr="00973525" w:rsidRDefault="000E1513" w:rsidP="000E1513">
            <w:pPr>
              <w:numPr>
                <w:ilvl w:val="0"/>
                <w:numId w:val="8"/>
              </w:numPr>
              <w:spacing w:line="252" w:lineRule="auto"/>
              <w:rPr>
                <w:rFonts w:eastAsia="Times New Roman"/>
                <w:b/>
                <w:bCs/>
                <w:sz w:val="18"/>
                <w:szCs w:val="18"/>
                <w:u w:val="single"/>
                <w:lang w:val="en-US" w:eastAsia="fr-FR"/>
                <w14:ligatures w14:val="none"/>
              </w:rPr>
            </w:pPr>
            <w:r w:rsidRPr="00973525">
              <w:rPr>
                <w:rFonts w:eastAsia="Times New Roman"/>
                <w:b/>
                <w:bCs/>
                <w:sz w:val="18"/>
                <w:szCs w:val="18"/>
                <w:u w:val="single"/>
                <w:lang w:val="en-US" w:eastAsia="fr-FR"/>
                <w14:ligatures w14:val="none"/>
              </w:rPr>
              <w:t>the Article 243 sh</w:t>
            </w:r>
            <w:r>
              <w:rPr>
                <w:rFonts w:eastAsia="Times New Roman"/>
                <w:b/>
                <w:bCs/>
                <w:sz w:val="18"/>
                <w:szCs w:val="18"/>
                <w:u w:val="single"/>
                <w:lang w:val="en-US" w:eastAsia="fr-FR"/>
                <w14:ligatures w14:val="none"/>
              </w:rPr>
              <w:t xml:space="preserve">all </w:t>
            </w:r>
            <w:r w:rsidRPr="00973525">
              <w:rPr>
                <w:rFonts w:eastAsia="Times New Roman"/>
                <w:b/>
                <w:bCs/>
                <w:sz w:val="18"/>
                <w:szCs w:val="18"/>
                <w:u w:val="single"/>
                <w:lang w:val="en-US" w:eastAsia="fr-FR"/>
                <w14:ligatures w14:val="none"/>
              </w:rPr>
              <w:t>be deleted (or strongly amended) to avoid inconsistencies.</w:t>
            </w:r>
          </w:p>
          <w:p w14:paraId="1BDCBBB8" w14:textId="77777777" w:rsidR="000E1513" w:rsidRPr="00051A3B" w:rsidRDefault="000E1513" w:rsidP="000E1513">
            <w:pPr>
              <w:ind w:left="709"/>
              <w:rPr>
                <w:b/>
                <w:bCs/>
                <w:sz w:val="18"/>
                <w:szCs w:val="18"/>
                <w:lang w:val="en-US" w:eastAsia="fr-FR"/>
              </w:rPr>
            </w:pPr>
            <w:r>
              <w:rPr>
                <w:sz w:val="18"/>
                <w:szCs w:val="18"/>
                <w:lang w:val="en-US" w:eastAsia="fr-FR"/>
              </w:rPr>
              <w:t>The</w:t>
            </w:r>
            <w:r w:rsidRPr="00973525">
              <w:rPr>
                <w:sz w:val="18"/>
                <w:szCs w:val="18"/>
                <w:lang w:val="en-US" w:eastAsia="fr-FR"/>
              </w:rPr>
              <w:t xml:space="preserve"> </w:t>
            </w:r>
            <w:r>
              <w:rPr>
                <w:sz w:val="18"/>
                <w:szCs w:val="18"/>
                <w:lang w:val="en-US" w:eastAsia="fr-FR"/>
              </w:rPr>
              <w:t xml:space="preserve">Art 243 </w:t>
            </w:r>
            <w:r w:rsidRPr="00973525">
              <w:rPr>
                <w:sz w:val="18"/>
                <w:szCs w:val="18"/>
                <w:lang w:val="en-US" w:eastAsia="fr-FR"/>
              </w:rPr>
              <w:t xml:space="preserve">additional limitations for benefiting from the STS treatment may discourage banks </w:t>
            </w:r>
            <w:proofErr w:type="gramStart"/>
            <w:r>
              <w:rPr>
                <w:sz w:val="18"/>
                <w:szCs w:val="18"/>
                <w:lang w:val="en-US" w:eastAsia="fr-FR"/>
              </w:rPr>
              <w:t>to</w:t>
            </w:r>
            <w:proofErr w:type="gramEnd"/>
            <w:r w:rsidRPr="00973525">
              <w:rPr>
                <w:sz w:val="18"/>
                <w:szCs w:val="18"/>
                <w:lang w:val="en-US" w:eastAsia="fr-FR"/>
              </w:rPr>
              <w:t xml:space="preserve"> </w:t>
            </w:r>
            <w:r w:rsidRPr="00051A3B">
              <w:rPr>
                <w:sz w:val="18"/>
                <w:szCs w:val="18"/>
                <w:lang w:val="en-US" w:eastAsia="fr-FR"/>
              </w:rPr>
              <w:t>iss</w:t>
            </w:r>
            <w:r>
              <w:rPr>
                <w:sz w:val="18"/>
                <w:szCs w:val="18"/>
                <w:lang w:val="en-US" w:eastAsia="fr-FR"/>
              </w:rPr>
              <w:t>ue</w:t>
            </w:r>
            <w:r w:rsidRPr="00051A3B">
              <w:rPr>
                <w:sz w:val="18"/>
                <w:szCs w:val="18"/>
                <w:lang w:val="en-US" w:eastAsia="fr-FR"/>
              </w:rPr>
              <w:t xml:space="preserve"> STS. Similarly, </w:t>
            </w:r>
            <w:r>
              <w:rPr>
                <w:sz w:val="18"/>
                <w:szCs w:val="18"/>
                <w:lang w:val="en-US" w:eastAsia="fr-FR"/>
              </w:rPr>
              <w:t xml:space="preserve">the cost of senior STS </w:t>
            </w:r>
            <w:r w:rsidRPr="00051A3B">
              <w:rPr>
                <w:sz w:val="18"/>
                <w:szCs w:val="18"/>
                <w:lang w:val="en-US" w:eastAsia="fr-FR"/>
              </w:rPr>
              <w:t>funding</w:t>
            </w:r>
            <w:r>
              <w:rPr>
                <w:sz w:val="18"/>
                <w:szCs w:val="18"/>
                <w:lang w:val="en-US" w:eastAsia="fr-FR"/>
              </w:rPr>
              <w:t xml:space="preserve"> </w:t>
            </w:r>
            <w:r w:rsidRPr="00051A3B">
              <w:rPr>
                <w:sz w:val="18"/>
                <w:szCs w:val="18"/>
                <w:lang w:val="en-US" w:eastAsia="fr-FR"/>
              </w:rPr>
              <w:t>to clients</w:t>
            </w:r>
            <w:r>
              <w:rPr>
                <w:sz w:val="18"/>
                <w:szCs w:val="18"/>
                <w:lang w:val="en-US" w:eastAsia="fr-FR"/>
              </w:rPr>
              <w:t xml:space="preserve"> is mechanically higher due to STS constraints.</w:t>
            </w:r>
          </w:p>
          <w:p w14:paraId="7E1A304C" w14:textId="77777777" w:rsidR="000E1513" w:rsidRPr="00973525" w:rsidRDefault="000E1513" w:rsidP="000E1513">
            <w:pPr>
              <w:ind w:left="709"/>
              <w:rPr>
                <w:sz w:val="18"/>
                <w:szCs w:val="18"/>
                <w:lang w:val="en-US" w:eastAsia="fr-FR"/>
              </w:rPr>
            </w:pPr>
            <w:r>
              <w:rPr>
                <w:sz w:val="18"/>
                <w:szCs w:val="18"/>
                <w:lang w:val="en-US" w:eastAsia="fr-FR"/>
              </w:rPr>
              <w:t>ABCP/</w:t>
            </w:r>
            <w:proofErr w:type="spellStart"/>
            <w:r>
              <w:rPr>
                <w:sz w:val="18"/>
                <w:szCs w:val="18"/>
                <w:lang w:val="en-US" w:eastAsia="fr-FR"/>
              </w:rPr>
              <w:t>nonABCP</w:t>
            </w:r>
            <w:proofErr w:type="spellEnd"/>
            <w:r>
              <w:rPr>
                <w:sz w:val="18"/>
                <w:szCs w:val="18"/>
                <w:lang w:val="en-US" w:eastAsia="fr-FR"/>
              </w:rPr>
              <w:t xml:space="preserve"> </w:t>
            </w:r>
            <w:r w:rsidRPr="00051A3B">
              <w:rPr>
                <w:sz w:val="18"/>
                <w:szCs w:val="18"/>
                <w:lang w:val="en-US" w:eastAsia="fr-FR"/>
              </w:rPr>
              <w:t xml:space="preserve">shall be eligible </w:t>
            </w:r>
            <w:r>
              <w:rPr>
                <w:sz w:val="18"/>
                <w:szCs w:val="18"/>
                <w:lang w:val="en-US" w:eastAsia="fr-FR"/>
              </w:rPr>
              <w:t xml:space="preserve">to Art 243 </w:t>
            </w:r>
            <w:r w:rsidRPr="00051A3B">
              <w:rPr>
                <w:sz w:val="18"/>
                <w:szCs w:val="18"/>
                <w:lang w:val="en-US" w:eastAsia="fr-FR"/>
              </w:rPr>
              <w:t xml:space="preserve">STS </w:t>
            </w:r>
            <w:r w:rsidRPr="00CD5DC7">
              <w:rPr>
                <w:sz w:val="18"/>
                <w:szCs w:val="18"/>
                <w:u w:val="single"/>
                <w:lang w:val="en-US" w:eastAsia="fr-FR"/>
              </w:rPr>
              <w:t xml:space="preserve">if </w:t>
            </w:r>
            <w:r>
              <w:rPr>
                <w:sz w:val="18"/>
                <w:szCs w:val="18"/>
                <w:u w:val="single"/>
                <w:lang w:val="en-US" w:eastAsia="fr-FR"/>
              </w:rPr>
              <w:t>and only if each</w:t>
            </w:r>
            <w:r w:rsidRPr="00CD5DC7">
              <w:rPr>
                <w:sz w:val="18"/>
                <w:szCs w:val="18"/>
                <w:u w:val="single"/>
                <w:lang w:val="en-US" w:eastAsia="fr-FR"/>
              </w:rPr>
              <w:t xml:space="preserve"> underlying exposure meets</w:t>
            </w:r>
            <w:r>
              <w:rPr>
                <w:sz w:val="18"/>
                <w:szCs w:val="18"/>
                <w:lang w:val="en-US" w:eastAsia="fr-FR"/>
              </w:rPr>
              <w:t xml:space="preserve"> individually </w:t>
            </w:r>
            <w:r w:rsidRPr="00051A3B">
              <w:rPr>
                <w:sz w:val="18"/>
                <w:szCs w:val="18"/>
                <w:lang w:val="en-US" w:eastAsia="fr-FR"/>
              </w:rPr>
              <w:t xml:space="preserve">a </w:t>
            </w:r>
            <w:r>
              <w:rPr>
                <w:sz w:val="18"/>
                <w:szCs w:val="18"/>
                <w:lang w:val="en-US" w:eastAsia="fr-FR"/>
              </w:rPr>
              <w:t xml:space="preserve">STD </w:t>
            </w:r>
            <w:r>
              <w:rPr>
                <w:sz w:val="18"/>
                <w:szCs w:val="18"/>
                <w:u w:val="single"/>
                <w:lang w:val="en-US" w:eastAsia="fr-FR"/>
              </w:rPr>
              <w:t>RW</w:t>
            </w:r>
            <w:r w:rsidRPr="00CD5DC7">
              <w:rPr>
                <w:sz w:val="18"/>
                <w:szCs w:val="18"/>
                <w:u w:val="single"/>
                <w:lang w:val="en-US" w:eastAsia="fr-FR"/>
              </w:rPr>
              <w:t xml:space="preserve"> </w:t>
            </w:r>
            <w:r>
              <w:rPr>
                <w:sz w:val="18"/>
                <w:szCs w:val="18"/>
                <w:u w:val="single"/>
                <w:lang w:val="en-US" w:eastAsia="fr-FR"/>
              </w:rPr>
              <w:t>&lt;=</w:t>
            </w:r>
            <w:r w:rsidRPr="00CD5DC7">
              <w:rPr>
                <w:sz w:val="18"/>
                <w:szCs w:val="18"/>
                <w:u w:val="single"/>
                <w:lang w:val="en-US" w:eastAsia="fr-FR"/>
              </w:rPr>
              <w:t xml:space="preserve"> 75 %</w:t>
            </w:r>
            <w:r w:rsidRPr="00051A3B">
              <w:rPr>
                <w:sz w:val="18"/>
                <w:szCs w:val="18"/>
                <w:lang w:val="en-US" w:eastAsia="fr-FR"/>
              </w:rPr>
              <w:t xml:space="preserve"> </w:t>
            </w:r>
            <w:r>
              <w:rPr>
                <w:sz w:val="18"/>
                <w:szCs w:val="18"/>
                <w:lang w:val="en-US" w:eastAsia="fr-FR"/>
              </w:rPr>
              <w:t>(</w:t>
            </w:r>
            <w:r w:rsidRPr="00051A3B">
              <w:rPr>
                <w:sz w:val="18"/>
                <w:szCs w:val="18"/>
                <w:lang w:val="en-US" w:eastAsia="fr-FR"/>
              </w:rPr>
              <w:t>retail exp</w:t>
            </w:r>
            <w:r>
              <w:rPr>
                <w:sz w:val="18"/>
                <w:szCs w:val="18"/>
                <w:lang w:val="en-US" w:eastAsia="fr-FR"/>
              </w:rPr>
              <w:t>)</w:t>
            </w:r>
            <w:r w:rsidRPr="00051A3B">
              <w:rPr>
                <w:sz w:val="18"/>
                <w:szCs w:val="18"/>
                <w:lang w:val="en-US" w:eastAsia="fr-FR"/>
              </w:rPr>
              <w:t xml:space="preserve"> or </w:t>
            </w:r>
            <w:r w:rsidRPr="00CD5DC7">
              <w:rPr>
                <w:sz w:val="18"/>
                <w:szCs w:val="18"/>
                <w:u w:val="single"/>
                <w:lang w:val="en-US" w:eastAsia="fr-FR"/>
              </w:rPr>
              <w:t>100 %</w:t>
            </w:r>
            <w:r w:rsidRPr="00051A3B">
              <w:rPr>
                <w:sz w:val="18"/>
                <w:szCs w:val="18"/>
                <w:lang w:val="en-US" w:eastAsia="fr-FR"/>
              </w:rPr>
              <w:t xml:space="preserve"> for any other exposures. </w:t>
            </w:r>
            <w:r>
              <w:rPr>
                <w:sz w:val="18"/>
                <w:szCs w:val="18"/>
                <w:lang w:val="en-US" w:eastAsia="fr-FR"/>
              </w:rPr>
              <w:lastRenderedPageBreak/>
              <w:t>=&gt;</w:t>
            </w:r>
            <w:r w:rsidRPr="00051A3B">
              <w:rPr>
                <w:sz w:val="18"/>
                <w:szCs w:val="18"/>
                <w:lang w:val="en-US" w:eastAsia="fr-FR"/>
              </w:rPr>
              <w:t>excludes</w:t>
            </w:r>
            <w:r>
              <w:rPr>
                <w:sz w:val="18"/>
                <w:szCs w:val="18"/>
                <w:lang w:val="en-US" w:eastAsia="fr-FR"/>
              </w:rPr>
              <w:t xml:space="preserve"> pools</w:t>
            </w:r>
            <w:r w:rsidRPr="00051A3B">
              <w:rPr>
                <w:sz w:val="18"/>
                <w:szCs w:val="18"/>
                <w:lang w:val="en-US" w:eastAsia="fr-FR"/>
              </w:rPr>
              <w:t xml:space="preserve"> with one single corporate loan </w:t>
            </w:r>
            <w:r>
              <w:rPr>
                <w:sz w:val="18"/>
                <w:szCs w:val="18"/>
                <w:lang w:val="en-US" w:eastAsia="fr-FR"/>
              </w:rPr>
              <w:t>rated</w:t>
            </w:r>
            <w:r w:rsidRPr="00051A3B">
              <w:rPr>
                <w:sz w:val="18"/>
                <w:szCs w:val="18"/>
                <w:lang w:val="en-US" w:eastAsia="fr-FR"/>
              </w:rPr>
              <w:t xml:space="preserve"> B+</w:t>
            </w:r>
            <w:r>
              <w:rPr>
                <w:sz w:val="18"/>
                <w:szCs w:val="18"/>
                <w:lang w:val="en-US" w:eastAsia="fr-FR"/>
              </w:rPr>
              <w:t>(or RW</w:t>
            </w:r>
            <w:r w:rsidRPr="00051A3B">
              <w:rPr>
                <w:sz w:val="18"/>
                <w:szCs w:val="18"/>
                <w:lang w:val="en-US" w:eastAsia="fr-FR"/>
              </w:rPr>
              <w:t>150%</w:t>
            </w:r>
            <w:r>
              <w:rPr>
                <w:sz w:val="18"/>
                <w:szCs w:val="18"/>
                <w:lang w:val="en-US" w:eastAsia="fr-FR"/>
              </w:rPr>
              <w:t>)</w:t>
            </w:r>
            <w:r w:rsidRPr="00051A3B">
              <w:rPr>
                <w:sz w:val="18"/>
                <w:szCs w:val="18"/>
                <w:lang w:val="en-US" w:eastAsia="fr-FR"/>
              </w:rPr>
              <w:t xml:space="preserve">, </w:t>
            </w:r>
            <w:r>
              <w:rPr>
                <w:sz w:val="18"/>
                <w:szCs w:val="18"/>
                <w:lang w:val="en-US" w:eastAsia="fr-FR"/>
              </w:rPr>
              <w:t xml:space="preserve">excluding part of </w:t>
            </w:r>
            <w:r w:rsidRPr="00051A3B">
              <w:rPr>
                <w:sz w:val="18"/>
                <w:szCs w:val="18"/>
                <w:lang w:val="en-US" w:eastAsia="fr-FR"/>
              </w:rPr>
              <w:t>portfolios of leasing, trade receivables or SME</w:t>
            </w:r>
            <w:r>
              <w:rPr>
                <w:sz w:val="18"/>
                <w:szCs w:val="18"/>
                <w:lang w:val="en-US" w:eastAsia="fr-FR"/>
              </w:rPr>
              <w:t>.</w:t>
            </w:r>
          </w:p>
          <w:p w14:paraId="4DBBC520" w14:textId="77777777" w:rsidR="000E1513" w:rsidRPr="004D1B71" w:rsidRDefault="000E1513" w:rsidP="000E1513">
            <w:pPr>
              <w:ind w:left="709"/>
              <w:rPr>
                <w:sz w:val="18"/>
                <w:szCs w:val="18"/>
                <w:lang w:val="en-US" w:eastAsia="fr-FR"/>
              </w:rPr>
            </w:pPr>
            <w:r>
              <w:rPr>
                <w:b/>
                <w:bCs/>
                <w:sz w:val="18"/>
                <w:szCs w:val="18"/>
                <w:lang w:val="en-US" w:eastAsia="fr-FR"/>
              </w:rPr>
              <w:t>We suggest deleting Article 243 or increasing</w:t>
            </w:r>
            <w:r w:rsidRPr="00973525">
              <w:rPr>
                <w:b/>
                <w:bCs/>
                <w:sz w:val="18"/>
                <w:szCs w:val="18"/>
                <w:lang w:val="en-US" w:eastAsia="fr-FR"/>
              </w:rPr>
              <w:t xml:space="preserve"> </w:t>
            </w:r>
            <w:proofErr w:type="spellStart"/>
            <w:r>
              <w:rPr>
                <w:b/>
                <w:bCs/>
                <w:sz w:val="18"/>
                <w:szCs w:val="18"/>
                <w:lang w:val="en-US" w:eastAsia="fr-FR"/>
              </w:rPr>
              <w:t>RWlimit</w:t>
            </w:r>
            <w:proofErr w:type="spellEnd"/>
            <w:r w:rsidRPr="00973525">
              <w:rPr>
                <w:b/>
                <w:bCs/>
                <w:sz w:val="18"/>
                <w:szCs w:val="18"/>
                <w:lang w:val="en-US" w:eastAsia="fr-FR"/>
              </w:rPr>
              <w:t xml:space="preserve"> to 150% or introduc</w:t>
            </w:r>
            <w:r>
              <w:rPr>
                <w:b/>
                <w:bCs/>
                <w:sz w:val="18"/>
                <w:szCs w:val="18"/>
                <w:lang w:val="en-US" w:eastAsia="fr-FR"/>
              </w:rPr>
              <w:t>ing</w:t>
            </w:r>
            <w:r w:rsidRPr="00973525">
              <w:rPr>
                <w:b/>
                <w:bCs/>
                <w:sz w:val="18"/>
                <w:szCs w:val="18"/>
                <w:lang w:val="en-US" w:eastAsia="fr-FR"/>
              </w:rPr>
              <w:t xml:space="preserve"> a materiality threshold</w:t>
            </w:r>
            <w:r w:rsidRPr="00E25666">
              <w:rPr>
                <w:b/>
                <w:bCs/>
                <w:sz w:val="18"/>
                <w:szCs w:val="18"/>
                <w:lang w:val="en-US" w:eastAsia="fr-FR"/>
              </w:rPr>
              <w:t>.</w:t>
            </w:r>
            <w:r w:rsidRPr="00973525">
              <w:rPr>
                <w:sz w:val="18"/>
                <w:szCs w:val="18"/>
                <w:lang w:val="en-US" w:eastAsia="fr-FR"/>
              </w:rPr>
              <w:t xml:space="preserve"> </w:t>
            </w:r>
            <w:r>
              <w:rPr>
                <w:sz w:val="18"/>
                <w:szCs w:val="18"/>
                <w:lang w:val="en-US" w:eastAsia="fr-FR"/>
              </w:rPr>
              <w:t>Same</w:t>
            </w:r>
            <w:r w:rsidRPr="00973525">
              <w:rPr>
                <w:sz w:val="18"/>
                <w:szCs w:val="18"/>
                <w:lang w:val="en-US" w:eastAsia="fr-FR"/>
              </w:rPr>
              <w:t xml:space="preserve"> for residential and commercial mortgages, especially as the </w:t>
            </w:r>
            <w:r>
              <w:rPr>
                <w:sz w:val="18"/>
                <w:szCs w:val="18"/>
                <w:lang w:val="en-US" w:eastAsia="fr-FR"/>
              </w:rPr>
              <w:t xml:space="preserve">CRR2 calibrated </w:t>
            </w:r>
            <w:r w:rsidRPr="00973525">
              <w:rPr>
                <w:sz w:val="18"/>
                <w:szCs w:val="18"/>
                <w:lang w:val="en-US" w:eastAsia="fr-FR"/>
              </w:rPr>
              <w:t xml:space="preserve">40% and 50% </w:t>
            </w:r>
            <w:r>
              <w:rPr>
                <w:sz w:val="18"/>
                <w:szCs w:val="18"/>
                <w:lang w:val="en-US" w:eastAsia="fr-FR"/>
              </w:rPr>
              <w:t>RW criteria m</w:t>
            </w:r>
            <w:r w:rsidRPr="00973525">
              <w:rPr>
                <w:sz w:val="18"/>
                <w:szCs w:val="18"/>
                <w:lang w:val="en-US" w:eastAsia="fr-FR"/>
              </w:rPr>
              <w:t xml:space="preserve">ust be recalibrated with the </w:t>
            </w:r>
            <w:r>
              <w:rPr>
                <w:sz w:val="18"/>
                <w:szCs w:val="18"/>
                <w:lang w:val="en-US" w:eastAsia="fr-FR"/>
              </w:rPr>
              <w:t>new CRR3 STD RW.</w:t>
            </w:r>
            <w:r>
              <w:rPr>
                <w:sz w:val="18"/>
                <w:szCs w:val="18"/>
                <w:lang w:val="en-US" w:eastAsia="fr-FR"/>
              </w:rPr>
              <w:br/>
              <w:t>W</w:t>
            </w:r>
            <w:r w:rsidRPr="00815A19">
              <w:rPr>
                <w:sz w:val="18"/>
                <w:szCs w:val="18"/>
                <w:lang w:val="en-US" w:eastAsia="fr-FR"/>
              </w:rPr>
              <w:t xml:space="preserve">e </w:t>
            </w:r>
            <w:r>
              <w:rPr>
                <w:sz w:val="18"/>
                <w:szCs w:val="18"/>
                <w:lang w:val="en-US" w:eastAsia="fr-FR"/>
              </w:rPr>
              <w:t xml:space="preserve">also </w:t>
            </w:r>
            <w:r w:rsidRPr="00815A19">
              <w:rPr>
                <w:sz w:val="18"/>
                <w:szCs w:val="18"/>
                <w:lang w:val="en-US" w:eastAsia="fr-FR"/>
              </w:rPr>
              <w:t xml:space="preserve">believe that the ABCPs derogation, provided the </w:t>
            </w:r>
            <w:r>
              <w:rPr>
                <w:sz w:val="18"/>
                <w:szCs w:val="18"/>
                <w:lang w:val="en-US" w:eastAsia="fr-FR"/>
              </w:rPr>
              <w:t>RW</w:t>
            </w:r>
            <w:r w:rsidRPr="00815A19">
              <w:rPr>
                <w:sz w:val="18"/>
                <w:szCs w:val="18"/>
                <w:lang w:val="en-US" w:eastAsia="fr-FR"/>
              </w:rPr>
              <w:t xml:space="preserve"> of facility is </w:t>
            </w:r>
            <w:r>
              <w:rPr>
                <w:sz w:val="18"/>
                <w:szCs w:val="18"/>
                <w:lang w:val="en-US" w:eastAsia="fr-FR"/>
              </w:rPr>
              <w:t>&lt;</w:t>
            </w:r>
            <w:r w:rsidRPr="00815A19">
              <w:rPr>
                <w:sz w:val="18"/>
                <w:szCs w:val="18"/>
                <w:lang w:val="en-US" w:eastAsia="fr-FR"/>
              </w:rPr>
              <w:t xml:space="preserve">100%, </w:t>
            </w:r>
            <w:r>
              <w:rPr>
                <w:sz w:val="18"/>
                <w:szCs w:val="18"/>
                <w:lang w:val="en-US" w:eastAsia="fr-FR"/>
              </w:rPr>
              <w:t xml:space="preserve">currently </w:t>
            </w:r>
            <w:r w:rsidRPr="00815A19">
              <w:rPr>
                <w:sz w:val="18"/>
                <w:szCs w:val="18"/>
                <w:lang w:val="en-US" w:eastAsia="fr-FR"/>
              </w:rPr>
              <w:t>limited to IAA. should apply to all approaches.</w:t>
            </w:r>
          </w:p>
          <w:p w14:paraId="37863DA8" w14:textId="77777777" w:rsidR="000E1513" w:rsidRDefault="000E1513" w:rsidP="000E1513">
            <w:pPr>
              <w:pStyle w:val="Paragraphedeliste"/>
              <w:numPr>
                <w:ilvl w:val="0"/>
                <w:numId w:val="8"/>
              </w:numPr>
              <w:spacing w:after="160" w:line="278" w:lineRule="auto"/>
              <w:rPr>
                <w:bCs/>
                <w:sz w:val="18"/>
                <w:szCs w:val="18"/>
                <w:lang w:val="en-GB"/>
              </w:rPr>
            </w:pPr>
            <w:r>
              <w:rPr>
                <w:b/>
                <w:sz w:val="18"/>
                <w:szCs w:val="18"/>
                <w:lang w:val="en-GB"/>
              </w:rPr>
              <w:t>C</w:t>
            </w:r>
            <w:r w:rsidRPr="00F870FF">
              <w:rPr>
                <w:b/>
                <w:sz w:val="18"/>
                <w:szCs w:val="18"/>
                <w:lang w:val="en-GB"/>
              </w:rPr>
              <w:t>urrent 0%/15% RW floor</w:t>
            </w:r>
            <w:r>
              <w:rPr>
                <w:b/>
                <w:sz w:val="18"/>
                <w:szCs w:val="18"/>
                <w:lang w:val="en-GB"/>
              </w:rPr>
              <w:t xml:space="preserve"> </w:t>
            </w:r>
            <w:r w:rsidRPr="00F870FF">
              <w:rPr>
                <w:bCs/>
                <w:sz w:val="18"/>
                <w:szCs w:val="18"/>
                <w:lang w:val="en-GB"/>
              </w:rPr>
              <w:t xml:space="preserve">constrains the less-risky pools, making SRT securitization inefficient for them. </w:t>
            </w:r>
            <w:r>
              <w:rPr>
                <w:bCs/>
                <w:sz w:val="18"/>
                <w:szCs w:val="18"/>
                <w:lang w:val="en-GB"/>
              </w:rPr>
              <w:t xml:space="preserve">Such a </w:t>
            </w:r>
            <w:r w:rsidRPr="00F870FF">
              <w:rPr>
                <w:bCs/>
                <w:sz w:val="18"/>
                <w:szCs w:val="18"/>
                <w:lang w:val="en-GB"/>
              </w:rPr>
              <w:t xml:space="preserve">significant misunderstanding of the securitization framework (consequence of outcry against securitization </w:t>
            </w:r>
            <w:r>
              <w:rPr>
                <w:bCs/>
                <w:sz w:val="18"/>
                <w:szCs w:val="18"/>
                <w:lang w:val="en-GB"/>
              </w:rPr>
              <w:t>post</w:t>
            </w:r>
            <w:r w:rsidRPr="00F870FF">
              <w:rPr>
                <w:bCs/>
                <w:sz w:val="18"/>
                <w:szCs w:val="18"/>
                <w:lang w:val="en-GB"/>
              </w:rPr>
              <w:t xml:space="preserve"> subprime crisis, </w:t>
            </w:r>
            <w:r>
              <w:rPr>
                <w:bCs/>
                <w:sz w:val="18"/>
                <w:szCs w:val="18"/>
                <w:lang w:val="en-GB"/>
              </w:rPr>
              <w:t>also seen</w:t>
            </w:r>
            <w:r w:rsidRPr="00F870FF">
              <w:rPr>
                <w:bCs/>
                <w:sz w:val="18"/>
                <w:szCs w:val="18"/>
                <w:lang w:val="en-GB"/>
              </w:rPr>
              <w:t xml:space="preserve"> in Solvency 2), has unduly affected the low-risk European mortgage market.</w:t>
            </w:r>
          </w:p>
          <w:p w14:paraId="33F8387D" w14:textId="77777777" w:rsidR="000E1513" w:rsidRDefault="000E1513" w:rsidP="000E1513">
            <w:pPr>
              <w:pStyle w:val="Paragraphedeliste"/>
              <w:numPr>
                <w:ilvl w:val="0"/>
                <w:numId w:val="8"/>
              </w:numPr>
              <w:rPr>
                <w:sz w:val="18"/>
                <w:szCs w:val="18"/>
                <w:lang w:val="en-US"/>
              </w:rPr>
            </w:pPr>
            <w:r w:rsidRPr="00973525">
              <w:rPr>
                <w:b/>
                <w:sz w:val="18"/>
                <w:szCs w:val="18"/>
                <w:lang w:val="en-US"/>
              </w:rPr>
              <w:t xml:space="preserve">The </w:t>
            </w:r>
            <w:r>
              <w:rPr>
                <w:b/>
                <w:sz w:val="18"/>
                <w:szCs w:val="18"/>
                <w:lang w:val="en-US"/>
              </w:rPr>
              <w:t xml:space="preserve">RW from 5 </w:t>
            </w:r>
            <w:r w:rsidRPr="00973525">
              <w:rPr>
                <w:b/>
                <w:sz w:val="18"/>
                <w:szCs w:val="18"/>
                <w:lang w:val="en-US"/>
              </w:rPr>
              <w:t>different methods</w:t>
            </w:r>
            <w:r w:rsidRPr="00973525">
              <w:rPr>
                <w:sz w:val="18"/>
                <w:szCs w:val="18"/>
                <w:lang w:val="en-US"/>
              </w:rPr>
              <w:t xml:space="preserve"> </w:t>
            </w:r>
            <w:r>
              <w:rPr>
                <w:sz w:val="18"/>
                <w:szCs w:val="18"/>
                <w:lang w:val="en-US"/>
              </w:rPr>
              <w:t xml:space="preserve">are not comparable: </w:t>
            </w:r>
            <w:proofErr w:type="spellStart"/>
            <w:proofErr w:type="gramStart"/>
            <w:r>
              <w:rPr>
                <w:sz w:val="18"/>
                <w:szCs w:val="18"/>
                <w:lang w:val="en-US"/>
              </w:rPr>
              <w:t>Eg</w:t>
            </w:r>
            <w:proofErr w:type="spellEnd"/>
            <w:r>
              <w:rPr>
                <w:sz w:val="18"/>
                <w:szCs w:val="18"/>
                <w:lang w:val="en-US"/>
              </w:rPr>
              <w:t xml:space="preserve"> </w:t>
            </w:r>
            <w:r w:rsidRPr="00973525">
              <w:rPr>
                <w:sz w:val="18"/>
                <w:szCs w:val="18"/>
                <w:lang w:val="en-US"/>
              </w:rPr>
              <w:t xml:space="preserve"> the</w:t>
            </w:r>
            <w:proofErr w:type="gramEnd"/>
            <w:r w:rsidRPr="00973525">
              <w:rPr>
                <w:sz w:val="18"/>
                <w:szCs w:val="18"/>
                <w:lang w:val="en-US"/>
              </w:rPr>
              <w:t xml:space="preserve"> </w:t>
            </w:r>
            <w:r>
              <w:rPr>
                <w:sz w:val="18"/>
                <w:szCs w:val="18"/>
                <w:lang w:val="en-US"/>
              </w:rPr>
              <w:t>CQS</w:t>
            </w:r>
            <w:r w:rsidRPr="00973525">
              <w:rPr>
                <w:sz w:val="18"/>
                <w:szCs w:val="18"/>
                <w:lang w:val="en-US"/>
              </w:rPr>
              <w:t xml:space="preserve"> 12</w:t>
            </w:r>
            <w:r>
              <w:rPr>
                <w:sz w:val="18"/>
                <w:szCs w:val="18"/>
                <w:lang w:val="en-US"/>
              </w:rPr>
              <w:t>-</w:t>
            </w:r>
            <w:r w:rsidRPr="00973525">
              <w:rPr>
                <w:sz w:val="18"/>
                <w:szCs w:val="18"/>
                <w:lang w:val="en-US"/>
              </w:rPr>
              <w:t xml:space="preserve">14 attracts </w:t>
            </w:r>
            <w:r>
              <w:rPr>
                <w:sz w:val="18"/>
                <w:szCs w:val="18"/>
                <w:lang w:val="en-US"/>
              </w:rPr>
              <w:t xml:space="preserve">non-senior </w:t>
            </w:r>
            <w:r w:rsidRPr="00973525">
              <w:rPr>
                <w:sz w:val="18"/>
                <w:szCs w:val="18"/>
                <w:lang w:val="en-US"/>
              </w:rPr>
              <w:t xml:space="preserve">a </w:t>
            </w:r>
            <w:r>
              <w:rPr>
                <w:sz w:val="18"/>
                <w:szCs w:val="18"/>
                <w:lang w:val="en-US"/>
              </w:rPr>
              <w:t xml:space="preserve">SA </w:t>
            </w:r>
            <w:r w:rsidRPr="00973525">
              <w:rPr>
                <w:sz w:val="18"/>
                <w:szCs w:val="18"/>
                <w:lang w:val="en-US"/>
              </w:rPr>
              <w:t xml:space="preserve">RW of 600%-900% </w:t>
            </w:r>
            <w:r>
              <w:rPr>
                <w:sz w:val="18"/>
                <w:szCs w:val="18"/>
                <w:lang w:val="en-US"/>
              </w:rPr>
              <w:t>compared to a</w:t>
            </w:r>
            <w:r w:rsidRPr="00973525">
              <w:rPr>
                <w:sz w:val="18"/>
                <w:szCs w:val="18"/>
                <w:lang w:val="en-US"/>
              </w:rPr>
              <w:t xml:space="preserve"> 1250% </w:t>
            </w:r>
            <w:r>
              <w:rPr>
                <w:sz w:val="18"/>
                <w:szCs w:val="18"/>
                <w:lang w:val="en-US"/>
              </w:rPr>
              <w:t>in</w:t>
            </w:r>
            <w:r w:rsidRPr="00973525">
              <w:rPr>
                <w:sz w:val="18"/>
                <w:szCs w:val="18"/>
                <w:lang w:val="en-US"/>
              </w:rPr>
              <w:t xml:space="preserve"> SEC IRBA</w:t>
            </w:r>
            <w:r>
              <w:rPr>
                <w:sz w:val="18"/>
                <w:szCs w:val="18"/>
                <w:lang w:val="en-US"/>
              </w:rPr>
              <w:t>/SEC-SA which</w:t>
            </w:r>
            <w:r w:rsidRPr="00973525">
              <w:rPr>
                <w:sz w:val="18"/>
                <w:szCs w:val="18"/>
                <w:lang w:val="en-US"/>
              </w:rPr>
              <w:t xml:space="preserve"> can lead to illogical results</w:t>
            </w:r>
          </w:p>
          <w:p w14:paraId="549BE0CF" w14:textId="77777777" w:rsidR="000E1513" w:rsidRDefault="000E1513" w:rsidP="000E1513">
            <w:pPr>
              <w:pStyle w:val="Paragraphedeliste"/>
              <w:numPr>
                <w:ilvl w:val="0"/>
                <w:numId w:val="8"/>
              </w:numPr>
              <w:rPr>
                <w:sz w:val="18"/>
                <w:szCs w:val="18"/>
                <w:lang w:val="en-US"/>
              </w:rPr>
            </w:pPr>
            <w:r w:rsidRPr="00973525">
              <w:rPr>
                <w:b/>
                <w:sz w:val="18"/>
                <w:szCs w:val="18"/>
                <w:lang w:val="en-US"/>
              </w:rPr>
              <w:t xml:space="preserve">The </w:t>
            </w:r>
            <w:r>
              <w:rPr>
                <w:b/>
                <w:sz w:val="18"/>
                <w:szCs w:val="18"/>
                <w:lang w:val="en-US"/>
              </w:rPr>
              <w:t xml:space="preserve">SRT </w:t>
            </w:r>
            <w:r w:rsidRPr="00973525">
              <w:rPr>
                <w:b/>
                <w:sz w:val="18"/>
                <w:szCs w:val="18"/>
                <w:lang w:val="en-US"/>
              </w:rPr>
              <w:t xml:space="preserve">excess spread treatment </w:t>
            </w:r>
            <w:proofErr w:type="gramStart"/>
            <w:r w:rsidRPr="00973525">
              <w:rPr>
                <w:b/>
                <w:sz w:val="18"/>
                <w:szCs w:val="18"/>
                <w:lang w:val="en-US"/>
              </w:rPr>
              <w:t>s</w:t>
            </w:r>
            <w:r>
              <w:rPr>
                <w:b/>
                <w:sz w:val="18"/>
                <w:szCs w:val="18"/>
                <w:lang w:val="en-US"/>
              </w:rPr>
              <w:t>hall</w:t>
            </w:r>
            <w:proofErr w:type="gramEnd"/>
            <w:r w:rsidRPr="00973525">
              <w:rPr>
                <w:b/>
                <w:sz w:val="18"/>
                <w:szCs w:val="18"/>
                <w:lang w:val="en-US"/>
              </w:rPr>
              <w:t xml:space="preserve"> be re</w:t>
            </w:r>
            <w:r>
              <w:rPr>
                <w:b/>
                <w:sz w:val="18"/>
                <w:szCs w:val="18"/>
                <w:lang w:val="en-US"/>
              </w:rPr>
              <w:t>viewed</w:t>
            </w:r>
            <w:r w:rsidRPr="00973525">
              <w:rPr>
                <w:b/>
                <w:sz w:val="18"/>
                <w:szCs w:val="18"/>
                <w:lang w:val="en-US"/>
              </w:rPr>
              <w:t>.</w:t>
            </w:r>
            <w:r w:rsidRPr="00973525">
              <w:rPr>
                <w:sz w:val="18"/>
                <w:szCs w:val="18"/>
                <w:lang w:val="en-US"/>
              </w:rPr>
              <w:t xml:space="preserve"> </w:t>
            </w:r>
            <w:r>
              <w:rPr>
                <w:sz w:val="18"/>
                <w:szCs w:val="18"/>
                <w:lang w:val="en-US"/>
              </w:rPr>
              <w:t>As f</w:t>
            </w:r>
            <w:r w:rsidRPr="00973525">
              <w:rPr>
                <w:sz w:val="18"/>
                <w:szCs w:val="18"/>
                <w:lang w:val="en-US"/>
              </w:rPr>
              <w:t xml:space="preserve">uture revenues are </w:t>
            </w:r>
            <w:r>
              <w:rPr>
                <w:sz w:val="18"/>
                <w:szCs w:val="18"/>
                <w:lang w:val="en-US"/>
              </w:rPr>
              <w:t>removed</w:t>
            </w:r>
            <w:r w:rsidRPr="00973525">
              <w:rPr>
                <w:sz w:val="18"/>
                <w:szCs w:val="18"/>
                <w:lang w:val="en-US"/>
              </w:rPr>
              <w:t xml:space="preserve"> from own funds, </w:t>
            </w:r>
            <w:proofErr w:type="spellStart"/>
            <w:r>
              <w:rPr>
                <w:sz w:val="18"/>
                <w:szCs w:val="18"/>
                <w:lang w:val="en-US"/>
              </w:rPr>
              <w:t>eg</w:t>
            </w:r>
            <w:proofErr w:type="spellEnd"/>
            <w:r w:rsidRPr="00973525">
              <w:rPr>
                <w:sz w:val="18"/>
                <w:szCs w:val="18"/>
                <w:lang w:val="en-US"/>
              </w:rPr>
              <w:t xml:space="preserve"> deduction</w:t>
            </w:r>
            <w:r>
              <w:rPr>
                <w:sz w:val="18"/>
                <w:szCs w:val="18"/>
                <w:lang w:val="en-US"/>
              </w:rPr>
              <w:t>, they</w:t>
            </w:r>
            <w:r w:rsidRPr="00973525">
              <w:rPr>
                <w:sz w:val="18"/>
                <w:szCs w:val="18"/>
                <w:lang w:val="en-US"/>
              </w:rPr>
              <w:t xml:space="preserve"> should not be included in PBA/CRT</w:t>
            </w:r>
            <w:r>
              <w:rPr>
                <w:sz w:val="18"/>
                <w:szCs w:val="18"/>
                <w:lang w:val="en-US"/>
              </w:rPr>
              <w:t xml:space="preserve"> transfer tests,</w:t>
            </w:r>
            <w:r w:rsidRPr="00973525">
              <w:rPr>
                <w:sz w:val="18"/>
                <w:szCs w:val="18"/>
                <w:lang w:val="en-US"/>
              </w:rPr>
              <w:t xml:space="preserve"> since </w:t>
            </w:r>
            <w:r>
              <w:rPr>
                <w:sz w:val="18"/>
                <w:szCs w:val="18"/>
                <w:lang w:val="en-US"/>
              </w:rPr>
              <w:t xml:space="preserve">it </w:t>
            </w:r>
            <w:r w:rsidRPr="00973525">
              <w:rPr>
                <w:sz w:val="18"/>
                <w:szCs w:val="18"/>
                <w:lang w:val="en-US"/>
              </w:rPr>
              <w:t xml:space="preserve">can only be </w:t>
            </w:r>
            <w:r>
              <w:rPr>
                <w:sz w:val="18"/>
                <w:szCs w:val="18"/>
                <w:lang w:val="en-US"/>
              </w:rPr>
              <w:t>better</w:t>
            </w:r>
            <w:r w:rsidRPr="00973525">
              <w:rPr>
                <w:sz w:val="18"/>
                <w:szCs w:val="18"/>
                <w:lang w:val="en-US"/>
              </w:rPr>
              <w:t xml:space="preserve"> after securitization.</w:t>
            </w:r>
          </w:p>
          <w:p w14:paraId="7B0C5763" w14:textId="77777777" w:rsidR="000E1513" w:rsidRDefault="000E1513" w:rsidP="000E1513">
            <w:pPr>
              <w:pStyle w:val="Paragraphedeliste"/>
              <w:numPr>
                <w:ilvl w:val="0"/>
                <w:numId w:val="8"/>
              </w:numPr>
              <w:rPr>
                <w:sz w:val="18"/>
                <w:szCs w:val="18"/>
                <w:lang w:val="en-US"/>
              </w:rPr>
            </w:pPr>
            <w:r>
              <w:rPr>
                <w:b/>
                <w:bCs/>
                <w:sz w:val="18"/>
                <w:szCs w:val="18"/>
                <w:lang w:val="en-US"/>
              </w:rPr>
              <w:t xml:space="preserve">CCF </w:t>
            </w:r>
            <w:r w:rsidRPr="00313B82">
              <w:rPr>
                <w:b/>
                <w:bCs/>
                <w:sz w:val="18"/>
                <w:szCs w:val="18"/>
                <w:lang w:val="en-US"/>
              </w:rPr>
              <w:t>applied to liquidity facilities and undrawn credit lines</w:t>
            </w:r>
            <w:r w:rsidRPr="00EC7F31">
              <w:rPr>
                <w:sz w:val="18"/>
                <w:szCs w:val="18"/>
                <w:lang w:val="en-US"/>
              </w:rPr>
              <w:t xml:space="preserve"> granted by banks in securitisation transactions should be amended in CRR, as a </w:t>
            </w:r>
            <w:r w:rsidRPr="00313B82">
              <w:rPr>
                <w:sz w:val="18"/>
                <w:szCs w:val="18"/>
                <w:u w:val="single"/>
                <w:lang w:val="en-US"/>
              </w:rPr>
              <w:t xml:space="preserve">100% CCF is overly punitive for a “secured” </w:t>
            </w:r>
            <w:r>
              <w:rPr>
                <w:sz w:val="18"/>
                <w:szCs w:val="18"/>
                <w:u w:val="single"/>
                <w:lang w:val="en-US"/>
              </w:rPr>
              <w:t>off-</w:t>
            </w:r>
            <w:proofErr w:type="gramStart"/>
            <w:r>
              <w:rPr>
                <w:sz w:val="18"/>
                <w:szCs w:val="18"/>
                <w:u w:val="single"/>
                <w:lang w:val="en-US"/>
              </w:rPr>
              <w:t xml:space="preserve">B </w:t>
            </w:r>
            <w:r w:rsidRPr="00313B82">
              <w:rPr>
                <w:sz w:val="18"/>
                <w:szCs w:val="18"/>
                <w:u w:val="single"/>
                <w:lang w:val="en-US"/>
              </w:rPr>
              <w:t xml:space="preserve"> line</w:t>
            </w:r>
            <w:proofErr w:type="gramEnd"/>
            <w:r w:rsidRPr="00EC7F31">
              <w:rPr>
                <w:sz w:val="18"/>
                <w:szCs w:val="18"/>
                <w:lang w:val="en-US"/>
              </w:rPr>
              <w:t xml:space="preserve">. </w:t>
            </w:r>
          </w:p>
          <w:p w14:paraId="23816A47" w14:textId="77777777" w:rsidR="000E1513" w:rsidRDefault="000E1513" w:rsidP="000E1513">
            <w:pPr>
              <w:pStyle w:val="Paragraphedeliste"/>
              <w:rPr>
                <w:sz w:val="18"/>
                <w:szCs w:val="18"/>
                <w:lang w:val="en-GB"/>
              </w:rPr>
            </w:pPr>
            <w:r w:rsidRPr="004E1D81">
              <w:rPr>
                <w:sz w:val="18"/>
                <w:szCs w:val="18"/>
                <w:lang w:val="en-GB"/>
              </w:rPr>
              <w:t xml:space="preserve">The decision </w:t>
            </w:r>
            <w:r>
              <w:rPr>
                <w:sz w:val="18"/>
                <w:szCs w:val="18"/>
                <w:lang w:val="en-GB"/>
              </w:rPr>
              <w:t>post-</w:t>
            </w:r>
            <w:r w:rsidRPr="004E1D81">
              <w:rPr>
                <w:sz w:val="18"/>
                <w:szCs w:val="18"/>
                <w:lang w:val="en-GB"/>
              </w:rPr>
              <w:t xml:space="preserve">GFC to </w:t>
            </w:r>
            <w:r>
              <w:rPr>
                <w:sz w:val="18"/>
                <w:szCs w:val="18"/>
                <w:lang w:val="en-GB"/>
              </w:rPr>
              <w:t>depart from</w:t>
            </w:r>
            <w:r w:rsidRPr="004E1D81">
              <w:rPr>
                <w:sz w:val="18"/>
                <w:szCs w:val="18"/>
                <w:lang w:val="en-GB"/>
              </w:rPr>
              <w:t xml:space="preserve"> </w:t>
            </w:r>
            <w:r>
              <w:rPr>
                <w:sz w:val="18"/>
                <w:szCs w:val="18"/>
                <w:lang w:val="en-GB"/>
              </w:rPr>
              <w:t xml:space="preserve">the </w:t>
            </w:r>
            <w:r w:rsidRPr="004E1D81">
              <w:rPr>
                <w:sz w:val="18"/>
                <w:szCs w:val="18"/>
                <w:lang w:val="en-GB"/>
              </w:rPr>
              <w:t>0% Basel CCF to 100% was an overreaction</w:t>
            </w:r>
            <w:r>
              <w:rPr>
                <w:sz w:val="18"/>
                <w:szCs w:val="18"/>
                <w:lang w:val="en-GB"/>
              </w:rPr>
              <w:t xml:space="preserve">. </w:t>
            </w:r>
          </w:p>
          <w:p w14:paraId="36D6DC44" w14:textId="77777777" w:rsidR="000E1513" w:rsidRPr="002A33C2" w:rsidRDefault="000E1513" w:rsidP="000E1513">
            <w:pPr>
              <w:pStyle w:val="Paragraphedeliste"/>
              <w:rPr>
                <w:sz w:val="18"/>
                <w:szCs w:val="18"/>
                <w:lang w:val="en-GB"/>
              </w:rPr>
            </w:pPr>
            <w:r w:rsidRPr="002A33C2">
              <w:rPr>
                <w:sz w:val="18"/>
                <w:szCs w:val="18"/>
                <w:lang w:val="en-GB"/>
              </w:rPr>
              <w:t xml:space="preserve">Compared to 0% for </w:t>
            </w:r>
            <w:proofErr w:type="spellStart"/>
            <w:r>
              <w:rPr>
                <w:sz w:val="18"/>
                <w:szCs w:val="18"/>
                <w:lang w:val="en-GB"/>
              </w:rPr>
              <w:t>supersenior</w:t>
            </w:r>
            <w:proofErr w:type="spellEnd"/>
            <w:r>
              <w:rPr>
                <w:sz w:val="18"/>
                <w:szCs w:val="18"/>
                <w:lang w:val="en-GB"/>
              </w:rPr>
              <w:t xml:space="preserve"> &amp; cancellable </w:t>
            </w:r>
            <w:r w:rsidRPr="002A33C2">
              <w:rPr>
                <w:sz w:val="18"/>
                <w:szCs w:val="18"/>
                <w:lang w:val="en-GB"/>
              </w:rPr>
              <w:t>liquidity facilities, the off-balance charge (</w:t>
            </w:r>
            <w:r>
              <w:rPr>
                <w:sz w:val="18"/>
                <w:szCs w:val="18"/>
                <w:lang w:val="en-GB"/>
              </w:rPr>
              <w:t>pro-drawing</w:t>
            </w:r>
            <w:r w:rsidRPr="002A33C2">
              <w:rPr>
                <w:sz w:val="18"/>
                <w:szCs w:val="18"/>
                <w:lang w:val="en-GB"/>
              </w:rPr>
              <w:t>) is bearing same charge than once activated (</w:t>
            </w:r>
            <w:r>
              <w:rPr>
                <w:sz w:val="18"/>
                <w:szCs w:val="18"/>
                <w:lang w:val="en-GB"/>
              </w:rPr>
              <w:t>even If</w:t>
            </w:r>
            <w:r w:rsidRPr="002A33C2">
              <w:rPr>
                <w:sz w:val="18"/>
                <w:szCs w:val="18"/>
                <w:lang w:val="en-GB"/>
              </w:rPr>
              <w:t xml:space="preserve"> globally “secured”). </w:t>
            </w:r>
          </w:p>
          <w:p w14:paraId="6BCCF890" w14:textId="77777777" w:rsidR="000E1513" w:rsidRDefault="000E1513" w:rsidP="000E1513">
            <w:pPr>
              <w:pStyle w:val="Paragraphedeliste"/>
              <w:rPr>
                <w:sz w:val="18"/>
                <w:szCs w:val="18"/>
                <w:lang w:val="en-GB"/>
              </w:rPr>
            </w:pPr>
            <w:r w:rsidRPr="002A33C2">
              <w:rPr>
                <w:sz w:val="18"/>
                <w:szCs w:val="18"/>
                <w:lang w:val="en-GB"/>
              </w:rPr>
              <w:t xml:space="preserve">For ABCP </w:t>
            </w:r>
            <w:r>
              <w:rPr>
                <w:sz w:val="18"/>
                <w:szCs w:val="18"/>
                <w:lang w:val="en-GB"/>
              </w:rPr>
              <w:t>&amp;</w:t>
            </w:r>
            <w:r w:rsidRPr="002A33C2">
              <w:rPr>
                <w:sz w:val="18"/>
                <w:szCs w:val="18"/>
                <w:lang w:val="en-GB"/>
              </w:rPr>
              <w:t xml:space="preserve"> warehousing lines, </w:t>
            </w:r>
            <w:r>
              <w:rPr>
                <w:sz w:val="18"/>
                <w:szCs w:val="18"/>
                <w:lang w:val="en-GB"/>
              </w:rPr>
              <w:t>it</w:t>
            </w:r>
            <w:r w:rsidRPr="002A33C2">
              <w:rPr>
                <w:sz w:val="18"/>
                <w:szCs w:val="18"/>
                <w:lang w:val="en-GB"/>
              </w:rPr>
              <w:t xml:space="preserve"> is typically in form of committed facility (</w:t>
            </w:r>
            <w:r>
              <w:rPr>
                <w:sz w:val="18"/>
                <w:szCs w:val="18"/>
                <w:lang w:val="en-GB"/>
              </w:rPr>
              <w:t>&lt;&gt;</w:t>
            </w:r>
            <w:r w:rsidRPr="002A33C2">
              <w:rPr>
                <w:sz w:val="18"/>
                <w:szCs w:val="18"/>
                <w:lang w:val="en-GB"/>
              </w:rPr>
              <w:t xml:space="preserve"> cancellable, unlike UCC). With 100% CCF, the undrawn part of the Off-Bal facility, attracts same capital</w:t>
            </w:r>
            <w:r>
              <w:rPr>
                <w:sz w:val="18"/>
                <w:szCs w:val="18"/>
                <w:lang w:val="en-GB"/>
              </w:rPr>
              <w:t xml:space="preserve"> charge</w:t>
            </w:r>
            <w:r w:rsidRPr="002A33C2">
              <w:rPr>
                <w:sz w:val="18"/>
                <w:szCs w:val="18"/>
                <w:lang w:val="en-GB"/>
              </w:rPr>
              <w:t xml:space="preserve"> as any drawn part, in contrast to corporate facilities such as RCFs </w:t>
            </w:r>
            <w:r>
              <w:rPr>
                <w:sz w:val="18"/>
                <w:szCs w:val="18"/>
                <w:lang w:val="en-GB"/>
              </w:rPr>
              <w:t xml:space="preserve">with </w:t>
            </w:r>
            <w:r w:rsidRPr="002A33C2">
              <w:rPr>
                <w:sz w:val="18"/>
                <w:szCs w:val="18"/>
                <w:lang w:val="en-GB"/>
              </w:rPr>
              <w:t>CCF 40%</w:t>
            </w:r>
            <w:r>
              <w:rPr>
                <w:sz w:val="18"/>
                <w:szCs w:val="18"/>
                <w:lang w:val="en-GB"/>
              </w:rPr>
              <w:t xml:space="preserve"> </w:t>
            </w:r>
            <w:r w:rsidRPr="002A33C2">
              <w:rPr>
                <w:sz w:val="18"/>
                <w:szCs w:val="18"/>
                <w:lang w:val="en-GB"/>
              </w:rPr>
              <w:t xml:space="preserve">for undrawn part. </w:t>
            </w:r>
          </w:p>
          <w:p w14:paraId="3168A0AD" w14:textId="77777777" w:rsidR="000E1513" w:rsidRPr="002A33C2" w:rsidRDefault="000E1513" w:rsidP="000E1513">
            <w:pPr>
              <w:pStyle w:val="Paragraphedeliste"/>
              <w:rPr>
                <w:sz w:val="18"/>
                <w:szCs w:val="18"/>
                <w:lang w:val="en-GB"/>
              </w:rPr>
            </w:pPr>
            <w:r w:rsidRPr="00FA387B">
              <w:rPr>
                <w:sz w:val="18"/>
                <w:szCs w:val="18"/>
                <w:lang w:val="en-US"/>
              </w:rPr>
              <w:t xml:space="preserve">We think that this discrepancy is not justified </w:t>
            </w:r>
            <w:r>
              <w:rPr>
                <w:sz w:val="18"/>
                <w:szCs w:val="18"/>
                <w:lang w:val="en-US"/>
              </w:rPr>
              <w:t>because t</w:t>
            </w:r>
            <w:r w:rsidRPr="00FA387B">
              <w:rPr>
                <w:sz w:val="18"/>
                <w:szCs w:val="18"/>
                <w:lang w:val="en-US"/>
              </w:rPr>
              <w:t>he drawing of a committed securitisation facility requires eligible assets sold to the SPV</w:t>
            </w:r>
            <w:r>
              <w:rPr>
                <w:sz w:val="18"/>
                <w:szCs w:val="18"/>
                <w:lang w:val="en-US"/>
              </w:rPr>
              <w:t>, understating an</w:t>
            </w:r>
            <w:r w:rsidRPr="00FA387B">
              <w:rPr>
                <w:sz w:val="18"/>
                <w:szCs w:val="18"/>
                <w:lang w:val="en-US"/>
              </w:rPr>
              <w:t xml:space="preserve"> asset growth for the originator</w:t>
            </w:r>
            <w:r>
              <w:rPr>
                <w:sz w:val="18"/>
                <w:szCs w:val="18"/>
                <w:lang w:val="en-US"/>
              </w:rPr>
              <w:t>, which is in breach with classical global crisis scenario</w:t>
            </w:r>
            <w:r w:rsidRPr="00FA387B">
              <w:rPr>
                <w:sz w:val="18"/>
                <w:szCs w:val="18"/>
                <w:lang w:val="en-US"/>
              </w:rPr>
              <w:t xml:space="preserve">. </w:t>
            </w:r>
            <w:r>
              <w:rPr>
                <w:sz w:val="18"/>
                <w:szCs w:val="18"/>
                <w:lang w:val="en-US"/>
              </w:rPr>
              <w:t>As a proof, d</w:t>
            </w:r>
            <w:r w:rsidRPr="00FA387B">
              <w:rPr>
                <w:sz w:val="18"/>
                <w:szCs w:val="18"/>
                <w:lang w:val="en-US"/>
              </w:rPr>
              <w:t>uring Covid, many clients/originators did not draw on their sec</w:t>
            </w:r>
            <w:r>
              <w:rPr>
                <w:sz w:val="18"/>
                <w:szCs w:val="18"/>
                <w:lang w:val="en-US"/>
              </w:rPr>
              <w:t>.</w:t>
            </w:r>
            <w:r w:rsidRPr="00FA387B">
              <w:rPr>
                <w:sz w:val="18"/>
                <w:szCs w:val="18"/>
                <w:lang w:val="en-US"/>
              </w:rPr>
              <w:t xml:space="preserve"> facilities simply because there was no new asset origination. This is in sharp contrast to the unsecured corporate RCFs which were fully drawn during Covid by corporates to ensure liquidity.</w:t>
            </w:r>
          </w:p>
          <w:p w14:paraId="15E8EA23" w14:textId="77777777" w:rsidR="000E1513" w:rsidRDefault="000E1513" w:rsidP="000E1513">
            <w:pPr>
              <w:pStyle w:val="Paragraphedeliste"/>
              <w:rPr>
                <w:sz w:val="18"/>
                <w:szCs w:val="18"/>
                <w:lang w:val="en-US"/>
              </w:rPr>
            </w:pPr>
            <w:r>
              <w:rPr>
                <w:sz w:val="18"/>
                <w:szCs w:val="18"/>
                <w:lang w:val="en-GB"/>
              </w:rPr>
              <w:t xml:space="preserve">This overcharge in CCF RW </w:t>
            </w:r>
            <w:r w:rsidRPr="00FA387B">
              <w:rPr>
                <w:sz w:val="18"/>
                <w:szCs w:val="18"/>
                <w:lang w:val="en-US"/>
              </w:rPr>
              <w:t>limit</w:t>
            </w:r>
            <w:r>
              <w:rPr>
                <w:sz w:val="18"/>
                <w:szCs w:val="18"/>
                <w:lang w:val="en-US"/>
              </w:rPr>
              <w:t>s</w:t>
            </w:r>
            <w:r w:rsidRPr="00FA387B">
              <w:rPr>
                <w:sz w:val="18"/>
                <w:szCs w:val="18"/>
                <w:lang w:val="en-US"/>
              </w:rPr>
              <w:t xml:space="preserve"> private securitisation facilities that are needed for warehousing new origination ahead of public ABS issuance.</w:t>
            </w:r>
          </w:p>
          <w:p w14:paraId="236AF9AA" w14:textId="77777777" w:rsidR="000E1513" w:rsidRPr="002A33C2" w:rsidRDefault="000E1513" w:rsidP="000E1513">
            <w:pPr>
              <w:pStyle w:val="Paragraphedeliste"/>
              <w:numPr>
                <w:ilvl w:val="0"/>
                <w:numId w:val="52"/>
              </w:numPr>
              <w:rPr>
                <w:b/>
                <w:bCs/>
                <w:sz w:val="18"/>
                <w:szCs w:val="18"/>
                <w:lang w:val="en-US"/>
              </w:rPr>
            </w:pPr>
            <w:r w:rsidRPr="002A33C2">
              <w:rPr>
                <w:b/>
                <w:bCs/>
                <w:sz w:val="18"/>
                <w:szCs w:val="18"/>
                <w:lang w:val="en-US"/>
              </w:rPr>
              <w:t xml:space="preserve">We therefore propose a </w:t>
            </w:r>
            <w:r w:rsidRPr="002A33C2">
              <w:rPr>
                <w:b/>
                <w:bCs/>
                <w:sz w:val="18"/>
                <w:szCs w:val="18"/>
                <w:u w:val="single"/>
                <w:lang w:val="en-US"/>
              </w:rPr>
              <w:t>CCF of 40% for</w:t>
            </w:r>
            <w:r w:rsidRPr="002A33C2">
              <w:rPr>
                <w:b/>
                <w:bCs/>
                <w:sz w:val="18"/>
                <w:szCs w:val="18"/>
                <w:lang w:val="en-US"/>
              </w:rPr>
              <w:t xml:space="preserve"> the targeted scope of the senior financing of </w:t>
            </w:r>
            <w:proofErr w:type="gramStart"/>
            <w:r w:rsidRPr="002A33C2">
              <w:rPr>
                <w:b/>
                <w:bCs/>
                <w:sz w:val="18"/>
                <w:szCs w:val="18"/>
                <w:lang w:val="en-US"/>
              </w:rPr>
              <w:t>client’s</w:t>
            </w:r>
            <w:proofErr w:type="gramEnd"/>
            <w:r w:rsidRPr="002A33C2">
              <w:rPr>
                <w:b/>
                <w:bCs/>
                <w:sz w:val="18"/>
                <w:szCs w:val="18"/>
                <w:lang w:val="en-US"/>
              </w:rPr>
              <w:t xml:space="preserve"> assets, either via ABCP lines conduits or warehousing lines</w:t>
            </w:r>
          </w:p>
          <w:p w14:paraId="59F8A408" w14:textId="77777777" w:rsidR="000E1513" w:rsidRPr="00D27F81" w:rsidRDefault="000E1513" w:rsidP="000E1513">
            <w:pPr>
              <w:pStyle w:val="Paragraphedeliste"/>
              <w:numPr>
                <w:ilvl w:val="0"/>
                <w:numId w:val="8"/>
              </w:numPr>
              <w:rPr>
                <w:sz w:val="18"/>
                <w:szCs w:val="18"/>
                <w:lang w:val="en-GB"/>
              </w:rPr>
            </w:pPr>
            <w:r w:rsidRPr="00FA387B">
              <w:rPr>
                <w:sz w:val="18"/>
                <w:szCs w:val="18"/>
                <w:lang w:val="en-US"/>
              </w:rPr>
              <w:t xml:space="preserve">A discrepancy with the non-securitisation framework stems from the definition of commitment (which includes UCC). </w:t>
            </w:r>
            <w:r w:rsidRPr="002A33C2">
              <w:rPr>
                <w:b/>
                <w:bCs/>
                <w:sz w:val="18"/>
                <w:szCs w:val="18"/>
                <w:lang w:val="en-US"/>
              </w:rPr>
              <w:t>Unlike Basel, which limits its application to non securitisation</w:t>
            </w:r>
            <w:r w:rsidRPr="00FA387B">
              <w:rPr>
                <w:sz w:val="18"/>
                <w:szCs w:val="18"/>
                <w:lang w:val="en-US"/>
              </w:rPr>
              <w:t xml:space="preserve"> (commitment </w:t>
            </w:r>
            <w:r>
              <w:rPr>
                <w:sz w:val="18"/>
                <w:szCs w:val="18"/>
                <w:lang w:val="en-US"/>
              </w:rPr>
              <w:t>is</w:t>
            </w:r>
            <w:r w:rsidRPr="00FA387B">
              <w:rPr>
                <w:sz w:val="18"/>
                <w:szCs w:val="18"/>
                <w:lang w:val="en-US"/>
              </w:rPr>
              <w:t xml:space="preserve"> defin</w:t>
            </w:r>
            <w:r>
              <w:rPr>
                <w:sz w:val="18"/>
                <w:szCs w:val="18"/>
                <w:lang w:val="en-US"/>
              </w:rPr>
              <w:t xml:space="preserve">ed in </w:t>
            </w:r>
            <w:r w:rsidRPr="00FA387B">
              <w:rPr>
                <w:sz w:val="18"/>
                <w:szCs w:val="18"/>
                <w:lang w:val="en-US"/>
              </w:rPr>
              <w:t>CRE 20.94 in SA</w:t>
            </w:r>
            <w:r>
              <w:rPr>
                <w:sz w:val="18"/>
                <w:szCs w:val="18"/>
                <w:lang w:val="en-US"/>
              </w:rPr>
              <w:t>/</w:t>
            </w:r>
            <w:r w:rsidRPr="00FA387B">
              <w:rPr>
                <w:sz w:val="18"/>
                <w:szCs w:val="18"/>
                <w:lang w:val="en-US"/>
              </w:rPr>
              <w:t xml:space="preserve"> in CRE 32.32 for IRB, but not </w:t>
            </w:r>
            <w:r>
              <w:rPr>
                <w:sz w:val="18"/>
                <w:szCs w:val="18"/>
                <w:lang w:val="en-US"/>
              </w:rPr>
              <w:t xml:space="preserve">mentioned </w:t>
            </w:r>
            <w:r w:rsidRPr="00FA387B">
              <w:rPr>
                <w:sz w:val="18"/>
                <w:szCs w:val="18"/>
                <w:lang w:val="en-US"/>
              </w:rPr>
              <w:t xml:space="preserve">in the securitisation </w:t>
            </w:r>
            <w:r>
              <w:rPr>
                <w:sz w:val="18"/>
                <w:szCs w:val="18"/>
                <w:lang w:val="en-US"/>
              </w:rPr>
              <w:t>part</w:t>
            </w:r>
            <w:r w:rsidRPr="00FA387B">
              <w:rPr>
                <w:sz w:val="18"/>
                <w:szCs w:val="18"/>
                <w:lang w:val="en-US"/>
              </w:rPr>
              <w:t xml:space="preserve">), EU transposition (CRR3 Art.5) may be literally read as extending the application of the commitment notion to the entire credit risk framework. </w:t>
            </w:r>
            <w:r w:rsidRPr="00FA387B">
              <w:rPr>
                <w:b/>
                <w:bCs/>
                <w:sz w:val="18"/>
                <w:szCs w:val="18"/>
                <w:lang w:val="en-US"/>
              </w:rPr>
              <w:t xml:space="preserve">Clarification is required.  Either securitisation is not in the scope of the commitment definition as per BCBS, </w:t>
            </w:r>
            <w:proofErr w:type="gramStart"/>
            <w:r w:rsidRPr="00FA387B">
              <w:rPr>
                <w:b/>
                <w:bCs/>
                <w:sz w:val="18"/>
                <w:szCs w:val="18"/>
                <w:lang w:val="en-US"/>
              </w:rPr>
              <w:t>or,</w:t>
            </w:r>
            <w:proofErr w:type="gramEnd"/>
            <w:r w:rsidRPr="00FA387B">
              <w:rPr>
                <w:b/>
                <w:bCs/>
                <w:sz w:val="18"/>
                <w:szCs w:val="18"/>
                <w:lang w:val="en-US"/>
              </w:rPr>
              <w:t xml:space="preserve"> should the deviation on commitment definition from Basel be maintained, an appropriate treatment of UCC in the form of securitization facilities shall be contemplated (CCF 10%, exemptions…)</w:t>
            </w:r>
            <w:r w:rsidRPr="00FA387B">
              <w:rPr>
                <w:sz w:val="18"/>
                <w:szCs w:val="18"/>
                <w:lang w:val="en-US"/>
              </w:rPr>
              <w:t>.</w:t>
            </w:r>
          </w:p>
          <w:p w14:paraId="32B9A65E" w14:textId="77777777" w:rsidR="000E1513" w:rsidRDefault="000E1513" w:rsidP="000E1513">
            <w:pPr>
              <w:pStyle w:val="Paragraphedeliste"/>
              <w:numPr>
                <w:ilvl w:val="0"/>
                <w:numId w:val="8"/>
              </w:numPr>
              <w:rPr>
                <w:sz w:val="18"/>
                <w:szCs w:val="18"/>
                <w:lang w:val="en-US"/>
              </w:rPr>
            </w:pPr>
            <w:r>
              <w:rPr>
                <w:sz w:val="18"/>
                <w:szCs w:val="18"/>
                <w:lang w:val="en-US"/>
              </w:rPr>
              <w:t>T</w:t>
            </w:r>
            <w:r w:rsidRPr="00EC7F31">
              <w:rPr>
                <w:sz w:val="18"/>
                <w:szCs w:val="18"/>
                <w:lang w:val="en-US"/>
              </w:rPr>
              <w:t>here is a</w:t>
            </w:r>
            <w:r w:rsidRPr="00313B82">
              <w:rPr>
                <w:b/>
                <w:bCs/>
                <w:sz w:val="18"/>
                <w:szCs w:val="18"/>
                <w:lang w:val="en-US"/>
              </w:rPr>
              <w:t xml:space="preserve">n issue with the K_IRB LGD calibration </w:t>
            </w:r>
            <w:r>
              <w:rPr>
                <w:b/>
                <w:bCs/>
                <w:sz w:val="18"/>
                <w:szCs w:val="18"/>
                <w:lang w:val="en-US"/>
              </w:rPr>
              <w:t xml:space="preserve">in </w:t>
            </w:r>
            <w:r w:rsidRPr="00313B82">
              <w:rPr>
                <w:b/>
                <w:bCs/>
                <w:sz w:val="18"/>
                <w:szCs w:val="18"/>
                <w:lang w:val="en-US"/>
              </w:rPr>
              <w:t>EBA</w:t>
            </w:r>
            <w:r>
              <w:rPr>
                <w:b/>
                <w:bCs/>
                <w:sz w:val="18"/>
                <w:szCs w:val="18"/>
                <w:lang w:val="en-US"/>
              </w:rPr>
              <w:t xml:space="preserve"> </w:t>
            </w:r>
            <w:r w:rsidRPr="00313B82">
              <w:rPr>
                <w:b/>
                <w:bCs/>
                <w:sz w:val="18"/>
                <w:szCs w:val="18"/>
                <w:lang w:val="en-US"/>
              </w:rPr>
              <w:t>RTS</w:t>
            </w:r>
            <w:r w:rsidRPr="00EC7F31">
              <w:rPr>
                <w:sz w:val="18"/>
                <w:szCs w:val="18"/>
                <w:lang w:val="en-US"/>
              </w:rPr>
              <w:t>, effective in 24Q3</w:t>
            </w:r>
            <w:r>
              <w:rPr>
                <w:sz w:val="18"/>
                <w:szCs w:val="18"/>
                <w:lang w:val="en-US"/>
              </w:rPr>
              <w:t>.</w:t>
            </w:r>
            <w:r w:rsidRPr="00EC7F31">
              <w:rPr>
                <w:sz w:val="18"/>
                <w:szCs w:val="18"/>
                <w:lang w:val="en-US"/>
              </w:rPr>
              <w:t xml:space="preserve"> </w:t>
            </w:r>
            <w:proofErr w:type="spellStart"/>
            <w:r>
              <w:rPr>
                <w:sz w:val="18"/>
                <w:szCs w:val="18"/>
                <w:lang w:val="en-US"/>
              </w:rPr>
              <w:t>Iif</w:t>
            </w:r>
            <w:proofErr w:type="spellEnd"/>
            <w:r>
              <w:rPr>
                <w:sz w:val="18"/>
                <w:szCs w:val="18"/>
                <w:lang w:val="en-US"/>
              </w:rPr>
              <w:t xml:space="preserve"> </w:t>
            </w:r>
            <w:r w:rsidRPr="00EC7F31">
              <w:rPr>
                <w:sz w:val="18"/>
                <w:szCs w:val="18"/>
                <w:lang w:val="en-US"/>
              </w:rPr>
              <w:t xml:space="preserve">banks as investors in the </w:t>
            </w:r>
            <w:r>
              <w:rPr>
                <w:sz w:val="18"/>
                <w:szCs w:val="18"/>
                <w:lang w:val="en-US"/>
              </w:rPr>
              <w:t>SEN</w:t>
            </w:r>
            <w:r w:rsidRPr="00EC7F31">
              <w:rPr>
                <w:sz w:val="18"/>
                <w:szCs w:val="18"/>
                <w:lang w:val="en-US"/>
              </w:rPr>
              <w:t xml:space="preserve"> tranche are using SEC-IRBA for the </w:t>
            </w:r>
            <w:r w:rsidRPr="00636E20">
              <w:rPr>
                <w:sz w:val="18"/>
                <w:szCs w:val="18"/>
                <w:u w:val="single"/>
                <w:lang w:val="en-US"/>
              </w:rPr>
              <w:t>pools originated or serviced by clients,</w:t>
            </w:r>
            <w:r w:rsidRPr="00EC7F31">
              <w:rPr>
                <w:sz w:val="18"/>
                <w:szCs w:val="18"/>
                <w:lang w:val="en-US"/>
              </w:rPr>
              <w:t xml:space="preserve"> EBA accepts </w:t>
            </w:r>
            <w:r>
              <w:rPr>
                <w:sz w:val="18"/>
                <w:szCs w:val="18"/>
                <w:lang w:val="en-US"/>
              </w:rPr>
              <w:t>usage of</w:t>
            </w:r>
            <w:r w:rsidRPr="00EC7F31">
              <w:rPr>
                <w:sz w:val="18"/>
                <w:szCs w:val="18"/>
                <w:lang w:val="en-US"/>
              </w:rPr>
              <w:t xml:space="preserve"> the </w:t>
            </w:r>
            <w:r>
              <w:rPr>
                <w:sz w:val="18"/>
                <w:szCs w:val="18"/>
                <w:lang w:val="en-US"/>
              </w:rPr>
              <w:t xml:space="preserve">banks internal </w:t>
            </w:r>
            <w:r w:rsidRPr="00EC7F31">
              <w:rPr>
                <w:sz w:val="18"/>
                <w:szCs w:val="18"/>
                <w:lang w:val="en-US"/>
              </w:rPr>
              <w:t>PD</w:t>
            </w:r>
            <w:r>
              <w:rPr>
                <w:sz w:val="18"/>
                <w:szCs w:val="18"/>
                <w:lang w:val="en-US"/>
              </w:rPr>
              <w:t xml:space="preserve">, </w:t>
            </w:r>
            <w:r w:rsidRPr="00EC7F31">
              <w:rPr>
                <w:sz w:val="18"/>
                <w:szCs w:val="18"/>
                <w:lang w:val="en-US"/>
              </w:rPr>
              <w:t>but</w:t>
            </w:r>
            <w:r w:rsidRPr="00313B82">
              <w:rPr>
                <w:sz w:val="18"/>
                <w:szCs w:val="18"/>
                <w:u w:val="single"/>
                <w:lang w:val="en-US"/>
              </w:rPr>
              <w:t xml:space="preserve"> not the LGD</w:t>
            </w:r>
            <w:r>
              <w:rPr>
                <w:sz w:val="18"/>
                <w:szCs w:val="18"/>
                <w:u w:val="single"/>
                <w:lang w:val="en-US"/>
              </w:rPr>
              <w:t>’s</w:t>
            </w:r>
            <w:r w:rsidRPr="00EC7F31">
              <w:rPr>
                <w:sz w:val="18"/>
                <w:szCs w:val="18"/>
                <w:lang w:val="en-US"/>
              </w:rPr>
              <w:t xml:space="preserve">. Rationale being that LGD is originator/servicer specific as it reflects underwriting/servicing standards. For </w:t>
            </w:r>
            <w:proofErr w:type="gramStart"/>
            <w:r w:rsidRPr="00636E20">
              <w:rPr>
                <w:sz w:val="18"/>
                <w:szCs w:val="18"/>
                <w:u w:val="single"/>
                <w:lang w:val="en-US"/>
              </w:rPr>
              <w:t>pools</w:t>
            </w:r>
            <w:proofErr w:type="gramEnd"/>
            <w:r w:rsidRPr="00636E20">
              <w:rPr>
                <w:sz w:val="18"/>
                <w:szCs w:val="18"/>
                <w:u w:val="single"/>
                <w:lang w:val="en-US"/>
              </w:rPr>
              <w:t xml:space="preserve"> originated and serviced by banks’ clients</w:t>
            </w:r>
            <w:r w:rsidRPr="00EC7F31">
              <w:rPr>
                <w:sz w:val="18"/>
                <w:szCs w:val="18"/>
                <w:lang w:val="en-US"/>
              </w:rPr>
              <w:t xml:space="preserve">, banks must use flat LGD of 50% for senior exposure and 100% for sub-exposures. </w:t>
            </w:r>
            <w:r>
              <w:rPr>
                <w:sz w:val="18"/>
                <w:szCs w:val="18"/>
                <w:lang w:val="en-US"/>
              </w:rPr>
              <w:t>T</w:t>
            </w:r>
            <w:r w:rsidRPr="00EC7F31">
              <w:rPr>
                <w:sz w:val="18"/>
                <w:szCs w:val="18"/>
                <w:lang w:val="en-US"/>
              </w:rPr>
              <w:t xml:space="preserve">wo issues: </w:t>
            </w:r>
          </w:p>
          <w:p w14:paraId="1730275D" w14:textId="77777777" w:rsidR="000E1513" w:rsidRDefault="000E1513" w:rsidP="000E1513">
            <w:pPr>
              <w:pStyle w:val="Paragraphedeliste"/>
              <w:numPr>
                <w:ilvl w:val="1"/>
                <w:numId w:val="8"/>
              </w:numPr>
              <w:rPr>
                <w:sz w:val="18"/>
                <w:szCs w:val="18"/>
                <w:lang w:val="en-US"/>
              </w:rPr>
            </w:pPr>
            <w:r w:rsidRPr="00A4079E">
              <w:rPr>
                <w:sz w:val="18"/>
                <w:szCs w:val="18"/>
                <w:lang w:val="en-US"/>
              </w:rPr>
              <w:t xml:space="preserve">for </w:t>
            </w:r>
            <w:r>
              <w:rPr>
                <w:sz w:val="18"/>
                <w:szCs w:val="18"/>
                <w:lang w:val="en-US"/>
              </w:rPr>
              <w:t>SEN</w:t>
            </w:r>
            <w:r w:rsidRPr="00A4079E">
              <w:rPr>
                <w:sz w:val="18"/>
                <w:szCs w:val="18"/>
                <w:lang w:val="en-US"/>
              </w:rPr>
              <w:t xml:space="preserve"> exposures, there is n</w:t>
            </w:r>
            <w:r w:rsidRPr="00A4079E">
              <w:rPr>
                <w:sz w:val="18"/>
                <w:szCs w:val="18"/>
                <w:u w:val="single"/>
                <w:lang w:val="en-US"/>
              </w:rPr>
              <w:t xml:space="preserve">o differentiation between </w:t>
            </w:r>
            <w:r>
              <w:rPr>
                <w:sz w:val="18"/>
                <w:szCs w:val="18"/>
                <w:u w:val="single"/>
                <w:lang w:val="en-US"/>
              </w:rPr>
              <w:t>SEN</w:t>
            </w:r>
            <w:r w:rsidRPr="00A4079E">
              <w:rPr>
                <w:sz w:val="18"/>
                <w:szCs w:val="18"/>
                <w:u w:val="single"/>
                <w:lang w:val="en-US"/>
              </w:rPr>
              <w:t xml:space="preserve"> </w:t>
            </w:r>
            <w:r>
              <w:rPr>
                <w:sz w:val="18"/>
                <w:szCs w:val="18"/>
                <w:u w:val="single"/>
                <w:lang w:val="en-US"/>
              </w:rPr>
              <w:t>UNSEC</w:t>
            </w:r>
            <w:r w:rsidRPr="00A4079E">
              <w:rPr>
                <w:sz w:val="18"/>
                <w:szCs w:val="18"/>
                <w:u w:val="single"/>
                <w:lang w:val="en-US"/>
              </w:rPr>
              <w:t xml:space="preserve"> exposures and </w:t>
            </w:r>
            <w:r>
              <w:rPr>
                <w:sz w:val="18"/>
                <w:szCs w:val="18"/>
                <w:u w:val="single"/>
                <w:lang w:val="en-US"/>
              </w:rPr>
              <w:t>SEN SEC</w:t>
            </w:r>
            <w:r w:rsidRPr="00A4079E">
              <w:rPr>
                <w:sz w:val="18"/>
                <w:szCs w:val="18"/>
                <w:u w:val="single"/>
                <w:lang w:val="en-US"/>
              </w:rPr>
              <w:t xml:space="preserve"> exp</w:t>
            </w:r>
            <w:r>
              <w:rPr>
                <w:sz w:val="18"/>
                <w:szCs w:val="18"/>
                <w:u w:val="single"/>
                <w:lang w:val="en-US"/>
              </w:rPr>
              <w:t>os</w:t>
            </w:r>
            <w:r w:rsidRPr="00A4079E">
              <w:rPr>
                <w:sz w:val="18"/>
                <w:szCs w:val="18"/>
                <w:lang w:val="en-US"/>
              </w:rPr>
              <w:t xml:space="preserve">; no LGD benefits from security compared to the foundation approach where the LGD is reduced to 25%. </w:t>
            </w:r>
          </w:p>
          <w:p w14:paraId="03CFA8E2" w14:textId="01B4C36C" w:rsidR="00C21071" w:rsidRPr="00976D89" w:rsidRDefault="000E1513" w:rsidP="00D27F81">
            <w:pPr>
              <w:pStyle w:val="Paragraphedeliste"/>
              <w:numPr>
                <w:ilvl w:val="1"/>
                <w:numId w:val="8"/>
              </w:numPr>
              <w:rPr>
                <w:b/>
                <w:bCs/>
                <w:sz w:val="18"/>
                <w:szCs w:val="18"/>
                <w:lang w:val="en-US"/>
              </w:rPr>
            </w:pPr>
            <w:r w:rsidRPr="00A4079E">
              <w:rPr>
                <w:sz w:val="18"/>
                <w:szCs w:val="18"/>
                <w:lang w:val="en-US"/>
              </w:rPr>
              <w:t xml:space="preserve">for </w:t>
            </w:r>
            <w:r>
              <w:rPr>
                <w:sz w:val="18"/>
                <w:szCs w:val="18"/>
                <w:lang w:val="en-US"/>
              </w:rPr>
              <w:t>SUB</w:t>
            </w:r>
            <w:r w:rsidRPr="00A4079E">
              <w:rPr>
                <w:sz w:val="18"/>
                <w:szCs w:val="18"/>
                <w:lang w:val="en-US"/>
              </w:rPr>
              <w:t xml:space="preserve"> expos, the 100% LGD is too harsh compared to the foundation calibration of 75% LGD. </w:t>
            </w:r>
            <w:r w:rsidRPr="00AF3E8B">
              <w:rPr>
                <w:b/>
                <w:bCs/>
                <w:sz w:val="18"/>
                <w:szCs w:val="18"/>
                <w:lang w:val="en-US"/>
              </w:rPr>
              <w:t xml:space="preserve">EBA RTS on </w:t>
            </w:r>
            <w:proofErr w:type="spellStart"/>
            <w:r w:rsidRPr="00AF3E8B">
              <w:rPr>
                <w:b/>
                <w:bCs/>
                <w:sz w:val="18"/>
                <w:szCs w:val="18"/>
                <w:lang w:val="en-US"/>
              </w:rPr>
              <w:t>Kirb</w:t>
            </w:r>
            <w:proofErr w:type="spellEnd"/>
            <w:r w:rsidRPr="00AF3E8B">
              <w:rPr>
                <w:b/>
                <w:bCs/>
                <w:sz w:val="18"/>
                <w:szCs w:val="18"/>
                <w:lang w:val="en-US"/>
              </w:rPr>
              <w:t xml:space="preserve"> calculations shall be modified in line with the Foundation Approach</w:t>
            </w:r>
            <w:r>
              <w:rPr>
                <w:b/>
                <w:bCs/>
                <w:sz w:val="18"/>
                <w:szCs w:val="18"/>
                <w:lang w:val="en-US"/>
              </w:rPr>
              <w:t>:</w:t>
            </w:r>
            <w:r w:rsidRPr="00AF3E8B">
              <w:rPr>
                <w:b/>
                <w:bCs/>
                <w:sz w:val="18"/>
                <w:szCs w:val="18"/>
                <w:lang w:val="en-US"/>
              </w:rPr>
              <w:t>25% LGD for secured, 40% for senior unsecured</w:t>
            </w:r>
            <w:r>
              <w:rPr>
                <w:b/>
                <w:bCs/>
                <w:sz w:val="18"/>
                <w:szCs w:val="18"/>
                <w:lang w:val="en-US"/>
              </w:rPr>
              <w:t xml:space="preserve">, </w:t>
            </w:r>
            <w:r w:rsidRPr="00AF3E8B">
              <w:rPr>
                <w:b/>
                <w:bCs/>
                <w:sz w:val="18"/>
                <w:szCs w:val="18"/>
                <w:lang w:val="en-US"/>
              </w:rPr>
              <w:t>75% for subordinated</w:t>
            </w:r>
          </w:p>
        </w:tc>
        <w:tc>
          <w:tcPr>
            <w:tcW w:w="236" w:type="dxa"/>
          </w:tcPr>
          <w:p w14:paraId="508E94C8" w14:textId="368A9A81" w:rsidR="00C21071" w:rsidRPr="007C79DF" w:rsidRDefault="00C21071" w:rsidP="0079353D">
            <w:pPr>
              <w:ind w:firstLine="1917"/>
              <w:rPr>
                <w:sz w:val="18"/>
                <w:szCs w:val="18"/>
                <w:lang w:val="en-GB"/>
              </w:rPr>
            </w:pPr>
          </w:p>
        </w:tc>
      </w:tr>
      <w:tr w:rsidR="00C21071" w:rsidRPr="0000602A" w14:paraId="1C32C87E" w14:textId="77777777" w:rsidTr="30964D0C">
        <w:trPr>
          <w:gridAfter w:val="1"/>
          <w:wAfter w:w="16" w:type="dxa"/>
        </w:trPr>
        <w:tc>
          <w:tcPr>
            <w:tcW w:w="2893" w:type="dxa"/>
          </w:tcPr>
          <w:p w14:paraId="0AEE5409" w14:textId="686A407E" w:rsidR="00C21071" w:rsidRPr="00973525" w:rsidRDefault="00C21071" w:rsidP="00C21071">
            <w:pPr>
              <w:rPr>
                <w:sz w:val="18"/>
                <w:szCs w:val="18"/>
                <w:lang w:val="en-GB"/>
              </w:rPr>
            </w:pPr>
            <w:r w:rsidRPr="00973525">
              <w:rPr>
                <w:sz w:val="18"/>
                <w:szCs w:val="18"/>
                <w:lang w:val="en-GB"/>
              </w:rPr>
              <w:lastRenderedPageBreak/>
              <w:t xml:space="preserve">Question 9.8. Are there </w:t>
            </w:r>
            <w:r w:rsidRPr="00973525">
              <w:rPr>
                <w:b/>
                <w:bCs/>
                <w:sz w:val="18"/>
                <w:szCs w:val="18"/>
                <w:lang w:val="en-GB"/>
              </w:rPr>
              <w:t>national legislations</w:t>
            </w:r>
            <w:r w:rsidRPr="00973525">
              <w:rPr>
                <w:sz w:val="18"/>
                <w:szCs w:val="18"/>
                <w:lang w:val="en-GB"/>
              </w:rPr>
              <w:t xml:space="preserve"> or </w:t>
            </w:r>
            <w:r w:rsidRPr="00973525">
              <w:rPr>
                <w:b/>
                <w:bCs/>
                <w:sz w:val="18"/>
                <w:szCs w:val="18"/>
                <w:lang w:val="en-GB"/>
              </w:rPr>
              <w:t>supervisory practices</w:t>
            </w:r>
            <w:r w:rsidRPr="00973525">
              <w:rPr>
                <w:sz w:val="18"/>
                <w:szCs w:val="18"/>
                <w:lang w:val="en-GB"/>
              </w:rPr>
              <w:t xml:space="preserve"> which in your view u</w:t>
            </w:r>
            <w:r w:rsidRPr="00973525">
              <w:rPr>
                <w:b/>
                <w:bCs/>
                <w:sz w:val="18"/>
                <w:szCs w:val="18"/>
                <w:lang w:val="en-GB"/>
              </w:rPr>
              <w:t>nduly restrict banks</w:t>
            </w:r>
            <w:r w:rsidRPr="00973525">
              <w:rPr>
                <w:sz w:val="18"/>
                <w:szCs w:val="18"/>
                <w:lang w:val="en-GB"/>
              </w:rPr>
              <w:t xml:space="preserve"> in their potential role as investor, originator, servicer or sponsor of securitisation transactions?</w:t>
            </w:r>
          </w:p>
        </w:tc>
        <w:tc>
          <w:tcPr>
            <w:tcW w:w="7740" w:type="dxa"/>
          </w:tcPr>
          <w:p w14:paraId="71B14C49" w14:textId="77777777" w:rsidR="00C21071" w:rsidRPr="00973525" w:rsidRDefault="00C21071" w:rsidP="00C21071">
            <w:pPr>
              <w:rPr>
                <w:sz w:val="18"/>
                <w:szCs w:val="18"/>
                <w:lang w:val="en-GB"/>
              </w:rPr>
            </w:pPr>
            <w:r w:rsidRPr="00973525">
              <w:rPr>
                <w:sz w:val="18"/>
                <w:szCs w:val="18"/>
                <w:lang w:val="en-GB"/>
              </w:rPr>
              <w:t>Answer</w:t>
            </w:r>
          </w:p>
          <w:p w14:paraId="39C883BB" w14:textId="77777777" w:rsidR="00C21071" w:rsidRPr="00973525" w:rsidRDefault="00000000" w:rsidP="00C21071">
            <w:pPr>
              <w:rPr>
                <w:b/>
                <w:bCs/>
                <w:sz w:val="18"/>
                <w:szCs w:val="18"/>
                <w:lang w:val="en-GB"/>
              </w:rPr>
            </w:pPr>
            <w:sdt>
              <w:sdtPr>
                <w:rPr>
                  <w:b/>
                  <w:bCs/>
                  <w:sz w:val="18"/>
                  <w:szCs w:val="18"/>
                  <w:lang w:val="en-GB"/>
                </w:rPr>
                <w:id w:val="372036089"/>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Yes</w:t>
            </w:r>
          </w:p>
          <w:p w14:paraId="5C727679" w14:textId="77777777" w:rsidR="00C21071" w:rsidRPr="00973525" w:rsidRDefault="00000000" w:rsidP="00C21071">
            <w:pPr>
              <w:rPr>
                <w:sz w:val="18"/>
                <w:szCs w:val="18"/>
                <w:lang w:val="en-GB"/>
              </w:rPr>
            </w:pPr>
            <w:sdt>
              <w:sdtPr>
                <w:rPr>
                  <w:sz w:val="18"/>
                  <w:szCs w:val="18"/>
                  <w:lang w:val="en-GB"/>
                </w:rPr>
                <w:id w:val="-1794428268"/>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No</w:t>
            </w:r>
          </w:p>
          <w:p w14:paraId="741A86B4" w14:textId="2E37DC1F" w:rsidR="00C21071" w:rsidRPr="00973525" w:rsidRDefault="00000000" w:rsidP="00C21071">
            <w:pPr>
              <w:rPr>
                <w:sz w:val="18"/>
                <w:szCs w:val="18"/>
                <w:lang w:val="en-GB"/>
              </w:rPr>
            </w:pPr>
            <w:sdt>
              <w:sdtPr>
                <w:rPr>
                  <w:sz w:val="18"/>
                  <w:szCs w:val="18"/>
                  <w:lang w:val="en-GB"/>
                </w:rPr>
                <w:id w:val="-1536579785"/>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tc>
        <w:tc>
          <w:tcPr>
            <w:tcW w:w="236" w:type="dxa"/>
          </w:tcPr>
          <w:p w14:paraId="38AE9264" w14:textId="2D08A6FD" w:rsidR="00C21071" w:rsidRPr="00973525" w:rsidRDefault="00C21071" w:rsidP="0079353D">
            <w:pPr>
              <w:ind w:firstLine="1917"/>
              <w:rPr>
                <w:sz w:val="18"/>
                <w:szCs w:val="18"/>
                <w:lang w:val="en-GB"/>
              </w:rPr>
            </w:pPr>
          </w:p>
        </w:tc>
      </w:tr>
      <w:tr w:rsidR="00C21071" w:rsidRPr="0000602A" w14:paraId="2E1573B3" w14:textId="77777777" w:rsidTr="30964D0C">
        <w:trPr>
          <w:gridAfter w:val="1"/>
          <w:wAfter w:w="16" w:type="dxa"/>
        </w:trPr>
        <w:tc>
          <w:tcPr>
            <w:tcW w:w="2893" w:type="dxa"/>
          </w:tcPr>
          <w:p w14:paraId="067609A6" w14:textId="77777777" w:rsidR="00C21071" w:rsidRPr="00973525" w:rsidRDefault="00C21071" w:rsidP="00C21071">
            <w:pPr>
              <w:rPr>
                <w:sz w:val="18"/>
                <w:szCs w:val="18"/>
                <w:lang w:val="en-GB"/>
              </w:rPr>
            </w:pPr>
            <w:r w:rsidRPr="00973525">
              <w:rPr>
                <w:sz w:val="18"/>
                <w:szCs w:val="18"/>
                <w:lang w:val="en-GB"/>
              </w:rPr>
              <w:t xml:space="preserve">Question 9.9. If you answered yes to question 9.8., please </w:t>
            </w:r>
            <w:r w:rsidRPr="00973525">
              <w:rPr>
                <w:b/>
                <w:bCs/>
                <w:sz w:val="18"/>
                <w:szCs w:val="18"/>
                <w:lang w:val="en-GB"/>
              </w:rPr>
              <w:t>explain</w:t>
            </w:r>
            <w:r w:rsidRPr="00973525">
              <w:rPr>
                <w:sz w:val="18"/>
                <w:szCs w:val="18"/>
                <w:lang w:val="en-GB"/>
              </w:rPr>
              <w:t xml:space="preserve"> and provide examples:</w:t>
            </w:r>
          </w:p>
          <w:p w14:paraId="0DAE9E80" w14:textId="77777777" w:rsidR="00C21071" w:rsidRPr="00973525" w:rsidRDefault="00C21071" w:rsidP="00C21071">
            <w:pPr>
              <w:rPr>
                <w:sz w:val="18"/>
                <w:szCs w:val="18"/>
                <w:lang w:val="en-GB"/>
              </w:rPr>
            </w:pPr>
          </w:p>
        </w:tc>
        <w:tc>
          <w:tcPr>
            <w:tcW w:w="7740" w:type="dxa"/>
          </w:tcPr>
          <w:p w14:paraId="114D51A5" w14:textId="77777777" w:rsidR="00C21071" w:rsidRPr="00973525" w:rsidRDefault="00C21071" w:rsidP="00C21071">
            <w:pPr>
              <w:rPr>
                <w:sz w:val="18"/>
                <w:szCs w:val="18"/>
                <w:lang w:val="en-US"/>
              </w:rPr>
            </w:pPr>
            <w:r w:rsidRPr="00973525">
              <w:rPr>
                <w:sz w:val="18"/>
                <w:szCs w:val="18"/>
                <w:lang w:val="en-US"/>
              </w:rPr>
              <w:t>Some supervisory practices should be adjusted:</w:t>
            </w:r>
          </w:p>
          <w:p w14:paraId="5BFCB1E0" w14:textId="77777777" w:rsidR="00C21071" w:rsidRPr="00973525" w:rsidRDefault="00C21071" w:rsidP="00C21071">
            <w:pPr>
              <w:rPr>
                <w:sz w:val="18"/>
                <w:szCs w:val="18"/>
                <w:lang w:val="en-US"/>
              </w:rPr>
            </w:pPr>
          </w:p>
          <w:p w14:paraId="07F21170" w14:textId="3D37E736" w:rsidR="00C21071" w:rsidRPr="00973525" w:rsidRDefault="00C21071" w:rsidP="00C21071">
            <w:pPr>
              <w:pStyle w:val="Paragraphedeliste"/>
              <w:numPr>
                <w:ilvl w:val="0"/>
                <w:numId w:val="19"/>
              </w:numPr>
              <w:rPr>
                <w:sz w:val="18"/>
                <w:szCs w:val="18"/>
                <w:lang w:val="en-US"/>
              </w:rPr>
            </w:pPr>
            <w:r w:rsidRPr="00973525">
              <w:rPr>
                <w:sz w:val="18"/>
                <w:szCs w:val="18"/>
                <w:lang w:val="en-US"/>
              </w:rPr>
              <w:t>The E</w:t>
            </w:r>
            <w:r w:rsidRPr="00973525">
              <w:rPr>
                <w:b/>
                <w:bCs/>
                <w:i/>
                <w:iCs/>
                <w:sz w:val="18"/>
                <w:szCs w:val="18"/>
                <w:lang w:val="en-US"/>
              </w:rPr>
              <w:t>BA guidelines for SRT</w:t>
            </w:r>
            <w:r w:rsidRPr="00973525">
              <w:rPr>
                <w:sz w:val="18"/>
                <w:szCs w:val="18"/>
                <w:lang w:val="en-US"/>
              </w:rPr>
              <w:t xml:space="preserve"> introduce some ratios (especially the CRT ratio) that are not economically linked to the transfer of risk or that are too prescriptive. (See SRT dedicated part)</w:t>
            </w:r>
          </w:p>
          <w:p w14:paraId="665327CB" w14:textId="2E8568A8" w:rsidR="00C21071" w:rsidRPr="00973525" w:rsidRDefault="00C21071" w:rsidP="00C21071">
            <w:pPr>
              <w:pStyle w:val="Paragraphedeliste"/>
              <w:numPr>
                <w:ilvl w:val="0"/>
                <w:numId w:val="19"/>
              </w:numPr>
              <w:rPr>
                <w:sz w:val="18"/>
                <w:szCs w:val="18"/>
                <w:lang w:val="en-US"/>
              </w:rPr>
            </w:pPr>
            <w:r w:rsidRPr="723C59BE">
              <w:rPr>
                <w:sz w:val="18"/>
                <w:szCs w:val="18"/>
                <w:lang w:val="en-US"/>
              </w:rPr>
              <w:t xml:space="preserve"> The </w:t>
            </w:r>
            <w:r w:rsidRPr="723C59BE">
              <w:rPr>
                <w:b/>
                <w:bCs/>
                <w:i/>
                <w:iCs/>
                <w:sz w:val="18"/>
                <w:szCs w:val="18"/>
                <w:lang w:val="en-US"/>
              </w:rPr>
              <w:t>EBA guidelines on WAL calculation</w:t>
            </w:r>
            <w:r w:rsidRPr="723C59BE">
              <w:rPr>
                <w:sz w:val="18"/>
                <w:szCs w:val="18"/>
                <w:lang w:val="en-US"/>
              </w:rPr>
              <w:t xml:space="preserve"> also introduce too much complexity for a simple parameter. This parameter is capped at 5 years usually in banking regulation and floored at 1 year. We consider that WAL calculation should be simplified. It could be aligned to the WAL value used for market pricing.</w:t>
            </w:r>
          </w:p>
          <w:p w14:paraId="7F035CF4" w14:textId="261BFB1F" w:rsidR="00C21071" w:rsidRPr="00973525" w:rsidRDefault="00C21071" w:rsidP="72875874">
            <w:pPr>
              <w:ind w:left="708"/>
              <w:rPr>
                <w:sz w:val="18"/>
                <w:szCs w:val="18"/>
                <w:lang w:val="en-US"/>
              </w:rPr>
            </w:pPr>
          </w:p>
        </w:tc>
        <w:tc>
          <w:tcPr>
            <w:tcW w:w="236" w:type="dxa"/>
          </w:tcPr>
          <w:p w14:paraId="3F11EF48" w14:textId="1F080D88" w:rsidR="00C21071" w:rsidRPr="007C79DF" w:rsidRDefault="00C21071" w:rsidP="0079353D">
            <w:pPr>
              <w:pStyle w:val="Paragraphedeliste"/>
              <w:numPr>
                <w:ilvl w:val="0"/>
                <w:numId w:val="5"/>
              </w:numPr>
              <w:ind w:left="0" w:firstLine="1917"/>
              <w:rPr>
                <w:sz w:val="18"/>
                <w:szCs w:val="18"/>
                <w:lang w:val="en-GB"/>
              </w:rPr>
            </w:pPr>
          </w:p>
        </w:tc>
      </w:tr>
      <w:tr w:rsidR="00C21071" w:rsidRPr="0000602A" w14:paraId="52585549" w14:textId="77777777" w:rsidTr="30964D0C">
        <w:trPr>
          <w:gridAfter w:val="1"/>
          <w:wAfter w:w="16" w:type="dxa"/>
        </w:trPr>
        <w:tc>
          <w:tcPr>
            <w:tcW w:w="2893" w:type="dxa"/>
          </w:tcPr>
          <w:p w14:paraId="5D571A96" w14:textId="77777777" w:rsidR="00C21071" w:rsidRPr="00973525" w:rsidRDefault="00C21071" w:rsidP="00C21071">
            <w:pPr>
              <w:rPr>
                <w:sz w:val="18"/>
                <w:szCs w:val="18"/>
                <w:lang w:val="en-GB"/>
              </w:rPr>
            </w:pPr>
            <w:r w:rsidRPr="00973525">
              <w:rPr>
                <w:sz w:val="18"/>
                <w:szCs w:val="18"/>
                <w:lang w:val="en-GB"/>
              </w:rPr>
              <w:t xml:space="preserve">Question 9.10. How do </w:t>
            </w:r>
            <w:r w:rsidRPr="00973525">
              <w:rPr>
                <w:b/>
                <w:bCs/>
                <w:sz w:val="18"/>
                <w:szCs w:val="18"/>
                <w:lang w:val="en-GB"/>
              </w:rPr>
              <w:t xml:space="preserve">banks use </w:t>
            </w:r>
            <w:r w:rsidRPr="00973525">
              <w:rPr>
                <w:sz w:val="18"/>
                <w:szCs w:val="18"/>
                <w:lang w:val="en-GB"/>
              </w:rPr>
              <w:t xml:space="preserve">the </w:t>
            </w:r>
            <w:r w:rsidRPr="00973525">
              <w:rPr>
                <w:b/>
                <w:bCs/>
                <w:sz w:val="18"/>
                <w:szCs w:val="18"/>
                <w:lang w:val="en-GB"/>
              </w:rPr>
              <w:t>capital</w:t>
            </w:r>
            <w:r w:rsidRPr="00973525">
              <w:rPr>
                <w:sz w:val="18"/>
                <w:szCs w:val="18"/>
                <w:lang w:val="en-GB"/>
              </w:rPr>
              <w:t xml:space="preserve"> and </w:t>
            </w:r>
            <w:r w:rsidRPr="00973525">
              <w:rPr>
                <w:b/>
                <w:bCs/>
                <w:sz w:val="18"/>
                <w:szCs w:val="18"/>
                <w:lang w:val="en-GB"/>
              </w:rPr>
              <w:t>funding</w:t>
            </w:r>
            <w:r w:rsidRPr="00973525">
              <w:rPr>
                <w:sz w:val="18"/>
                <w:szCs w:val="18"/>
                <w:lang w:val="en-GB"/>
              </w:rPr>
              <w:t xml:space="preserve"> </w:t>
            </w:r>
            <w:r w:rsidRPr="00973525">
              <w:rPr>
                <w:b/>
                <w:bCs/>
                <w:sz w:val="18"/>
                <w:szCs w:val="18"/>
                <w:lang w:val="en-GB"/>
              </w:rPr>
              <w:t>released</w:t>
            </w:r>
            <w:r w:rsidRPr="00973525">
              <w:rPr>
                <w:sz w:val="18"/>
                <w:szCs w:val="18"/>
                <w:lang w:val="en-GB"/>
              </w:rPr>
              <w:t xml:space="preserve"> through securitisation?</w:t>
            </w:r>
            <w:r w:rsidRPr="00973525">
              <w:rPr>
                <w:sz w:val="18"/>
                <w:szCs w:val="18"/>
                <w:lang w:val="en-GB"/>
              </w:rPr>
              <w:br/>
            </w:r>
            <w:r w:rsidRPr="00973525">
              <w:rPr>
                <w:sz w:val="18"/>
                <w:szCs w:val="18"/>
                <w:lang w:val="en-GB"/>
              </w:rPr>
              <w:br/>
              <w:t>Please explain your answer and if possible, quantify how much of the released capital and funding is used for further lending to the EU economy.</w:t>
            </w:r>
          </w:p>
          <w:p w14:paraId="75094964" w14:textId="77777777" w:rsidR="00C21071" w:rsidRPr="00973525" w:rsidRDefault="00C21071" w:rsidP="00C21071">
            <w:pPr>
              <w:rPr>
                <w:sz w:val="18"/>
                <w:szCs w:val="18"/>
                <w:lang w:val="en-GB"/>
              </w:rPr>
            </w:pPr>
          </w:p>
        </w:tc>
        <w:tc>
          <w:tcPr>
            <w:tcW w:w="7740" w:type="dxa"/>
          </w:tcPr>
          <w:p w14:paraId="409F46E7" w14:textId="5115F679" w:rsidR="00C21071" w:rsidRPr="00973525" w:rsidRDefault="00C21071" w:rsidP="00B80BA6">
            <w:pPr>
              <w:pStyle w:val="Paragraphedeliste"/>
              <w:numPr>
                <w:ilvl w:val="0"/>
                <w:numId w:val="41"/>
              </w:numPr>
              <w:rPr>
                <w:sz w:val="18"/>
                <w:szCs w:val="18"/>
                <w:lang w:val="en-US"/>
              </w:rPr>
            </w:pPr>
            <w:r w:rsidRPr="00973525">
              <w:rPr>
                <w:sz w:val="18"/>
                <w:szCs w:val="18"/>
                <w:lang w:val="en-US"/>
              </w:rPr>
              <w:t xml:space="preserve">Banks have historically used securitisation for funding as a diversification tool. This made sense, as the investor universe was broader at the time and therefore pricing and liquidity of RMBS / ABS were attractive enough (with limited execution risk). </w:t>
            </w:r>
            <w:r w:rsidRPr="00973525">
              <w:rPr>
                <w:sz w:val="18"/>
                <w:szCs w:val="18"/>
                <w:lang w:val="en-US"/>
              </w:rPr>
              <w:br/>
            </w:r>
          </w:p>
          <w:p w14:paraId="12487ECE" w14:textId="43BCE4B8" w:rsidR="00C21071" w:rsidRPr="00973525" w:rsidRDefault="00C21071" w:rsidP="00B80BA6">
            <w:pPr>
              <w:pStyle w:val="Paragraphedeliste"/>
              <w:numPr>
                <w:ilvl w:val="0"/>
                <w:numId w:val="41"/>
              </w:numPr>
              <w:rPr>
                <w:sz w:val="18"/>
                <w:szCs w:val="18"/>
                <w:lang w:val="en-US"/>
              </w:rPr>
            </w:pPr>
            <w:r w:rsidRPr="00973525">
              <w:rPr>
                <w:sz w:val="18"/>
                <w:szCs w:val="18"/>
                <w:lang w:val="en-US"/>
              </w:rPr>
              <w:t>Nowadays, banks are using securitisation mainly as a risk transfer instrument. Synthetic securitisation only achieves risk transfer, while full capital stack securitisations can achieve both funding and capital relief</w:t>
            </w:r>
          </w:p>
          <w:p w14:paraId="02356B6C" w14:textId="77777777" w:rsidR="00C21071" w:rsidRPr="00973525" w:rsidRDefault="00C21071" w:rsidP="00A2705E">
            <w:pPr>
              <w:pStyle w:val="Paragraphedeliste"/>
              <w:rPr>
                <w:sz w:val="18"/>
                <w:szCs w:val="18"/>
                <w:lang w:val="en-US"/>
              </w:rPr>
            </w:pPr>
          </w:p>
          <w:p w14:paraId="5666C5C1" w14:textId="77777777" w:rsidR="00C21071" w:rsidRPr="00973525" w:rsidRDefault="00C21071" w:rsidP="00B80BA6">
            <w:pPr>
              <w:pStyle w:val="Paragraphedeliste"/>
              <w:numPr>
                <w:ilvl w:val="0"/>
                <w:numId w:val="41"/>
              </w:numPr>
              <w:rPr>
                <w:sz w:val="18"/>
                <w:szCs w:val="18"/>
                <w:lang w:val="en-US"/>
              </w:rPr>
            </w:pPr>
            <w:r w:rsidRPr="00973525">
              <w:rPr>
                <w:sz w:val="18"/>
                <w:szCs w:val="18"/>
                <w:lang w:val="en-US"/>
              </w:rPr>
              <w:t>Banks also use securitisation as a contingent liquidity solution, through retained securitisations that are eligible to repo with central banks or private investors. These transactions have been helpful to support bank liquidity in stressed times (e.g., the 2011 sovereign crisis for Southern Europe)</w:t>
            </w:r>
          </w:p>
          <w:p w14:paraId="3FBD6DCF" w14:textId="77777777" w:rsidR="00C21071" w:rsidRPr="00973525" w:rsidRDefault="00C21071" w:rsidP="00A2705E">
            <w:pPr>
              <w:pStyle w:val="Paragraphedeliste"/>
              <w:rPr>
                <w:sz w:val="18"/>
                <w:szCs w:val="18"/>
                <w:lang w:val="en-US"/>
              </w:rPr>
            </w:pPr>
          </w:p>
          <w:p w14:paraId="612A6FDF" w14:textId="25C87097" w:rsidR="00C21071" w:rsidRPr="00973525" w:rsidRDefault="00942A0B" w:rsidP="00B80BA6">
            <w:pPr>
              <w:pStyle w:val="Paragraphedeliste"/>
              <w:numPr>
                <w:ilvl w:val="0"/>
                <w:numId w:val="41"/>
              </w:numPr>
              <w:rPr>
                <w:sz w:val="18"/>
                <w:szCs w:val="18"/>
                <w:lang w:val="en-US"/>
              </w:rPr>
            </w:pPr>
            <w:r>
              <w:rPr>
                <w:sz w:val="18"/>
                <w:szCs w:val="18"/>
                <w:lang w:val="en-US"/>
              </w:rPr>
              <w:t>Lastly</w:t>
            </w:r>
            <w:r w:rsidR="00D7333F">
              <w:rPr>
                <w:sz w:val="18"/>
                <w:szCs w:val="18"/>
                <w:lang w:val="en-US"/>
              </w:rPr>
              <w:t>,</w:t>
            </w:r>
            <w:r w:rsidR="00C21071" w:rsidRPr="00973525">
              <w:rPr>
                <w:sz w:val="18"/>
                <w:szCs w:val="18"/>
                <w:lang w:val="en-US"/>
              </w:rPr>
              <w:t xml:space="preserve"> banks can support their clients through private securitisations that can be refinanced through ABCP conduits (ow trade receivable securitisations)</w:t>
            </w:r>
          </w:p>
          <w:p w14:paraId="34129767" w14:textId="77777777" w:rsidR="00C21071" w:rsidRPr="00973525" w:rsidRDefault="00C21071" w:rsidP="00A2705E">
            <w:pPr>
              <w:pStyle w:val="Paragraphedeliste"/>
              <w:rPr>
                <w:sz w:val="18"/>
                <w:szCs w:val="18"/>
                <w:lang w:val="en-US"/>
              </w:rPr>
            </w:pPr>
          </w:p>
          <w:p w14:paraId="484718A5" w14:textId="794505CC" w:rsidR="00C21071" w:rsidRPr="00973525" w:rsidRDefault="00C21071" w:rsidP="00C21071">
            <w:pPr>
              <w:rPr>
                <w:sz w:val="18"/>
                <w:szCs w:val="18"/>
                <w:lang w:val="en-US"/>
              </w:rPr>
            </w:pPr>
            <w:r w:rsidRPr="00973525">
              <w:rPr>
                <w:sz w:val="18"/>
                <w:szCs w:val="18"/>
                <w:lang w:val="en-US"/>
              </w:rPr>
              <w:t xml:space="preserve">With a wide range of instruments, ranging from a credit risk guarantee to a transaction closer to a pure sale of asset, or to contingent funding, </w:t>
            </w:r>
            <w:r w:rsidRPr="007D473E">
              <w:rPr>
                <w:b/>
                <w:bCs/>
                <w:sz w:val="18"/>
                <w:szCs w:val="18"/>
                <w:lang w:val="en-US"/>
              </w:rPr>
              <w:t>securitisations offer a wide range of possibilities</w:t>
            </w:r>
            <w:r w:rsidRPr="00973525">
              <w:rPr>
                <w:sz w:val="18"/>
                <w:szCs w:val="18"/>
                <w:lang w:val="en-US"/>
              </w:rPr>
              <w:t xml:space="preserve"> to improve the balance sheet, to release capital and to diversify funding.</w:t>
            </w:r>
          </w:p>
          <w:p w14:paraId="7CBA303D" w14:textId="77777777" w:rsidR="00C21071" w:rsidRPr="00973525" w:rsidRDefault="00C21071" w:rsidP="00C21071">
            <w:pPr>
              <w:rPr>
                <w:sz w:val="18"/>
                <w:szCs w:val="18"/>
                <w:lang w:val="en-US"/>
              </w:rPr>
            </w:pPr>
            <w:r w:rsidRPr="00973525">
              <w:rPr>
                <w:sz w:val="18"/>
                <w:szCs w:val="18"/>
                <w:lang w:val="en-US"/>
              </w:rPr>
              <w:t xml:space="preserve">  </w:t>
            </w:r>
          </w:p>
          <w:p w14:paraId="005165AA" w14:textId="2FC09CEF" w:rsidR="00C21071" w:rsidRPr="00973525" w:rsidRDefault="00645137" w:rsidP="00C21071">
            <w:pPr>
              <w:rPr>
                <w:sz w:val="18"/>
                <w:szCs w:val="18"/>
                <w:lang w:val="en-GB"/>
              </w:rPr>
            </w:pPr>
            <w:r w:rsidRPr="00645137">
              <w:rPr>
                <w:sz w:val="18"/>
                <w:szCs w:val="18"/>
                <w:lang w:val="en-GB"/>
              </w:rPr>
              <w:t>As previously mentioned, any smoothing of the prudential treatment (for example p-factor and risk weight floor reduction%) will increase mechanically the financing capacity of the banks, and hence promote EU banks as financing actor of the upcoming demand.</w:t>
            </w:r>
          </w:p>
        </w:tc>
        <w:tc>
          <w:tcPr>
            <w:tcW w:w="236" w:type="dxa"/>
          </w:tcPr>
          <w:p w14:paraId="4DB5CBCD" w14:textId="3ED1F38E" w:rsidR="00C21071" w:rsidRPr="00597791" w:rsidRDefault="00C21071" w:rsidP="0079353D">
            <w:pPr>
              <w:ind w:firstLine="1917"/>
              <w:rPr>
                <w:sz w:val="18"/>
                <w:szCs w:val="18"/>
                <w:lang w:val="en-US"/>
              </w:rPr>
            </w:pPr>
          </w:p>
        </w:tc>
      </w:tr>
      <w:tr w:rsidR="00C21071" w:rsidRPr="0000602A" w14:paraId="426984C1" w14:textId="77777777" w:rsidTr="30964D0C">
        <w:tc>
          <w:tcPr>
            <w:tcW w:w="10885" w:type="dxa"/>
            <w:gridSpan w:val="4"/>
            <w:shd w:val="clear" w:color="auto" w:fill="A6A6A6" w:themeFill="background1" w:themeFillShade="A6"/>
          </w:tcPr>
          <w:p w14:paraId="27AD6788" w14:textId="77777777" w:rsidR="00C21071" w:rsidRPr="00597791" w:rsidRDefault="00C21071" w:rsidP="0079353D">
            <w:pPr>
              <w:ind w:firstLine="1917"/>
              <w:rPr>
                <w:b/>
                <w:bCs/>
                <w:sz w:val="18"/>
                <w:szCs w:val="18"/>
                <w:highlight w:val="lightGray"/>
                <w:lang w:val="en-US"/>
              </w:rPr>
            </w:pPr>
          </w:p>
        </w:tc>
      </w:tr>
      <w:tr w:rsidR="00C21071" w:rsidRPr="00C72B68" w14:paraId="5A2D97EA" w14:textId="77777777" w:rsidTr="30964D0C">
        <w:tc>
          <w:tcPr>
            <w:tcW w:w="10885" w:type="dxa"/>
            <w:gridSpan w:val="4"/>
          </w:tcPr>
          <w:p w14:paraId="0FA42684" w14:textId="77777777" w:rsidR="00C21071" w:rsidRPr="00973525" w:rsidRDefault="00C21071" w:rsidP="00265131">
            <w:pPr>
              <w:ind w:firstLine="29"/>
              <w:jc w:val="both"/>
              <w:rPr>
                <w:b/>
                <w:bCs/>
                <w:sz w:val="18"/>
                <w:szCs w:val="18"/>
                <w:lang w:val="en-GB"/>
              </w:rPr>
            </w:pPr>
            <w:r w:rsidRPr="00973525">
              <w:rPr>
                <w:b/>
                <w:bCs/>
                <w:sz w:val="18"/>
                <w:szCs w:val="18"/>
                <w:lang w:val="en-GB"/>
              </w:rPr>
              <w:t>Risk weight floors</w:t>
            </w:r>
          </w:p>
          <w:p w14:paraId="27665160" w14:textId="77777777" w:rsidR="00C21071" w:rsidRPr="00973525" w:rsidRDefault="00C21071" w:rsidP="00265131">
            <w:pPr>
              <w:ind w:firstLine="29"/>
              <w:jc w:val="both"/>
              <w:rPr>
                <w:sz w:val="18"/>
                <w:szCs w:val="18"/>
                <w:lang w:val="en-GB"/>
              </w:rPr>
            </w:pPr>
            <w:r w:rsidRPr="00973525">
              <w:rPr>
                <w:sz w:val="18"/>
                <w:szCs w:val="18"/>
                <w:lang w:val="en-GB"/>
              </w:rPr>
              <w:t xml:space="preserve">The risk weight </w:t>
            </w:r>
            <w:r w:rsidRPr="00973525">
              <w:rPr>
                <w:b/>
                <w:bCs/>
                <w:sz w:val="18"/>
                <w:szCs w:val="18"/>
                <w:lang w:val="en-GB"/>
              </w:rPr>
              <w:t>floors</w:t>
            </w:r>
            <w:r w:rsidRPr="00973525">
              <w:rPr>
                <w:sz w:val="18"/>
                <w:szCs w:val="18"/>
                <w:lang w:val="en-GB"/>
              </w:rPr>
              <w:t xml:space="preserve">, the </w:t>
            </w:r>
            <w:r w:rsidRPr="00973525">
              <w:rPr>
                <w:b/>
                <w:bCs/>
                <w:sz w:val="18"/>
                <w:szCs w:val="18"/>
                <w:lang w:val="en-GB"/>
              </w:rPr>
              <w:t>p</w:t>
            </w:r>
            <w:r w:rsidRPr="00973525">
              <w:rPr>
                <w:b/>
                <w:bCs/>
                <w:sz w:val="18"/>
                <w:szCs w:val="18"/>
                <w:lang w:val="en-GB"/>
              </w:rPr>
              <w:noBreakHyphen/>
              <w:t>factor</w:t>
            </w:r>
            <w:r w:rsidRPr="00973525">
              <w:rPr>
                <w:sz w:val="18"/>
                <w:szCs w:val="18"/>
                <w:lang w:val="en-GB"/>
              </w:rPr>
              <w:t xml:space="preserve"> and the requirement of risk weighting at </w:t>
            </w:r>
            <w:r w:rsidRPr="00973525">
              <w:rPr>
                <w:b/>
                <w:bCs/>
                <w:sz w:val="18"/>
                <w:szCs w:val="18"/>
                <w:lang w:val="en-GB"/>
              </w:rPr>
              <w:t>1250%</w:t>
            </w:r>
            <w:r w:rsidRPr="00973525">
              <w:rPr>
                <w:sz w:val="18"/>
                <w:szCs w:val="18"/>
                <w:lang w:val="en-GB"/>
              </w:rPr>
              <w:t xml:space="preserve"> for the securitisation positions up to KIRB/KSA are key measures, ensuring the non</w:t>
            </w:r>
            <w:r w:rsidRPr="00973525">
              <w:rPr>
                <w:sz w:val="18"/>
                <w:szCs w:val="18"/>
                <w:lang w:val="en-GB"/>
              </w:rPr>
              <w:noBreakHyphen/>
              <w:t>neutrality of the securitisation capital framework.</w:t>
            </w:r>
          </w:p>
          <w:p w14:paraId="1B4C84ED" w14:textId="76131F04" w:rsidR="00C21071" w:rsidRPr="00973525" w:rsidRDefault="00C21071" w:rsidP="00265131">
            <w:pPr>
              <w:ind w:firstLine="29"/>
              <w:jc w:val="both"/>
              <w:rPr>
                <w:sz w:val="18"/>
                <w:szCs w:val="18"/>
                <w:lang w:val="en-GB"/>
              </w:rPr>
            </w:pPr>
            <w:r w:rsidRPr="00973525">
              <w:rPr>
                <w:sz w:val="18"/>
                <w:szCs w:val="18"/>
                <w:lang w:val="en-GB"/>
              </w:rPr>
              <w:t>The main objective of non</w:t>
            </w:r>
            <w:r w:rsidRPr="00973525">
              <w:rPr>
                <w:sz w:val="18"/>
                <w:szCs w:val="18"/>
                <w:lang w:val="en-GB"/>
              </w:rPr>
              <w:noBreakHyphen/>
              <w:t xml:space="preserve">neutrality is to protect against certain structural risks, including agency and model risks, that are more prevalent for securitisations than for other financial assets and give rise to some degree of uncertainty in the calculation of capital requirements for securitisations, even after all appropriate risk drivers have been </w:t>
            </w:r>
            <w:proofErr w:type="gramStart"/>
            <w:r w:rsidRPr="00973525">
              <w:rPr>
                <w:sz w:val="18"/>
                <w:szCs w:val="18"/>
                <w:lang w:val="en-GB"/>
              </w:rPr>
              <w:t>taken into account</w:t>
            </w:r>
            <w:proofErr w:type="gramEnd"/>
            <w:r w:rsidRPr="00973525">
              <w:rPr>
                <w:sz w:val="18"/>
                <w:szCs w:val="18"/>
                <w:lang w:val="en-GB"/>
              </w:rPr>
              <w:t>. To capture those risks adequately, the CRR sets out a </w:t>
            </w:r>
            <w:r w:rsidRPr="00973525">
              <w:rPr>
                <w:b/>
                <w:bCs/>
                <w:sz w:val="18"/>
                <w:szCs w:val="18"/>
                <w:lang w:val="en-GB"/>
              </w:rPr>
              <w:t>15% risk</w:t>
            </w:r>
            <w:r w:rsidRPr="00973525">
              <w:rPr>
                <w:b/>
                <w:bCs/>
                <w:sz w:val="18"/>
                <w:szCs w:val="18"/>
                <w:lang w:val="en-GB"/>
              </w:rPr>
              <w:noBreakHyphen/>
              <w:t xml:space="preserve">weight floor </w:t>
            </w:r>
            <w:r w:rsidRPr="00973525">
              <w:rPr>
                <w:sz w:val="18"/>
                <w:szCs w:val="18"/>
                <w:lang w:val="en-GB"/>
              </w:rPr>
              <w:t xml:space="preserve">for </w:t>
            </w:r>
            <w:r w:rsidRPr="00973525">
              <w:rPr>
                <w:b/>
                <w:bCs/>
                <w:sz w:val="18"/>
                <w:szCs w:val="18"/>
                <w:lang w:val="en-GB"/>
              </w:rPr>
              <w:t>non</w:t>
            </w:r>
            <w:r w:rsidRPr="00973525">
              <w:rPr>
                <w:b/>
                <w:bCs/>
                <w:sz w:val="18"/>
                <w:szCs w:val="18"/>
                <w:lang w:val="en-GB"/>
              </w:rPr>
              <w:noBreakHyphen/>
              <w:t>STS</w:t>
            </w:r>
            <w:r w:rsidRPr="00973525">
              <w:rPr>
                <w:sz w:val="18"/>
                <w:szCs w:val="18"/>
                <w:lang w:val="en-GB"/>
              </w:rPr>
              <w:t xml:space="preserve"> securitisation positions and a 10% risk</w:t>
            </w:r>
            <w:r w:rsidRPr="00973525">
              <w:rPr>
                <w:sz w:val="18"/>
                <w:szCs w:val="18"/>
                <w:lang w:val="en-GB"/>
              </w:rPr>
              <w:noBreakHyphen/>
              <w:t xml:space="preserve">weight floor </w:t>
            </w:r>
            <w:r w:rsidRPr="00973525">
              <w:rPr>
                <w:b/>
                <w:bCs/>
                <w:sz w:val="18"/>
                <w:szCs w:val="18"/>
                <w:lang w:val="en-GB"/>
              </w:rPr>
              <w:t xml:space="preserve">for STS </w:t>
            </w:r>
            <w:r w:rsidRPr="00973525">
              <w:rPr>
                <w:sz w:val="18"/>
                <w:szCs w:val="18"/>
                <w:lang w:val="en-GB"/>
              </w:rPr>
              <w:t xml:space="preserve">securitisation positions (positions in re-securitisations – generally not admitted under the EU securitisation framework – when allowed by supervisors, are subject to a more conservative 100% risk-weight floor), </w:t>
            </w:r>
            <w:r w:rsidRPr="00973525">
              <w:rPr>
                <w:b/>
                <w:bCs/>
                <w:sz w:val="18"/>
                <w:szCs w:val="18"/>
                <w:lang w:val="en-GB"/>
              </w:rPr>
              <w:t>irrespective of the approach</w:t>
            </w:r>
            <w:r w:rsidRPr="00973525">
              <w:rPr>
                <w:sz w:val="18"/>
                <w:szCs w:val="18"/>
                <w:lang w:val="en-GB"/>
              </w:rPr>
              <w:t xml:space="preserve"> for calculation of capital requirements </w:t>
            </w:r>
            <w:r w:rsidRPr="00973525">
              <w:rPr>
                <w:b/>
                <w:bCs/>
                <w:sz w:val="18"/>
                <w:szCs w:val="18"/>
                <w:lang w:val="en-GB"/>
              </w:rPr>
              <w:t>and the role</w:t>
            </w:r>
            <w:r w:rsidRPr="00973525">
              <w:rPr>
                <w:sz w:val="18"/>
                <w:szCs w:val="18"/>
                <w:lang w:val="en-GB"/>
              </w:rPr>
              <w:t xml:space="preserve"> of the bank in the securitisation (originator or investor with respect to the securitisation position).</w:t>
            </w:r>
          </w:p>
          <w:p w14:paraId="619442A6" w14:textId="77777777" w:rsidR="00C21071" w:rsidRPr="00973525" w:rsidRDefault="00C21071" w:rsidP="00265131">
            <w:pPr>
              <w:ind w:firstLine="29"/>
              <w:jc w:val="both"/>
              <w:rPr>
                <w:sz w:val="18"/>
                <w:szCs w:val="18"/>
                <w:lang w:val="en-GB"/>
              </w:rPr>
            </w:pPr>
            <w:r w:rsidRPr="00973525">
              <w:rPr>
                <w:sz w:val="18"/>
                <w:szCs w:val="18"/>
                <w:lang w:val="en-GB"/>
              </w:rPr>
              <w:t xml:space="preserve">ESAs contend that </w:t>
            </w:r>
            <w:r w:rsidRPr="00973525">
              <w:rPr>
                <w:b/>
                <w:bCs/>
                <w:sz w:val="18"/>
                <w:szCs w:val="18"/>
                <w:lang w:val="en-GB"/>
              </w:rPr>
              <w:t>originators,</w:t>
            </w:r>
            <w:r w:rsidRPr="00973525">
              <w:rPr>
                <w:sz w:val="18"/>
                <w:szCs w:val="18"/>
                <w:lang w:val="en-GB"/>
              </w:rPr>
              <w:t xml:space="preserve"> unlike the investors, are subject to </w:t>
            </w:r>
            <w:r w:rsidRPr="00973525">
              <w:rPr>
                <w:b/>
                <w:bCs/>
                <w:sz w:val="18"/>
                <w:szCs w:val="18"/>
                <w:lang w:val="en-GB"/>
              </w:rPr>
              <w:t xml:space="preserve">reduced model and agency risk </w:t>
            </w:r>
            <w:r w:rsidRPr="00973525">
              <w:rPr>
                <w:sz w:val="18"/>
                <w:szCs w:val="18"/>
                <w:lang w:val="en-GB"/>
              </w:rPr>
              <w:t xml:space="preserve">in relation to their own originated securitisation. The ESAs found that the </w:t>
            </w:r>
            <w:r w:rsidRPr="00973525">
              <w:rPr>
                <w:b/>
                <w:bCs/>
                <w:sz w:val="18"/>
                <w:szCs w:val="18"/>
                <w:lang w:val="en-GB"/>
              </w:rPr>
              <w:t>current risk</w:t>
            </w:r>
            <w:r w:rsidRPr="00973525">
              <w:rPr>
                <w:b/>
                <w:bCs/>
                <w:sz w:val="18"/>
                <w:szCs w:val="18"/>
                <w:lang w:val="en-GB"/>
              </w:rPr>
              <w:noBreakHyphen/>
              <w:t>weight floors on retained tranches are unjustifiably high</w:t>
            </w:r>
            <w:r w:rsidRPr="00973525">
              <w:rPr>
                <w:sz w:val="18"/>
                <w:szCs w:val="18"/>
                <w:lang w:val="en-GB"/>
              </w:rPr>
              <w:t xml:space="preserve"> and operate to dissuade banks from originating a larger volume of SRT trades. Accordingly, the ESAs </w:t>
            </w:r>
            <w:r w:rsidRPr="00973525">
              <w:rPr>
                <w:b/>
                <w:bCs/>
                <w:sz w:val="18"/>
                <w:szCs w:val="18"/>
                <w:lang w:val="en-GB"/>
              </w:rPr>
              <w:t>recommend lowering</w:t>
            </w:r>
            <w:r w:rsidRPr="00973525">
              <w:rPr>
                <w:sz w:val="18"/>
                <w:szCs w:val="18"/>
                <w:lang w:val="en-GB"/>
              </w:rPr>
              <w:t xml:space="preserve"> the risk weight floors for originators being the original </w:t>
            </w:r>
            <w:proofErr w:type="gramStart"/>
            <w:r w:rsidRPr="00973525">
              <w:rPr>
                <w:sz w:val="18"/>
                <w:szCs w:val="18"/>
                <w:lang w:val="en-GB"/>
              </w:rPr>
              <w:t>lenders</w:t>
            </w:r>
            <w:r w:rsidRPr="00973525">
              <w:rPr>
                <w:sz w:val="18"/>
                <w:szCs w:val="18"/>
                <w:vertAlign w:val="superscript"/>
                <w:lang w:val="en-GB"/>
              </w:rPr>
              <w:t>[</w:t>
            </w:r>
            <w:proofErr w:type="gramEnd"/>
            <w:r w:rsidRPr="00973525">
              <w:rPr>
                <w:sz w:val="18"/>
                <w:szCs w:val="18"/>
                <w:vertAlign w:val="superscript"/>
                <w:lang w:val="en-GB"/>
              </w:rPr>
              <w:t>*]</w:t>
            </w:r>
            <w:r w:rsidRPr="00973525">
              <w:rPr>
                <w:sz w:val="18"/>
                <w:szCs w:val="18"/>
                <w:lang w:val="en-GB"/>
              </w:rPr>
              <w:t> (</w:t>
            </w:r>
            <w:r w:rsidRPr="00973525">
              <w:rPr>
                <w:b/>
                <w:bCs/>
                <w:sz w:val="18"/>
                <w:szCs w:val="18"/>
                <w:lang w:val="en-GB"/>
              </w:rPr>
              <w:t>in STS deals, under SEC</w:t>
            </w:r>
            <w:r w:rsidRPr="00973525">
              <w:rPr>
                <w:b/>
                <w:bCs/>
                <w:sz w:val="18"/>
                <w:szCs w:val="18"/>
                <w:lang w:val="en-GB"/>
              </w:rPr>
              <w:noBreakHyphen/>
              <w:t>IRBA, from 10% to 7%, and under non</w:t>
            </w:r>
            <w:r w:rsidRPr="00973525">
              <w:rPr>
                <w:b/>
                <w:bCs/>
                <w:sz w:val="18"/>
                <w:szCs w:val="18"/>
                <w:lang w:val="en-GB"/>
              </w:rPr>
              <w:noBreakHyphen/>
              <w:t>STS for all approaches, from 15% to 12%),</w:t>
            </w:r>
            <w:r w:rsidRPr="00973525">
              <w:rPr>
                <w:sz w:val="18"/>
                <w:szCs w:val="18"/>
                <w:lang w:val="en-GB"/>
              </w:rPr>
              <w:t xml:space="preserve"> subject to safeguards. These safeguards would seek to ensure an adequate reduction in the credit risk of the underlying exposures retained by the originator and prevent undercapitalisation of the underlying risk of the respective securitisation positions retained by the originator (criteria </w:t>
            </w:r>
            <w:r w:rsidRPr="00973525">
              <w:rPr>
                <w:b/>
                <w:bCs/>
                <w:sz w:val="18"/>
                <w:szCs w:val="18"/>
                <w:lang w:val="en-GB"/>
              </w:rPr>
              <w:t>in relation to the thickness</w:t>
            </w:r>
            <w:r w:rsidRPr="00973525">
              <w:rPr>
                <w:sz w:val="18"/>
                <w:szCs w:val="18"/>
                <w:lang w:val="en-GB"/>
              </w:rPr>
              <w:t xml:space="preserve"> of the sold non</w:t>
            </w:r>
            <w:r w:rsidRPr="00973525">
              <w:rPr>
                <w:sz w:val="18"/>
                <w:szCs w:val="18"/>
                <w:lang w:val="en-GB"/>
              </w:rPr>
              <w:noBreakHyphen/>
              <w:t>senior tranches, amortisation structure, granularity and, for synthetic securitisations only, counterparty credit risk).</w:t>
            </w:r>
          </w:p>
          <w:p w14:paraId="0FCDD03F" w14:textId="77777777" w:rsidR="00C21071" w:rsidRPr="00973525" w:rsidRDefault="00C21071" w:rsidP="00265131">
            <w:pPr>
              <w:ind w:firstLine="29"/>
              <w:jc w:val="both"/>
              <w:rPr>
                <w:sz w:val="18"/>
                <w:szCs w:val="18"/>
                <w:lang w:val="en-GB"/>
              </w:rPr>
            </w:pPr>
            <w:r w:rsidRPr="00973525">
              <w:rPr>
                <w:sz w:val="18"/>
                <w:szCs w:val="18"/>
                <w:lang w:val="en-GB"/>
              </w:rPr>
              <w:lastRenderedPageBreak/>
              <w:t xml:space="preserve">While the safeguards aim to ensure the resilience of the transactions, they have been </w:t>
            </w:r>
            <w:r w:rsidRPr="00973525">
              <w:rPr>
                <w:b/>
                <w:bCs/>
                <w:sz w:val="18"/>
                <w:szCs w:val="18"/>
                <w:lang w:val="en-GB"/>
              </w:rPr>
              <w:t>conceived for future issuances</w:t>
            </w:r>
            <w:r w:rsidRPr="00973525">
              <w:rPr>
                <w:sz w:val="18"/>
                <w:szCs w:val="18"/>
                <w:lang w:val="en-GB"/>
              </w:rPr>
              <w:t>, rather than for existing trades (indeed only a minority of the existing transactions would pass the criteria). The criterion on the thickness of the non</w:t>
            </w:r>
            <w:r w:rsidRPr="00973525">
              <w:rPr>
                <w:sz w:val="18"/>
                <w:szCs w:val="18"/>
                <w:lang w:val="en-GB"/>
              </w:rPr>
              <w:noBreakHyphen/>
              <w:t>senior tranche has been perceived by various stakeholders as particularly conservative and prescriptive.</w:t>
            </w:r>
          </w:p>
          <w:p w14:paraId="65BAB09D" w14:textId="77777777" w:rsidR="00C21071" w:rsidRPr="00973525" w:rsidRDefault="00C21071" w:rsidP="00265131">
            <w:pPr>
              <w:ind w:firstLine="29"/>
              <w:jc w:val="both"/>
              <w:rPr>
                <w:sz w:val="18"/>
                <w:szCs w:val="18"/>
                <w:lang w:val="en-GB"/>
              </w:rPr>
            </w:pPr>
            <w:r w:rsidRPr="00973525">
              <w:rPr>
                <w:sz w:val="18"/>
                <w:szCs w:val="18"/>
                <w:lang w:val="en-GB"/>
              </w:rPr>
              <w:t xml:space="preserve">* For instance, only originators involved in the origination of the underlying exposures as referred to in point (3)(a) of Article 2 of the Securitisation Regulation. This </w:t>
            </w:r>
            <w:r w:rsidRPr="00973525">
              <w:rPr>
                <w:b/>
                <w:bCs/>
                <w:sz w:val="18"/>
                <w:szCs w:val="18"/>
                <w:lang w:val="en-GB"/>
              </w:rPr>
              <w:t>would exclude</w:t>
            </w:r>
            <w:r w:rsidRPr="00973525">
              <w:rPr>
                <w:sz w:val="18"/>
                <w:szCs w:val="18"/>
                <w:lang w:val="en-GB"/>
              </w:rPr>
              <w:t xml:space="preserve"> any </w:t>
            </w:r>
            <w:r w:rsidRPr="00973525">
              <w:rPr>
                <w:b/>
                <w:bCs/>
                <w:sz w:val="18"/>
                <w:szCs w:val="18"/>
                <w:lang w:val="en-GB"/>
              </w:rPr>
              <w:t>originator that “purchases a third party’s exposures on its own account and then securitises them</w:t>
            </w:r>
            <w:r w:rsidRPr="00973525">
              <w:rPr>
                <w:sz w:val="18"/>
                <w:szCs w:val="18"/>
                <w:lang w:val="en-GB"/>
              </w:rPr>
              <w:t xml:space="preserve">”, according to point (b) of the same Article, to avoid that credit institutions would expand beyond core businesses just for the purpose of securitising the respective exposures </w:t>
            </w:r>
            <w:proofErr w:type="gramStart"/>
            <w:r w:rsidRPr="00973525">
              <w:rPr>
                <w:sz w:val="18"/>
                <w:szCs w:val="18"/>
                <w:lang w:val="en-GB"/>
              </w:rPr>
              <w:t>in order to</w:t>
            </w:r>
            <w:proofErr w:type="gramEnd"/>
            <w:r w:rsidRPr="00973525">
              <w:rPr>
                <w:sz w:val="18"/>
                <w:szCs w:val="18"/>
                <w:lang w:val="en-GB"/>
              </w:rPr>
              <w:t xml:space="preserve"> benefit from the reduction in the risk weight floor.</w:t>
            </w:r>
          </w:p>
          <w:p w14:paraId="57BF1FA3" w14:textId="77777777" w:rsidR="00C21071" w:rsidRPr="00973525" w:rsidRDefault="00C21071" w:rsidP="000A4C25">
            <w:pPr>
              <w:ind w:firstLine="29"/>
              <w:rPr>
                <w:sz w:val="18"/>
                <w:szCs w:val="18"/>
                <w:lang w:val="en-GB"/>
              </w:rPr>
            </w:pPr>
          </w:p>
        </w:tc>
      </w:tr>
      <w:tr w:rsidR="00C21071" w:rsidRPr="00973525" w14:paraId="16274C75" w14:textId="77777777" w:rsidTr="30964D0C">
        <w:trPr>
          <w:gridAfter w:val="1"/>
          <w:wAfter w:w="16" w:type="dxa"/>
        </w:trPr>
        <w:tc>
          <w:tcPr>
            <w:tcW w:w="2893" w:type="dxa"/>
            <w:shd w:val="clear" w:color="auto" w:fill="DAE9F7" w:themeFill="text2" w:themeFillTint="1A"/>
          </w:tcPr>
          <w:p w14:paraId="4498A0C2" w14:textId="77777777" w:rsidR="00C21071" w:rsidRPr="00973525" w:rsidRDefault="00C21071" w:rsidP="00C21071">
            <w:pPr>
              <w:rPr>
                <w:b/>
                <w:bCs/>
                <w:i/>
                <w:iCs/>
                <w:sz w:val="18"/>
                <w:szCs w:val="18"/>
                <w:lang w:val="en-GB"/>
              </w:rPr>
            </w:pPr>
            <w:r w:rsidRPr="00973525">
              <w:rPr>
                <w:b/>
                <w:bCs/>
                <w:i/>
                <w:iCs/>
                <w:sz w:val="18"/>
                <w:szCs w:val="18"/>
                <w:lang w:val="en-GB"/>
              </w:rPr>
              <w:lastRenderedPageBreak/>
              <w:t>Questions</w:t>
            </w:r>
          </w:p>
        </w:tc>
        <w:tc>
          <w:tcPr>
            <w:tcW w:w="7740" w:type="dxa"/>
            <w:shd w:val="clear" w:color="auto" w:fill="DAE9F7" w:themeFill="text2" w:themeFillTint="1A"/>
          </w:tcPr>
          <w:p w14:paraId="2E5C0BA5" w14:textId="22650A15" w:rsidR="00C21071" w:rsidRPr="00973525" w:rsidRDefault="41884C39" w:rsidP="30964D0C">
            <w:pPr>
              <w:rPr>
                <w:b/>
                <w:bCs/>
                <w:i/>
                <w:iCs/>
                <w:sz w:val="18"/>
                <w:szCs w:val="18"/>
                <w:lang w:val="en-GB"/>
              </w:rPr>
            </w:pPr>
            <w:r w:rsidRPr="30964D0C">
              <w:rPr>
                <w:b/>
                <w:bCs/>
                <w:i/>
                <w:iCs/>
                <w:sz w:val="18"/>
                <w:szCs w:val="18"/>
                <w:lang w:val="en-GB"/>
              </w:rPr>
              <w:t xml:space="preserve">FBF </w:t>
            </w:r>
            <w:proofErr w:type="spellStart"/>
            <w:r w:rsidRPr="30964D0C">
              <w:rPr>
                <w:b/>
                <w:bCs/>
                <w:i/>
                <w:iCs/>
                <w:sz w:val="18"/>
                <w:szCs w:val="18"/>
                <w:lang w:val="en-GB"/>
              </w:rPr>
              <w:t>Anwers</w:t>
            </w:r>
            <w:proofErr w:type="spellEnd"/>
          </w:p>
        </w:tc>
        <w:tc>
          <w:tcPr>
            <w:tcW w:w="236" w:type="dxa"/>
            <w:shd w:val="clear" w:color="auto" w:fill="DAE9F7" w:themeFill="text2" w:themeFillTint="1A"/>
          </w:tcPr>
          <w:p w14:paraId="1C377244" w14:textId="20F6B632" w:rsidR="00C21071" w:rsidRPr="00973525" w:rsidRDefault="00C21071" w:rsidP="0079353D">
            <w:pPr>
              <w:pStyle w:val="Paragraphedeliste"/>
              <w:ind w:left="0" w:firstLine="1917"/>
              <w:rPr>
                <w:b/>
                <w:bCs/>
                <w:i/>
                <w:iCs/>
                <w:sz w:val="18"/>
                <w:szCs w:val="18"/>
                <w:lang w:val="en-GB"/>
              </w:rPr>
            </w:pPr>
          </w:p>
        </w:tc>
      </w:tr>
      <w:tr w:rsidR="00C21071" w:rsidRPr="0000602A" w14:paraId="566E9436" w14:textId="77777777" w:rsidTr="30964D0C">
        <w:trPr>
          <w:gridAfter w:val="1"/>
          <w:wAfter w:w="16" w:type="dxa"/>
        </w:trPr>
        <w:tc>
          <w:tcPr>
            <w:tcW w:w="2893" w:type="dxa"/>
          </w:tcPr>
          <w:p w14:paraId="46157906" w14:textId="77777777" w:rsidR="00C21071" w:rsidRPr="00973525" w:rsidRDefault="00C21071" w:rsidP="00C21071">
            <w:pPr>
              <w:rPr>
                <w:sz w:val="18"/>
                <w:szCs w:val="18"/>
                <w:lang w:val="en-GB"/>
              </w:rPr>
            </w:pPr>
            <w:r w:rsidRPr="00973525">
              <w:rPr>
                <w:sz w:val="18"/>
                <w:szCs w:val="18"/>
                <w:lang w:val="en-GB"/>
              </w:rPr>
              <w:t xml:space="preserve">Question 9.11. Do you agree that </w:t>
            </w:r>
            <w:r w:rsidRPr="00973525">
              <w:rPr>
                <w:b/>
                <w:bCs/>
                <w:sz w:val="18"/>
                <w:szCs w:val="18"/>
                <w:lang w:val="en-GB"/>
              </w:rPr>
              <w:t>securitisation entails a higher structural model risk</w:t>
            </w:r>
            <w:r w:rsidRPr="00973525">
              <w:rPr>
                <w:sz w:val="18"/>
                <w:szCs w:val="18"/>
                <w:lang w:val="en-GB"/>
              </w:rPr>
              <w:t xml:space="preserve"> compared to other financial assets (loans, leases, mortgages) due to, for example, the </w:t>
            </w:r>
            <w:r w:rsidRPr="00973525">
              <w:rPr>
                <w:b/>
                <w:bCs/>
                <w:sz w:val="18"/>
                <w:szCs w:val="18"/>
                <w:lang w:val="en-GB"/>
              </w:rPr>
              <w:t>inherent tranching</w:t>
            </w:r>
            <w:r w:rsidRPr="00973525">
              <w:rPr>
                <w:sz w:val="18"/>
                <w:szCs w:val="18"/>
                <w:lang w:val="en-GB"/>
              </w:rPr>
              <w:t>?</w:t>
            </w:r>
          </w:p>
          <w:p w14:paraId="78603605" w14:textId="77777777" w:rsidR="00C21071" w:rsidRPr="00973525" w:rsidRDefault="00C21071" w:rsidP="00C21071">
            <w:pPr>
              <w:rPr>
                <w:sz w:val="18"/>
                <w:szCs w:val="18"/>
                <w:lang w:val="en-GB"/>
              </w:rPr>
            </w:pPr>
          </w:p>
        </w:tc>
        <w:tc>
          <w:tcPr>
            <w:tcW w:w="7740" w:type="dxa"/>
          </w:tcPr>
          <w:p w14:paraId="58D0AE46" w14:textId="77777777" w:rsidR="00C21071" w:rsidRPr="00973525" w:rsidRDefault="00C21071" w:rsidP="00C21071">
            <w:pPr>
              <w:rPr>
                <w:sz w:val="18"/>
                <w:szCs w:val="18"/>
                <w:lang w:val="en-GB"/>
              </w:rPr>
            </w:pPr>
            <w:r w:rsidRPr="00973525">
              <w:rPr>
                <w:sz w:val="18"/>
                <w:szCs w:val="18"/>
                <w:lang w:val="en-GB"/>
              </w:rPr>
              <w:t>Answer</w:t>
            </w:r>
          </w:p>
          <w:p w14:paraId="58BAA0D3" w14:textId="77777777" w:rsidR="00C21071" w:rsidRPr="00973525" w:rsidRDefault="00000000" w:rsidP="00C21071">
            <w:pPr>
              <w:rPr>
                <w:sz w:val="18"/>
                <w:szCs w:val="18"/>
                <w:lang w:val="en-GB"/>
              </w:rPr>
            </w:pPr>
            <w:sdt>
              <w:sdtPr>
                <w:rPr>
                  <w:sz w:val="18"/>
                  <w:szCs w:val="18"/>
                  <w:lang w:val="en-GB"/>
                </w:rPr>
                <w:id w:val="-329915285"/>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0AB89FFD" w14:textId="77777777" w:rsidR="00C21071" w:rsidRPr="00973525" w:rsidRDefault="00000000" w:rsidP="00C21071">
            <w:pPr>
              <w:rPr>
                <w:b/>
                <w:bCs/>
                <w:sz w:val="18"/>
                <w:szCs w:val="18"/>
                <w:lang w:val="en-GB"/>
              </w:rPr>
            </w:pPr>
            <w:sdt>
              <w:sdtPr>
                <w:rPr>
                  <w:b/>
                  <w:bCs/>
                  <w:sz w:val="18"/>
                  <w:szCs w:val="18"/>
                  <w:lang w:val="en-GB"/>
                </w:rPr>
                <w:id w:val="1004095365"/>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No</w:t>
            </w:r>
          </w:p>
          <w:p w14:paraId="67DE5E83" w14:textId="77777777" w:rsidR="00C21071" w:rsidRPr="00973525" w:rsidRDefault="00000000" w:rsidP="00C21071">
            <w:pPr>
              <w:rPr>
                <w:sz w:val="18"/>
                <w:szCs w:val="18"/>
                <w:lang w:val="en-GB"/>
              </w:rPr>
            </w:pPr>
            <w:sdt>
              <w:sdtPr>
                <w:rPr>
                  <w:sz w:val="18"/>
                  <w:szCs w:val="18"/>
                  <w:lang w:val="en-GB"/>
                </w:rPr>
                <w:id w:val="416985884"/>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1E055973" w14:textId="77777777" w:rsidR="00C21071" w:rsidRPr="00973525" w:rsidRDefault="00C21071" w:rsidP="00C21071">
            <w:pPr>
              <w:rPr>
                <w:sz w:val="18"/>
                <w:szCs w:val="18"/>
                <w:lang w:val="en-GB"/>
              </w:rPr>
            </w:pPr>
          </w:p>
        </w:tc>
        <w:tc>
          <w:tcPr>
            <w:tcW w:w="236" w:type="dxa"/>
          </w:tcPr>
          <w:p w14:paraId="4E455F87" w14:textId="77EB8072" w:rsidR="00C21071" w:rsidRPr="00973525" w:rsidRDefault="00C21071" w:rsidP="0079353D">
            <w:pPr>
              <w:ind w:firstLine="1917"/>
              <w:rPr>
                <w:sz w:val="18"/>
                <w:szCs w:val="18"/>
                <w:lang w:val="en-GB"/>
              </w:rPr>
            </w:pPr>
          </w:p>
        </w:tc>
      </w:tr>
      <w:tr w:rsidR="00C21071" w:rsidRPr="0000602A" w14:paraId="35B0578D" w14:textId="77777777" w:rsidTr="30964D0C">
        <w:trPr>
          <w:gridAfter w:val="1"/>
          <w:wAfter w:w="16" w:type="dxa"/>
        </w:trPr>
        <w:tc>
          <w:tcPr>
            <w:tcW w:w="2893" w:type="dxa"/>
          </w:tcPr>
          <w:p w14:paraId="033665D4" w14:textId="77777777" w:rsidR="00C21071" w:rsidRPr="00973525" w:rsidRDefault="00C21071" w:rsidP="00C21071">
            <w:pPr>
              <w:rPr>
                <w:sz w:val="18"/>
                <w:szCs w:val="18"/>
                <w:lang w:val="en-US"/>
              </w:rPr>
            </w:pPr>
            <w:r w:rsidRPr="00973525">
              <w:rPr>
                <w:sz w:val="18"/>
                <w:szCs w:val="18"/>
                <w:lang w:val="en-US"/>
              </w:rPr>
              <w:t>Please explain your answer to question 9.11:</w:t>
            </w:r>
          </w:p>
          <w:p w14:paraId="3351D751" w14:textId="77777777" w:rsidR="00C21071" w:rsidRPr="00973525" w:rsidRDefault="00C21071" w:rsidP="00C21071">
            <w:pPr>
              <w:rPr>
                <w:sz w:val="18"/>
                <w:szCs w:val="18"/>
                <w:lang w:val="en-US"/>
              </w:rPr>
            </w:pPr>
          </w:p>
        </w:tc>
        <w:tc>
          <w:tcPr>
            <w:tcW w:w="7740" w:type="dxa"/>
          </w:tcPr>
          <w:p w14:paraId="4DC25431" w14:textId="44BBCF1B" w:rsidR="00C21071" w:rsidRPr="00973525" w:rsidRDefault="00C21071" w:rsidP="00C21071">
            <w:pPr>
              <w:pStyle w:val="Corpsdetexte"/>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We do not agree that securitisation entails a higher structural model risk compared to other financial assets (loans, leases, mortgages) due to the inherent tranching:</w:t>
            </w:r>
          </w:p>
          <w:p w14:paraId="65BE1F9B" w14:textId="66B52C1C" w:rsidR="00C21071" w:rsidRPr="00973525" w:rsidRDefault="00C21071" w:rsidP="00C21071">
            <w:pPr>
              <w:pStyle w:val="Paragraphedeliste"/>
              <w:numPr>
                <w:ilvl w:val="0"/>
                <w:numId w:val="5"/>
              </w:numPr>
              <w:rPr>
                <w:sz w:val="18"/>
                <w:szCs w:val="18"/>
                <w:lang w:val="en-US"/>
              </w:rPr>
            </w:pPr>
            <w:r w:rsidRPr="00973525">
              <w:rPr>
                <w:sz w:val="18"/>
                <w:szCs w:val="18"/>
                <w:lang w:val="en-US"/>
              </w:rPr>
              <w:t xml:space="preserve">The tranching redistributes the risks differently, with a dedicated priority of payments, but there is no additional source of risk. </w:t>
            </w:r>
            <w:r w:rsidRPr="00973525">
              <w:rPr>
                <w:sz w:val="18"/>
                <w:szCs w:val="18"/>
                <w:lang w:val="en-US"/>
              </w:rPr>
              <w:br/>
              <w:t>Asymmetry of information may create additional risks, i.e. model risk or agency risk. But this asymmetry has been significantly reduced thanks to the regulatory reporting and due diligence requirements. And it does not exist for originators retaining their own tranches.</w:t>
            </w:r>
          </w:p>
        </w:tc>
        <w:tc>
          <w:tcPr>
            <w:tcW w:w="236" w:type="dxa"/>
          </w:tcPr>
          <w:p w14:paraId="49CF6DB3" w14:textId="77777777" w:rsidR="00C21071" w:rsidRPr="00973525" w:rsidRDefault="00C21071" w:rsidP="0079353D">
            <w:pPr>
              <w:ind w:firstLine="1917"/>
              <w:rPr>
                <w:sz w:val="18"/>
                <w:szCs w:val="18"/>
                <w:lang w:val="en-GB"/>
              </w:rPr>
            </w:pPr>
          </w:p>
        </w:tc>
      </w:tr>
      <w:tr w:rsidR="00C21071" w:rsidRPr="0000602A" w14:paraId="75000706" w14:textId="77777777" w:rsidTr="30964D0C">
        <w:trPr>
          <w:gridAfter w:val="1"/>
          <w:wAfter w:w="16" w:type="dxa"/>
        </w:trPr>
        <w:tc>
          <w:tcPr>
            <w:tcW w:w="2893" w:type="dxa"/>
          </w:tcPr>
          <w:p w14:paraId="3D08B075" w14:textId="77777777" w:rsidR="00C21071" w:rsidRPr="00973525" w:rsidRDefault="00C21071" w:rsidP="00C21071">
            <w:pPr>
              <w:rPr>
                <w:sz w:val="18"/>
                <w:szCs w:val="18"/>
                <w:lang w:val="en-GB"/>
              </w:rPr>
            </w:pPr>
            <w:r w:rsidRPr="00973525">
              <w:rPr>
                <w:sz w:val="18"/>
                <w:szCs w:val="18"/>
                <w:lang w:val="en-GB"/>
              </w:rPr>
              <w:t xml:space="preserve">Question 9.12. Do you consider that scope and the size of the </w:t>
            </w:r>
            <w:r w:rsidRPr="00973525">
              <w:rPr>
                <w:b/>
                <w:bCs/>
                <w:sz w:val="18"/>
                <w:szCs w:val="18"/>
                <w:lang w:val="en-GB"/>
              </w:rPr>
              <w:t>reduction of the risk weight floors</w:t>
            </w:r>
            <w:r w:rsidRPr="00973525">
              <w:rPr>
                <w:sz w:val="18"/>
                <w:szCs w:val="18"/>
                <w:lang w:val="en-GB"/>
              </w:rPr>
              <w:t xml:space="preserve">, as </w:t>
            </w:r>
            <w:r w:rsidRPr="00973525">
              <w:rPr>
                <w:b/>
                <w:bCs/>
                <w:sz w:val="18"/>
                <w:szCs w:val="18"/>
                <w:lang w:val="en-GB"/>
              </w:rPr>
              <w:t>proposed</w:t>
            </w:r>
            <w:r w:rsidRPr="00973525">
              <w:rPr>
                <w:sz w:val="18"/>
                <w:szCs w:val="18"/>
                <w:lang w:val="en-GB"/>
              </w:rPr>
              <w:t xml:space="preserve"> by the ESAs, is proportionate and </w:t>
            </w:r>
            <w:r w:rsidRPr="00973525">
              <w:rPr>
                <w:b/>
                <w:bCs/>
                <w:sz w:val="18"/>
                <w:szCs w:val="18"/>
                <w:lang w:val="en-GB"/>
              </w:rPr>
              <w:t>adequate</w:t>
            </w:r>
            <w:r w:rsidRPr="00973525">
              <w:rPr>
                <w:sz w:val="18"/>
                <w:szCs w:val="18"/>
                <w:lang w:val="en-GB"/>
              </w:rPr>
              <w:t xml:space="preserve"> to reflect the limited model and agency risks of originators and improve the risk sensitivity in the securitisation framework, </w:t>
            </w:r>
            <w:proofErr w:type="gramStart"/>
            <w:r w:rsidRPr="00973525">
              <w:rPr>
                <w:sz w:val="18"/>
                <w:szCs w:val="18"/>
                <w:lang w:val="en-GB"/>
              </w:rPr>
              <w:t>taking into account</w:t>
            </w:r>
            <w:proofErr w:type="gramEnd"/>
            <w:r w:rsidRPr="00973525">
              <w:rPr>
                <w:sz w:val="18"/>
                <w:szCs w:val="18"/>
                <w:lang w:val="en-GB"/>
              </w:rPr>
              <w:t xml:space="preserve"> the capital requirements for other financial instruments?</w:t>
            </w:r>
          </w:p>
          <w:p w14:paraId="375C2493" w14:textId="77777777" w:rsidR="00C21071" w:rsidRPr="00973525" w:rsidRDefault="00C21071" w:rsidP="00C21071">
            <w:pPr>
              <w:rPr>
                <w:sz w:val="18"/>
                <w:szCs w:val="18"/>
                <w:lang w:val="en-GB"/>
              </w:rPr>
            </w:pPr>
          </w:p>
        </w:tc>
        <w:tc>
          <w:tcPr>
            <w:tcW w:w="7740" w:type="dxa"/>
          </w:tcPr>
          <w:p w14:paraId="652D3B4D" w14:textId="77777777" w:rsidR="00C21071" w:rsidRPr="00973525" w:rsidRDefault="00C21071" w:rsidP="00C21071">
            <w:pPr>
              <w:rPr>
                <w:sz w:val="18"/>
                <w:szCs w:val="18"/>
                <w:lang w:val="en-GB"/>
              </w:rPr>
            </w:pPr>
            <w:r w:rsidRPr="00973525">
              <w:rPr>
                <w:sz w:val="18"/>
                <w:szCs w:val="18"/>
                <w:lang w:val="en-GB"/>
              </w:rPr>
              <w:t>Answer</w:t>
            </w:r>
          </w:p>
          <w:p w14:paraId="1348F1C3" w14:textId="77777777" w:rsidR="00C21071" w:rsidRPr="00973525" w:rsidRDefault="00000000" w:rsidP="00C21071">
            <w:pPr>
              <w:rPr>
                <w:sz w:val="18"/>
                <w:szCs w:val="18"/>
                <w:lang w:val="en-GB"/>
              </w:rPr>
            </w:pPr>
            <w:sdt>
              <w:sdtPr>
                <w:rPr>
                  <w:sz w:val="18"/>
                  <w:szCs w:val="18"/>
                  <w:lang w:val="en-GB"/>
                </w:rPr>
                <w:id w:val="647476275"/>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706F71D2" w14:textId="77777777" w:rsidR="00C21071" w:rsidRPr="00973525" w:rsidRDefault="00000000" w:rsidP="00C21071">
            <w:pPr>
              <w:rPr>
                <w:b/>
                <w:bCs/>
                <w:sz w:val="18"/>
                <w:szCs w:val="18"/>
                <w:lang w:val="en-GB"/>
              </w:rPr>
            </w:pPr>
            <w:sdt>
              <w:sdtPr>
                <w:rPr>
                  <w:b/>
                  <w:bCs/>
                  <w:sz w:val="18"/>
                  <w:szCs w:val="18"/>
                  <w:lang w:val="en-GB"/>
                </w:rPr>
                <w:id w:val="2034605843"/>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No</w:t>
            </w:r>
          </w:p>
          <w:p w14:paraId="7E6E7707" w14:textId="77777777" w:rsidR="00C21071" w:rsidRPr="00973525" w:rsidRDefault="00000000" w:rsidP="00C21071">
            <w:pPr>
              <w:rPr>
                <w:sz w:val="18"/>
                <w:szCs w:val="18"/>
                <w:lang w:val="en-US"/>
              </w:rPr>
            </w:pPr>
            <w:sdt>
              <w:sdtPr>
                <w:rPr>
                  <w:sz w:val="18"/>
                  <w:szCs w:val="18"/>
                  <w:lang w:val="en-GB"/>
                </w:rPr>
                <w:id w:val="215174180"/>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6ED93D8D" w14:textId="77777777" w:rsidR="00C21071" w:rsidRPr="00973525" w:rsidRDefault="00C21071" w:rsidP="00C21071">
            <w:pPr>
              <w:rPr>
                <w:sz w:val="18"/>
                <w:szCs w:val="18"/>
                <w:lang w:val="en-US"/>
              </w:rPr>
            </w:pPr>
          </w:p>
          <w:p w14:paraId="6DAD12DB" w14:textId="77777777" w:rsidR="00C21071" w:rsidRPr="00973525" w:rsidRDefault="00C21071" w:rsidP="00C21071">
            <w:pPr>
              <w:rPr>
                <w:sz w:val="18"/>
                <w:szCs w:val="18"/>
                <w:lang w:val="en-US"/>
              </w:rPr>
            </w:pPr>
          </w:p>
          <w:p w14:paraId="64F3DEFC" w14:textId="77777777" w:rsidR="00C21071" w:rsidRPr="00973525" w:rsidRDefault="00C21071" w:rsidP="00C21071">
            <w:pPr>
              <w:rPr>
                <w:sz w:val="18"/>
                <w:szCs w:val="18"/>
                <w:lang w:val="en-US"/>
              </w:rPr>
            </w:pPr>
          </w:p>
        </w:tc>
        <w:tc>
          <w:tcPr>
            <w:tcW w:w="236" w:type="dxa"/>
          </w:tcPr>
          <w:p w14:paraId="7ABE639A" w14:textId="6359BBEF" w:rsidR="00C21071" w:rsidRPr="00973525" w:rsidRDefault="00C21071" w:rsidP="0079353D">
            <w:pPr>
              <w:ind w:firstLine="1917"/>
              <w:rPr>
                <w:sz w:val="18"/>
                <w:szCs w:val="18"/>
                <w:lang w:val="en-GB"/>
              </w:rPr>
            </w:pPr>
          </w:p>
        </w:tc>
      </w:tr>
      <w:tr w:rsidR="00C21071" w:rsidRPr="0000602A" w14:paraId="4EA4F53B" w14:textId="77777777" w:rsidTr="30964D0C">
        <w:trPr>
          <w:gridAfter w:val="1"/>
          <w:wAfter w:w="16" w:type="dxa"/>
        </w:trPr>
        <w:tc>
          <w:tcPr>
            <w:tcW w:w="2893" w:type="dxa"/>
          </w:tcPr>
          <w:p w14:paraId="2554F215" w14:textId="77777777" w:rsidR="00C21071" w:rsidRPr="00973525" w:rsidRDefault="00C21071" w:rsidP="00C21071">
            <w:pPr>
              <w:rPr>
                <w:sz w:val="18"/>
                <w:szCs w:val="18"/>
                <w:lang w:val="en-GB"/>
              </w:rPr>
            </w:pPr>
            <w:r w:rsidRPr="00973525">
              <w:rPr>
                <w:sz w:val="18"/>
                <w:szCs w:val="18"/>
                <w:lang w:val="en-GB"/>
              </w:rPr>
              <w:t xml:space="preserve">Question 9.13. If you answered no to question 9.12., should the </w:t>
            </w:r>
            <w:r w:rsidRPr="00973525">
              <w:rPr>
                <w:b/>
                <w:bCs/>
                <w:sz w:val="18"/>
                <w:szCs w:val="18"/>
                <w:lang w:val="en-GB"/>
              </w:rPr>
              <w:t>scope and size of the reduction of the risk weight floors be amended</w:t>
            </w:r>
            <w:r w:rsidRPr="00973525">
              <w:rPr>
                <w:sz w:val="18"/>
                <w:szCs w:val="18"/>
                <w:lang w:val="en-GB"/>
              </w:rPr>
              <w:t>?</w:t>
            </w:r>
            <w:r w:rsidRPr="00973525">
              <w:rPr>
                <w:sz w:val="18"/>
                <w:szCs w:val="18"/>
                <w:lang w:val="en-GB"/>
              </w:rPr>
              <w:br/>
            </w:r>
            <w:r w:rsidRPr="00973525">
              <w:rPr>
                <w:sz w:val="18"/>
                <w:szCs w:val="18"/>
                <w:lang w:val="en-GB"/>
              </w:rPr>
              <w:br/>
              <w:t xml:space="preserve">For example, should it be </w:t>
            </w:r>
            <w:r w:rsidRPr="00973525">
              <w:rPr>
                <w:b/>
                <w:bCs/>
                <w:sz w:val="18"/>
                <w:szCs w:val="18"/>
                <w:lang w:val="en-GB"/>
              </w:rPr>
              <w:t>extended to investors</w:t>
            </w:r>
            <w:r w:rsidRPr="00973525">
              <w:rPr>
                <w:sz w:val="18"/>
                <w:szCs w:val="18"/>
                <w:lang w:val="en-GB"/>
              </w:rPr>
              <w:t xml:space="preserve"> in a targeted manner (such as, for example, to investors in STS securitisations and under SEC</w:t>
            </w:r>
            <w:r w:rsidRPr="00973525">
              <w:rPr>
                <w:sz w:val="18"/>
                <w:szCs w:val="18"/>
                <w:lang w:val="en-GB"/>
              </w:rPr>
              <w:noBreakHyphen/>
              <w:t>IRBA approaches only, to prevent discrepancies with the prudential treatment of covered bonds under the SA approach)?</w:t>
            </w:r>
            <w:r w:rsidRPr="00973525">
              <w:rPr>
                <w:sz w:val="18"/>
                <w:szCs w:val="18"/>
                <w:lang w:val="en-GB"/>
              </w:rPr>
              <w:br/>
            </w:r>
            <w:r w:rsidRPr="00973525">
              <w:rPr>
                <w:sz w:val="18"/>
                <w:szCs w:val="18"/>
                <w:lang w:val="en-GB"/>
              </w:rPr>
              <w:br/>
              <w:t xml:space="preserve">Or, on the contrary, should the scope be reduced to only include </w:t>
            </w:r>
            <w:r w:rsidRPr="00973525">
              <w:rPr>
                <w:b/>
                <w:bCs/>
                <w:sz w:val="18"/>
                <w:szCs w:val="18"/>
                <w:lang w:val="en-GB"/>
              </w:rPr>
              <w:t>originators who are servicing</w:t>
            </w:r>
            <w:r w:rsidRPr="00973525">
              <w:rPr>
                <w:sz w:val="18"/>
                <w:szCs w:val="18"/>
                <w:lang w:val="en-GB"/>
              </w:rPr>
              <w:t xml:space="preserve"> the underlying exposures?</w:t>
            </w:r>
            <w:r w:rsidRPr="00973525">
              <w:rPr>
                <w:sz w:val="18"/>
                <w:szCs w:val="18"/>
                <w:lang w:val="en-GB"/>
              </w:rPr>
              <w:br/>
            </w:r>
            <w:r w:rsidRPr="00973525">
              <w:rPr>
                <w:sz w:val="18"/>
                <w:szCs w:val="18"/>
                <w:lang w:val="en-GB"/>
              </w:rPr>
              <w:br/>
              <w:t>Please justify your reasoning:</w:t>
            </w:r>
          </w:p>
          <w:p w14:paraId="7A9E39D7" w14:textId="77777777" w:rsidR="00C21071" w:rsidRPr="00973525" w:rsidRDefault="00C21071" w:rsidP="00C21071">
            <w:pPr>
              <w:rPr>
                <w:sz w:val="18"/>
                <w:szCs w:val="18"/>
                <w:lang w:val="en-GB"/>
              </w:rPr>
            </w:pPr>
          </w:p>
        </w:tc>
        <w:tc>
          <w:tcPr>
            <w:tcW w:w="7740" w:type="dxa"/>
          </w:tcPr>
          <w:p w14:paraId="71E6188A" w14:textId="77777777" w:rsidR="00C21071" w:rsidRPr="00973525" w:rsidRDefault="00C21071" w:rsidP="00C21071">
            <w:pPr>
              <w:pStyle w:val="Default"/>
              <w:rPr>
                <w:rFonts w:asciiTheme="minorHAnsi" w:hAnsiTheme="minorHAnsi"/>
                <w:sz w:val="18"/>
                <w:szCs w:val="18"/>
                <w:lang w:val="en-US"/>
              </w:rPr>
            </w:pPr>
            <w:r w:rsidRPr="00973525">
              <w:rPr>
                <w:rFonts w:asciiTheme="minorHAnsi" w:hAnsiTheme="minorHAnsi"/>
                <w:sz w:val="18"/>
                <w:szCs w:val="18"/>
                <w:lang w:val="en-US"/>
              </w:rPr>
              <w:t xml:space="preserve">For the purposes of homogeneity and ensuring a level playing field, the </w:t>
            </w:r>
            <w:r w:rsidRPr="00973525">
              <w:rPr>
                <w:rFonts w:asciiTheme="minorHAnsi" w:hAnsiTheme="minorHAnsi"/>
                <w:b/>
                <w:bCs/>
                <w:sz w:val="18"/>
                <w:szCs w:val="18"/>
                <w:u w:val="single"/>
                <w:lang w:val="en-US"/>
              </w:rPr>
              <w:t>risk weight floors</w:t>
            </w:r>
            <w:r w:rsidRPr="00973525">
              <w:rPr>
                <w:rFonts w:asciiTheme="minorHAnsi" w:hAnsiTheme="minorHAnsi"/>
                <w:sz w:val="18"/>
                <w:szCs w:val="18"/>
                <w:lang w:val="en-US"/>
              </w:rPr>
              <w:t xml:space="preserve"> should be adjusted for banks in all roles, and be aligned across all the prudential methods, which means that the floors should be the same for the SEC-SA, SEC-IRBA the SEC-ERBA and IAA, and only differentiated by STS and non-STS securitisations. </w:t>
            </w:r>
          </w:p>
          <w:p w14:paraId="4C363139" w14:textId="77777777" w:rsidR="00C21071" w:rsidRPr="00973525" w:rsidRDefault="00C21071" w:rsidP="00C21071">
            <w:pPr>
              <w:rPr>
                <w:sz w:val="18"/>
                <w:szCs w:val="18"/>
                <w:lang w:val="en-US"/>
              </w:rPr>
            </w:pPr>
          </w:p>
          <w:p w14:paraId="3829451E" w14:textId="6DDB2457" w:rsidR="00C21071" w:rsidRPr="00973525" w:rsidRDefault="00C21071" w:rsidP="00C21071">
            <w:pPr>
              <w:rPr>
                <w:sz w:val="18"/>
                <w:szCs w:val="18"/>
                <w:lang w:val="en-US"/>
              </w:rPr>
            </w:pPr>
            <w:r w:rsidRPr="00973525">
              <w:rPr>
                <w:sz w:val="18"/>
                <w:szCs w:val="18"/>
                <w:lang w:val="en-US"/>
              </w:rPr>
              <w:t xml:space="preserve">The reduction proposed by the ESA goes in the right direction, but it will not be efficient for the securitisation </w:t>
            </w:r>
            <w:r w:rsidRPr="00973525">
              <w:rPr>
                <w:sz w:val="18"/>
                <w:szCs w:val="18"/>
                <w:u w:val="single"/>
                <w:lang w:val="en-US"/>
              </w:rPr>
              <w:t>with low-risk weight</w:t>
            </w:r>
            <w:r w:rsidRPr="00973525">
              <w:rPr>
                <w:sz w:val="18"/>
                <w:szCs w:val="18"/>
                <w:lang w:val="en-US"/>
              </w:rPr>
              <w:t xml:space="preserve">. </w:t>
            </w:r>
            <w:r w:rsidR="009309CB">
              <w:rPr>
                <w:sz w:val="18"/>
                <w:szCs w:val="18"/>
                <w:lang w:val="en-US"/>
              </w:rPr>
              <w:t xml:space="preserve">And this method might </w:t>
            </w:r>
            <w:r w:rsidR="00CE4B1A">
              <w:rPr>
                <w:sz w:val="18"/>
                <w:szCs w:val="18"/>
                <w:lang w:val="en-US"/>
              </w:rPr>
              <w:t>understate</w:t>
            </w:r>
            <w:r w:rsidR="009309CB">
              <w:rPr>
                <w:sz w:val="18"/>
                <w:szCs w:val="18"/>
                <w:lang w:val="en-US"/>
              </w:rPr>
              <w:t xml:space="preserve"> </w:t>
            </w:r>
            <w:r w:rsidR="004469D8">
              <w:rPr>
                <w:sz w:val="18"/>
                <w:szCs w:val="18"/>
                <w:lang w:val="en-US"/>
              </w:rPr>
              <w:t xml:space="preserve">risks when dealing with </w:t>
            </w:r>
            <w:proofErr w:type="gramStart"/>
            <w:r w:rsidR="004469D8">
              <w:rPr>
                <w:sz w:val="18"/>
                <w:szCs w:val="18"/>
                <w:lang w:val="en-US"/>
              </w:rPr>
              <w:t>high</w:t>
            </w:r>
            <w:r w:rsidR="00CE4B1A">
              <w:rPr>
                <w:sz w:val="18"/>
                <w:szCs w:val="18"/>
                <w:lang w:val="en-US"/>
              </w:rPr>
              <w:t xml:space="preserve"> risk</w:t>
            </w:r>
            <w:proofErr w:type="gramEnd"/>
            <w:r w:rsidR="00CE4B1A">
              <w:rPr>
                <w:sz w:val="18"/>
                <w:szCs w:val="18"/>
                <w:lang w:val="en-US"/>
              </w:rPr>
              <w:t xml:space="preserve"> pools.</w:t>
            </w:r>
          </w:p>
          <w:p w14:paraId="4C447160" w14:textId="77777777" w:rsidR="00C21071" w:rsidRPr="00973525" w:rsidRDefault="00C21071" w:rsidP="00C21071">
            <w:pPr>
              <w:rPr>
                <w:sz w:val="18"/>
                <w:szCs w:val="18"/>
                <w:lang w:val="en-US"/>
              </w:rPr>
            </w:pPr>
          </w:p>
          <w:p w14:paraId="62CFBBAA" w14:textId="03E03B02" w:rsidR="00C21071" w:rsidRPr="00973525" w:rsidRDefault="00C21071" w:rsidP="00C21071">
            <w:pPr>
              <w:rPr>
                <w:sz w:val="18"/>
                <w:szCs w:val="18"/>
                <w:lang w:val="en-US"/>
              </w:rPr>
            </w:pPr>
            <w:r w:rsidRPr="00973525">
              <w:rPr>
                <w:sz w:val="18"/>
                <w:szCs w:val="18"/>
                <w:lang w:val="en-US"/>
              </w:rPr>
              <w:t>An alternative approach should be envisaged:</w:t>
            </w:r>
          </w:p>
          <w:p w14:paraId="253DC603" w14:textId="403E898C" w:rsidR="00C21071" w:rsidRPr="00973525" w:rsidRDefault="00C21071" w:rsidP="00C21071">
            <w:pPr>
              <w:rPr>
                <w:b/>
                <w:bCs/>
                <w:sz w:val="18"/>
                <w:szCs w:val="18"/>
                <w:lang w:val="en-US"/>
              </w:rPr>
            </w:pPr>
            <w:r w:rsidRPr="00973525">
              <w:rPr>
                <w:b/>
                <w:bCs/>
                <w:sz w:val="18"/>
                <w:szCs w:val="18"/>
                <w:lang w:val="en-US"/>
              </w:rPr>
              <w:t>The Risk Weight floors should be redesigned as a percentage of the RW of the pool for all methods (SEC-SA, SEC-IRBA the SEC-ERBA and IAA), leading to</w:t>
            </w:r>
            <w:r w:rsidRPr="00973525">
              <w:rPr>
                <w:b/>
                <w:sz w:val="18"/>
                <w:szCs w:val="18"/>
                <w:lang w:val="en-US"/>
              </w:rPr>
              <w:t xml:space="preserve"> a </w:t>
            </w:r>
            <w:r w:rsidRPr="00973525">
              <w:rPr>
                <w:b/>
                <w:sz w:val="18"/>
                <w:szCs w:val="18"/>
                <w:u w:val="single"/>
                <w:lang w:val="en-US"/>
              </w:rPr>
              <w:t>Sensitive risk weight floor</w:t>
            </w:r>
            <w:r w:rsidRPr="00973525">
              <w:rPr>
                <w:b/>
                <w:sz w:val="18"/>
                <w:szCs w:val="18"/>
                <w:lang w:val="en-US"/>
              </w:rPr>
              <w:t xml:space="preserve"> based on the Risk Weight of the pool</w:t>
            </w:r>
            <w:r w:rsidRPr="00973525">
              <w:rPr>
                <w:sz w:val="18"/>
                <w:szCs w:val="18"/>
                <w:lang w:val="en-US"/>
              </w:rPr>
              <w:t xml:space="preserve">, </w:t>
            </w:r>
          </w:p>
          <w:p w14:paraId="2134261E" w14:textId="43B43472" w:rsidR="00C21071" w:rsidRPr="00064C28" w:rsidRDefault="00C21071" w:rsidP="00064C28">
            <w:pPr>
              <w:rPr>
                <w:sz w:val="18"/>
                <w:szCs w:val="18"/>
                <w:lang w:val="en-US"/>
              </w:rPr>
            </w:pPr>
            <w:r w:rsidRPr="00064C28">
              <w:rPr>
                <w:sz w:val="18"/>
                <w:szCs w:val="18"/>
                <w:lang w:val="en-US"/>
              </w:rPr>
              <w:t xml:space="preserve">This will be more risk sensitive (lower for low-RW pools, but also higher for high-RW pools). </w:t>
            </w:r>
          </w:p>
          <w:p w14:paraId="38109DA3" w14:textId="77777777" w:rsidR="00C21071" w:rsidRPr="00973525" w:rsidRDefault="00C21071" w:rsidP="00064C28">
            <w:pPr>
              <w:jc w:val="both"/>
              <w:rPr>
                <w:sz w:val="18"/>
                <w:szCs w:val="18"/>
                <w:lang w:val="en-US"/>
              </w:rPr>
            </w:pPr>
            <w:r w:rsidRPr="00973525">
              <w:rPr>
                <w:sz w:val="18"/>
                <w:szCs w:val="18"/>
                <w:lang w:val="en-US"/>
              </w:rPr>
              <w:t xml:space="preserve">We consider that the floor corresponds to a residual risk on the pool, and as such it should be proportional to the underlying risk, with a lower level for STS transaction. </w:t>
            </w:r>
          </w:p>
          <w:p w14:paraId="4F33A969" w14:textId="77777777" w:rsidR="00C21071" w:rsidRPr="00973525" w:rsidRDefault="00C21071" w:rsidP="00C21071">
            <w:pPr>
              <w:jc w:val="both"/>
              <w:rPr>
                <w:color w:val="0070C0"/>
                <w:sz w:val="18"/>
                <w:szCs w:val="18"/>
                <w:lang w:val="en-US"/>
              </w:rPr>
            </w:pPr>
          </w:p>
          <w:p w14:paraId="1B74CA9B" w14:textId="77777777" w:rsidR="00C21071" w:rsidRPr="00973525" w:rsidRDefault="00C21071" w:rsidP="00064C28">
            <w:pPr>
              <w:jc w:val="both"/>
              <w:rPr>
                <w:b/>
                <w:bCs/>
                <w:sz w:val="18"/>
                <w:szCs w:val="18"/>
                <w:lang w:val="en-US"/>
              </w:rPr>
            </w:pPr>
            <w:r w:rsidRPr="00973525">
              <w:rPr>
                <w:b/>
                <w:bCs/>
                <w:sz w:val="18"/>
                <w:szCs w:val="18"/>
                <w:lang w:val="en-US"/>
              </w:rPr>
              <w:t>The RW Floor should be proportional to the underlying portfolio/pool capital, with the formula:</w:t>
            </w:r>
          </w:p>
          <w:p w14:paraId="3AF773AA" w14:textId="11718AAF" w:rsidR="00C21071" w:rsidRPr="00973525" w:rsidRDefault="00C21071" w:rsidP="00C21071">
            <w:pPr>
              <w:pStyle w:val="Paragraphedeliste"/>
              <w:numPr>
                <w:ilvl w:val="1"/>
                <w:numId w:val="5"/>
              </w:numPr>
              <w:jc w:val="both"/>
              <w:rPr>
                <w:b/>
                <w:bCs/>
                <w:sz w:val="18"/>
                <w:szCs w:val="18"/>
                <w:lang w:val="en-US"/>
              </w:rPr>
            </w:pPr>
            <w:r w:rsidRPr="00973525">
              <w:rPr>
                <w:b/>
                <w:bCs/>
                <w:sz w:val="18"/>
                <w:szCs w:val="18"/>
                <w:lang w:val="en-US"/>
              </w:rPr>
              <w:t xml:space="preserve">RW Floor = 7% × </w:t>
            </w:r>
            <w:proofErr w:type="spellStart"/>
            <w:r w:rsidRPr="00973525">
              <w:rPr>
                <w:b/>
                <w:bCs/>
                <w:sz w:val="18"/>
                <w:szCs w:val="18"/>
                <w:lang w:val="en-US"/>
              </w:rPr>
              <w:t>RWpool</w:t>
            </w:r>
            <w:proofErr w:type="spellEnd"/>
            <w:r w:rsidRPr="00973525">
              <w:rPr>
                <w:b/>
                <w:bCs/>
                <w:sz w:val="18"/>
                <w:szCs w:val="18"/>
                <w:lang w:val="en-US"/>
              </w:rPr>
              <w:t xml:space="preserve"> for STS transaction</w:t>
            </w:r>
          </w:p>
          <w:p w14:paraId="47EB4F7B" w14:textId="7AB2FC3C" w:rsidR="00C21071" w:rsidRPr="00973525" w:rsidRDefault="00C21071" w:rsidP="00C21071">
            <w:pPr>
              <w:pStyle w:val="Paragraphedeliste"/>
              <w:numPr>
                <w:ilvl w:val="1"/>
                <w:numId w:val="5"/>
              </w:numPr>
              <w:jc w:val="both"/>
              <w:rPr>
                <w:b/>
                <w:bCs/>
                <w:sz w:val="18"/>
                <w:szCs w:val="18"/>
                <w:lang w:val="en-US"/>
              </w:rPr>
            </w:pPr>
            <w:r w:rsidRPr="00973525">
              <w:rPr>
                <w:b/>
                <w:bCs/>
                <w:sz w:val="18"/>
                <w:szCs w:val="18"/>
                <w:lang w:val="en-US"/>
              </w:rPr>
              <w:t xml:space="preserve">RW Floor = 12 % × </w:t>
            </w:r>
            <w:proofErr w:type="spellStart"/>
            <w:r w:rsidRPr="00973525">
              <w:rPr>
                <w:b/>
                <w:bCs/>
                <w:sz w:val="18"/>
                <w:szCs w:val="18"/>
                <w:lang w:val="en-US"/>
              </w:rPr>
              <w:t>RWpool</w:t>
            </w:r>
            <w:proofErr w:type="spellEnd"/>
            <w:r w:rsidRPr="00973525">
              <w:rPr>
                <w:b/>
                <w:bCs/>
                <w:sz w:val="18"/>
                <w:szCs w:val="18"/>
                <w:lang w:val="en-US"/>
              </w:rPr>
              <w:t xml:space="preserve"> for non-STS transaction</w:t>
            </w:r>
          </w:p>
          <w:p w14:paraId="4F9E40F2" w14:textId="1F52D779" w:rsidR="00C21071" w:rsidRDefault="00C21071" w:rsidP="00064C28">
            <w:pPr>
              <w:jc w:val="both"/>
              <w:rPr>
                <w:b/>
                <w:bCs/>
                <w:sz w:val="18"/>
                <w:szCs w:val="18"/>
                <w:lang w:val="en-US"/>
              </w:rPr>
            </w:pPr>
            <w:r w:rsidRPr="00973525">
              <w:rPr>
                <w:b/>
                <w:bCs/>
                <w:sz w:val="18"/>
                <w:szCs w:val="18"/>
                <w:lang w:val="en-US"/>
              </w:rPr>
              <w:t xml:space="preserve">with </w:t>
            </w:r>
            <w:proofErr w:type="spellStart"/>
            <w:r w:rsidRPr="00973525">
              <w:rPr>
                <w:b/>
                <w:bCs/>
                <w:sz w:val="18"/>
                <w:szCs w:val="18"/>
                <w:lang w:val="en-US"/>
              </w:rPr>
              <w:t>RWpool</w:t>
            </w:r>
            <w:proofErr w:type="spellEnd"/>
            <w:r w:rsidRPr="00973525">
              <w:rPr>
                <w:b/>
                <w:bCs/>
                <w:sz w:val="18"/>
                <w:szCs w:val="18"/>
                <w:lang w:val="en-US"/>
              </w:rPr>
              <w:t xml:space="preserve"> = Kpoolx12,5, amortizing during the life of the transaction.</w:t>
            </w:r>
          </w:p>
          <w:tbl>
            <w:tblPr>
              <w:tblW w:w="4510" w:type="dxa"/>
              <w:jc w:val="center"/>
              <w:tblLayout w:type="fixed"/>
              <w:tblCellMar>
                <w:left w:w="70" w:type="dxa"/>
                <w:right w:w="70" w:type="dxa"/>
              </w:tblCellMar>
              <w:tblLook w:val="04A0" w:firstRow="1" w:lastRow="0" w:firstColumn="1" w:lastColumn="0" w:noHBand="0" w:noVBand="1"/>
            </w:tblPr>
            <w:tblGrid>
              <w:gridCol w:w="1414"/>
              <w:gridCol w:w="651"/>
              <w:gridCol w:w="978"/>
              <w:gridCol w:w="1467"/>
            </w:tblGrid>
            <w:tr w:rsidR="001E78C2" w:rsidRPr="0000602A" w14:paraId="15953BF9" w14:textId="77777777" w:rsidTr="0079353D">
              <w:trPr>
                <w:trHeight w:val="223"/>
                <w:jc w:val="center"/>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8458D" w14:textId="77777777" w:rsidR="001E78C2" w:rsidRPr="001E78C2" w:rsidRDefault="001E78C2" w:rsidP="001E78C2">
                  <w:pPr>
                    <w:spacing w:after="0" w:line="240" w:lineRule="auto"/>
                    <w:rPr>
                      <w:rFonts w:ascii="Aptos Narrow" w:eastAsia="Times New Roman" w:hAnsi="Aptos Narrow" w:cs="Times New Roman"/>
                      <w:b/>
                      <w:bCs/>
                      <w:color w:val="000000"/>
                      <w:kern w:val="0"/>
                      <w:sz w:val="14"/>
                      <w:szCs w:val="14"/>
                      <w:lang w:val="en-GB" w:eastAsia="fr-FR"/>
                      <w14:ligatures w14:val="none"/>
                    </w:rPr>
                  </w:pPr>
                  <w:r w:rsidRPr="001E78C2">
                    <w:rPr>
                      <w:rFonts w:ascii="Aptos Narrow" w:eastAsia="Times New Roman" w:hAnsi="Aptos Narrow" w:cs="Times New Roman"/>
                      <w:b/>
                      <w:bCs/>
                      <w:color w:val="000000"/>
                      <w:kern w:val="0"/>
                      <w:sz w:val="14"/>
                      <w:szCs w:val="14"/>
                      <w:lang w:val="en-GB" w:eastAsia="fr-FR"/>
                      <w14:ligatures w14:val="none"/>
                    </w:rPr>
                    <w:t>Risk Weigh Floor</w:t>
                  </w:r>
                </w:p>
              </w:tc>
              <w:tc>
                <w:tcPr>
                  <w:tcW w:w="651" w:type="dxa"/>
                  <w:tcBorders>
                    <w:top w:val="single" w:sz="4" w:space="0" w:color="auto"/>
                    <w:left w:val="nil"/>
                    <w:bottom w:val="single" w:sz="4" w:space="0" w:color="auto"/>
                    <w:right w:val="single" w:sz="4" w:space="0" w:color="auto"/>
                  </w:tcBorders>
                  <w:shd w:val="clear" w:color="auto" w:fill="auto"/>
                  <w:noWrap/>
                  <w:vAlign w:val="bottom"/>
                  <w:hideMark/>
                </w:tcPr>
                <w:p w14:paraId="18910D90" w14:textId="77777777" w:rsidR="001E78C2" w:rsidRPr="001E78C2" w:rsidRDefault="001E78C2" w:rsidP="001E78C2">
                  <w:pPr>
                    <w:spacing w:after="0" w:line="240" w:lineRule="auto"/>
                    <w:rPr>
                      <w:rFonts w:ascii="Aptos Narrow" w:eastAsia="Times New Roman" w:hAnsi="Aptos Narrow" w:cs="Times New Roman"/>
                      <w:b/>
                      <w:bCs/>
                      <w:color w:val="000000"/>
                      <w:kern w:val="0"/>
                      <w:sz w:val="14"/>
                      <w:szCs w:val="14"/>
                      <w:lang w:val="en-GB" w:eastAsia="fr-FR"/>
                      <w14:ligatures w14:val="none"/>
                    </w:rPr>
                  </w:pPr>
                  <w:r w:rsidRPr="001E78C2">
                    <w:rPr>
                      <w:rFonts w:ascii="Aptos Narrow" w:eastAsia="Times New Roman" w:hAnsi="Aptos Narrow" w:cs="Times New Roman"/>
                      <w:b/>
                      <w:bCs/>
                      <w:color w:val="000000"/>
                      <w:kern w:val="0"/>
                      <w:sz w:val="14"/>
                      <w:szCs w:val="14"/>
                      <w:lang w:val="en-GB" w:eastAsia="fr-FR"/>
                      <w14:ligatures w14:val="none"/>
                    </w:rPr>
                    <w:t> </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0FC210E7" w14:textId="77777777" w:rsidR="001E78C2" w:rsidRPr="001E78C2" w:rsidRDefault="001E78C2" w:rsidP="001E78C2">
                  <w:pPr>
                    <w:spacing w:after="0" w:line="240" w:lineRule="auto"/>
                    <w:jc w:val="center"/>
                    <w:rPr>
                      <w:rFonts w:ascii="Aptos Narrow" w:eastAsia="Times New Roman" w:hAnsi="Aptos Narrow" w:cs="Times New Roman"/>
                      <w:color w:val="000000"/>
                      <w:kern w:val="0"/>
                      <w:sz w:val="14"/>
                      <w:szCs w:val="14"/>
                      <w:lang w:val="en-GB" w:eastAsia="fr-FR"/>
                      <w14:ligatures w14:val="none"/>
                    </w:rPr>
                  </w:pPr>
                  <w:r w:rsidRPr="001E78C2">
                    <w:rPr>
                      <w:rFonts w:ascii="Aptos Narrow" w:eastAsia="Times New Roman" w:hAnsi="Aptos Narrow" w:cs="Times New Roman"/>
                      <w:color w:val="000000"/>
                      <w:kern w:val="0"/>
                      <w:sz w:val="14"/>
                      <w:szCs w:val="14"/>
                      <w:lang w:val="en-GB" w:eastAsia="fr-FR"/>
                      <w14:ligatures w14:val="none"/>
                    </w:rPr>
                    <w:t>Current</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14:paraId="230F1B40" w14:textId="77777777" w:rsidR="001E78C2" w:rsidRPr="001E78C2" w:rsidRDefault="001E78C2" w:rsidP="001E78C2">
                  <w:pPr>
                    <w:spacing w:after="0" w:line="240" w:lineRule="auto"/>
                    <w:jc w:val="center"/>
                    <w:rPr>
                      <w:rFonts w:ascii="Aptos Narrow" w:eastAsia="Times New Roman" w:hAnsi="Aptos Narrow" w:cs="Times New Roman"/>
                      <w:color w:val="000000"/>
                      <w:kern w:val="0"/>
                      <w:sz w:val="14"/>
                      <w:szCs w:val="14"/>
                      <w:lang w:val="en-GB" w:eastAsia="fr-FR"/>
                      <w14:ligatures w14:val="none"/>
                    </w:rPr>
                  </w:pPr>
                  <w:r w:rsidRPr="001E78C2">
                    <w:rPr>
                      <w:rFonts w:ascii="Aptos Narrow" w:eastAsia="Times New Roman" w:hAnsi="Aptos Narrow" w:cs="Times New Roman"/>
                      <w:color w:val="000000"/>
                      <w:kern w:val="0"/>
                      <w:sz w:val="14"/>
                      <w:szCs w:val="14"/>
                      <w:lang w:val="en-GB" w:eastAsia="fr-FR"/>
                      <w14:ligatures w14:val="none"/>
                    </w:rPr>
                    <w:t>Proposition</w:t>
                  </w:r>
                </w:p>
              </w:tc>
            </w:tr>
            <w:tr w:rsidR="001E78C2" w:rsidRPr="0000602A" w14:paraId="4C42CE71" w14:textId="77777777" w:rsidTr="0079353D">
              <w:trPr>
                <w:trHeight w:val="223"/>
                <w:jc w:val="center"/>
              </w:trPr>
              <w:tc>
                <w:tcPr>
                  <w:tcW w:w="1414" w:type="dxa"/>
                  <w:vMerge w:val="restart"/>
                  <w:tcBorders>
                    <w:top w:val="nil"/>
                    <w:left w:val="single" w:sz="4" w:space="0" w:color="auto"/>
                    <w:bottom w:val="single" w:sz="4" w:space="0" w:color="auto"/>
                    <w:right w:val="single" w:sz="4" w:space="0" w:color="auto"/>
                  </w:tcBorders>
                  <w:shd w:val="clear" w:color="auto" w:fill="auto"/>
                  <w:vAlign w:val="bottom"/>
                  <w:hideMark/>
                </w:tcPr>
                <w:p w14:paraId="192A6B25" w14:textId="77777777" w:rsidR="001E78C2" w:rsidRPr="001E78C2" w:rsidRDefault="001E78C2" w:rsidP="001E78C2">
                  <w:pPr>
                    <w:spacing w:after="0" w:line="240" w:lineRule="auto"/>
                    <w:rPr>
                      <w:rFonts w:ascii="Aptos Narrow" w:eastAsia="Times New Roman" w:hAnsi="Aptos Narrow" w:cs="Times New Roman"/>
                      <w:color w:val="000000"/>
                      <w:kern w:val="0"/>
                      <w:sz w:val="14"/>
                      <w:szCs w:val="14"/>
                      <w:lang w:val="en-GB" w:eastAsia="fr-FR"/>
                      <w14:ligatures w14:val="none"/>
                    </w:rPr>
                  </w:pPr>
                  <w:r w:rsidRPr="001E78C2">
                    <w:rPr>
                      <w:rFonts w:ascii="Aptos Narrow" w:eastAsia="Times New Roman" w:hAnsi="Aptos Narrow" w:cs="Times New Roman"/>
                      <w:color w:val="000000"/>
                      <w:kern w:val="0"/>
                      <w:sz w:val="14"/>
                      <w:szCs w:val="14"/>
                      <w:lang w:val="en-GB" w:eastAsia="fr-FR"/>
                      <w14:ligatures w14:val="none"/>
                    </w:rPr>
                    <w:t>All Methods</w:t>
                  </w:r>
                </w:p>
              </w:tc>
              <w:tc>
                <w:tcPr>
                  <w:tcW w:w="651" w:type="dxa"/>
                  <w:tcBorders>
                    <w:top w:val="nil"/>
                    <w:left w:val="nil"/>
                    <w:bottom w:val="single" w:sz="4" w:space="0" w:color="auto"/>
                    <w:right w:val="single" w:sz="4" w:space="0" w:color="auto"/>
                  </w:tcBorders>
                  <w:shd w:val="clear" w:color="auto" w:fill="auto"/>
                  <w:noWrap/>
                  <w:vAlign w:val="bottom"/>
                  <w:hideMark/>
                </w:tcPr>
                <w:p w14:paraId="0B5D19F3" w14:textId="77777777" w:rsidR="001E78C2" w:rsidRPr="001E78C2" w:rsidRDefault="001E78C2" w:rsidP="001E78C2">
                  <w:pPr>
                    <w:spacing w:after="0" w:line="240" w:lineRule="auto"/>
                    <w:rPr>
                      <w:rFonts w:ascii="Aptos Narrow" w:eastAsia="Times New Roman" w:hAnsi="Aptos Narrow" w:cs="Times New Roman"/>
                      <w:color w:val="000000"/>
                      <w:kern w:val="0"/>
                      <w:sz w:val="14"/>
                      <w:szCs w:val="14"/>
                      <w:lang w:val="en-GB" w:eastAsia="fr-FR"/>
                      <w14:ligatures w14:val="none"/>
                    </w:rPr>
                  </w:pPr>
                  <w:r w:rsidRPr="001E78C2">
                    <w:rPr>
                      <w:rFonts w:ascii="Aptos Narrow" w:eastAsia="Times New Roman" w:hAnsi="Aptos Narrow" w:cs="Times New Roman"/>
                      <w:color w:val="000000"/>
                      <w:kern w:val="0"/>
                      <w:sz w:val="14"/>
                      <w:szCs w:val="14"/>
                      <w:lang w:val="en-GB" w:eastAsia="fr-FR"/>
                      <w14:ligatures w14:val="none"/>
                    </w:rPr>
                    <w:t>STS</w:t>
                  </w:r>
                </w:p>
              </w:tc>
              <w:tc>
                <w:tcPr>
                  <w:tcW w:w="978" w:type="dxa"/>
                  <w:tcBorders>
                    <w:top w:val="nil"/>
                    <w:left w:val="nil"/>
                    <w:bottom w:val="single" w:sz="4" w:space="0" w:color="auto"/>
                    <w:right w:val="single" w:sz="4" w:space="0" w:color="auto"/>
                  </w:tcBorders>
                  <w:shd w:val="clear" w:color="auto" w:fill="auto"/>
                  <w:noWrap/>
                  <w:vAlign w:val="center"/>
                  <w:hideMark/>
                </w:tcPr>
                <w:p w14:paraId="0DB938E7" w14:textId="77777777" w:rsidR="001E78C2" w:rsidRPr="001E78C2" w:rsidRDefault="001E78C2" w:rsidP="001E78C2">
                  <w:pPr>
                    <w:spacing w:after="0" w:line="240" w:lineRule="auto"/>
                    <w:jc w:val="center"/>
                    <w:rPr>
                      <w:rFonts w:ascii="Courier New" w:eastAsia="Times New Roman" w:hAnsi="Courier New" w:cs="Courier New"/>
                      <w:color w:val="000000"/>
                      <w:kern w:val="0"/>
                      <w:sz w:val="14"/>
                      <w:szCs w:val="14"/>
                      <w:lang w:val="en-GB" w:eastAsia="fr-FR"/>
                      <w14:ligatures w14:val="none"/>
                    </w:rPr>
                  </w:pPr>
                  <w:r w:rsidRPr="001E78C2">
                    <w:rPr>
                      <w:rFonts w:ascii="Courier New" w:eastAsia="Times New Roman" w:hAnsi="Courier New" w:cs="Courier New"/>
                      <w:color w:val="000000"/>
                      <w:kern w:val="0"/>
                      <w:sz w:val="14"/>
                      <w:szCs w:val="14"/>
                      <w:lang w:val="en-GB" w:eastAsia="fr-FR"/>
                      <w14:ligatures w14:val="none"/>
                    </w:rPr>
                    <w:t>7%</w:t>
                  </w:r>
                </w:p>
              </w:tc>
              <w:tc>
                <w:tcPr>
                  <w:tcW w:w="1467" w:type="dxa"/>
                  <w:tcBorders>
                    <w:top w:val="nil"/>
                    <w:left w:val="nil"/>
                    <w:bottom w:val="single" w:sz="4" w:space="0" w:color="auto"/>
                    <w:right w:val="single" w:sz="4" w:space="0" w:color="auto"/>
                  </w:tcBorders>
                  <w:shd w:val="clear" w:color="auto" w:fill="auto"/>
                  <w:noWrap/>
                  <w:vAlign w:val="center"/>
                  <w:hideMark/>
                </w:tcPr>
                <w:p w14:paraId="15C89D2F" w14:textId="77777777" w:rsidR="001E78C2" w:rsidRPr="001E78C2" w:rsidRDefault="001E78C2" w:rsidP="001E78C2">
                  <w:pPr>
                    <w:spacing w:after="0" w:line="240" w:lineRule="auto"/>
                    <w:jc w:val="center"/>
                    <w:rPr>
                      <w:rFonts w:ascii="Aptos" w:eastAsia="Times New Roman" w:hAnsi="Aptos" w:cs="Times New Roman"/>
                      <w:b/>
                      <w:bCs/>
                      <w:color w:val="000000"/>
                      <w:kern w:val="0"/>
                      <w:sz w:val="14"/>
                      <w:szCs w:val="14"/>
                      <w:lang w:val="en-GB" w:eastAsia="fr-FR"/>
                      <w14:ligatures w14:val="none"/>
                    </w:rPr>
                  </w:pPr>
                  <w:r w:rsidRPr="001E78C2">
                    <w:rPr>
                      <w:rFonts w:ascii="Aptos" w:eastAsia="Times New Roman" w:hAnsi="Aptos" w:cs="Times New Roman"/>
                      <w:b/>
                      <w:bCs/>
                      <w:color w:val="000000"/>
                      <w:kern w:val="0"/>
                      <w:sz w:val="14"/>
                      <w:szCs w:val="14"/>
                      <w:lang w:val="en-GB" w:eastAsia="fr-FR"/>
                      <w14:ligatures w14:val="none"/>
                    </w:rPr>
                    <w:t xml:space="preserve"> 7% × </w:t>
                  </w:r>
                  <w:proofErr w:type="spellStart"/>
                  <w:r w:rsidRPr="001E78C2">
                    <w:rPr>
                      <w:rFonts w:ascii="Aptos" w:eastAsia="Times New Roman" w:hAnsi="Aptos" w:cs="Times New Roman"/>
                      <w:b/>
                      <w:bCs/>
                      <w:color w:val="000000"/>
                      <w:kern w:val="0"/>
                      <w:sz w:val="14"/>
                      <w:szCs w:val="14"/>
                      <w:lang w:val="en-GB" w:eastAsia="fr-FR"/>
                      <w14:ligatures w14:val="none"/>
                    </w:rPr>
                    <w:t>RWpool</w:t>
                  </w:r>
                  <w:proofErr w:type="spellEnd"/>
                  <w:r w:rsidRPr="001E78C2">
                    <w:rPr>
                      <w:rFonts w:ascii="Aptos" w:eastAsia="Times New Roman" w:hAnsi="Aptos" w:cs="Times New Roman"/>
                      <w:b/>
                      <w:bCs/>
                      <w:color w:val="000000"/>
                      <w:kern w:val="0"/>
                      <w:sz w:val="14"/>
                      <w:szCs w:val="14"/>
                      <w:lang w:val="en-GB" w:eastAsia="fr-FR"/>
                      <w14:ligatures w14:val="none"/>
                    </w:rPr>
                    <w:t xml:space="preserve"> </w:t>
                  </w:r>
                </w:p>
              </w:tc>
            </w:tr>
            <w:tr w:rsidR="001E78C2" w:rsidRPr="0000602A" w14:paraId="755049EE" w14:textId="77777777" w:rsidTr="0079353D">
              <w:trPr>
                <w:trHeight w:val="223"/>
                <w:jc w:val="center"/>
              </w:trPr>
              <w:tc>
                <w:tcPr>
                  <w:tcW w:w="1414" w:type="dxa"/>
                  <w:vMerge/>
                  <w:tcBorders>
                    <w:top w:val="nil"/>
                    <w:left w:val="single" w:sz="4" w:space="0" w:color="auto"/>
                    <w:bottom w:val="single" w:sz="4" w:space="0" w:color="auto"/>
                    <w:right w:val="single" w:sz="4" w:space="0" w:color="auto"/>
                  </w:tcBorders>
                  <w:vAlign w:val="center"/>
                  <w:hideMark/>
                </w:tcPr>
                <w:p w14:paraId="39F6B1FF" w14:textId="77777777" w:rsidR="001E78C2" w:rsidRPr="001E78C2" w:rsidRDefault="001E78C2" w:rsidP="001E78C2">
                  <w:pPr>
                    <w:spacing w:after="0" w:line="240" w:lineRule="auto"/>
                    <w:rPr>
                      <w:rFonts w:ascii="Aptos Narrow" w:eastAsia="Times New Roman" w:hAnsi="Aptos Narrow" w:cs="Times New Roman"/>
                      <w:color w:val="000000"/>
                      <w:kern w:val="0"/>
                      <w:sz w:val="14"/>
                      <w:szCs w:val="14"/>
                      <w:lang w:val="en-GB" w:eastAsia="fr-FR"/>
                      <w14:ligatures w14:val="none"/>
                    </w:rPr>
                  </w:pPr>
                </w:p>
              </w:tc>
              <w:tc>
                <w:tcPr>
                  <w:tcW w:w="651" w:type="dxa"/>
                  <w:tcBorders>
                    <w:top w:val="nil"/>
                    <w:left w:val="nil"/>
                    <w:bottom w:val="single" w:sz="4" w:space="0" w:color="auto"/>
                    <w:right w:val="single" w:sz="4" w:space="0" w:color="auto"/>
                  </w:tcBorders>
                  <w:shd w:val="clear" w:color="auto" w:fill="auto"/>
                  <w:noWrap/>
                  <w:vAlign w:val="bottom"/>
                  <w:hideMark/>
                </w:tcPr>
                <w:p w14:paraId="48176186" w14:textId="77777777" w:rsidR="001E78C2" w:rsidRPr="001E78C2" w:rsidRDefault="001E78C2" w:rsidP="001E78C2">
                  <w:pPr>
                    <w:spacing w:after="0" w:line="240" w:lineRule="auto"/>
                    <w:rPr>
                      <w:rFonts w:ascii="Aptos Narrow" w:eastAsia="Times New Roman" w:hAnsi="Aptos Narrow" w:cs="Times New Roman"/>
                      <w:color w:val="000000"/>
                      <w:kern w:val="0"/>
                      <w:sz w:val="14"/>
                      <w:szCs w:val="14"/>
                      <w:lang w:val="en-GB" w:eastAsia="fr-FR"/>
                      <w14:ligatures w14:val="none"/>
                    </w:rPr>
                  </w:pPr>
                  <w:r w:rsidRPr="001E78C2">
                    <w:rPr>
                      <w:rFonts w:ascii="Aptos Narrow" w:eastAsia="Times New Roman" w:hAnsi="Aptos Narrow" w:cs="Times New Roman"/>
                      <w:color w:val="000000"/>
                      <w:kern w:val="0"/>
                      <w:sz w:val="14"/>
                      <w:szCs w:val="14"/>
                      <w:lang w:val="en-GB" w:eastAsia="fr-FR"/>
                      <w14:ligatures w14:val="none"/>
                    </w:rPr>
                    <w:t>non-STS</w:t>
                  </w:r>
                </w:p>
              </w:tc>
              <w:tc>
                <w:tcPr>
                  <w:tcW w:w="978" w:type="dxa"/>
                  <w:tcBorders>
                    <w:top w:val="nil"/>
                    <w:left w:val="nil"/>
                    <w:bottom w:val="single" w:sz="4" w:space="0" w:color="auto"/>
                    <w:right w:val="single" w:sz="4" w:space="0" w:color="auto"/>
                  </w:tcBorders>
                  <w:shd w:val="clear" w:color="auto" w:fill="auto"/>
                  <w:noWrap/>
                  <w:vAlign w:val="center"/>
                  <w:hideMark/>
                </w:tcPr>
                <w:p w14:paraId="44051C02" w14:textId="77777777" w:rsidR="001E78C2" w:rsidRPr="001E78C2" w:rsidRDefault="001E78C2" w:rsidP="001E78C2">
                  <w:pPr>
                    <w:spacing w:after="0" w:line="240" w:lineRule="auto"/>
                    <w:jc w:val="center"/>
                    <w:rPr>
                      <w:rFonts w:ascii="Courier New" w:eastAsia="Times New Roman" w:hAnsi="Courier New" w:cs="Courier New"/>
                      <w:color w:val="000000"/>
                      <w:kern w:val="0"/>
                      <w:sz w:val="14"/>
                      <w:szCs w:val="14"/>
                      <w:lang w:val="en-GB" w:eastAsia="fr-FR"/>
                      <w14:ligatures w14:val="none"/>
                    </w:rPr>
                  </w:pPr>
                  <w:r w:rsidRPr="001E78C2">
                    <w:rPr>
                      <w:rFonts w:ascii="Courier New" w:eastAsia="Times New Roman" w:hAnsi="Courier New" w:cs="Courier New"/>
                      <w:color w:val="000000"/>
                      <w:kern w:val="0"/>
                      <w:sz w:val="14"/>
                      <w:szCs w:val="14"/>
                      <w:lang w:val="en-GB" w:eastAsia="fr-FR"/>
                      <w14:ligatures w14:val="none"/>
                    </w:rPr>
                    <w:t>12%</w:t>
                  </w:r>
                </w:p>
              </w:tc>
              <w:tc>
                <w:tcPr>
                  <w:tcW w:w="1467" w:type="dxa"/>
                  <w:tcBorders>
                    <w:top w:val="nil"/>
                    <w:left w:val="nil"/>
                    <w:bottom w:val="single" w:sz="4" w:space="0" w:color="auto"/>
                    <w:right w:val="single" w:sz="4" w:space="0" w:color="auto"/>
                  </w:tcBorders>
                  <w:shd w:val="clear" w:color="auto" w:fill="auto"/>
                  <w:noWrap/>
                  <w:vAlign w:val="center"/>
                  <w:hideMark/>
                </w:tcPr>
                <w:p w14:paraId="131059C3" w14:textId="77777777" w:rsidR="001E78C2" w:rsidRPr="001E78C2" w:rsidRDefault="001E78C2" w:rsidP="001E78C2">
                  <w:pPr>
                    <w:spacing w:after="0" w:line="240" w:lineRule="auto"/>
                    <w:jc w:val="center"/>
                    <w:rPr>
                      <w:rFonts w:ascii="Aptos" w:eastAsia="Times New Roman" w:hAnsi="Aptos" w:cs="Times New Roman"/>
                      <w:b/>
                      <w:bCs/>
                      <w:color w:val="000000"/>
                      <w:kern w:val="0"/>
                      <w:sz w:val="14"/>
                      <w:szCs w:val="14"/>
                      <w:lang w:val="en-GB" w:eastAsia="fr-FR"/>
                      <w14:ligatures w14:val="none"/>
                    </w:rPr>
                  </w:pPr>
                  <w:r w:rsidRPr="001E78C2">
                    <w:rPr>
                      <w:rFonts w:ascii="Aptos" w:eastAsia="Times New Roman" w:hAnsi="Aptos" w:cs="Times New Roman"/>
                      <w:b/>
                      <w:bCs/>
                      <w:color w:val="000000"/>
                      <w:kern w:val="0"/>
                      <w:sz w:val="14"/>
                      <w:szCs w:val="14"/>
                      <w:lang w:val="en-GB" w:eastAsia="fr-FR"/>
                      <w14:ligatures w14:val="none"/>
                    </w:rPr>
                    <w:t xml:space="preserve">12 % × </w:t>
                  </w:r>
                  <w:proofErr w:type="spellStart"/>
                  <w:r w:rsidRPr="001E78C2">
                    <w:rPr>
                      <w:rFonts w:ascii="Aptos" w:eastAsia="Times New Roman" w:hAnsi="Aptos" w:cs="Times New Roman"/>
                      <w:b/>
                      <w:bCs/>
                      <w:color w:val="000000"/>
                      <w:kern w:val="0"/>
                      <w:sz w:val="14"/>
                      <w:szCs w:val="14"/>
                      <w:lang w:val="en-GB" w:eastAsia="fr-FR"/>
                      <w14:ligatures w14:val="none"/>
                    </w:rPr>
                    <w:t>Rwpool</w:t>
                  </w:r>
                  <w:proofErr w:type="spellEnd"/>
                </w:p>
              </w:tc>
            </w:tr>
          </w:tbl>
          <w:p w14:paraId="7EBD6214" w14:textId="77777777" w:rsidR="001E78C2" w:rsidRPr="00973525" w:rsidRDefault="001E78C2" w:rsidP="00064C28">
            <w:pPr>
              <w:jc w:val="both"/>
              <w:rPr>
                <w:b/>
                <w:bCs/>
                <w:sz w:val="18"/>
                <w:szCs w:val="18"/>
                <w:lang w:val="en-US"/>
              </w:rPr>
            </w:pPr>
          </w:p>
          <w:p w14:paraId="7E70BF3F" w14:textId="77777777" w:rsidR="00C21071" w:rsidRPr="00973525" w:rsidRDefault="00C21071" w:rsidP="00C21071">
            <w:pPr>
              <w:ind w:left="708"/>
              <w:jc w:val="both"/>
              <w:rPr>
                <w:sz w:val="18"/>
                <w:szCs w:val="18"/>
                <w:lang w:val="en-US"/>
              </w:rPr>
            </w:pPr>
          </w:p>
          <w:p w14:paraId="71FB872F" w14:textId="77777777" w:rsidR="00C21071" w:rsidRPr="00973525" w:rsidRDefault="00C21071" w:rsidP="00CE4B1A">
            <w:pPr>
              <w:jc w:val="both"/>
              <w:rPr>
                <w:sz w:val="18"/>
                <w:szCs w:val="18"/>
                <w:lang w:val="en-US"/>
              </w:rPr>
            </w:pPr>
            <w:r w:rsidRPr="00973525">
              <w:rPr>
                <w:sz w:val="18"/>
                <w:szCs w:val="18"/>
                <w:lang w:val="en-US"/>
              </w:rPr>
              <w:t xml:space="preserve">Such proposal has been calibrated using different methods (see </w:t>
            </w:r>
            <w:proofErr w:type="spellStart"/>
            <w:r w:rsidRPr="00973525">
              <w:rPr>
                <w:sz w:val="18"/>
                <w:szCs w:val="18"/>
                <w:lang w:val="en-US"/>
              </w:rPr>
              <w:t>Europlace</w:t>
            </w:r>
            <w:proofErr w:type="spellEnd"/>
            <w:r w:rsidRPr="00973525">
              <w:rPr>
                <w:sz w:val="18"/>
                <w:szCs w:val="18"/>
                <w:lang w:val="en-US"/>
              </w:rPr>
              <w:t xml:space="preserve"> publication).</w:t>
            </w:r>
          </w:p>
          <w:p w14:paraId="794435A2" w14:textId="77777777" w:rsidR="00C21071" w:rsidRPr="00973525" w:rsidRDefault="00C21071" w:rsidP="00CE4B1A">
            <w:pPr>
              <w:jc w:val="both"/>
              <w:rPr>
                <w:sz w:val="18"/>
                <w:szCs w:val="18"/>
                <w:lang w:val="en-US"/>
              </w:rPr>
            </w:pPr>
            <w:r w:rsidRPr="00973525">
              <w:rPr>
                <w:sz w:val="18"/>
                <w:szCs w:val="18"/>
                <w:lang w:val="en-US"/>
              </w:rPr>
              <w:t xml:space="preserve">Note that for the purposes of homogeneity and ensuring a level playing field, the </w:t>
            </w:r>
            <w:r w:rsidRPr="00973525">
              <w:rPr>
                <w:b/>
                <w:bCs/>
                <w:sz w:val="18"/>
                <w:szCs w:val="18"/>
                <w:lang w:val="en-US"/>
              </w:rPr>
              <w:t>risk weight floors</w:t>
            </w:r>
            <w:r w:rsidRPr="00973525">
              <w:rPr>
                <w:sz w:val="18"/>
                <w:szCs w:val="18"/>
                <w:lang w:val="en-US"/>
              </w:rPr>
              <w:t xml:space="preserve"> should be simultaneously adjusted for banks </w:t>
            </w:r>
            <w:r w:rsidRPr="00973525">
              <w:rPr>
                <w:sz w:val="18"/>
                <w:szCs w:val="18"/>
                <w:u w:val="single"/>
                <w:lang w:val="en-US"/>
              </w:rPr>
              <w:t>in all roles</w:t>
            </w:r>
            <w:r w:rsidRPr="00973525">
              <w:rPr>
                <w:sz w:val="18"/>
                <w:szCs w:val="18"/>
                <w:lang w:val="en-US"/>
              </w:rPr>
              <w:t xml:space="preserve"> (originator, sponsor, investor), and be aligned </w:t>
            </w:r>
            <w:r w:rsidRPr="00973525">
              <w:rPr>
                <w:sz w:val="18"/>
                <w:szCs w:val="18"/>
                <w:u w:val="single"/>
                <w:lang w:val="en-US"/>
              </w:rPr>
              <w:t>across all the prudential methods</w:t>
            </w:r>
            <w:r w:rsidRPr="00973525">
              <w:rPr>
                <w:sz w:val="18"/>
                <w:szCs w:val="18"/>
                <w:lang w:val="en-US"/>
              </w:rPr>
              <w:t xml:space="preserve"> (SEC-SA, SEC-IRBA the SEC-ERBA and IAA), and </w:t>
            </w:r>
            <w:r w:rsidRPr="00973525">
              <w:rPr>
                <w:b/>
                <w:bCs/>
                <w:sz w:val="18"/>
                <w:szCs w:val="18"/>
                <w:lang w:val="en-US"/>
              </w:rPr>
              <w:t>only differentiated between STS and non-STS</w:t>
            </w:r>
            <w:r w:rsidRPr="00973525">
              <w:rPr>
                <w:sz w:val="18"/>
                <w:szCs w:val="18"/>
                <w:lang w:val="en-US"/>
              </w:rPr>
              <w:t xml:space="preserve"> securitisations.  </w:t>
            </w:r>
          </w:p>
          <w:p w14:paraId="390AB8A1" w14:textId="77777777" w:rsidR="00C21071" w:rsidRPr="00973525" w:rsidRDefault="00C21071" w:rsidP="00C21071">
            <w:pPr>
              <w:ind w:left="708"/>
              <w:jc w:val="both"/>
              <w:rPr>
                <w:sz w:val="18"/>
                <w:szCs w:val="18"/>
                <w:lang w:val="en-US"/>
              </w:rPr>
            </w:pPr>
          </w:p>
          <w:p w14:paraId="3886EE48" w14:textId="278F77D6" w:rsidR="00C21071" w:rsidRPr="00973525" w:rsidRDefault="00C21071" w:rsidP="00C21071">
            <w:pPr>
              <w:pStyle w:val="Paragraphedeliste"/>
              <w:numPr>
                <w:ilvl w:val="0"/>
                <w:numId w:val="12"/>
              </w:numPr>
              <w:rPr>
                <w:sz w:val="18"/>
                <w:szCs w:val="18"/>
                <w:lang w:val="en-US"/>
              </w:rPr>
            </w:pPr>
            <w:r w:rsidRPr="00973525">
              <w:rPr>
                <w:sz w:val="18"/>
                <w:szCs w:val="18"/>
                <w:lang w:val="en-US"/>
              </w:rPr>
              <w:t xml:space="preserve">However, since the </w:t>
            </w:r>
            <w:r w:rsidRPr="00973525">
              <w:rPr>
                <w:sz w:val="18"/>
                <w:szCs w:val="18"/>
                <w:u w:val="single"/>
                <w:lang w:val="en-US"/>
              </w:rPr>
              <w:t>asymmetry of information</w:t>
            </w:r>
            <w:r w:rsidRPr="00973525">
              <w:rPr>
                <w:sz w:val="18"/>
                <w:szCs w:val="18"/>
                <w:lang w:val="en-US"/>
              </w:rPr>
              <w:t xml:space="preserve"> is different between an (external) </w:t>
            </w:r>
            <w:r w:rsidRPr="00CE4B1A">
              <w:rPr>
                <w:sz w:val="18"/>
                <w:szCs w:val="18"/>
                <w:lang w:val="en-US"/>
              </w:rPr>
              <w:t>investor (or ABCP sponsor), and an originator:</w:t>
            </w:r>
          </w:p>
          <w:p w14:paraId="43315806" w14:textId="77777777" w:rsidR="00177EE9" w:rsidRDefault="00C21071" w:rsidP="00177EE9">
            <w:pPr>
              <w:pStyle w:val="Paragraphedeliste"/>
              <w:numPr>
                <w:ilvl w:val="1"/>
                <w:numId w:val="12"/>
              </w:numPr>
              <w:rPr>
                <w:sz w:val="18"/>
                <w:szCs w:val="18"/>
                <w:lang w:val="en-US"/>
              </w:rPr>
            </w:pPr>
            <w:r w:rsidRPr="00973525">
              <w:rPr>
                <w:sz w:val="18"/>
                <w:szCs w:val="18"/>
                <w:lang w:val="en-US"/>
              </w:rPr>
              <w:t xml:space="preserve">the floor for </w:t>
            </w:r>
            <w:r w:rsidRPr="00973525">
              <w:rPr>
                <w:b/>
                <w:bCs/>
                <w:sz w:val="18"/>
                <w:szCs w:val="18"/>
                <w:u w:val="single"/>
                <w:lang w:val="en-US"/>
              </w:rPr>
              <w:t>an investor</w:t>
            </w:r>
            <w:r w:rsidRPr="00973525">
              <w:rPr>
                <w:sz w:val="18"/>
                <w:szCs w:val="18"/>
                <w:lang w:val="en-US"/>
              </w:rPr>
              <w:t xml:space="preserve"> could be based on </w:t>
            </w:r>
            <w:r w:rsidRPr="00973525">
              <w:rPr>
                <w:b/>
                <w:bCs/>
                <w:sz w:val="18"/>
                <w:szCs w:val="18"/>
                <w:lang w:val="en-US"/>
              </w:rPr>
              <w:t>standard Risk Weights</w:t>
            </w:r>
            <w:r w:rsidRPr="00973525">
              <w:rPr>
                <w:sz w:val="18"/>
                <w:szCs w:val="18"/>
                <w:lang w:val="en-US"/>
              </w:rPr>
              <w:t xml:space="preserve">, whereas </w:t>
            </w:r>
          </w:p>
          <w:p w14:paraId="730AE0F0" w14:textId="1C10D4CE" w:rsidR="00C21071" w:rsidRPr="00177EE9" w:rsidRDefault="00C21071" w:rsidP="00177EE9">
            <w:pPr>
              <w:pStyle w:val="Paragraphedeliste"/>
              <w:numPr>
                <w:ilvl w:val="1"/>
                <w:numId w:val="12"/>
              </w:numPr>
              <w:rPr>
                <w:sz w:val="18"/>
                <w:szCs w:val="18"/>
                <w:lang w:val="en-US"/>
              </w:rPr>
            </w:pPr>
            <w:r w:rsidRPr="00177EE9">
              <w:rPr>
                <w:sz w:val="18"/>
                <w:szCs w:val="18"/>
                <w:lang w:val="en-US"/>
              </w:rPr>
              <w:t>f</w:t>
            </w:r>
            <w:r w:rsidRPr="00177EE9">
              <w:rPr>
                <w:b/>
                <w:bCs/>
                <w:sz w:val="18"/>
                <w:szCs w:val="18"/>
                <w:u w:val="single"/>
                <w:lang w:val="en-US"/>
              </w:rPr>
              <w:t>or an originator</w:t>
            </w:r>
            <w:r w:rsidRPr="00177EE9">
              <w:rPr>
                <w:sz w:val="18"/>
                <w:szCs w:val="18"/>
                <w:lang w:val="en-US"/>
              </w:rPr>
              <w:t>) RW</w:t>
            </w:r>
            <w:r w:rsidR="00177EE9">
              <w:rPr>
                <w:sz w:val="18"/>
                <w:szCs w:val="18"/>
                <w:lang w:val="en-US"/>
              </w:rPr>
              <w:t xml:space="preserve"> of the </w:t>
            </w:r>
            <w:r w:rsidRPr="00177EE9">
              <w:rPr>
                <w:sz w:val="18"/>
                <w:szCs w:val="18"/>
                <w:lang w:val="en-US"/>
              </w:rPr>
              <w:t>pool could follow its internal method (resp. IRB or SA method) in determining the ratings/risks weights.</w:t>
            </w:r>
          </w:p>
          <w:p w14:paraId="231DED16" w14:textId="654890A9" w:rsidR="00C21071" w:rsidRPr="00973525" w:rsidRDefault="00C21071" w:rsidP="00C21071">
            <w:pPr>
              <w:rPr>
                <w:strike/>
                <w:sz w:val="18"/>
                <w:szCs w:val="18"/>
                <w:lang w:val="en-US"/>
              </w:rPr>
            </w:pPr>
          </w:p>
        </w:tc>
        <w:tc>
          <w:tcPr>
            <w:tcW w:w="236" w:type="dxa"/>
          </w:tcPr>
          <w:p w14:paraId="55C84710" w14:textId="77777777" w:rsidR="00C21071" w:rsidRPr="00597791" w:rsidRDefault="00C21071" w:rsidP="0079353D">
            <w:pPr>
              <w:ind w:firstLine="1917"/>
              <w:rPr>
                <w:sz w:val="18"/>
                <w:szCs w:val="18"/>
                <w:lang w:val="en-US"/>
              </w:rPr>
            </w:pPr>
          </w:p>
          <w:p w14:paraId="61D1648E" w14:textId="77777777" w:rsidR="00C21071" w:rsidRPr="00597791" w:rsidRDefault="00C21071" w:rsidP="0079353D">
            <w:pPr>
              <w:ind w:firstLine="1917"/>
              <w:rPr>
                <w:sz w:val="18"/>
                <w:szCs w:val="18"/>
                <w:lang w:val="en-US"/>
              </w:rPr>
            </w:pPr>
          </w:p>
          <w:p w14:paraId="0A6208B8" w14:textId="77777777" w:rsidR="00C21071" w:rsidRPr="00597791" w:rsidRDefault="00C21071" w:rsidP="0079353D">
            <w:pPr>
              <w:ind w:firstLine="1917"/>
              <w:rPr>
                <w:sz w:val="18"/>
                <w:szCs w:val="18"/>
                <w:lang w:val="en-US"/>
              </w:rPr>
            </w:pPr>
          </w:p>
          <w:p w14:paraId="4E1D21C2" w14:textId="07559D43" w:rsidR="00C21071" w:rsidRPr="00597791" w:rsidRDefault="00C21071" w:rsidP="0079353D">
            <w:pPr>
              <w:ind w:firstLine="1917"/>
              <w:rPr>
                <w:sz w:val="18"/>
                <w:szCs w:val="18"/>
                <w:lang w:val="en-US"/>
              </w:rPr>
            </w:pPr>
          </w:p>
        </w:tc>
      </w:tr>
      <w:tr w:rsidR="00C21071" w:rsidRPr="0000602A" w14:paraId="6F040313" w14:textId="77777777" w:rsidTr="30964D0C">
        <w:trPr>
          <w:gridAfter w:val="1"/>
          <w:wAfter w:w="16" w:type="dxa"/>
        </w:trPr>
        <w:tc>
          <w:tcPr>
            <w:tcW w:w="2893" w:type="dxa"/>
          </w:tcPr>
          <w:p w14:paraId="65A0A268" w14:textId="77777777" w:rsidR="00C21071" w:rsidRPr="00973525" w:rsidRDefault="00C21071" w:rsidP="00C21071">
            <w:pPr>
              <w:rPr>
                <w:sz w:val="18"/>
                <w:szCs w:val="18"/>
                <w:lang w:val="en-GB"/>
              </w:rPr>
            </w:pPr>
            <w:r w:rsidRPr="00973525">
              <w:rPr>
                <w:sz w:val="18"/>
                <w:szCs w:val="18"/>
                <w:lang w:val="en-GB"/>
              </w:rPr>
              <w:t xml:space="preserve">Question 9.14. Do you consider that the ESAs’ </w:t>
            </w:r>
            <w:r w:rsidRPr="00973525">
              <w:rPr>
                <w:b/>
                <w:bCs/>
                <w:sz w:val="18"/>
                <w:szCs w:val="18"/>
                <w:lang w:val="en-GB"/>
              </w:rPr>
              <w:t>proposed</w:t>
            </w:r>
            <w:r w:rsidRPr="00973525">
              <w:rPr>
                <w:sz w:val="18"/>
                <w:szCs w:val="18"/>
                <w:lang w:val="en-GB"/>
              </w:rPr>
              <w:t xml:space="preserve"> accompanying </w:t>
            </w:r>
            <w:r w:rsidRPr="00973525">
              <w:rPr>
                <w:b/>
                <w:bCs/>
                <w:sz w:val="18"/>
                <w:szCs w:val="18"/>
                <w:lang w:val="en-GB"/>
              </w:rPr>
              <w:t>safeguard,</w:t>
            </w:r>
            <w:r w:rsidRPr="00973525">
              <w:rPr>
                <w:sz w:val="18"/>
                <w:szCs w:val="18"/>
                <w:lang w:val="en-GB"/>
              </w:rPr>
              <w:t xml:space="preserve"> with respect to the thickness of the sold non</w:t>
            </w:r>
            <w:r w:rsidRPr="00973525">
              <w:rPr>
                <w:sz w:val="18"/>
                <w:szCs w:val="18"/>
                <w:lang w:val="en-GB"/>
              </w:rPr>
              <w:noBreakHyphen/>
              <w:t xml:space="preserve">senior tranches, is proportionate and </w:t>
            </w:r>
            <w:r w:rsidRPr="00973525">
              <w:rPr>
                <w:b/>
                <w:bCs/>
                <w:sz w:val="18"/>
                <w:szCs w:val="18"/>
                <w:lang w:val="en-GB"/>
              </w:rPr>
              <w:t>adequate</w:t>
            </w:r>
            <w:r w:rsidRPr="00973525">
              <w:rPr>
                <w:sz w:val="18"/>
                <w:szCs w:val="18"/>
                <w:lang w:val="en-GB"/>
              </w:rPr>
              <w:t xml:space="preserve"> in terms of ensuring the </w:t>
            </w:r>
            <w:r w:rsidRPr="00973525">
              <w:rPr>
                <w:b/>
                <w:bCs/>
                <w:sz w:val="18"/>
                <w:szCs w:val="18"/>
                <w:lang w:val="en-GB"/>
              </w:rPr>
              <w:t>resilience</w:t>
            </w:r>
            <w:r w:rsidRPr="00973525">
              <w:rPr>
                <w:sz w:val="18"/>
                <w:szCs w:val="18"/>
                <w:lang w:val="en-GB"/>
              </w:rPr>
              <w:t xml:space="preserve"> of the transactions?</w:t>
            </w:r>
          </w:p>
          <w:p w14:paraId="6A71D678" w14:textId="77777777" w:rsidR="00C21071" w:rsidRPr="00973525" w:rsidRDefault="00C21071" w:rsidP="00C21071">
            <w:pPr>
              <w:rPr>
                <w:sz w:val="18"/>
                <w:szCs w:val="18"/>
                <w:lang w:val="en-GB"/>
              </w:rPr>
            </w:pPr>
          </w:p>
        </w:tc>
        <w:tc>
          <w:tcPr>
            <w:tcW w:w="7740" w:type="dxa"/>
          </w:tcPr>
          <w:p w14:paraId="1330330F" w14:textId="77777777" w:rsidR="00C21071" w:rsidRPr="00973525" w:rsidRDefault="00C21071" w:rsidP="00C21071">
            <w:pPr>
              <w:rPr>
                <w:sz w:val="18"/>
                <w:szCs w:val="18"/>
                <w:lang w:val="en-GB"/>
              </w:rPr>
            </w:pPr>
            <w:r w:rsidRPr="00973525">
              <w:rPr>
                <w:sz w:val="18"/>
                <w:szCs w:val="18"/>
                <w:lang w:val="en-GB"/>
              </w:rPr>
              <w:t>Answer</w:t>
            </w:r>
          </w:p>
          <w:p w14:paraId="3B2372BC" w14:textId="77777777" w:rsidR="00C21071" w:rsidRPr="00973525" w:rsidRDefault="00000000" w:rsidP="00C21071">
            <w:pPr>
              <w:rPr>
                <w:sz w:val="18"/>
                <w:szCs w:val="18"/>
                <w:lang w:val="en-GB"/>
              </w:rPr>
            </w:pPr>
            <w:sdt>
              <w:sdtPr>
                <w:rPr>
                  <w:sz w:val="18"/>
                  <w:szCs w:val="18"/>
                  <w:lang w:val="en-GB"/>
                </w:rPr>
                <w:id w:val="-1834131071"/>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59F5572F" w14:textId="77777777" w:rsidR="00C21071" w:rsidRPr="00973525" w:rsidRDefault="00000000" w:rsidP="00C21071">
            <w:pPr>
              <w:rPr>
                <w:b/>
                <w:bCs/>
                <w:sz w:val="18"/>
                <w:szCs w:val="18"/>
                <w:lang w:val="en-GB"/>
              </w:rPr>
            </w:pPr>
            <w:sdt>
              <w:sdtPr>
                <w:rPr>
                  <w:b/>
                  <w:bCs/>
                  <w:sz w:val="18"/>
                  <w:szCs w:val="18"/>
                  <w:lang w:val="en-GB"/>
                </w:rPr>
                <w:id w:val="-250661430"/>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No</w:t>
            </w:r>
          </w:p>
          <w:p w14:paraId="341E8B74" w14:textId="77777777" w:rsidR="00C21071" w:rsidRPr="00973525" w:rsidRDefault="00000000" w:rsidP="00C21071">
            <w:pPr>
              <w:rPr>
                <w:sz w:val="18"/>
                <w:szCs w:val="18"/>
                <w:lang w:val="en-US"/>
              </w:rPr>
            </w:pPr>
            <w:sdt>
              <w:sdtPr>
                <w:rPr>
                  <w:sz w:val="18"/>
                  <w:szCs w:val="18"/>
                  <w:lang w:val="en-GB"/>
                </w:rPr>
                <w:id w:val="-360671354"/>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12D8B1C4" w14:textId="77777777" w:rsidR="00C21071" w:rsidRPr="00973525" w:rsidRDefault="00C21071" w:rsidP="00C21071">
            <w:pPr>
              <w:rPr>
                <w:sz w:val="18"/>
                <w:szCs w:val="18"/>
                <w:lang w:val="en-US"/>
              </w:rPr>
            </w:pPr>
          </w:p>
          <w:p w14:paraId="2C3DB65A" w14:textId="77777777" w:rsidR="00C21071" w:rsidRPr="00973525" w:rsidRDefault="00C21071" w:rsidP="00C21071">
            <w:pPr>
              <w:rPr>
                <w:sz w:val="18"/>
                <w:szCs w:val="18"/>
                <w:lang w:val="en-US"/>
              </w:rPr>
            </w:pPr>
          </w:p>
        </w:tc>
        <w:tc>
          <w:tcPr>
            <w:tcW w:w="236" w:type="dxa"/>
          </w:tcPr>
          <w:p w14:paraId="56895EBB" w14:textId="77777777" w:rsidR="00C21071" w:rsidRPr="00973525" w:rsidRDefault="00C21071" w:rsidP="0079353D">
            <w:pPr>
              <w:ind w:firstLine="1917"/>
              <w:rPr>
                <w:sz w:val="18"/>
                <w:szCs w:val="18"/>
                <w:lang w:val="en-GB"/>
              </w:rPr>
            </w:pPr>
          </w:p>
        </w:tc>
      </w:tr>
      <w:tr w:rsidR="00C21071" w:rsidRPr="0000602A" w14:paraId="36517BFB" w14:textId="77777777" w:rsidTr="30964D0C">
        <w:trPr>
          <w:gridAfter w:val="1"/>
          <w:wAfter w:w="16" w:type="dxa"/>
        </w:trPr>
        <w:tc>
          <w:tcPr>
            <w:tcW w:w="2893" w:type="dxa"/>
          </w:tcPr>
          <w:p w14:paraId="4449A08E" w14:textId="77777777" w:rsidR="00C21071" w:rsidRPr="00973525" w:rsidRDefault="00C21071" w:rsidP="00C21071">
            <w:pPr>
              <w:rPr>
                <w:sz w:val="18"/>
                <w:szCs w:val="18"/>
                <w:lang w:val="en-GB"/>
              </w:rPr>
            </w:pPr>
            <w:r w:rsidRPr="00973525">
              <w:rPr>
                <w:sz w:val="18"/>
                <w:szCs w:val="18"/>
                <w:lang w:val="en-GB"/>
              </w:rPr>
              <w:t xml:space="preserve">Question 9.15. If you answered no to question 9.14., please </w:t>
            </w:r>
            <w:r w:rsidRPr="00973525">
              <w:rPr>
                <w:b/>
                <w:bCs/>
                <w:sz w:val="18"/>
                <w:szCs w:val="18"/>
                <w:lang w:val="en-GB"/>
              </w:rPr>
              <w:t>provide and explain</w:t>
            </w:r>
            <w:r w:rsidRPr="00973525">
              <w:rPr>
                <w:sz w:val="18"/>
                <w:szCs w:val="18"/>
                <w:lang w:val="en-GB"/>
              </w:rPr>
              <w:t xml:space="preserve"> alternative </w:t>
            </w:r>
            <w:r w:rsidRPr="00973525">
              <w:rPr>
                <w:b/>
                <w:bCs/>
                <w:sz w:val="18"/>
                <w:szCs w:val="18"/>
                <w:lang w:val="en-GB"/>
              </w:rPr>
              <w:t>proposals</w:t>
            </w:r>
            <w:r w:rsidRPr="00973525">
              <w:rPr>
                <w:sz w:val="18"/>
                <w:szCs w:val="18"/>
                <w:lang w:val="en-GB"/>
              </w:rPr>
              <w:t xml:space="preserve"> to ensure a </w:t>
            </w:r>
            <w:r w:rsidRPr="00973525">
              <w:rPr>
                <w:b/>
                <w:bCs/>
                <w:sz w:val="18"/>
                <w:szCs w:val="18"/>
                <w:lang w:val="en-GB"/>
              </w:rPr>
              <w:t>sufficient thickness</w:t>
            </w:r>
            <w:r w:rsidRPr="00973525">
              <w:rPr>
                <w:sz w:val="18"/>
                <w:szCs w:val="18"/>
                <w:lang w:val="en-GB"/>
              </w:rPr>
              <w:t xml:space="preserve"> of the </w:t>
            </w:r>
            <w:r w:rsidRPr="00973525">
              <w:rPr>
                <w:b/>
                <w:bCs/>
                <w:sz w:val="18"/>
                <w:szCs w:val="18"/>
                <w:lang w:val="en-GB"/>
              </w:rPr>
              <w:t>sold non</w:t>
            </w:r>
            <w:r w:rsidRPr="00973525">
              <w:rPr>
                <w:b/>
                <w:bCs/>
                <w:sz w:val="18"/>
                <w:szCs w:val="18"/>
                <w:lang w:val="en-GB"/>
              </w:rPr>
              <w:noBreakHyphen/>
              <w:t>senior tranches</w:t>
            </w:r>
            <w:r w:rsidRPr="00973525">
              <w:rPr>
                <w:sz w:val="18"/>
                <w:szCs w:val="18"/>
                <w:lang w:val="en-GB"/>
              </w:rPr>
              <w:t xml:space="preserve"> to justify a possible </w:t>
            </w:r>
            <w:r w:rsidRPr="00973525">
              <w:rPr>
                <w:b/>
                <w:bCs/>
                <w:sz w:val="18"/>
                <w:szCs w:val="18"/>
                <w:lang w:val="en-GB"/>
              </w:rPr>
              <w:t>reduction</w:t>
            </w:r>
            <w:r w:rsidRPr="00973525">
              <w:rPr>
                <w:sz w:val="18"/>
                <w:szCs w:val="18"/>
                <w:lang w:val="en-GB"/>
              </w:rPr>
              <w:t xml:space="preserve"> of the risk</w:t>
            </w:r>
            <w:r w:rsidRPr="00973525">
              <w:rPr>
                <w:sz w:val="18"/>
                <w:szCs w:val="18"/>
                <w:lang w:val="en-GB"/>
              </w:rPr>
              <w:noBreakHyphen/>
              <w:t xml:space="preserve">weight </w:t>
            </w:r>
            <w:r w:rsidRPr="00973525">
              <w:rPr>
                <w:b/>
                <w:bCs/>
                <w:sz w:val="18"/>
                <w:szCs w:val="18"/>
                <w:lang w:val="en-GB"/>
              </w:rPr>
              <w:t>floor</w:t>
            </w:r>
            <w:r w:rsidRPr="00973525">
              <w:rPr>
                <w:sz w:val="18"/>
                <w:szCs w:val="18"/>
                <w:lang w:val="en-GB"/>
              </w:rPr>
              <w:t xml:space="preserve"> in an efficient and prudent manner.</w:t>
            </w:r>
          </w:p>
          <w:p w14:paraId="1AEE7336" w14:textId="77777777" w:rsidR="00C21071" w:rsidRPr="00973525" w:rsidRDefault="00C21071" w:rsidP="00C21071">
            <w:pPr>
              <w:rPr>
                <w:sz w:val="18"/>
                <w:szCs w:val="18"/>
                <w:lang w:val="en-GB"/>
              </w:rPr>
            </w:pPr>
          </w:p>
        </w:tc>
        <w:tc>
          <w:tcPr>
            <w:tcW w:w="7740" w:type="dxa"/>
          </w:tcPr>
          <w:p w14:paraId="03DB1241" w14:textId="4AE1A4FC" w:rsidR="00C21071" w:rsidRPr="00973525" w:rsidRDefault="00C21071" w:rsidP="00C21071">
            <w:pPr>
              <w:rPr>
                <w:sz w:val="18"/>
                <w:szCs w:val="18"/>
                <w:lang w:val="en-US"/>
              </w:rPr>
            </w:pPr>
            <w:proofErr w:type="gramStart"/>
            <w:r w:rsidRPr="00973525">
              <w:rPr>
                <w:sz w:val="18"/>
                <w:szCs w:val="18"/>
                <w:lang w:val="en-US"/>
              </w:rPr>
              <w:t>NO</w:t>
            </w:r>
            <w:proofErr w:type="gramEnd"/>
            <w:r w:rsidRPr="00973525">
              <w:rPr>
                <w:sz w:val="18"/>
                <w:szCs w:val="18"/>
                <w:lang w:val="en-US"/>
              </w:rPr>
              <w:t xml:space="preserve"> This proposal is neither proportionate nor adequate.</w:t>
            </w:r>
          </w:p>
          <w:p w14:paraId="13823CFE" w14:textId="77777777" w:rsidR="00C21071" w:rsidRPr="00973525" w:rsidRDefault="00C21071" w:rsidP="00C21071">
            <w:pPr>
              <w:rPr>
                <w:sz w:val="18"/>
                <w:szCs w:val="18"/>
                <w:lang w:val="en-US"/>
              </w:rPr>
            </w:pPr>
          </w:p>
          <w:p w14:paraId="24E08781" w14:textId="4E630F28" w:rsidR="00C21071" w:rsidRPr="00973525" w:rsidRDefault="00C21071" w:rsidP="00C21071">
            <w:pPr>
              <w:rPr>
                <w:sz w:val="18"/>
                <w:szCs w:val="18"/>
                <w:lang w:val="en-US"/>
              </w:rPr>
            </w:pPr>
            <w:r w:rsidRPr="00973525">
              <w:rPr>
                <w:sz w:val="18"/>
                <w:szCs w:val="18"/>
                <w:lang w:val="en-US"/>
              </w:rPr>
              <w:t xml:space="preserve">Under the current framework, sold non-senior tranches </w:t>
            </w:r>
            <w:r w:rsidR="00DA6B68" w:rsidRPr="00973525">
              <w:rPr>
                <w:sz w:val="18"/>
                <w:szCs w:val="18"/>
                <w:lang w:val="en-US"/>
              </w:rPr>
              <w:t>must</w:t>
            </w:r>
            <w:r w:rsidRPr="00973525">
              <w:rPr>
                <w:sz w:val="18"/>
                <w:szCs w:val="18"/>
                <w:lang w:val="en-US"/>
              </w:rPr>
              <w:t xml:space="preserve"> detach above pool’s </w:t>
            </w:r>
            <w:proofErr w:type="spellStart"/>
            <w:r w:rsidRPr="00973525">
              <w:rPr>
                <w:sz w:val="18"/>
                <w:szCs w:val="18"/>
                <w:lang w:val="en-US"/>
              </w:rPr>
              <w:t>Kirb</w:t>
            </w:r>
            <w:proofErr w:type="spellEnd"/>
            <w:r w:rsidRPr="00973525">
              <w:rPr>
                <w:sz w:val="18"/>
                <w:szCs w:val="18"/>
                <w:lang w:val="en-US"/>
              </w:rPr>
              <w:t>/</w:t>
            </w:r>
            <w:proofErr w:type="spellStart"/>
            <w:r w:rsidRPr="00973525">
              <w:rPr>
                <w:sz w:val="18"/>
                <w:szCs w:val="18"/>
                <w:lang w:val="en-US"/>
              </w:rPr>
              <w:t>Ksa</w:t>
            </w:r>
            <w:proofErr w:type="spellEnd"/>
            <w:r w:rsidRPr="00973525">
              <w:rPr>
                <w:sz w:val="18"/>
                <w:szCs w:val="18"/>
                <w:lang w:val="en-US"/>
              </w:rPr>
              <w:t>, otherwise the transaction is not efficient, and it does not provide “</w:t>
            </w:r>
            <w:r w:rsidR="001B54D6">
              <w:rPr>
                <w:sz w:val="18"/>
                <w:szCs w:val="18"/>
                <w:lang w:val="en-US"/>
              </w:rPr>
              <w:t>C</w:t>
            </w:r>
            <w:r w:rsidRPr="00973525">
              <w:rPr>
                <w:sz w:val="18"/>
                <w:szCs w:val="18"/>
                <w:lang w:val="en-US"/>
              </w:rPr>
              <w:t xml:space="preserve">ommensurate </w:t>
            </w:r>
            <w:r w:rsidR="001B54D6">
              <w:rPr>
                <w:sz w:val="18"/>
                <w:szCs w:val="18"/>
                <w:lang w:val="en-US"/>
              </w:rPr>
              <w:t>R</w:t>
            </w:r>
            <w:r w:rsidRPr="00973525">
              <w:rPr>
                <w:sz w:val="18"/>
                <w:szCs w:val="18"/>
                <w:lang w:val="en-US"/>
              </w:rPr>
              <w:t xml:space="preserve">isk </w:t>
            </w:r>
            <w:r w:rsidR="005C7636">
              <w:rPr>
                <w:sz w:val="18"/>
                <w:szCs w:val="18"/>
                <w:lang w:val="en-US"/>
              </w:rPr>
              <w:t>T</w:t>
            </w:r>
            <w:r w:rsidRPr="00973525">
              <w:rPr>
                <w:sz w:val="18"/>
                <w:szCs w:val="18"/>
                <w:lang w:val="en-US"/>
              </w:rPr>
              <w:t xml:space="preserve">ransfer”, hence the JST would object to it. </w:t>
            </w:r>
          </w:p>
          <w:p w14:paraId="3D4D29F7" w14:textId="77777777" w:rsidR="00C21071" w:rsidRPr="00973525" w:rsidRDefault="00C21071" w:rsidP="00C21071">
            <w:pPr>
              <w:rPr>
                <w:sz w:val="18"/>
                <w:szCs w:val="18"/>
                <w:lang w:val="en-US"/>
              </w:rPr>
            </w:pPr>
            <w:r w:rsidRPr="00973525">
              <w:rPr>
                <w:sz w:val="18"/>
                <w:szCs w:val="18"/>
                <w:lang w:val="en-US"/>
              </w:rPr>
              <w:t xml:space="preserve">Hence, </w:t>
            </w:r>
            <w:r w:rsidRPr="00973525">
              <w:rPr>
                <w:b/>
                <w:bCs/>
                <w:sz w:val="18"/>
                <w:szCs w:val="18"/>
                <w:lang w:val="en-US"/>
              </w:rPr>
              <w:t>by definition, all live transactions “sold non-senior tranches” are thick enough.</w:t>
            </w:r>
            <w:r w:rsidRPr="00973525">
              <w:rPr>
                <w:sz w:val="18"/>
                <w:szCs w:val="18"/>
                <w:lang w:val="en-US"/>
              </w:rPr>
              <w:t xml:space="preserve"> </w:t>
            </w:r>
          </w:p>
          <w:p w14:paraId="7A3BC886" w14:textId="77777777" w:rsidR="00C21071" w:rsidRPr="00973525" w:rsidRDefault="00C21071" w:rsidP="00C21071">
            <w:pPr>
              <w:rPr>
                <w:sz w:val="18"/>
                <w:szCs w:val="18"/>
                <w:lang w:val="en-US"/>
              </w:rPr>
            </w:pPr>
          </w:p>
          <w:p w14:paraId="0A2A638E" w14:textId="72B91457" w:rsidR="00C21071" w:rsidRPr="00973525" w:rsidRDefault="00C21071" w:rsidP="00C21071">
            <w:pPr>
              <w:rPr>
                <w:sz w:val="18"/>
                <w:szCs w:val="18"/>
                <w:lang w:val="en-GB"/>
              </w:rPr>
            </w:pPr>
            <w:r w:rsidRPr="00973525">
              <w:rPr>
                <w:sz w:val="18"/>
                <w:szCs w:val="18"/>
                <w:lang w:val="en-US"/>
              </w:rPr>
              <w:t xml:space="preserve">As a reminder, before securitisation, originators/banks hold capital up to </w:t>
            </w:r>
            <w:proofErr w:type="spellStart"/>
            <w:r w:rsidRPr="00973525">
              <w:rPr>
                <w:sz w:val="18"/>
                <w:szCs w:val="18"/>
                <w:lang w:val="en-US"/>
              </w:rPr>
              <w:t>Kirb</w:t>
            </w:r>
            <w:proofErr w:type="spellEnd"/>
            <w:r w:rsidRPr="00973525">
              <w:rPr>
                <w:sz w:val="18"/>
                <w:szCs w:val="18"/>
                <w:lang w:val="en-US"/>
              </w:rPr>
              <w:t>/</w:t>
            </w:r>
            <w:proofErr w:type="spellStart"/>
            <w:r w:rsidRPr="00973525">
              <w:rPr>
                <w:sz w:val="18"/>
                <w:szCs w:val="18"/>
                <w:lang w:val="en-US"/>
              </w:rPr>
              <w:t>Ksa</w:t>
            </w:r>
            <w:proofErr w:type="spellEnd"/>
            <w:r w:rsidRPr="00973525">
              <w:rPr>
                <w:sz w:val="18"/>
                <w:szCs w:val="18"/>
                <w:lang w:val="en-US"/>
              </w:rPr>
              <w:t xml:space="preserve">, so they are at most as protected as after securitisation: in most, if not all cases, originators/banks are better-off after securitisations. </w:t>
            </w:r>
          </w:p>
          <w:p w14:paraId="6BEF23C8" w14:textId="77777777" w:rsidR="00C21071" w:rsidRPr="00973525" w:rsidRDefault="00C21071" w:rsidP="00C21071">
            <w:pPr>
              <w:rPr>
                <w:sz w:val="18"/>
                <w:szCs w:val="18"/>
                <w:lang w:val="en-US"/>
              </w:rPr>
            </w:pPr>
          </w:p>
          <w:p w14:paraId="67465194" w14:textId="57F7C899" w:rsidR="00C21071" w:rsidRPr="00973525" w:rsidRDefault="00C21071" w:rsidP="00C21071">
            <w:pPr>
              <w:rPr>
                <w:sz w:val="18"/>
                <w:szCs w:val="18"/>
                <w:lang w:val="en-US"/>
              </w:rPr>
            </w:pPr>
            <w:r w:rsidRPr="00973525">
              <w:rPr>
                <w:sz w:val="18"/>
                <w:szCs w:val="18"/>
                <w:lang w:val="en-US"/>
              </w:rPr>
              <w:t xml:space="preserve">That’s why one should question the need for such a </w:t>
            </w:r>
            <w:r w:rsidRPr="00973525">
              <w:rPr>
                <w:b/>
                <w:bCs/>
                <w:sz w:val="18"/>
                <w:szCs w:val="18"/>
                <w:lang w:val="en-US"/>
              </w:rPr>
              <w:t>Thickness constraint</w:t>
            </w:r>
            <w:r w:rsidRPr="00973525">
              <w:rPr>
                <w:sz w:val="18"/>
                <w:szCs w:val="18"/>
                <w:lang w:val="en-US"/>
              </w:rPr>
              <w:t xml:space="preserve"> (since regulatory formulas already consider the distribution of risk).</w:t>
            </w:r>
          </w:p>
          <w:p w14:paraId="608771E4" w14:textId="63FD7D19" w:rsidR="00C21071" w:rsidRPr="00973525" w:rsidRDefault="00C21071" w:rsidP="00C21071">
            <w:pPr>
              <w:rPr>
                <w:sz w:val="18"/>
                <w:szCs w:val="18"/>
                <w:lang w:val="en-US"/>
              </w:rPr>
            </w:pPr>
            <w:r w:rsidRPr="00973525">
              <w:rPr>
                <w:sz w:val="18"/>
                <w:szCs w:val="18"/>
                <w:lang w:val="en-US"/>
              </w:rPr>
              <w:t>It should rather be removed for efficiency of the regulation.</w:t>
            </w:r>
          </w:p>
          <w:p w14:paraId="48C6A679" w14:textId="426F1897" w:rsidR="00C21071" w:rsidRPr="00973525" w:rsidRDefault="00C21071" w:rsidP="00C21071">
            <w:pPr>
              <w:rPr>
                <w:sz w:val="18"/>
                <w:szCs w:val="18"/>
                <w:lang w:val="en-GB"/>
              </w:rPr>
            </w:pPr>
          </w:p>
        </w:tc>
        <w:tc>
          <w:tcPr>
            <w:tcW w:w="236" w:type="dxa"/>
          </w:tcPr>
          <w:p w14:paraId="07ED5138" w14:textId="77777777" w:rsidR="00C21071" w:rsidRPr="00973525" w:rsidRDefault="00C21071" w:rsidP="0079353D">
            <w:pPr>
              <w:ind w:firstLine="1917"/>
              <w:rPr>
                <w:sz w:val="18"/>
                <w:szCs w:val="18"/>
                <w:lang w:val="en-US"/>
              </w:rPr>
            </w:pPr>
          </w:p>
        </w:tc>
      </w:tr>
      <w:tr w:rsidR="00C21071" w:rsidRPr="0000602A" w14:paraId="45980764" w14:textId="77777777" w:rsidTr="30964D0C">
        <w:trPr>
          <w:gridAfter w:val="1"/>
          <w:wAfter w:w="16" w:type="dxa"/>
        </w:trPr>
        <w:tc>
          <w:tcPr>
            <w:tcW w:w="2893" w:type="dxa"/>
          </w:tcPr>
          <w:p w14:paraId="2F51FEA0" w14:textId="2AC5F6AB" w:rsidR="00C21071" w:rsidRPr="00973525" w:rsidRDefault="00C21071" w:rsidP="00C21071">
            <w:pPr>
              <w:rPr>
                <w:sz w:val="18"/>
                <w:szCs w:val="18"/>
                <w:lang w:val="en-GB"/>
              </w:rPr>
            </w:pPr>
            <w:r w:rsidRPr="00973525">
              <w:rPr>
                <w:sz w:val="18"/>
                <w:szCs w:val="18"/>
                <w:lang w:val="en-GB"/>
              </w:rPr>
              <w:t xml:space="preserve">Question 9.16. Do you consider that the </w:t>
            </w:r>
            <w:r w:rsidRPr="00973525">
              <w:rPr>
                <w:b/>
                <w:bCs/>
                <w:sz w:val="18"/>
                <w:szCs w:val="18"/>
                <w:lang w:val="en-GB"/>
              </w:rPr>
              <w:t>other three safeguards as proposed by the ESAs</w:t>
            </w:r>
            <w:r w:rsidRPr="00973525">
              <w:rPr>
                <w:sz w:val="18"/>
                <w:szCs w:val="18"/>
                <w:lang w:val="en-GB"/>
              </w:rPr>
              <w:t xml:space="preserve"> (amortisation structure, granularity and, for synthetic securitisations only, counterparty credit risk) are proportionate and adequate in terms of ensuring the resilience of the transactions?</w:t>
            </w:r>
          </w:p>
        </w:tc>
        <w:tc>
          <w:tcPr>
            <w:tcW w:w="7740" w:type="dxa"/>
          </w:tcPr>
          <w:p w14:paraId="5D4EFC8B" w14:textId="77777777" w:rsidR="00C21071" w:rsidRPr="00973525" w:rsidRDefault="00C21071" w:rsidP="00C21071">
            <w:pPr>
              <w:rPr>
                <w:sz w:val="18"/>
                <w:szCs w:val="18"/>
                <w:lang w:val="en-US"/>
              </w:rPr>
            </w:pPr>
          </w:p>
          <w:p w14:paraId="3A3B35FD" w14:textId="77777777" w:rsidR="00C21071" w:rsidRPr="00973525" w:rsidRDefault="00C21071" w:rsidP="00C21071">
            <w:pPr>
              <w:rPr>
                <w:sz w:val="18"/>
                <w:szCs w:val="18"/>
                <w:lang w:val="en-GB"/>
              </w:rPr>
            </w:pPr>
            <w:r w:rsidRPr="00973525">
              <w:rPr>
                <w:sz w:val="18"/>
                <w:szCs w:val="18"/>
                <w:lang w:val="en-GB"/>
              </w:rPr>
              <w:t>Answer</w:t>
            </w:r>
          </w:p>
          <w:p w14:paraId="0C930E6B" w14:textId="0C24DBD2" w:rsidR="00C21071" w:rsidRPr="00973525" w:rsidRDefault="00000000" w:rsidP="00C21071">
            <w:pPr>
              <w:rPr>
                <w:sz w:val="18"/>
                <w:szCs w:val="18"/>
                <w:lang w:val="en-GB"/>
              </w:rPr>
            </w:pPr>
            <w:sdt>
              <w:sdtPr>
                <w:rPr>
                  <w:sz w:val="18"/>
                  <w:szCs w:val="18"/>
                  <w:lang w:val="en-GB"/>
                </w:rPr>
                <w:id w:val="1571693572"/>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Yes</w:t>
            </w:r>
          </w:p>
          <w:p w14:paraId="009CDABE" w14:textId="3013A743" w:rsidR="00C21071" w:rsidRPr="00973525" w:rsidRDefault="00000000" w:rsidP="00C21071">
            <w:pPr>
              <w:rPr>
                <w:b/>
                <w:bCs/>
                <w:sz w:val="18"/>
                <w:szCs w:val="18"/>
                <w:lang w:val="en-GB"/>
              </w:rPr>
            </w:pPr>
            <w:sdt>
              <w:sdtPr>
                <w:rPr>
                  <w:b/>
                  <w:bCs/>
                  <w:sz w:val="18"/>
                  <w:szCs w:val="18"/>
                  <w:lang w:val="en-GB"/>
                </w:rPr>
                <w:id w:val="135464261"/>
                <w14:checkbox>
                  <w14:checked w14:val="1"/>
                  <w14:checkedState w14:val="2612" w14:font="MS Gothic"/>
                  <w14:uncheckedState w14:val="2610" w14:font="MS Gothic"/>
                </w14:checkbox>
              </w:sdtPr>
              <w:sdtContent>
                <w:r w:rsidR="00C21071" w:rsidRPr="00973525">
                  <w:rPr>
                    <w:rFonts w:ascii="MS Gothic" w:eastAsia="MS Gothic" w:hAnsi="MS Gothic" w:hint="eastAsia"/>
                    <w:b/>
                    <w:bCs/>
                    <w:sz w:val="18"/>
                    <w:szCs w:val="18"/>
                    <w:lang w:val="en-GB"/>
                  </w:rPr>
                  <w:t>☒</w:t>
                </w:r>
              </w:sdtContent>
            </w:sdt>
            <w:r w:rsidR="00C21071" w:rsidRPr="00973525">
              <w:rPr>
                <w:b/>
                <w:bCs/>
                <w:sz w:val="18"/>
                <w:szCs w:val="18"/>
                <w:lang w:val="en-GB"/>
              </w:rPr>
              <w:t>No</w:t>
            </w:r>
          </w:p>
          <w:p w14:paraId="77A203A2" w14:textId="3E7934E5" w:rsidR="00C21071" w:rsidRPr="00973525" w:rsidRDefault="00000000" w:rsidP="00C21071">
            <w:pPr>
              <w:rPr>
                <w:sz w:val="18"/>
                <w:szCs w:val="18"/>
                <w:lang w:val="en-GB"/>
              </w:rPr>
            </w:pPr>
            <w:sdt>
              <w:sdtPr>
                <w:rPr>
                  <w:sz w:val="18"/>
                  <w:szCs w:val="18"/>
                  <w:lang w:val="en-GB"/>
                </w:rPr>
                <w:id w:val="1904022149"/>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tc>
        <w:tc>
          <w:tcPr>
            <w:tcW w:w="236" w:type="dxa"/>
          </w:tcPr>
          <w:p w14:paraId="1D7250F2" w14:textId="70536E21" w:rsidR="00C21071" w:rsidRPr="00973525" w:rsidRDefault="00C21071" w:rsidP="0079353D">
            <w:pPr>
              <w:pStyle w:val="Corpsdetexte"/>
              <w:spacing w:before="21"/>
              <w:ind w:firstLine="1917"/>
              <w:jc w:val="both"/>
              <w:rPr>
                <w:sz w:val="18"/>
                <w:szCs w:val="18"/>
                <w:lang w:val="en-GB"/>
              </w:rPr>
            </w:pPr>
          </w:p>
        </w:tc>
      </w:tr>
      <w:tr w:rsidR="00C21071" w:rsidRPr="0000602A" w14:paraId="3B466DF2" w14:textId="77777777" w:rsidTr="30964D0C">
        <w:trPr>
          <w:gridAfter w:val="1"/>
          <w:wAfter w:w="16" w:type="dxa"/>
        </w:trPr>
        <w:tc>
          <w:tcPr>
            <w:tcW w:w="2893" w:type="dxa"/>
          </w:tcPr>
          <w:p w14:paraId="7D1158A5" w14:textId="77777777" w:rsidR="00C21071" w:rsidRPr="00973525" w:rsidRDefault="00C21071" w:rsidP="00C21071">
            <w:pPr>
              <w:rPr>
                <w:sz w:val="18"/>
                <w:szCs w:val="18"/>
                <w:lang w:val="en-GB"/>
              </w:rPr>
            </w:pPr>
            <w:r w:rsidRPr="00973525">
              <w:rPr>
                <w:sz w:val="18"/>
                <w:szCs w:val="18"/>
                <w:lang w:val="en-GB"/>
              </w:rPr>
              <w:t xml:space="preserve">Question 9.17. If you answered no to question 9.16., please </w:t>
            </w:r>
            <w:r w:rsidRPr="00973525">
              <w:rPr>
                <w:b/>
                <w:bCs/>
                <w:sz w:val="18"/>
                <w:szCs w:val="18"/>
                <w:lang w:val="en-GB"/>
              </w:rPr>
              <w:t>provide and explain alternative</w:t>
            </w:r>
            <w:r w:rsidRPr="00973525">
              <w:rPr>
                <w:sz w:val="18"/>
                <w:szCs w:val="18"/>
                <w:lang w:val="en-GB"/>
              </w:rPr>
              <w:t xml:space="preserve"> proposals for </w:t>
            </w:r>
            <w:r w:rsidRPr="00973525">
              <w:rPr>
                <w:b/>
                <w:bCs/>
                <w:sz w:val="18"/>
                <w:szCs w:val="18"/>
                <w:lang w:val="en-GB"/>
              </w:rPr>
              <w:t>safeguards</w:t>
            </w:r>
            <w:r w:rsidRPr="00973525">
              <w:rPr>
                <w:sz w:val="18"/>
                <w:szCs w:val="18"/>
                <w:lang w:val="en-GB"/>
              </w:rPr>
              <w:t xml:space="preserve"> that would effectively ensure the resilience of the transaction and would </w:t>
            </w:r>
            <w:r w:rsidRPr="00973525">
              <w:rPr>
                <w:b/>
                <w:bCs/>
                <w:sz w:val="18"/>
                <w:szCs w:val="18"/>
                <w:lang w:val="en-GB"/>
              </w:rPr>
              <w:t>justify the reduction</w:t>
            </w:r>
            <w:r w:rsidRPr="00973525">
              <w:rPr>
                <w:sz w:val="18"/>
                <w:szCs w:val="18"/>
                <w:lang w:val="en-GB"/>
              </w:rPr>
              <w:t xml:space="preserve"> of risk</w:t>
            </w:r>
            <w:r w:rsidRPr="00973525">
              <w:rPr>
                <w:sz w:val="18"/>
                <w:szCs w:val="18"/>
                <w:lang w:val="en-GB"/>
              </w:rPr>
              <w:noBreakHyphen/>
              <w:t xml:space="preserve">weight </w:t>
            </w:r>
            <w:r w:rsidRPr="00973525">
              <w:rPr>
                <w:b/>
                <w:bCs/>
                <w:sz w:val="18"/>
                <w:szCs w:val="18"/>
                <w:lang w:val="en-GB"/>
              </w:rPr>
              <w:t>floors</w:t>
            </w:r>
            <w:r w:rsidRPr="00973525">
              <w:rPr>
                <w:sz w:val="18"/>
                <w:szCs w:val="18"/>
                <w:lang w:val="en-GB"/>
              </w:rPr>
              <w:t>.</w:t>
            </w:r>
          </w:p>
          <w:p w14:paraId="51CA27F3" w14:textId="77777777" w:rsidR="00C21071" w:rsidRPr="00973525" w:rsidRDefault="00C21071" w:rsidP="00C21071">
            <w:pPr>
              <w:rPr>
                <w:sz w:val="18"/>
                <w:szCs w:val="18"/>
                <w:lang w:val="en-GB"/>
              </w:rPr>
            </w:pPr>
          </w:p>
        </w:tc>
        <w:tc>
          <w:tcPr>
            <w:tcW w:w="7740" w:type="dxa"/>
          </w:tcPr>
          <w:p w14:paraId="7B8372AE" w14:textId="3D725B01" w:rsidR="006130D0" w:rsidRPr="000E0A64" w:rsidRDefault="006130D0" w:rsidP="00C21071">
            <w:pPr>
              <w:pStyle w:val="Corpsdetexte"/>
              <w:spacing w:before="21"/>
              <w:jc w:val="both"/>
              <w:rPr>
                <w:rFonts w:asciiTheme="minorHAnsi" w:eastAsiaTheme="minorHAnsi" w:hAnsiTheme="minorHAnsi" w:cstheme="minorBidi"/>
                <w:kern w:val="2"/>
                <w:sz w:val="18"/>
                <w:szCs w:val="18"/>
                <w14:ligatures w14:val="standardContextual"/>
              </w:rPr>
            </w:pPr>
            <w:r w:rsidRPr="000E0A64">
              <w:rPr>
                <w:rFonts w:asciiTheme="minorHAnsi" w:eastAsiaTheme="minorHAnsi" w:hAnsiTheme="minorHAnsi" w:cstheme="minorBidi"/>
                <w:kern w:val="2"/>
                <w:sz w:val="18"/>
                <w:szCs w:val="18"/>
                <w14:ligatures w14:val="standardContextual"/>
              </w:rPr>
              <w:t xml:space="preserve">For French banks, it is not </w:t>
            </w:r>
            <w:r w:rsidR="00651BEB" w:rsidRPr="000E0A64">
              <w:rPr>
                <w:rFonts w:asciiTheme="minorHAnsi" w:eastAsiaTheme="minorHAnsi" w:hAnsiTheme="minorHAnsi" w:cstheme="minorBidi"/>
                <w:kern w:val="2"/>
                <w:sz w:val="18"/>
                <w:szCs w:val="18"/>
                <w14:ligatures w14:val="standardContextual"/>
              </w:rPr>
              <w:t>recommended</w:t>
            </w:r>
            <w:r w:rsidRPr="000E0A64">
              <w:rPr>
                <w:rFonts w:asciiTheme="minorHAnsi" w:eastAsiaTheme="minorHAnsi" w:hAnsiTheme="minorHAnsi" w:cstheme="minorBidi"/>
                <w:kern w:val="2"/>
                <w:sz w:val="18"/>
                <w:szCs w:val="18"/>
                <w14:ligatures w14:val="standardContextual"/>
              </w:rPr>
              <w:t xml:space="preserve"> to reintroduce any additional safeguards.</w:t>
            </w:r>
          </w:p>
          <w:p w14:paraId="797A3C25" w14:textId="75E38742" w:rsidR="00C21071" w:rsidRPr="00973525" w:rsidRDefault="00C21071" w:rsidP="00C21071">
            <w:pPr>
              <w:pStyle w:val="Corpsdetexte"/>
              <w:spacing w:before="21"/>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The current framework is already very demanding and provides for both significant and commensurate risk transfer. There is no justification for so-called additional “safeguards” since by construction, securitisation transactions effectively transfer risk to investors and since banks, from a risk perspective, are always better-off after securitisation than before securitisation.</w:t>
            </w:r>
          </w:p>
          <w:p w14:paraId="02D9DCC0" w14:textId="6C754B3E" w:rsidR="00C21071" w:rsidRPr="000E0A64" w:rsidRDefault="00C21071" w:rsidP="00C21071">
            <w:pPr>
              <w:rPr>
                <w:sz w:val="18"/>
                <w:szCs w:val="18"/>
                <w:lang w:val="en-US"/>
              </w:rPr>
            </w:pPr>
          </w:p>
          <w:p w14:paraId="2D8526E0" w14:textId="77777777" w:rsidR="008A4C7A" w:rsidRDefault="008A4C7A" w:rsidP="00C21071">
            <w:pPr>
              <w:rPr>
                <w:sz w:val="18"/>
                <w:szCs w:val="18"/>
                <w:lang w:val="en-US"/>
              </w:rPr>
            </w:pPr>
          </w:p>
          <w:p w14:paraId="0DFF4199" w14:textId="77777777" w:rsidR="000D5B6D" w:rsidRPr="000E0A64" w:rsidRDefault="008A4C7A" w:rsidP="008A4C7A">
            <w:pPr>
              <w:rPr>
                <w:sz w:val="18"/>
                <w:szCs w:val="18"/>
                <w:lang w:val="en-US"/>
              </w:rPr>
            </w:pPr>
            <w:r w:rsidRPr="000E0A64">
              <w:rPr>
                <w:sz w:val="18"/>
                <w:szCs w:val="18"/>
                <w:lang w:val="en-US"/>
              </w:rPr>
              <w:t xml:space="preserve">The proposed </w:t>
            </w:r>
            <w:r w:rsidR="003F7F4A" w:rsidRPr="000E0A64">
              <w:rPr>
                <w:sz w:val="18"/>
                <w:szCs w:val="18"/>
                <w:lang w:val="en-US"/>
              </w:rPr>
              <w:t xml:space="preserve">advanced solution "Sensitive RW floor" </w:t>
            </w:r>
            <w:r w:rsidRPr="000E0A64">
              <w:rPr>
                <w:sz w:val="18"/>
                <w:szCs w:val="18"/>
                <w:lang w:val="en-US"/>
              </w:rPr>
              <w:t>(</w:t>
            </w:r>
            <w:r w:rsidR="003F7F4A" w:rsidRPr="000E0A64">
              <w:rPr>
                <w:sz w:val="18"/>
                <w:szCs w:val="18"/>
                <w:lang w:val="en-US"/>
              </w:rPr>
              <w:t>applicable in SA as well as in IRBA, and on the SEC ERBA and SEC IAA tables</w:t>
            </w:r>
            <w:r w:rsidRPr="000E0A64">
              <w:rPr>
                <w:sz w:val="18"/>
                <w:szCs w:val="18"/>
                <w:lang w:val="en-US"/>
              </w:rPr>
              <w:t>)</w:t>
            </w:r>
            <w:r w:rsidR="003F7F4A" w:rsidRPr="000E0A64">
              <w:rPr>
                <w:sz w:val="18"/>
                <w:szCs w:val="18"/>
                <w:lang w:val="en-US"/>
              </w:rPr>
              <w:t xml:space="preserve"> is dynamic</w:t>
            </w:r>
            <w:r w:rsidR="000D5B6D" w:rsidRPr="000E0A64">
              <w:rPr>
                <w:sz w:val="18"/>
                <w:szCs w:val="18"/>
                <w:lang w:val="en-US"/>
              </w:rPr>
              <w:t>.</w:t>
            </w:r>
          </w:p>
          <w:p w14:paraId="112EC98A" w14:textId="04E58BB0" w:rsidR="008E1A5A" w:rsidRPr="000E0A64" w:rsidRDefault="000D5B6D" w:rsidP="008A4C7A">
            <w:pPr>
              <w:rPr>
                <w:sz w:val="18"/>
                <w:szCs w:val="18"/>
                <w:lang w:val="en-US"/>
              </w:rPr>
            </w:pPr>
            <w:r w:rsidRPr="000E0A64">
              <w:rPr>
                <w:sz w:val="18"/>
                <w:szCs w:val="18"/>
                <w:lang w:val="en-US"/>
              </w:rPr>
              <w:t>As such,</w:t>
            </w:r>
            <w:r w:rsidR="00C5697A" w:rsidRPr="000E0A64">
              <w:rPr>
                <w:sz w:val="18"/>
                <w:szCs w:val="18"/>
                <w:lang w:val="en-US"/>
              </w:rPr>
              <w:t xml:space="preserve"> </w:t>
            </w:r>
            <w:r w:rsidR="00EC3DDF" w:rsidRPr="000E0A64">
              <w:rPr>
                <w:sz w:val="18"/>
                <w:szCs w:val="18"/>
                <w:lang w:val="en-US"/>
              </w:rPr>
              <w:t xml:space="preserve">our proposal </w:t>
            </w:r>
            <w:r w:rsidR="003F7F4A" w:rsidRPr="000E0A64">
              <w:rPr>
                <w:sz w:val="18"/>
                <w:szCs w:val="18"/>
                <w:lang w:val="en-US"/>
              </w:rPr>
              <w:t xml:space="preserve">does not necessarily involve </w:t>
            </w:r>
            <w:r w:rsidR="004D4CB4" w:rsidRPr="000E0A64">
              <w:rPr>
                <w:sz w:val="18"/>
                <w:szCs w:val="18"/>
                <w:lang w:val="en-US"/>
              </w:rPr>
              <w:t xml:space="preserve">a systematic </w:t>
            </w:r>
            <w:proofErr w:type="gramStart"/>
            <w:r w:rsidR="003F7F4A" w:rsidRPr="000E0A64">
              <w:rPr>
                <w:sz w:val="18"/>
                <w:szCs w:val="18"/>
                <w:lang w:val="en-US"/>
              </w:rPr>
              <w:t>lowering</w:t>
            </w:r>
            <w:proofErr w:type="gramEnd"/>
            <w:r w:rsidR="003F7F4A" w:rsidRPr="000E0A64">
              <w:rPr>
                <w:sz w:val="18"/>
                <w:szCs w:val="18"/>
                <w:lang w:val="en-US"/>
              </w:rPr>
              <w:t xml:space="preserve"> the floor</w:t>
            </w:r>
            <w:r w:rsidR="00C5697A" w:rsidRPr="000E0A64">
              <w:rPr>
                <w:sz w:val="18"/>
                <w:szCs w:val="18"/>
                <w:lang w:val="en-US"/>
              </w:rPr>
              <w:t xml:space="preserve">. </w:t>
            </w:r>
            <w:proofErr w:type="gramStart"/>
            <w:r w:rsidR="00C5697A" w:rsidRPr="000E0A64">
              <w:rPr>
                <w:sz w:val="18"/>
                <w:szCs w:val="18"/>
                <w:lang w:val="en-US"/>
              </w:rPr>
              <w:t>Floor</w:t>
            </w:r>
            <w:proofErr w:type="gramEnd"/>
            <w:r w:rsidR="00C5697A" w:rsidRPr="000E0A64">
              <w:rPr>
                <w:sz w:val="18"/>
                <w:szCs w:val="18"/>
                <w:lang w:val="en-US"/>
              </w:rPr>
              <w:t xml:space="preserve"> </w:t>
            </w:r>
            <w:r w:rsidR="00552E1B" w:rsidRPr="000E0A64">
              <w:rPr>
                <w:sz w:val="18"/>
                <w:szCs w:val="18"/>
                <w:lang w:val="en-US"/>
              </w:rPr>
              <w:t>w</w:t>
            </w:r>
            <w:r w:rsidR="008E1A5A" w:rsidRPr="000E0A64">
              <w:rPr>
                <w:sz w:val="18"/>
                <w:szCs w:val="18"/>
                <w:lang w:val="en-US"/>
              </w:rPr>
              <w:t xml:space="preserve">ould even </w:t>
            </w:r>
            <w:r w:rsidR="008B57F1" w:rsidRPr="000E0A64">
              <w:rPr>
                <w:sz w:val="18"/>
                <w:szCs w:val="18"/>
                <w:lang w:val="en-US"/>
              </w:rPr>
              <w:t xml:space="preserve">be higher than </w:t>
            </w:r>
            <w:proofErr w:type="gramStart"/>
            <w:r w:rsidR="008B57F1" w:rsidRPr="000E0A64">
              <w:rPr>
                <w:sz w:val="18"/>
                <w:szCs w:val="18"/>
                <w:lang w:val="en-US"/>
              </w:rPr>
              <w:t xml:space="preserve">today </w:t>
            </w:r>
            <w:r w:rsidR="003F7F4A" w:rsidRPr="000E0A64">
              <w:rPr>
                <w:sz w:val="18"/>
                <w:szCs w:val="18"/>
                <w:lang w:val="en-US"/>
              </w:rPr>
              <w:t xml:space="preserve"> on</w:t>
            </w:r>
            <w:proofErr w:type="gramEnd"/>
            <w:r w:rsidR="003F7F4A" w:rsidRPr="000E0A64">
              <w:rPr>
                <w:sz w:val="18"/>
                <w:szCs w:val="18"/>
                <w:lang w:val="en-US"/>
              </w:rPr>
              <w:t xml:space="preserve"> riskier products</w:t>
            </w:r>
            <w:r w:rsidR="008E1A5A" w:rsidRPr="000E0A64">
              <w:rPr>
                <w:sz w:val="18"/>
                <w:szCs w:val="18"/>
                <w:lang w:val="en-US"/>
              </w:rPr>
              <w:t>.</w:t>
            </w:r>
          </w:p>
          <w:p w14:paraId="2F43F3C0" w14:textId="77777777" w:rsidR="00DB2038" w:rsidRPr="000E0A64" w:rsidRDefault="00C5697A" w:rsidP="00DB2038">
            <w:pPr>
              <w:pStyle w:val="Paragraphedeliste"/>
              <w:numPr>
                <w:ilvl w:val="2"/>
                <w:numId w:val="14"/>
              </w:numPr>
              <w:rPr>
                <w:sz w:val="18"/>
                <w:szCs w:val="18"/>
                <w:lang w:val="en-US"/>
              </w:rPr>
            </w:pPr>
            <w:r w:rsidRPr="000E0A64">
              <w:rPr>
                <w:sz w:val="18"/>
                <w:szCs w:val="18"/>
                <w:lang w:val="en-US"/>
              </w:rPr>
              <w:t xml:space="preserve">A </w:t>
            </w:r>
            <w:r w:rsidR="005B6537" w:rsidRPr="000E0A64">
              <w:rPr>
                <w:sz w:val="18"/>
                <w:szCs w:val="18"/>
                <w:lang w:val="en-US"/>
              </w:rPr>
              <w:t>sensitive floor</w:t>
            </w:r>
            <w:r w:rsidR="008E1A5A" w:rsidRPr="000E0A64">
              <w:rPr>
                <w:sz w:val="18"/>
                <w:szCs w:val="18"/>
                <w:lang w:val="en-US"/>
              </w:rPr>
              <w:t xml:space="preserve"> </w:t>
            </w:r>
            <w:r w:rsidR="003F7F4A" w:rsidRPr="000E0A64">
              <w:rPr>
                <w:sz w:val="18"/>
                <w:szCs w:val="18"/>
                <w:lang w:val="en-US"/>
              </w:rPr>
              <w:t xml:space="preserve">will allow working on less risky assets: For example, as of </w:t>
            </w:r>
            <w:r w:rsidR="008232CD" w:rsidRPr="000E0A64">
              <w:rPr>
                <w:sz w:val="18"/>
                <w:szCs w:val="18"/>
                <w:lang w:val="en-US"/>
              </w:rPr>
              <w:t>today, usual</w:t>
            </w:r>
            <w:r w:rsidR="00812E22" w:rsidRPr="000E0A64">
              <w:rPr>
                <w:sz w:val="18"/>
                <w:szCs w:val="18"/>
                <w:lang w:val="en-US"/>
              </w:rPr>
              <w:t xml:space="preserve"> </w:t>
            </w:r>
            <w:r w:rsidR="003F7F4A" w:rsidRPr="000E0A64">
              <w:rPr>
                <w:sz w:val="18"/>
                <w:szCs w:val="18"/>
                <w:lang w:val="en-US"/>
              </w:rPr>
              <w:t xml:space="preserve">Retail Mortgage Loans </w:t>
            </w:r>
            <w:r w:rsidR="00C206E0" w:rsidRPr="000E0A64">
              <w:rPr>
                <w:sz w:val="18"/>
                <w:szCs w:val="18"/>
                <w:lang w:val="en-US"/>
              </w:rPr>
              <w:t xml:space="preserve">bearing a </w:t>
            </w:r>
            <w:r w:rsidR="003F7F4A" w:rsidRPr="000E0A64">
              <w:rPr>
                <w:sz w:val="18"/>
                <w:szCs w:val="18"/>
                <w:lang w:val="en-US"/>
              </w:rPr>
              <w:t xml:space="preserve">10% </w:t>
            </w:r>
            <w:r w:rsidR="003F7F4A" w:rsidRPr="000E0A64">
              <w:rPr>
                <w:sz w:val="18"/>
                <w:szCs w:val="18"/>
                <w:lang w:val="en-US"/>
              </w:rPr>
              <w:lastRenderedPageBreak/>
              <w:t xml:space="preserve">RW are hardly </w:t>
            </w:r>
            <w:proofErr w:type="spellStart"/>
            <w:r w:rsidR="003F7F4A" w:rsidRPr="000E0A64">
              <w:rPr>
                <w:sz w:val="18"/>
                <w:szCs w:val="18"/>
                <w:lang w:val="en-US"/>
              </w:rPr>
              <w:t>securiti</w:t>
            </w:r>
            <w:r w:rsidR="008E1A5A" w:rsidRPr="000E0A64">
              <w:rPr>
                <w:sz w:val="18"/>
                <w:szCs w:val="18"/>
                <w:lang w:val="en-US"/>
              </w:rPr>
              <w:t>s</w:t>
            </w:r>
            <w:r w:rsidR="003F7F4A" w:rsidRPr="000E0A64">
              <w:rPr>
                <w:sz w:val="18"/>
                <w:szCs w:val="18"/>
                <w:lang w:val="en-US"/>
              </w:rPr>
              <w:t>able</w:t>
            </w:r>
            <w:proofErr w:type="spellEnd"/>
            <w:r w:rsidR="00C206E0" w:rsidRPr="000E0A64">
              <w:rPr>
                <w:sz w:val="18"/>
                <w:szCs w:val="18"/>
                <w:lang w:val="en-US"/>
              </w:rPr>
              <w:t xml:space="preserve">, </w:t>
            </w:r>
            <w:r w:rsidR="008E1A5A" w:rsidRPr="000E0A64">
              <w:rPr>
                <w:sz w:val="18"/>
                <w:szCs w:val="18"/>
                <w:lang w:val="en-US"/>
              </w:rPr>
              <w:t xml:space="preserve">as </w:t>
            </w:r>
            <w:r w:rsidR="003F7F4A" w:rsidRPr="000E0A64">
              <w:rPr>
                <w:sz w:val="18"/>
                <w:szCs w:val="18"/>
                <w:lang w:val="en-US"/>
              </w:rPr>
              <w:t xml:space="preserve">their RW </w:t>
            </w:r>
            <w:r w:rsidR="008E1A5A" w:rsidRPr="000E0A64">
              <w:rPr>
                <w:sz w:val="18"/>
                <w:szCs w:val="18"/>
                <w:lang w:val="en-US"/>
              </w:rPr>
              <w:t>is</w:t>
            </w:r>
            <w:r w:rsidR="003F7F4A" w:rsidRPr="000E0A64">
              <w:rPr>
                <w:sz w:val="18"/>
                <w:szCs w:val="18"/>
                <w:lang w:val="en-US"/>
              </w:rPr>
              <w:t xml:space="preserve"> </w:t>
            </w:r>
            <w:r w:rsidR="009C5D52" w:rsidRPr="000E0A64">
              <w:rPr>
                <w:sz w:val="18"/>
                <w:szCs w:val="18"/>
                <w:lang w:val="en-US"/>
              </w:rPr>
              <w:t xml:space="preserve">unduly </w:t>
            </w:r>
            <w:r w:rsidR="00C206E0" w:rsidRPr="000E0A64">
              <w:rPr>
                <w:sz w:val="18"/>
                <w:szCs w:val="18"/>
                <w:lang w:val="en-US"/>
              </w:rPr>
              <w:t>raised</w:t>
            </w:r>
            <w:r w:rsidR="003F7F4A" w:rsidRPr="000E0A64">
              <w:rPr>
                <w:sz w:val="18"/>
                <w:szCs w:val="18"/>
                <w:lang w:val="en-US"/>
              </w:rPr>
              <w:t xml:space="preserve"> </w:t>
            </w:r>
            <w:r w:rsidR="000D4A2F" w:rsidRPr="000E0A64">
              <w:rPr>
                <w:sz w:val="18"/>
                <w:szCs w:val="18"/>
                <w:lang w:val="en-US"/>
              </w:rPr>
              <w:t xml:space="preserve">up </w:t>
            </w:r>
            <w:r w:rsidR="003F7F4A" w:rsidRPr="000E0A64">
              <w:rPr>
                <w:sz w:val="18"/>
                <w:szCs w:val="18"/>
                <w:lang w:val="en-US"/>
              </w:rPr>
              <w:t xml:space="preserve">to 15% via the </w:t>
            </w:r>
            <w:r w:rsidR="008E1A5A" w:rsidRPr="000E0A64">
              <w:rPr>
                <w:sz w:val="18"/>
                <w:szCs w:val="18"/>
                <w:lang w:val="en-US"/>
              </w:rPr>
              <w:t xml:space="preserve">current </w:t>
            </w:r>
            <w:proofErr w:type="gramStart"/>
            <w:r w:rsidR="008E1A5A" w:rsidRPr="000E0A64">
              <w:rPr>
                <w:sz w:val="18"/>
                <w:szCs w:val="18"/>
                <w:lang w:val="en-US"/>
              </w:rPr>
              <w:t>fix</w:t>
            </w:r>
            <w:proofErr w:type="gramEnd"/>
            <w:r w:rsidR="008E1A5A" w:rsidRPr="000E0A64">
              <w:rPr>
                <w:sz w:val="18"/>
                <w:szCs w:val="18"/>
                <w:lang w:val="en-US"/>
              </w:rPr>
              <w:t xml:space="preserve"> </w:t>
            </w:r>
            <w:r w:rsidR="003F7F4A" w:rsidRPr="000E0A64">
              <w:rPr>
                <w:sz w:val="18"/>
                <w:szCs w:val="18"/>
                <w:lang w:val="en-US"/>
              </w:rPr>
              <w:t xml:space="preserve">floor. </w:t>
            </w:r>
          </w:p>
          <w:p w14:paraId="4CD40E38" w14:textId="77777777" w:rsidR="00DB2038" w:rsidRPr="000E0A64" w:rsidRDefault="003F7F4A" w:rsidP="00DB2038">
            <w:pPr>
              <w:pStyle w:val="Paragraphedeliste"/>
              <w:numPr>
                <w:ilvl w:val="2"/>
                <w:numId w:val="14"/>
              </w:numPr>
              <w:rPr>
                <w:sz w:val="18"/>
                <w:szCs w:val="18"/>
                <w:lang w:val="en-US"/>
              </w:rPr>
            </w:pPr>
            <w:r w:rsidRPr="000E0A64">
              <w:rPr>
                <w:sz w:val="18"/>
                <w:szCs w:val="18"/>
                <w:lang w:val="en-US"/>
              </w:rPr>
              <w:t>It is closer to the economic reality.</w:t>
            </w:r>
          </w:p>
          <w:p w14:paraId="38357ECD" w14:textId="3BFBB3CB" w:rsidR="003F7F4A" w:rsidRPr="000E0A64" w:rsidRDefault="003F7F4A" w:rsidP="000E0A64">
            <w:pPr>
              <w:pStyle w:val="Paragraphedeliste"/>
              <w:numPr>
                <w:ilvl w:val="2"/>
                <w:numId w:val="14"/>
              </w:numPr>
              <w:rPr>
                <w:sz w:val="18"/>
                <w:szCs w:val="18"/>
                <w:lang w:val="en-US"/>
              </w:rPr>
            </w:pPr>
            <w:r w:rsidRPr="000E0A64">
              <w:rPr>
                <w:sz w:val="18"/>
                <w:szCs w:val="18"/>
                <w:lang w:val="en-US"/>
              </w:rPr>
              <w:t xml:space="preserve">It is consistent across methods and allows realigning the fixed RW floors mentioned in the ESA study (7% and 10% as under Basel 2) for the classic RWs corresponding to 10% of K </w:t>
            </w:r>
            <w:proofErr w:type="spellStart"/>
            <w:r w:rsidRPr="000E0A64">
              <w:rPr>
                <w:sz w:val="18"/>
                <w:szCs w:val="18"/>
                <w:lang w:val="en-US"/>
              </w:rPr>
              <w:t>sa</w:t>
            </w:r>
            <w:proofErr w:type="spellEnd"/>
            <w:r w:rsidRPr="000E0A64">
              <w:rPr>
                <w:sz w:val="18"/>
                <w:szCs w:val="18"/>
                <w:lang w:val="en-US"/>
              </w:rPr>
              <w:t xml:space="preserve"> for retail loans with 75% RW and/or for corporate exposures with 100% RW, or more for corporates at 150%. To be extended also on SEC ERBA and IA. </w:t>
            </w:r>
            <w:r w:rsidR="00F3550E">
              <w:rPr>
                <w:sz w:val="18"/>
                <w:szCs w:val="18"/>
                <w:lang w:val="en-US"/>
              </w:rPr>
              <w:br/>
            </w:r>
          </w:p>
          <w:p w14:paraId="0DEEB2EC" w14:textId="77777777" w:rsidR="00DB2038" w:rsidRPr="000E0A64" w:rsidRDefault="00DB2038" w:rsidP="005226C3">
            <w:pPr>
              <w:rPr>
                <w:sz w:val="18"/>
                <w:szCs w:val="18"/>
                <w:lang w:val="en-US"/>
              </w:rPr>
            </w:pPr>
          </w:p>
          <w:p w14:paraId="7227BFF0" w14:textId="4FF8826F" w:rsidR="00AE5EFE" w:rsidRPr="000E0A64" w:rsidRDefault="000523F0" w:rsidP="005226C3">
            <w:pPr>
              <w:rPr>
                <w:sz w:val="18"/>
                <w:szCs w:val="18"/>
                <w:lang w:val="en-US"/>
              </w:rPr>
            </w:pPr>
            <w:r w:rsidRPr="000E0A64">
              <w:rPr>
                <w:sz w:val="18"/>
                <w:szCs w:val="18"/>
                <w:lang w:val="en-US"/>
              </w:rPr>
              <w:t xml:space="preserve">According to </w:t>
            </w:r>
            <w:r w:rsidR="00745A61" w:rsidRPr="000E0A64">
              <w:rPr>
                <w:sz w:val="18"/>
                <w:szCs w:val="18"/>
                <w:lang w:val="en-US"/>
              </w:rPr>
              <w:t>ESAs' 2022 proposal*</w:t>
            </w:r>
            <w:r w:rsidRPr="000E0A64">
              <w:rPr>
                <w:sz w:val="18"/>
                <w:szCs w:val="18"/>
                <w:lang w:val="en-US"/>
              </w:rPr>
              <w:t>,</w:t>
            </w:r>
            <w:r w:rsidR="00DE5278" w:rsidRPr="000E0A64">
              <w:rPr>
                <w:sz w:val="18"/>
                <w:szCs w:val="18"/>
                <w:lang w:val="en-US"/>
              </w:rPr>
              <w:t xml:space="preserve"> safeguards should </w:t>
            </w:r>
            <w:r w:rsidR="00DB2038" w:rsidRPr="000E0A64">
              <w:rPr>
                <w:sz w:val="18"/>
                <w:szCs w:val="18"/>
                <w:lang w:val="en-US"/>
              </w:rPr>
              <w:t xml:space="preserve">however </w:t>
            </w:r>
            <w:r w:rsidR="00DE5278" w:rsidRPr="000E0A64">
              <w:rPr>
                <w:sz w:val="18"/>
                <w:szCs w:val="18"/>
                <w:lang w:val="en-US"/>
              </w:rPr>
              <w:t xml:space="preserve">be </w:t>
            </w:r>
            <w:r w:rsidR="005226C3" w:rsidRPr="000E0A64">
              <w:rPr>
                <w:sz w:val="18"/>
                <w:szCs w:val="18"/>
                <w:lang w:val="en-US"/>
              </w:rPr>
              <w:t xml:space="preserve">deployed to </w:t>
            </w:r>
            <w:r w:rsidR="003F7F4A" w:rsidRPr="000E0A64">
              <w:rPr>
                <w:sz w:val="18"/>
                <w:szCs w:val="18"/>
                <w:lang w:val="en-US"/>
              </w:rPr>
              <w:t>counterbalance the</w:t>
            </w:r>
            <w:r w:rsidR="00086B5A" w:rsidRPr="000E0A64">
              <w:rPr>
                <w:sz w:val="18"/>
                <w:szCs w:val="18"/>
                <w:lang w:val="en-US"/>
              </w:rPr>
              <w:t xml:space="preserve"> potenti</w:t>
            </w:r>
            <w:r w:rsidR="00F67C17" w:rsidRPr="000E0A64">
              <w:rPr>
                <w:sz w:val="18"/>
                <w:szCs w:val="18"/>
                <w:lang w:val="en-US"/>
              </w:rPr>
              <w:t>al</w:t>
            </w:r>
            <w:r w:rsidR="003F7F4A" w:rsidRPr="000E0A64">
              <w:rPr>
                <w:sz w:val="18"/>
                <w:szCs w:val="18"/>
                <w:lang w:val="en-US"/>
              </w:rPr>
              <w:t xml:space="preserve"> lowering of the RW floor</w:t>
            </w:r>
            <w:r w:rsidR="00651BEB" w:rsidRPr="000E0A64">
              <w:rPr>
                <w:sz w:val="18"/>
                <w:szCs w:val="18"/>
                <w:lang w:val="en-US"/>
              </w:rPr>
              <w:t xml:space="preserve">, </w:t>
            </w:r>
            <w:r w:rsidR="00F21084" w:rsidRPr="000E0A64">
              <w:rPr>
                <w:sz w:val="18"/>
                <w:szCs w:val="18"/>
                <w:lang w:val="en-US"/>
              </w:rPr>
              <w:t>su</w:t>
            </w:r>
            <w:r w:rsidR="004D4CB4" w:rsidRPr="000E0A64">
              <w:rPr>
                <w:sz w:val="18"/>
                <w:szCs w:val="18"/>
                <w:lang w:val="en-US"/>
              </w:rPr>
              <w:t>ch as Creditor hierarchy; tranche thickness; sufficient granularity; counterparty risk neutralization; amortization conditions</w:t>
            </w:r>
            <w:r w:rsidR="009B5188" w:rsidRPr="000E0A64">
              <w:rPr>
                <w:sz w:val="18"/>
                <w:szCs w:val="18"/>
                <w:lang w:val="en-US"/>
              </w:rPr>
              <w:t>…</w:t>
            </w:r>
          </w:p>
          <w:p w14:paraId="792B3BE1" w14:textId="741E6EBC" w:rsidR="00F21084" w:rsidRPr="000E0A64" w:rsidRDefault="00BD642B" w:rsidP="00CD49C7">
            <w:pPr>
              <w:rPr>
                <w:sz w:val="18"/>
                <w:szCs w:val="18"/>
                <w:lang w:val="en-US"/>
              </w:rPr>
            </w:pPr>
            <w:r w:rsidRPr="000E0A64">
              <w:rPr>
                <w:sz w:val="18"/>
                <w:szCs w:val="18"/>
                <w:lang w:val="en-US"/>
              </w:rPr>
              <w:t xml:space="preserve">&gt;&gt; </w:t>
            </w:r>
            <w:r w:rsidR="00F21084" w:rsidRPr="000E0A64">
              <w:rPr>
                <w:sz w:val="18"/>
                <w:szCs w:val="18"/>
                <w:lang w:val="en-US"/>
              </w:rPr>
              <w:t xml:space="preserve">For French banks, it </w:t>
            </w:r>
            <w:r w:rsidR="004D4CB4" w:rsidRPr="000E0A64">
              <w:rPr>
                <w:sz w:val="18"/>
                <w:szCs w:val="18"/>
                <w:lang w:val="en-US"/>
              </w:rPr>
              <w:t>would</w:t>
            </w:r>
            <w:r w:rsidR="00F21084" w:rsidRPr="000E0A64">
              <w:rPr>
                <w:sz w:val="18"/>
                <w:szCs w:val="18"/>
                <w:lang w:val="en-US"/>
              </w:rPr>
              <w:t xml:space="preserve"> not </w:t>
            </w:r>
            <w:r w:rsidR="004D4CB4" w:rsidRPr="000E0A64">
              <w:rPr>
                <w:sz w:val="18"/>
                <w:szCs w:val="18"/>
                <w:lang w:val="en-US"/>
              </w:rPr>
              <w:t xml:space="preserve">be </w:t>
            </w:r>
            <w:r w:rsidR="00F21084" w:rsidRPr="000E0A64">
              <w:rPr>
                <w:sz w:val="18"/>
                <w:szCs w:val="18"/>
                <w:lang w:val="en-US"/>
              </w:rPr>
              <w:t>pertinent to reintroduce</w:t>
            </w:r>
            <w:r w:rsidR="00F67C17" w:rsidRPr="000E0A64">
              <w:rPr>
                <w:sz w:val="18"/>
                <w:szCs w:val="18"/>
                <w:lang w:val="en-US"/>
              </w:rPr>
              <w:t xml:space="preserve"> </w:t>
            </w:r>
            <w:r w:rsidR="00651BEB" w:rsidRPr="000E0A64">
              <w:rPr>
                <w:sz w:val="18"/>
                <w:szCs w:val="18"/>
                <w:lang w:val="en-US"/>
              </w:rPr>
              <w:t xml:space="preserve">such </w:t>
            </w:r>
            <w:proofErr w:type="gramStart"/>
            <w:r w:rsidR="00651BEB" w:rsidRPr="000E0A64">
              <w:rPr>
                <w:sz w:val="18"/>
                <w:szCs w:val="18"/>
                <w:lang w:val="en-US"/>
              </w:rPr>
              <w:t>safeguards</w:t>
            </w:r>
            <w:r w:rsidR="004D4CB4" w:rsidRPr="000E0A64">
              <w:rPr>
                <w:sz w:val="18"/>
                <w:szCs w:val="18"/>
                <w:lang w:val="en-US"/>
              </w:rPr>
              <w:t>,  and</w:t>
            </w:r>
            <w:proofErr w:type="gramEnd"/>
            <w:r w:rsidR="004D4CB4" w:rsidRPr="000E0A64">
              <w:rPr>
                <w:sz w:val="18"/>
                <w:szCs w:val="18"/>
                <w:lang w:val="en-US"/>
              </w:rPr>
              <w:t xml:space="preserve"> it could even be counterproductive in pursuing a revival of the securitisation market</w:t>
            </w:r>
            <w:r w:rsidR="00E63B9A" w:rsidRPr="000E0A64">
              <w:rPr>
                <w:sz w:val="18"/>
                <w:szCs w:val="18"/>
                <w:lang w:val="en-US"/>
              </w:rPr>
              <w:t xml:space="preserve">, especially on </w:t>
            </w:r>
            <w:r w:rsidR="00E90B8D" w:rsidRPr="000E0A64">
              <w:rPr>
                <w:sz w:val="18"/>
                <w:szCs w:val="18"/>
                <w:lang w:val="en-US"/>
              </w:rPr>
              <w:t>project</w:t>
            </w:r>
            <w:r w:rsidR="00942B6B" w:rsidRPr="000E0A64">
              <w:rPr>
                <w:sz w:val="18"/>
                <w:szCs w:val="18"/>
                <w:lang w:val="en-US"/>
              </w:rPr>
              <w:t>s perimeter</w:t>
            </w:r>
            <w:r w:rsidR="004D4CB4" w:rsidRPr="000E0A64">
              <w:rPr>
                <w:sz w:val="18"/>
                <w:szCs w:val="18"/>
                <w:lang w:val="en-US"/>
              </w:rPr>
              <w:t>.</w:t>
            </w:r>
          </w:p>
          <w:p w14:paraId="63B1D555" w14:textId="77777777" w:rsidR="00070124" w:rsidRPr="000E0A64" w:rsidRDefault="003F7F4A" w:rsidP="003F7F4A">
            <w:pPr>
              <w:numPr>
                <w:ilvl w:val="0"/>
                <w:numId w:val="45"/>
              </w:numPr>
              <w:rPr>
                <w:sz w:val="18"/>
                <w:szCs w:val="18"/>
                <w:lang w:val="en-US"/>
              </w:rPr>
            </w:pPr>
            <w:r w:rsidRPr="000E0A64">
              <w:rPr>
                <w:sz w:val="18"/>
                <w:szCs w:val="18"/>
                <w:lang w:val="en-US"/>
              </w:rPr>
              <w:t xml:space="preserve">The proposal for a sensitive RW floor does not consist of a systematic lowering but a greater correlation to the underlying economic risk level. It can lead to an increase in the minimum RW in some cases. </w:t>
            </w:r>
            <w:r w:rsidR="00005CFD" w:rsidRPr="000E0A64">
              <w:rPr>
                <w:sz w:val="18"/>
                <w:szCs w:val="18"/>
                <w:lang w:val="en-US"/>
              </w:rPr>
              <w:t>As such,</w:t>
            </w:r>
            <w:r w:rsidR="00070124" w:rsidRPr="000E0A64">
              <w:rPr>
                <w:sz w:val="18"/>
                <w:szCs w:val="18"/>
                <w:lang w:val="en-US"/>
              </w:rPr>
              <w:t xml:space="preserve"> t</w:t>
            </w:r>
            <w:r w:rsidRPr="000E0A64">
              <w:rPr>
                <w:sz w:val="18"/>
                <w:szCs w:val="18"/>
                <w:lang w:val="en-US"/>
              </w:rPr>
              <w:t xml:space="preserve">his sensitization itself constitutes a safeguard. </w:t>
            </w:r>
          </w:p>
          <w:p w14:paraId="4B94612C" w14:textId="16092B91" w:rsidR="00070124" w:rsidRPr="000E0A64" w:rsidRDefault="001745E1" w:rsidP="00070124">
            <w:pPr>
              <w:ind w:left="720"/>
              <w:rPr>
                <w:sz w:val="18"/>
                <w:szCs w:val="18"/>
                <w:lang w:val="en-US"/>
              </w:rPr>
            </w:pPr>
            <w:r w:rsidRPr="000E0A64">
              <w:rPr>
                <w:sz w:val="18"/>
                <w:szCs w:val="18"/>
                <w:lang w:val="en-US"/>
              </w:rPr>
              <w:t xml:space="preserve">With such </w:t>
            </w:r>
            <w:r w:rsidR="00260C56" w:rsidRPr="000E0A64">
              <w:rPr>
                <w:sz w:val="18"/>
                <w:szCs w:val="18"/>
                <w:lang w:val="en-US"/>
              </w:rPr>
              <w:t xml:space="preserve">sensitive </w:t>
            </w:r>
            <w:r w:rsidR="0040710C" w:rsidRPr="000E0A64">
              <w:rPr>
                <w:sz w:val="18"/>
                <w:szCs w:val="18"/>
                <w:lang w:val="en-US"/>
              </w:rPr>
              <w:t>floor,</w:t>
            </w:r>
            <w:r w:rsidR="00177E07" w:rsidRPr="000E0A64">
              <w:rPr>
                <w:sz w:val="18"/>
                <w:szCs w:val="18"/>
                <w:lang w:val="en-US"/>
              </w:rPr>
              <w:t xml:space="preserve"> l</w:t>
            </w:r>
            <w:r w:rsidR="003F7F4A" w:rsidRPr="000E0A64">
              <w:rPr>
                <w:sz w:val="18"/>
                <w:szCs w:val="18"/>
                <w:lang w:val="en-US"/>
              </w:rPr>
              <w:t xml:space="preserve">owering the floor level will require banks to increase the loss absorption tranche (securitizations being calibrated on this regulatory floor), which mechanically better protects banks from an economic point of view (but at a </w:t>
            </w:r>
            <w:r w:rsidR="00005CFD" w:rsidRPr="000E0A64">
              <w:rPr>
                <w:sz w:val="18"/>
                <w:szCs w:val="18"/>
                <w:lang w:val="en-US"/>
              </w:rPr>
              <w:t xml:space="preserve">PNB </w:t>
            </w:r>
            <w:r w:rsidR="003F7F4A" w:rsidRPr="000E0A64">
              <w:rPr>
                <w:sz w:val="18"/>
                <w:szCs w:val="18"/>
                <w:lang w:val="en-US"/>
              </w:rPr>
              <w:t xml:space="preserve">cost). </w:t>
            </w:r>
          </w:p>
          <w:p w14:paraId="38F0FAA5" w14:textId="77777777" w:rsidR="00697DD6" w:rsidRDefault="003F7F4A" w:rsidP="00EF08AC">
            <w:pPr>
              <w:numPr>
                <w:ilvl w:val="0"/>
                <w:numId w:val="45"/>
              </w:numPr>
              <w:rPr>
                <w:sz w:val="18"/>
                <w:szCs w:val="18"/>
                <w:lang w:val="en-US"/>
              </w:rPr>
            </w:pPr>
            <w:r w:rsidRPr="000E0A64">
              <w:rPr>
                <w:sz w:val="18"/>
                <w:szCs w:val="18"/>
                <w:lang w:val="en-US"/>
              </w:rPr>
              <w:t xml:space="preserve">The reintroduction of </w:t>
            </w:r>
            <w:proofErr w:type="gramStart"/>
            <w:r w:rsidR="00070124" w:rsidRPr="000E0A64">
              <w:rPr>
                <w:sz w:val="18"/>
                <w:szCs w:val="18"/>
                <w:lang w:val="en-US"/>
              </w:rPr>
              <w:t>fix</w:t>
            </w:r>
            <w:proofErr w:type="gramEnd"/>
            <w:r w:rsidR="00070124" w:rsidRPr="000E0A64">
              <w:rPr>
                <w:sz w:val="18"/>
                <w:szCs w:val="18"/>
                <w:lang w:val="en-US"/>
              </w:rPr>
              <w:t xml:space="preserve"> safeguards</w:t>
            </w:r>
            <w:r w:rsidR="00005CFD" w:rsidRPr="000E0A64">
              <w:rPr>
                <w:sz w:val="18"/>
                <w:szCs w:val="18"/>
                <w:lang w:val="en-US"/>
              </w:rPr>
              <w:t xml:space="preserve"> </w:t>
            </w:r>
            <w:r w:rsidRPr="000E0A64">
              <w:rPr>
                <w:sz w:val="18"/>
                <w:szCs w:val="18"/>
                <w:lang w:val="en-US"/>
              </w:rPr>
              <w:t>constraints would have undesirable side effects on certain perimeters:</w:t>
            </w:r>
          </w:p>
          <w:p w14:paraId="537F0A2B" w14:textId="77777777" w:rsidR="00697DD6" w:rsidRDefault="003F7F4A" w:rsidP="00697DD6">
            <w:pPr>
              <w:numPr>
                <w:ilvl w:val="1"/>
                <w:numId w:val="45"/>
              </w:numPr>
              <w:rPr>
                <w:sz w:val="18"/>
                <w:szCs w:val="18"/>
                <w:lang w:val="en-US"/>
              </w:rPr>
            </w:pPr>
            <w:r w:rsidRPr="000E0A64">
              <w:rPr>
                <w:sz w:val="18"/>
                <w:szCs w:val="18"/>
                <w:lang w:val="en-US"/>
              </w:rPr>
              <w:t xml:space="preserve">For example, </w:t>
            </w:r>
            <w:r w:rsidR="00070124" w:rsidRPr="000E0A64">
              <w:rPr>
                <w:sz w:val="18"/>
                <w:szCs w:val="18"/>
                <w:lang w:val="en-US"/>
              </w:rPr>
              <w:t>any</w:t>
            </w:r>
            <w:r w:rsidRPr="000E0A64">
              <w:rPr>
                <w:sz w:val="18"/>
                <w:szCs w:val="18"/>
                <w:lang w:val="en-US"/>
              </w:rPr>
              <w:t xml:space="preserve"> constraint on granularity will limit securitizations in the "project financing" or "infrastructure" segment (already </w:t>
            </w:r>
            <w:r w:rsidR="00433912" w:rsidRPr="000E0A64">
              <w:rPr>
                <w:sz w:val="18"/>
                <w:szCs w:val="18"/>
                <w:lang w:val="en-US"/>
              </w:rPr>
              <w:t>mistreated/</w:t>
            </w:r>
            <w:r w:rsidR="00164591" w:rsidRPr="000E0A64">
              <w:rPr>
                <w:sz w:val="18"/>
                <w:szCs w:val="18"/>
                <w:lang w:val="en-US"/>
              </w:rPr>
              <w:t xml:space="preserve">penalized </w:t>
            </w:r>
            <w:r w:rsidRPr="000E0A64">
              <w:rPr>
                <w:sz w:val="18"/>
                <w:szCs w:val="18"/>
                <w:lang w:val="en-US"/>
              </w:rPr>
              <w:t>by CRR3</w:t>
            </w:r>
            <w:r w:rsidR="00753E57" w:rsidRPr="000E0A64">
              <w:rPr>
                <w:sz w:val="18"/>
                <w:szCs w:val="18"/>
                <w:lang w:val="en-US"/>
              </w:rPr>
              <w:t xml:space="preserve">, even if </w:t>
            </w:r>
            <w:r w:rsidR="00E20FB7" w:rsidRPr="000E0A64">
              <w:rPr>
                <w:sz w:val="18"/>
                <w:szCs w:val="18"/>
                <w:lang w:val="en-US"/>
              </w:rPr>
              <w:t xml:space="preserve">considered as </w:t>
            </w:r>
            <w:proofErr w:type="gramStart"/>
            <w:r w:rsidR="00E809FE" w:rsidRPr="000E0A64">
              <w:rPr>
                <w:sz w:val="18"/>
                <w:szCs w:val="18"/>
                <w:lang w:val="en-US"/>
              </w:rPr>
              <w:t xml:space="preserve">the </w:t>
            </w:r>
            <w:r w:rsidR="00E20FB7" w:rsidRPr="000E0A64">
              <w:rPr>
                <w:sz w:val="18"/>
                <w:szCs w:val="18"/>
                <w:lang w:val="en-US"/>
              </w:rPr>
              <w:t xml:space="preserve"> </w:t>
            </w:r>
            <w:r w:rsidR="00564C6A" w:rsidRPr="000E0A64">
              <w:rPr>
                <w:sz w:val="18"/>
                <w:szCs w:val="18"/>
                <w:lang w:val="en-US"/>
              </w:rPr>
              <w:t>corner</w:t>
            </w:r>
            <w:proofErr w:type="gramEnd"/>
            <w:r w:rsidR="00564C6A" w:rsidRPr="000E0A64">
              <w:rPr>
                <w:sz w:val="18"/>
                <w:szCs w:val="18"/>
                <w:lang w:val="en-US"/>
              </w:rPr>
              <w:t xml:space="preserve"> </w:t>
            </w:r>
            <w:r w:rsidR="00E20FB7" w:rsidRPr="000E0A64">
              <w:rPr>
                <w:sz w:val="18"/>
                <w:szCs w:val="18"/>
                <w:lang w:val="en-US"/>
              </w:rPr>
              <w:t xml:space="preserve">stone of </w:t>
            </w:r>
            <w:r w:rsidR="00783AD8" w:rsidRPr="000E0A64">
              <w:rPr>
                <w:sz w:val="18"/>
                <w:szCs w:val="18"/>
                <w:lang w:val="en-US"/>
              </w:rPr>
              <w:t>G</w:t>
            </w:r>
            <w:r w:rsidR="00753E57" w:rsidRPr="000E0A64">
              <w:rPr>
                <w:sz w:val="18"/>
                <w:szCs w:val="18"/>
                <w:lang w:val="en-US"/>
              </w:rPr>
              <w:t xml:space="preserve">reen </w:t>
            </w:r>
            <w:r w:rsidR="00783AD8" w:rsidRPr="000E0A64">
              <w:rPr>
                <w:sz w:val="18"/>
                <w:szCs w:val="18"/>
                <w:lang w:val="en-US"/>
              </w:rPr>
              <w:t>T</w:t>
            </w:r>
            <w:r w:rsidR="00753E57" w:rsidRPr="000E0A64">
              <w:rPr>
                <w:sz w:val="18"/>
                <w:szCs w:val="18"/>
                <w:lang w:val="en-US"/>
              </w:rPr>
              <w:t>ransition</w:t>
            </w:r>
            <w:r w:rsidRPr="000E0A64">
              <w:rPr>
                <w:sz w:val="18"/>
                <w:szCs w:val="18"/>
                <w:lang w:val="en-US"/>
              </w:rPr>
              <w:t xml:space="preserve">), but </w:t>
            </w:r>
            <w:r w:rsidR="007C7DA6" w:rsidRPr="000E0A64">
              <w:rPr>
                <w:sz w:val="18"/>
                <w:szCs w:val="18"/>
                <w:lang w:val="en-US"/>
              </w:rPr>
              <w:t xml:space="preserve">this </w:t>
            </w:r>
            <w:r w:rsidR="000D7E8E" w:rsidRPr="000E0A64">
              <w:rPr>
                <w:sz w:val="18"/>
                <w:szCs w:val="18"/>
                <w:lang w:val="en-US"/>
              </w:rPr>
              <w:t>granularity</w:t>
            </w:r>
            <w:r w:rsidR="00295BF1" w:rsidRPr="000E0A64">
              <w:rPr>
                <w:sz w:val="18"/>
                <w:szCs w:val="18"/>
                <w:lang w:val="en-US"/>
              </w:rPr>
              <w:t xml:space="preserve"> constraint would have </w:t>
            </w:r>
            <w:r w:rsidR="00252A37" w:rsidRPr="000E0A64">
              <w:rPr>
                <w:sz w:val="18"/>
                <w:szCs w:val="18"/>
                <w:lang w:val="en-US"/>
              </w:rPr>
              <w:t xml:space="preserve">strictly </w:t>
            </w:r>
            <w:r w:rsidR="00B17701" w:rsidRPr="000E0A64">
              <w:rPr>
                <w:sz w:val="18"/>
                <w:szCs w:val="18"/>
                <w:lang w:val="en-US"/>
              </w:rPr>
              <w:t>no</w:t>
            </w:r>
            <w:r w:rsidRPr="000E0A64">
              <w:rPr>
                <w:sz w:val="18"/>
                <w:szCs w:val="18"/>
                <w:lang w:val="en-US"/>
              </w:rPr>
              <w:t xml:space="preserve"> effect on "consumer finance" or "retail mortgage" pools.</w:t>
            </w:r>
          </w:p>
          <w:p w14:paraId="215D94C4" w14:textId="0584D228" w:rsidR="00EF08AC" w:rsidRPr="000E0A64" w:rsidRDefault="003F7F4A" w:rsidP="000E0A64">
            <w:pPr>
              <w:numPr>
                <w:ilvl w:val="1"/>
                <w:numId w:val="45"/>
              </w:numPr>
              <w:rPr>
                <w:sz w:val="18"/>
                <w:szCs w:val="18"/>
                <w:lang w:val="en-US"/>
              </w:rPr>
            </w:pPr>
            <w:r w:rsidRPr="000E0A64">
              <w:rPr>
                <w:sz w:val="18"/>
                <w:szCs w:val="18"/>
                <w:lang w:val="en-US"/>
              </w:rPr>
              <w:t xml:space="preserve">The concentration criterion will also be sensitive to the type of asset pool (same reason as above). </w:t>
            </w:r>
            <w:r w:rsidR="0043301D" w:rsidRPr="000E0A64">
              <w:rPr>
                <w:sz w:val="18"/>
                <w:szCs w:val="18"/>
                <w:lang w:val="en-US"/>
              </w:rPr>
              <w:t xml:space="preserve">Concentration and granularity </w:t>
            </w:r>
            <w:r w:rsidRPr="000E0A64">
              <w:rPr>
                <w:sz w:val="18"/>
                <w:szCs w:val="18"/>
                <w:lang w:val="en-US"/>
              </w:rPr>
              <w:t xml:space="preserve">would therefore need to be declined by category of operations/segment. </w:t>
            </w:r>
          </w:p>
          <w:p w14:paraId="184F1210" w14:textId="21EDAE9A" w:rsidR="00BD642B" w:rsidRPr="000E0A64" w:rsidRDefault="003F7F4A" w:rsidP="00BD642B">
            <w:pPr>
              <w:numPr>
                <w:ilvl w:val="0"/>
                <w:numId w:val="45"/>
              </w:numPr>
              <w:rPr>
                <w:sz w:val="18"/>
                <w:szCs w:val="18"/>
                <w:lang w:val="en-US"/>
              </w:rPr>
            </w:pPr>
            <w:r w:rsidRPr="000E0A64">
              <w:rPr>
                <w:sz w:val="18"/>
                <w:szCs w:val="18"/>
                <w:lang w:val="en-US"/>
              </w:rPr>
              <w:t xml:space="preserve">Among these safeguards, some would be redundant: </w:t>
            </w:r>
            <w:r w:rsidR="00EF08AC" w:rsidRPr="000E0A64">
              <w:rPr>
                <w:sz w:val="18"/>
                <w:szCs w:val="18"/>
                <w:lang w:val="en-US"/>
              </w:rPr>
              <w:br/>
            </w:r>
            <w:r w:rsidRPr="000E0A64">
              <w:rPr>
                <w:sz w:val="18"/>
                <w:szCs w:val="18"/>
                <w:lang w:val="en-US"/>
              </w:rPr>
              <w:t>For example</w:t>
            </w:r>
            <w:proofErr w:type="gramStart"/>
            <w:r w:rsidRPr="000E0A64">
              <w:rPr>
                <w:sz w:val="18"/>
                <w:szCs w:val="18"/>
                <w:lang w:val="en-US"/>
              </w:rPr>
              <w:t>,</w:t>
            </w:r>
            <w:r w:rsidR="00D44C0C" w:rsidRPr="000E0A64">
              <w:rPr>
                <w:sz w:val="18"/>
                <w:szCs w:val="18"/>
                <w:lang w:val="en-US"/>
              </w:rPr>
              <w:t xml:space="preserve">1)  </w:t>
            </w:r>
            <w:r w:rsidRPr="000E0A64">
              <w:rPr>
                <w:sz w:val="18"/>
                <w:szCs w:val="18"/>
                <w:lang w:val="en-US"/>
              </w:rPr>
              <w:t>for</w:t>
            </w:r>
            <w:proofErr w:type="gramEnd"/>
            <w:r w:rsidRPr="000E0A64">
              <w:rPr>
                <w:sz w:val="18"/>
                <w:szCs w:val="18"/>
                <w:lang w:val="en-US"/>
              </w:rPr>
              <w:t xml:space="preserve"> the S</w:t>
            </w:r>
            <w:r w:rsidR="00FC7CC3">
              <w:rPr>
                <w:sz w:val="18"/>
                <w:szCs w:val="18"/>
                <w:lang w:val="en-US"/>
              </w:rPr>
              <w:t>EC-IRBA</w:t>
            </w:r>
            <w:r w:rsidRPr="000E0A64">
              <w:rPr>
                <w:sz w:val="18"/>
                <w:szCs w:val="18"/>
                <w:lang w:val="en-US"/>
              </w:rPr>
              <w:t xml:space="preserve"> formula which is already natively sensitive to granularity. </w:t>
            </w:r>
            <w:r w:rsidR="00D44C0C" w:rsidRPr="000E0A64">
              <w:rPr>
                <w:sz w:val="18"/>
                <w:szCs w:val="18"/>
                <w:lang w:val="en-US"/>
              </w:rPr>
              <w:t xml:space="preserve">2) </w:t>
            </w:r>
            <w:r w:rsidRPr="000E0A64">
              <w:rPr>
                <w:sz w:val="18"/>
                <w:szCs w:val="18"/>
                <w:lang w:val="en-US"/>
              </w:rPr>
              <w:t xml:space="preserve">Granularity is already under limit for the STS </w:t>
            </w:r>
            <w:proofErr w:type="gramStart"/>
            <w:r w:rsidRPr="000E0A64">
              <w:rPr>
                <w:sz w:val="18"/>
                <w:szCs w:val="18"/>
                <w:lang w:val="en-US"/>
              </w:rPr>
              <w:t>criterion</w:t>
            </w:r>
            <w:proofErr w:type="gramEnd"/>
            <w:r w:rsidRPr="000E0A64">
              <w:rPr>
                <w:sz w:val="18"/>
                <w:szCs w:val="18"/>
                <w:lang w:val="en-US"/>
              </w:rPr>
              <w:t xml:space="preserve">. </w:t>
            </w:r>
            <w:r w:rsidR="00D44C0C" w:rsidRPr="000E0A64">
              <w:rPr>
                <w:sz w:val="18"/>
                <w:szCs w:val="18"/>
                <w:lang w:val="en-US"/>
              </w:rPr>
              <w:t xml:space="preserve">3) </w:t>
            </w:r>
            <w:r w:rsidRPr="000E0A64">
              <w:rPr>
                <w:sz w:val="18"/>
                <w:szCs w:val="18"/>
                <w:lang w:val="en-US"/>
              </w:rPr>
              <w:t xml:space="preserve">Granularity is also "safeguarded" by the JST: The authority can </w:t>
            </w:r>
            <w:r w:rsidR="0024087A" w:rsidRPr="000E0A64">
              <w:rPr>
                <w:sz w:val="18"/>
                <w:szCs w:val="18"/>
                <w:lang w:val="en-US"/>
              </w:rPr>
              <w:t xml:space="preserve">already </w:t>
            </w:r>
            <w:r w:rsidRPr="000E0A64">
              <w:rPr>
                <w:sz w:val="18"/>
                <w:szCs w:val="18"/>
                <w:lang w:val="en-US"/>
              </w:rPr>
              <w:t xml:space="preserve">refuse upstream the application of SEC-SA if the granularity is not sufficient given the segment concerned (with proportionality therefore). </w:t>
            </w:r>
          </w:p>
          <w:p w14:paraId="106A3BE3" w14:textId="77777777" w:rsidR="00BD642B" w:rsidRPr="000E0A64" w:rsidRDefault="00BD642B" w:rsidP="00BD642B">
            <w:pPr>
              <w:ind w:left="360"/>
              <w:rPr>
                <w:sz w:val="18"/>
                <w:szCs w:val="18"/>
                <w:lang w:val="en-US"/>
              </w:rPr>
            </w:pPr>
          </w:p>
          <w:p w14:paraId="5021BDE8" w14:textId="400F2E27" w:rsidR="005B1346" w:rsidRPr="000E0A64" w:rsidRDefault="00BD642B" w:rsidP="000E0A64">
            <w:pPr>
              <w:rPr>
                <w:sz w:val="18"/>
                <w:szCs w:val="18"/>
                <w:lang w:val="en-US"/>
              </w:rPr>
            </w:pPr>
            <w:r w:rsidRPr="000E0A64">
              <w:rPr>
                <w:sz w:val="18"/>
                <w:szCs w:val="18"/>
                <w:lang w:val="en-US"/>
              </w:rPr>
              <w:t>&gt;&gt;</w:t>
            </w:r>
            <w:r w:rsidR="00697DD6">
              <w:rPr>
                <w:sz w:val="18"/>
                <w:szCs w:val="18"/>
                <w:lang w:val="en-US"/>
              </w:rPr>
              <w:t xml:space="preserve"> </w:t>
            </w:r>
            <w:r w:rsidR="00B54897" w:rsidRPr="000E0A64">
              <w:rPr>
                <w:sz w:val="18"/>
                <w:szCs w:val="18"/>
                <w:lang w:val="en-US"/>
              </w:rPr>
              <w:t>On the top of this</w:t>
            </w:r>
            <w:r w:rsidR="006169B9" w:rsidRPr="000E0A64">
              <w:rPr>
                <w:sz w:val="18"/>
                <w:szCs w:val="18"/>
                <w:lang w:val="en-US"/>
              </w:rPr>
              <w:t>,</w:t>
            </w:r>
            <w:r w:rsidR="0004593A" w:rsidRPr="000E0A64">
              <w:rPr>
                <w:sz w:val="18"/>
                <w:szCs w:val="18"/>
                <w:lang w:val="en-US"/>
              </w:rPr>
              <w:t xml:space="preserve"> </w:t>
            </w:r>
            <w:r w:rsidR="006169B9" w:rsidRPr="000E0A64">
              <w:rPr>
                <w:sz w:val="18"/>
                <w:szCs w:val="18"/>
                <w:lang w:val="en-US"/>
              </w:rPr>
              <w:t xml:space="preserve"> th</w:t>
            </w:r>
            <w:r w:rsidR="003F7F4A" w:rsidRPr="000E0A64">
              <w:rPr>
                <w:sz w:val="18"/>
                <w:szCs w:val="18"/>
                <w:lang w:val="en-US"/>
              </w:rPr>
              <w:t xml:space="preserve">e EBA had </w:t>
            </w:r>
            <w:r w:rsidR="008617AB" w:rsidRPr="000E0A64">
              <w:rPr>
                <w:sz w:val="18"/>
                <w:szCs w:val="18"/>
                <w:lang w:val="en-US"/>
              </w:rPr>
              <w:t xml:space="preserve">by </w:t>
            </w:r>
            <w:r w:rsidR="003F7F4A" w:rsidRPr="000E0A64">
              <w:rPr>
                <w:sz w:val="18"/>
                <w:szCs w:val="18"/>
                <w:lang w:val="en-US"/>
              </w:rPr>
              <w:t xml:space="preserve">itself concluded - according to its simulations </w:t>
            </w:r>
            <w:r w:rsidR="0067775D" w:rsidRPr="0067775D">
              <w:rPr>
                <w:sz w:val="18"/>
                <w:szCs w:val="18"/>
                <w:lang w:val="en-US"/>
              </w:rPr>
              <w:t>in its December 2022 report</w:t>
            </w:r>
            <w:r w:rsidR="0067775D" w:rsidRPr="000E0A64">
              <w:rPr>
                <w:sz w:val="18"/>
                <w:szCs w:val="18"/>
                <w:lang w:val="en-US"/>
              </w:rPr>
              <w:t xml:space="preserve"> </w:t>
            </w:r>
            <w:r w:rsidR="003F7F4A" w:rsidRPr="000E0A64">
              <w:rPr>
                <w:sz w:val="18"/>
                <w:szCs w:val="18"/>
                <w:lang w:val="en-US"/>
              </w:rPr>
              <w:t xml:space="preserve">- that </w:t>
            </w:r>
            <w:r w:rsidR="00EF08AC" w:rsidRPr="000E0A64">
              <w:rPr>
                <w:sz w:val="18"/>
                <w:szCs w:val="18"/>
                <w:lang w:val="en-US"/>
              </w:rPr>
              <w:t xml:space="preserve">all </w:t>
            </w:r>
            <w:r w:rsidR="0004593A" w:rsidRPr="000E0A64">
              <w:rPr>
                <w:sz w:val="18"/>
                <w:szCs w:val="18"/>
                <w:lang w:val="en-US"/>
              </w:rPr>
              <w:t xml:space="preserve">ESA </w:t>
            </w:r>
            <w:r w:rsidR="00EF08AC" w:rsidRPr="000E0A64">
              <w:rPr>
                <w:sz w:val="18"/>
                <w:szCs w:val="18"/>
                <w:lang w:val="en-US"/>
              </w:rPr>
              <w:t>proposed s</w:t>
            </w:r>
            <w:r w:rsidR="003F7F4A" w:rsidRPr="000E0A64">
              <w:rPr>
                <w:sz w:val="18"/>
                <w:szCs w:val="18"/>
                <w:lang w:val="en-US"/>
              </w:rPr>
              <w:t>afeguards would block the floor lowering measure for almost all of them (</w:t>
            </w:r>
            <w:r w:rsidR="0067775D" w:rsidRPr="000E0A64">
              <w:rPr>
                <w:sz w:val="18"/>
                <w:szCs w:val="18"/>
                <w:lang w:val="en-US"/>
              </w:rPr>
              <w:t xml:space="preserve">146 </w:t>
            </w:r>
            <w:r w:rsidR="003F7F4A" w:rsidRPr="000E0A64">
              <w:rPr>
                <w:sz w:val="18"/>
                <w:szCs w:val="18"/>
                <w:lang w:val="en-US"/>
              </w:rPr>
              <w:t>out of their sample of</w:t>
            </w:r>
            <w:r w:rsidR="0067775D" w:rsidRPr="000E0A64">
              <w:rPr>
                <w:sz w:val="18"/>
                <w:szCs w:val="18"/>
                <w:lang w:val="en-US"/>
              </w:rPr>
              <w:t xml:space="preserve"> </w:t>
            </w:r>
            <w:r w:rsidR="00015A9C" w:rsidRPr="000E0A64">
              <w:rPr>
                <w:sz w:val="18"/>
                <w:szCs w:val="18"/>
                <w:lang w:val="en-US"/>
              </w:rPr>
              <w:t>160</w:t>
            </w:r>
            <w:r w:rsidR="003F7F4A" w:rsidRPr="000E0A64">
              <w:rPr>
                <w:sz w:val="18"/>
                <w:szCs w:val="18"/>
                <w:lang w:val="en-US"/>
              </w:rPr>
              <w:t>, i.e., more than 9</w:t>
            </w:r>
            <w:r w:rsidR="00DE0493" w:rsidRPr="000E0A64">
              <w:rPr>
                <w:sz w:val="18"/>
                <w:szCs w:val="18"/>
                <w:lang w:val="en-US"/>
              </w:rPr>
              <w:t>1</w:t>
            </w:r>
            <w:r w:rsidR="003F7F4A" w:rsidRPr="000E0A64">
              <w:rPr>
                <w:sz w:val="18"/>
                <w:szCs w:val="18"/>
                <w:lang w:val="en-US"/>
              </w:rPr>
              <w:t>%</w:t>
            </w:r>
            <w:r w:rsidR="00DE0493" w:rsidRPr="000E0A64">
              <w:rPr>
                <w:sz w:val="18"/>
                <w:szCs w:val="18"/>
                <w:lang w:val="en-US"/>
              </w:rPr>
              <w:t xml:space="preserve">, </w:t>
            </w:r>
            <w:r w:rsidR="00DE0493" w:rsidRPr="0067775D">
              <w:rPr>
                <w:sz w:val="18"/>
                <w:szCs w:val="18"/>
                <w:lang w:val="en-US"/>
              </w:rPr>
              <w:t xml:space="preserve">only 14 structures could benefit of the proposal of a lower RW floor because of the cumulation of the safeguards. </w:t>
            </w:r>
            <w:r w:rsidR="00DE0493">
              <w:rPr>
                <w:sz w:val="18"/>
                <w:szCs w:val="18"/>
                <w:lang w:val="en-US"/>
              </w:rPr>
              <w:t>O</w:t>
            </w:r>
            <w:r w:rsidR="00DE0493" w:rsidRPr="0067775D">
              <w:rPr>
                <w:sz w:val="18"/>
                <w:szCs w:val="18"/>
                <w:lang w:val="en-US"/>
              </w:rPr>
              <w:t xml:space="preserve">nly 14 structures could benefit </w:t>
            </w:r>
            <w:proofErr w:type="gramStart"/>
            <w:r w:rsidR="00DE0493" w:rsidRPr="0067775D">
              <w:rPr>
                <w:sz w:val="18"/>
                <w:szCs w:val="18"/>
                <w:lang w:val="en-US"/>
              </w:rPr>
              <w:t>of</w:t>
            </w:r>
            <w:proofErr w:type="gramEnd"/>
            <w:r w:rsidR="00DE0493" w:rsidRPr="0067775D">
              <w:rPr>
                <w:sz w:val="18"/>
                <w:szCs w:val="18"/>
                <w:lang w:val="en-US"/>
              </w:rPr>
              <w:t xml:space="preserve"> the proposal of a lower RW floor because of the cumulation of the safeguards.</w:t>
            </w:r>
            <w:r w:rsidR="00260C56">
              <w:rPr>
                <w:sz w:val="18"/>
                <w:szCs w:val="18"/>
                <w:lang w:val="en-US"/>
              </w:rPr>
              <w:t>)</w:t>
            </w:r>
          </w:p>
          <w:p w14:paraId="43F54A80" w14:textId="76B89BC3" w:rsidR="003F7F4A" w:rsidRPr="000E0A64" w:rsidRDefault="00EA634A" w:rsidP="009C7EA4">
            <w:pPr>
              <w:rPr>
                <w:sz w:val="18"/>
                <w:szCs w:val="18"/>
                <w:lang w:val="en-US"/>
              </w:rPr>
            </w:pPr>
            <w:r w:rsidRPr="000E0A64">
              <w:rPr>
                <w:sz w:val="18"/>
                <w:szCs w:val="18"/>
                <w:lang w:val="en-US"/>
              </w:rPr>
              <w:t>EBA</w:t>
            </w:r>
            <w:r w:rsidR="00727A8E" w:rsidRPr="000E0A64">
              <w:rPr>
                <w:sz w:val="18"/>
                <w:szCs w:val="18"/>
                <w:lang w:val="en-US"/>
              </w:rPr>
              <w:t xml:space="preserve"> has</w:t>
            </w:r>
            <w:r w:rsidR="000E3BD0" w:rsidRPr="000E0A64">
              <w:rPr>
                <w:sz w:val="18"/>
                <w:szCs w:val="18"/>
                <w:lang w:val="en-US"/>
              </w:rPr>
              <w:t xml:space="preserve"> </w:t>
            </w:r>
            <w:r w:rsidR="002304EB" w:rsidRPr="000E0A64">
              <w:rPr>
                <w:sz w:val="18"/>
                <w:szCs w:val="18"/>
                <w:lang w:val="en-US"/>
              </w:rPr>
              <w:t>hence already</w:t>
            </w:r>
            <w:r w:rsidR="003F7F4A" w:rsidRPr="000E0A64">
              <w:rPr>
                <w:sz w:val="18"/>
                <w:szCs w:val="18"/>
                <w:lang w:val="en-US"/>
              </w:rPr>
              <w:t xml:space="preserve"> </w:t>
            </w:r>
            <w:proofErr w:type="gramStart"/>
            <w:r w:rsidR="005B1809" w:rsidRPr="000E0A64">
              <w:rPr>
                <w:sz w:val="18"/>
                <w:szCs w:val="18"/>
                <w:lang w:val="en-US"/>
              </w:rPr>
              <w:t xml:space="preserve">highlighted </w:t>
            </w:r>
            <w:r w:rsidR="003F7F4A" w:rsidRPr="000E0A64">
              <w:rPr>
                <w:sz w:val="18"/>
                <w:szCs w:val="18"/>
                <w:lang w:val="en-US"/>
              </w:rPr>
              <w:t xml:space="preserve"> that</w:t>
            </w:r>
            <w:proofErr w:type="gramEnd"/>
            <w:r w:rsidR="003F7F4A" w:rsidRPr="000E0A64">
              <w:rPr>
                <w:sz w:val="18"/>
                <w:szCs w:val="18"/>
                <w:lang w:val="en-US"/>
              </w:rPr>
              <w:t xml:space="preserve"> </w:t>
            </w:r>
            <w:r w:rsidR="005B1809" w:rsidRPr="000E0A64">
              <w:rPr>
                <w:sz w:val="18"/>
                <w:szCs w:val="18"/>
                <w:lang w:val="en-US"/>
              </w:rPr>
              <w:t>such</w:t>
            </w:r>
            <w:r w:rsidR="003F7F4A" w:rsidRPr="000E0A64">
              <w:rPr>
                <w:sz w:val="18"/>
                <w:szCs w:val="18"/>
                <w:lang w:val="en-US"/>
              </w:rPr>
              <w:t xml:space="preserve"> deployment of "safeguards" would mechanically stifle the securitization revival initiative (and </w:t>
            </w:r>
            <w:r w:rsidR="005B1809" w:rsidRPr="000E0A64">
              <w:rPr>
                <w:sz w:val="18"/>
                <w:szCs w:val="18"/>
                <w:lang w:val="en-US"/>
              </w:rPr>
              <w:t xml:space="preserve">any </w:t>
            </w:r>
            <w:r w:rsidR="003F7F4A" w:rsidRPr="000E0A64">
              <w:rPr>
                <w:sz w:val="18"/>
                <w:szCs w:val="18"/>
                <w:lang w:val="en-US"/>
              </w:rPr>
              <w:t>regulatory simplification</w:t>
            </w:r>
            <w:r w:rsidR="005B1809" w:rsidRPr="000E0A64">
              <w:rPr>
                <w:sz w:val="18"/>
                <w:szCs w:val="18"/>
                <w:lang w:val="en-US"/>
              </w:rPr>
              <w:t xml:space="preserve"> wish</w:t>
            </w:r>
            <w:r w:rsidR="003F7F4A" w:rsidRPr="000E0A64">
              <w:rPr>
                <w:sz w:val="18"/>
                <w:szCs w:val="18"/>
                <w:lang w:val="en-US"/>
              </w:rPr>
              <w:t>).</w:t>
            </w:r>
          </w:p>
          <w:p w14:paraId="3116F662" w14:textId="77777777" w:rsidR="008617AB" w:rsidRPr="000E0A64" w:rsidRDefault="008617AB" w:rsidP="003F7F4A">
            <w:pPr>
              <w:rPr>
                <w:sz w:val="18"/>
                <w:szCs w:val="18"/>
                <w:lang w:val="en-US"/>
              </w:rPr>
            </w:pPr>
          </w:p>
          <w:p w14:paraId="6D01649E" w14:textId="77777777" w:rsidR="002304EB" w:rsidRPr="002304EB" w:rsidRDefault="002304EB" w:rsidP="002304EB">
            <w:pPr>
              <w:rPr>
                <w:sz w:val="18"/>
                <w:szCs w:val="18"/>
                <w:lang w:val="en-GB"/>
              </w:rPr>
            </w:pPr>
            <w:r w:rsidRPr="002304EB">
              <w:rPr>
                <w:sz w:val="18"/>
                <w:szCs w:val="18"/>
                <w:lang w:val="en-US"/>
              </w:rPr>
              <w:t xml:space="preserve">Would the introduction of such “safeguards” be necessary, they should be very carefully "proportionate", and such introduction should be restricted to few of them: </w:t>
            </w:r>
            <w:proofErr w:type="gramStart"/>
            <w:r w:rsidRPr="002304EB">
              <w:rPr>
                <w:sz w:val="18"/>
                <w:szCs w:val="18"/>
                <w:lang w:val="en-US"/>
              </w:rPr>
              <w:t>Granularity ?</w:t>
            </w:r>
            <w:proofErr w:type="gramEnd"/>
            <w:r w:rsidRPr="002304EB">
              <w:rPr>
                <w:sz w:val="18"/>
                <w:szCs w:val="18"/>
                <w:lang w:val="en-US"/>
              </w:rPr>
              <w:t xml:space="preserve"> </w:t>
            </w:r>
            <w:r w:rsidRPr="002304EB">
              <w:rPr>
                <w:sz w:val="18"/>
                <w:szCs w:val="18"/>
                <w:lang w:val="en-GB"/>
              </w:rPr>
              <w:t xml:space="preserve">(a fix 2% worst case – from </w:t>
            </w:r>
            <w:r w:rsidRPr="002304EB">
              <w:rPr>
                <w:sz w:val="18"/>
                <w:szCs w:val="18"/>
                <w:lang w:val="en-US"/>
              </w:rPr>
              <w:t>from either ABCP or non-ABCP STS criteria- could be discussed, or</w:t>
            </w:r>
            <w:r w:rsidRPr="002304EB">
              <w:rPr>
                <w:sz w:val="18"/>
                <w:szCs w:val="18"/>
                <w:lang w:val="en-GB"/>
              </w:rPr>
              <w:t xml:space="preserve"> more probably such a granularity safeguard would require dynamical definition through a new formula - </w:t>
            </w:r>
            <w:proofErr w:type="spellStart"/>
            <w:r w:rsidRPr="002304EB">
              <w:rPr>
                <w:sz w:val="18"/>
                <w:szCs w:val="18"/>
                <w:lang w:val="en-GB"/>
              </w:rPr>
              <w:t>tbd</w:t>
            </w:r>
            <w:proofErr w:type="spellEnd"/>
            <w:r w:rsidRPr="002304EB">
              <w:rPr>
                <w:sz w:val="18"/>
                <w:szCs w:val="18"/>
                <w:lang w:val="en-GB"/>
              </w:rPr>
              <w:t xml:space="preserve">), </w:t>
            </w:r>
            <w:r w:rsidRPr="002304EB">
              <w:rPr>
                <w:sz w:val="18"/>
                <w:szCs w:val="18"/>
                <w:lang w:val="en-US"/>
              </w:rPr>
              <w:t xml:space="preserve">Amortization? </w:t>
            </w:r>
            <w:r w:rsidRPr="002304EB">
              <w:rPr>
                <w:sz w:val="18"/>
                <w:szCs w:val="18"/>
                <w:lang w:val="en-GB"/>
              </w:rPr>
              <w:t xml:space="preserve">and absence of counterparty risk? could be further studied) … </w:t>
            </w:r>
          </w:p>
          <w:p w14:paraId="0F8E542C" w14:textId="697DF5C3" w:rsidR="003F7F4A" w:rsidRPr="002304EB" w:rsidRDefault="002304EB" w:rsidP="002304EB">
            <w:pPr>
              <w:rPr>
                <w:sz w:val="18"/>
                <w:szCs w:val="18"/>
                <w:lang w:val="en-US"/>
              </w:rPr>
            </w:pPr>
            <w:r w:rsidRPr="002304EB">
              <w:rPr>
                <w:sz w:val="18"/>
                <w:szCs w:val="18"/>
                <w:lang w:val="en-GB"/>
              </w:rPr>
              <w:t xml:space="preserve">However, all of us must keep in mind that such initiative would have negative side-impacts, as they would limit specific segments such as infrastructure, would sharply limit securitization revival initiative and would deeply jeopardizing regulatory simplification. </w:t>
            </w:r>
          </w:p>
          <w:p w14:paraId="536B6D64" w14:textId="616240A4" w:rsidR="003F7F4A" w:rsidRPr="00973525" w:rsidRDefault="003F7F4A" w:rsidP="003F7F4A">
            <w:pPr>
              <w:rPr>
                <w:sz w:val="18"/>
                <w:szCs w:val="18"/>
                <w:lang w:val="en-US"/>
              </w:rPr>
            </w:pPr>
          </w:p>
        </w:tc>
        <w:tc>
          <w:tcPr>
            <w:tcW w:w="236" w:type="dxa"/>
          </w:tcPr>
          <w:p w14:paraId="5B50868B" w14:textId="21ED0A28" w:rsidR="00C21071" w:rsidRPr="007C79DF" w:rsidRDefault="00C21071" w:rsidP="0079353D">
            <w:pPr>
              <w:pStyle w:val="Corpsdetexte"/>
              <w:spacing w:before="21"/>
              <w:ind w:firstLine="1917"/>
              <w:jc w:val="both"/>
              <w:rPr>
                <w:sz w:val="18"/>
                <w:szCs w:val="18"/>
                <w:lang w:val="en-GB"/>
              </w:rPr>
            </w:pPr>
          </w:p>
        </w:tc>
      </w:tr>
      <w:tr w:rsidR="00C21071" w:rsidRPr="0000602A" w14:paraId="365DE1F1" w14:textId="77777777" w:rsidTr="30964D0C">
        <w:trPr>
          <w:gridAfter w:val="1"/>
          <w:wAfter w:w="16" w:type="dxa"/>
        </w:trPr>
        <w:tc>
          <w:tcPr>
            <w:tcW w:w="2893" w:type="dxa"/>
          </w:tcPr>
          <w:p w14:paraId="42334D5E" w14:textId="185EB11F" w:rsidR="00C21071" w:rsidRPr="00973525" w:rsidRDefault="00C21071" w:rsidP="00C21071">
            <w:pPr>
              <w:rPr>
                <w:sz w:val="18"/>
                <w:szCs w:val="18"/>
                <w:lang w:val="en-GB"/>
              </w:rPr>
            </w:pPr>
            <w:r w:rsidRPr="00973525">
              <w:rPr>
                <w:sz w:val="18"/>
                <w:szCs w:val="18"/>
                <w:lang w:val="en-GB"/>
              </w:rPr>
              <w:t xml:space="preserve">Question 9.18. If you answered no to question 9.16., as an alternative, instead of these three </w:t>
            </w:r>
            <w:r w:rsidRPr="00973525">
              <w:rPr>
                <w:sz w:val="18"/>
                <w:szCs w:val="18"/>
                <w:lang w:val="en-GB"/>
              </w:rPr>
              <w:lastRenderedPageBreak/>
              <w:t xml:space="preserve">safeguards, </w:t>
            </w:r>
            <w:proofErr w:type="gramStart"/>
            <w:r w:rsidRPr="00973525">
              <w:rPr>
                <w:sz w:val="18"/>
                <w:szCs w:val="18"/>
                <w:lang w:val="en-GB"/>
              </w:rPr>
              <w:t>taking into account</w:t>
            </w:r>
            <w:proofErr w:type="gramEnd"/>
            <w:r w:rsidRPr="00973525">
              <w:rPr>
                <w:sz w:val="18"/>
                <w:szCs w:val="18"/>
                <w:lang w:val="en-GB"/>
              </w:rPr>
              <w:t xml:space="preserve"> the need to ensure simplicity, would it be preferable to </w:t>
            </w:r>
            <w:r w:rsidRPr="00973525">
              <w:rPr>
                <w:b/>
                <w:bCs/>
                <w:sz w:val="18"/>
                <w:szCs w:val="18"/>
                <w:lang w:val="en-GB"/>
              </w:rPr>
              <w:t>limit the reduction</w:t>
            </w:r>
            <w:r w:rsidRPr="00973525">
              <w:rPr>
                <w:sz w:val="18"/>
                <w:szCs w:val="18"/>
                <w:lang w:val="en-GB"/>
              </w:rPr>
              <w:t xml:space="preserve"> of the risk weight </w:t>
            </w:r>
            <w:r w:rsidRPr="00973525">
              <w:rPr>
                <w:b/>
                <w:bCs/>
                <w:sz w:val="18"/>
                <w:szCs w:val="18"/>
                <w:lang w:val="en-GB"/>
              </w:rPr>
              <w:t xml:space="preserve">floor </w:t>
            </w:r>
            <w:r w:rsidRPr="00973525">
              <w:rPr>
                <w:sz w:val="18"/>
                <w:szCs w:val="18"/>
                <w:lang w:val="en-GB"/>
              </w:rPr>
              <w:t xml:space="preserve">to </w:t>
            </w:r>
            <w:r w:rsidRPr="00973525">
              <w:rPr>
                <w:b/>
                <w:bCs/>
                <w:sz w:val="18"/>
                <w:szCs w:val="18"/>
                <w:lang w:val="en-GB"/>
              </w:rPr>
              <w:t>STS transactions only</w:t>
            </w:r>
            <w:r w:rsidRPr="00973525">
              <w:rPr>
                <w:sz w:val="18"/>
                <w:szCs w:val="18"/>
                <w:lang w:val="en-GB"/>
              </w:rPr>
              <w:t>? Please explain.</w:t>
            </w:r>
          </w:p>
        </w:tc>
        <w:tc>
          <w:tcPr>
            <w:tcW w:w="7740" w:type="dxa"/>
          </w:tcPr>
          <w:p w14:paraId="24DA3D13" w14:textId="77777777" w:rsidR="00C21071" w:rsidRPr="00973525" w:rsidRDefault="00C21071" w:rsidP="00C21071">
            <w:pPr>
              <w:pStyle w:val="Corpsdetexte"/>
              <w:spacing w:before="22"/>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lastRenderedPageBreak/>
              <w:t xml:space="preserve">NO. </w:t>
            </w:r>
          </w:p>
          <w:p w14:paraId="00B4A49B" w14:textId="3C194F8A" w:rsidR="00C21071" w:rsidRPr="00973525" w:rsidRDefault="00C21071" w:rsidP="00C21071">
            <w:pPr>
              <w:pStyle w:val="Corpsdetexte"/>
              <w:spacing w:before="22"/>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u w:val="single"/>
                <w14:ligatures w14:val="standardContextual"/>
              </w:rPr>
              <w:t>It does not make sense to limit the reduction of the risk-weight floor to STS securitisations only,</w:t>
            </w:r>
            <w:r w:rsidRPr="00973525">
              <w:rPr>
                <w:rFonts w:asciiTheme="minorHAnsi" w:eastAsiaTheme="minorHAnsi" w:hAnsiTheme="minorHAnsi" w:cstheme="minorBidi"/>
                <w:kern w:val="2"/>
                <w:sz w:val="18"/>
                <w:szCs w:val="18"/>
                <w14:ligatures w14:val="standardContextual"/>
              </w:rPr>
              <w:t xml:space="preserve"> since the STS framework is not related to the credit risk of the underlying pool of securitized assets. </w:t>
            </w:r>
          </w:p>
          <w:p w14:paraId="343AA336" w14:textId="2D1B7DF7" w:rsidR="00C21071" w:rsidRPr="00973525" w:rsidRDefault="00C21071" w:rsidP="00C21071">
            <w:pPr>
              <w:rPr>
                <w:sz w:val="18"/>
                <w:szCs w:val="18"/>
                <w:lang w:val="en-US"/>
              </w:rPr>
            </w:pPr>
          </w:p>
          <w:p w14:paraId="70A8D4A4" w14:textId="62A071E4" w:rsidR="00C21071" w:rsidRPr="00973525" w:rsidRDefault="00C21071" w:rsidP="00C21071">
            <w:pPr>
              <w:pStyle w:val="Corpsdetexte"/>
              <w:spacing w:before="22"/>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 xml:space="preserve">The risk-weight floor should be set at the level under which banks would be considered as not holding enough capital on retained tranches to absorb losses that could impact its positions: But whether securitisations comply with STS requirements or not, they are always structured in such a way that regulatory expected and unexpected losses are covered by capital and/or credit protection (otherwise, there would not be “significant” or “commensurate” risk transfer, and then the securitisation would not take place). </w:t>
            </w:r>
          </w:p>
          <w:p w14:paraId="1295CB6C" w14:textId="48942562" w:rsidR="00C21071" w:rsidRPr="00973525" w:rsidRDefault="00C21071" w:rsidP="00C21071">
            <w:pPr>
              <w:rPr>
                <w:sz w:val="18"/>
                <w:szCs w:val="18"/>
                <w:lang w:val="en-US"/>
              </w:rPr>
            </w:pPr>
          </w:p>
          <w:p w14:paraId="452BF0F8" w14:textId="7C684C08" w:rsidR="00C21071" w:rsidRPr="00973525" w:rsidRDefault="00C21071" w:rsidP="00C21071">
            <w:pPr>
              <w:rPr>
                <w:sz w:val="18"/>
                <w:szCs w:val="18"/>
                <w:lang w:val="en-GB"/>
              </w:rPr>
            </w:pPr>
            <w:r w:rsidRPr="00973525">
              <w:rPr>
                <w:sz w:val="18"/>
                <w:szCs w:val="18"/>
                <w:lang w:val="en-US"/>
              </w:rPr>
              <w:t xml:space="preserve"> </w:t>
            </w:r>
          </w:p>
        </w:tc>
        <w:tc>
          <w:tcPr>
            <w:tcW w:w="236" w:type="dxa"/>
          </w:tcPr>
          <w:p w14:paraId="41C825C6" w14:textId="65809BA3" w:rsidR="00C21071" w:rsidRPr="007C79DF" w:rsidRDefault="00C21071" w:rsidP="0079353D">
            <w:pPr>
              <w:ind w:firstLine="1917"/>
              <w:rPr>
                <w:sz w:val="18"/>
                <w:szCs w:val="18"/>
                <w:lang w:val="en-GB"/>
              </w:rPr>
            </w:pPr>
          </w:p>
        </w:tc>
      </w:tr>
      <w:tr w:rsidR="00C21071" w:rsidRPr="0000602A" w14:paraId="0D2C8750" w14:textId="77777777" w:rsidTr="30964D0C">
        <w:trPr>
          <w:gridAfter w:val="1"/>
          <w:wAfter w:w="16" w:type="dxa"/>
        </w:trPr>
        <w:tc>
          <w:tcPr>
            <w:tcW w:w="2893" w:type="dxa"/>
          </w:tcPr>
          <w:p w14:paraId="78A68F46" w14:textId="77777777" w:rsidR="00C21071" w:rsidRPr="00973525" w:rsidRDefault="00C21071" w:rsidP="00C21071">
            <w:pPr>
              <w:rPr>
                <w:sz w:val="18"/>
                <w:szCs w:val="18"/>
                <w:lang w:val="en-GB"/>
              </w:rPr>
            </w:pPr>
            <w:r w:rsidRPr="00973525">
              <w:rPr>
                <w:sz w:val="18"/>
                <w:szCs w:val="18"/>
                <w:lang w:val="en-GB"/>
              </w:rPr>
              <w:t xml:space="preserve">Question 9.19. What would be the </w:t>
            </w:r>
            <w:r w:rsidRPr="00973525">
              <w:rPr>
                <w:b/>
                <w:bCs/>
                <w:sz w:val="18"/>
                <w:szCs w:val="18"/>
                <w:lang w:val="en-GB"/>
              </w:rPr>
              <w:t>expected impact</w:t>
            </w:r>
            <w:r w:rsidRPr="00973525">
              <w:rPr>
                <w:sz w:val="18"/>
                <w:szCs w:val="18"/>
                <w:lang w:val="en-GB"/>
              </w:rPr>
              <w:t xml:space="preserve"> of a possible </w:t>
            </w:r>
            <w:r w:rsidRPr="00973525">
              <w:rPr>
                <w:b/>
                <w:bCs/>
                <w:sz w:val="18"/>
                <w:szCs w:val="18"/>
                <w:lang w:val="en-GB"/>
              </w:rPr>
              <w:t>reduction of the risk weight floor</w:t>
            </w:r>
            <w:r w:rsidRPr="00973525">
              <w:rPr>
                <w:sz w:val="18"/>
                <w:szCs w:val="18"/>
                <w:lang w:val="en-GB"/>
              </w:rPr>
              <w:t xml:space="preserve"> on EU securitisation </w:t>
            </w:r>
            <w:r w:rsidRPr="00973525">
              <w:rPr>
                <w:b/>
                <w:bCs/>
                <w:sz w:val="18"/>
                <w:szCs w:val="18"/>
                <w:lang w:val="en-GB"/>
              </w:rPr>
              <w:t>activity</w:t>
            </w:r>
            <w:r w:rsidRPr="00973525">
              <w:rPr>
                <w:sz w:val="18"/>
                <w:szCs w:val="18"/>
                <w:lang w:val="en-GB"/>
              </w:rPr>
              <w:t>?</w:t>
            </w:r>
            <w:r w:rsidRPr="00973525">
              <w:rPr>
                <w:sz w:val="18"/>
                <w:szCs w:val="18"/>
                <w:lang w:val="en-GB"/>
              </w:rPr>
              <w:br/>
            </w:r>
            <w:r w:rsidRPr="00973525">
              <w:rPr>
                <w:sz w:val="18"/>
                <w:szCs w:val="18"/>
                <w:lang w:val="en-GB"/>
              </w:rPr>
              <w:br/>
              <w:t>Please explain any possible impact on different types of securitisations (traditional securitisation, synthetic securitisation), from both supply and demand sides.</w:t>
            </w:r>
          </w:p>
          <w:p w14:paraId="23E938ED" w14:textId="77777777" w:rsidR="00C21071" w:rsidRPr="00973525" w:rsidRDefault="00C21071" w:rsidP="00C21071">
            <w:pPr>
              <w:rPr>
                <w:sz w:val="18"/>
                <w:szCs w:val="18"/>
                <w:lang w:val="en-GB"/>
              </w:rPr>
            </w:pPr>
          </w:p>
        </w:tc>
        <w:tc>
          <w:tcPr>
            <w:tcW w:w="7740" w:type="dxa"/>
          </w:tcPr>
          <w:p w14:paraId="194819CC" w14:textId="42CEFA5D" w:rsidR="00C21071" w:rsidRPr="00973525" w:rsidRDefault="00C21071" w:rsidP="00C21071">
            <w:pPr>
              <w:rPr>
                <w:sz w:val="18"/>
                <w:szCs w:val="18"/>
                <w:lang w:val="en-US"/>
              </w:rPr>
            </w:pPr>
            <w:r w:rsidRPr="00973525">
              <w:rPr>
                <w:sz w:val="18"/>
                <w:szCs w:val="18"/>
                <w:lang w:val="en-US"/>
              </w:rPr>
              <w:t xml:space="preserve">A more economically adjusted risk Weight floor could unlock significant opportunities for revival of securitisation market. </w:t>
            </w:r>
          </w:p>
          <w:p w14:paraId="3E31BA3D" w14:textId="60AE217C" w:rsidR="00C21071" w:rsidRPr="00973525" w:rsidRDefault="00C21071" w:rsidP="00C21071">
            <w:pPr>
              <w:rPr>
                <w:sz w:val="18"/>
                <w:szCs w:val="18"/>
                <w:lang w:val="en-US"/>
              </w:rPr>
            </w:pPr>
            <w:r w:rsidRPr="00973525">
              <w:rPr>
                <w:sz w:val="18"/>
                <w:szCs w:val="18"/>
                <w:lang w:val="en-US"/>
              </w:rPr>
              <w:t xml:space="preserve">As for examples: </w:t>
            </w:r>
          </w:p>
          <w:p w14:paraId="22BF4BEE" w14:textId="529E0E6C" w:rsidR="00C21071" w:rsidRPr="00973525" w:rsidRDefault="00C21071" w:rsidP="00C21071">
            <w:pPr>
              <w:pStyle w:val="Paragraphedeliste"/>
              <w:numPr>
                <w:ilvl w:val="0"/>
                <w:numId w:val="12"/>
              </w:numPr>
              <w:rPr>
                <w:sz w:val="18"/>
                <w:szCs w:val="18"/>
                <w:u w:val="single"/>
                <w:lang w:val="en-US"/>
              </w:rPr>
            </w:pPr>
            <w:r w:rsidRPr="00973525">
              <w:rPr>
                <w:sz w:val="18"/>
                <w:szCs w:val="18"/>
                <w:u w:val="single"/>
                <w:lang w:val="en-US"/>
              </w:rPr>
              <w:t>On the Supply side:</w:t>
            </w:r>
          </w:p>
          <w:p w14:paraId="1FD0BD4F" w14:textId="626D3449" w:rsidR="00C21071" w:rsidRPr="00973525" w:rsidRDefault="00C21071" w:rsidP="00C21071">
            <w:pPr>
              <w:rPr>
                <w:sz w:val="18"/>
                <w:szCs w:val="18"/>
                <w:lang w:val="en-US"/>
              </w:rPr>
            </w:pPr>
            <w:r w:rsidRPr="00973525">
              <w:rPr>
                <w:sz w:val="18"/>
                <w:szCs w:val="18"/>
                <w:lang w:val="en-US"/>
              </w:rPr>
              <w:t>Currently some portfolios with very low risks cannot be economically included in a SRT securitisation.</w:t>
            </w:r>
          </w:p>
          <w:p w14:paraId="25FB3CFE" w14:textId="2133654E" w:rsidR="00C21071" w:rsidRPr="00973525" w:rsidRDefault="00C21071" w:rsidP="00C21071">
            <w:pPr>
              <w:rPr>
                <w:sz w:val="18"/>
                <w:szCs w:val="18"/>
                <w:lang w:val="en-US"/>
              </w:rPr>
            </w:pPr>
            <w:r w:rsidRPr="00973525">
              <w:rPr>
                <w:sz w:val="18"/>
                <w:szCs w:val="18"/>
                <w:lang w:val="en-US"/>
              </w:rPr>
              <w:t xml:space="preserve">A lower floor will thus make possible the transfer of risk for assets such as residential mortgage, which is one of the largest asset classes in European private debt. </w:t>
            </w:r>
          </w:p>
          <w:p w14:paraId="325FA614" w14:textId="77777777" w:rsidR="00C21071" w:rsidRPr="00973525" w:rsidRDefault="00C21071" w:rsidP="00C21071">
            <w:pPr>
              <w:rPr>
                <w:sz w:val="18"/>
                <w:szCs w:val="18"/>
                <w:lang w:val="en-US"/>
              </w:rPr>
            </w:pPr>
          </w:p>
          <w:p w14:paraId="1A7323E3" w14:textId="72FC4F98" w:rsidR="00C21071" w:rsidRPr="00973525" w:rsidRDefault="00C21071" w:rsidP="00C21071">
            <w:pPr>
              <w:pStyle w:val="Paragraphedeliste"/>
              <w:numPr>
                <w:ilvl w:val="0"/>
                <w:numId w:val="12"/>
              </w:numPr>
              <w:rPr>
                <w:sz w:val="18"/>
                <w:szCs w:val="18"/>
                <w:u w:val="single"/>
                <w:lang w:val="en-US"/>
              </w:rPr>
            </w:pPr>
            <w:r w:rsidRPr="00973525">
              <w:rPr>
                <w:sz w:val="18"/>
                <w:szCs w:val="18"/>
                <w:u w:val="single"/>
                <w:lang w:val="en-US"/>
              </w:rPr>
              <w:t xml:space="preserve">On the Demand side: </w:t>
            </w:r>
          </w:p>
          <w:p w14:paraId="4E346E0A" w14:textId="38F4FE1D" w:rsidR="00C21071" w:rsidRPr="00973525" w:rsidRDefault="00C21071" w:rsidP="00C21071">
            <w:pPr>
              <w:rPr>
                <w:sz w:val="18"/>
                <w:szCs w:val="18"/>
                <w:lang w:val="en-US"/>
              </w:rPr>
            </w:pPr>
            <w:r w:rsidRPr="00973525">
              <w:rPr>
                <w:sz w:val="18"/>
                <w:szCs w:val="18"/>
                <w:lang w:val="en-US"/>
              </w:rPr>
              <w:t>The lowering of the risk-weight floor for investors will also increase the demand on senior tranches, mainly on cash transactions.</w:t>
            </w:r>
          </w:p>
          <w:p w14:paraId="42699E69" w14:textId="23E86C7C" w:rsidR="00C21071" w:rsidRPr="00973525" w:rsidRDefault="00C21071" w:rsidP="00C21071">
            <w:pPr>
              <w:rPr>
                <w:sz w:val="18"/>
                <w:szCs w:val="18"/>
                <w:lang w:val="en-US"/>
              </w:rPr>
            </w:pPr>
            <w:r w:rsidRPr="00973525">
              <w:rPr>
                <w:sz w:val="18"/>
                <w:szCs w:val="18"/>
                <w:lang w:val="en-US"/>
              </w:rPr>
              <w:t>The impact on synthetic transactions will be limited since they are often retained by the originator (but it will have an indirect effect on the supply side).</w:t>
            </w:r>
          </w:p>
          <w:p w14:paraId="4539903F" w14:textId="3AC3652E" w:rsidR="00C21071" w:rsidRPr="00973525" w:rsidRDefault="00C21071" w:rsidP="00C21071">
            <w:pPr>
              <w:rPr>
                <w:sz w:val="18"/>
                <w:szCs w:val="18"/>
                <w:lang w:val="en-GB"/>
              </w:rPr>
            </w:pPr>
          </w:p>
        </w:tc>
        <w:tc>
          <w:tcPr>
            <w:tcW w:w="236" w:type="dxa"/>
          </w:tcPr>
          <w:p w14:paraId="4C5FAAE9" w14:textId="77777777" w:rsidR="00C21071" w:rsidRPr="00973525" w:rsidRDefault="00C21071" w:rsidP="0079353D">
            <w:pPr>
              <w:ind w:firstLine="1917"/>
              <w:rPr>
                <w:sz w:val="18"/>
                <w:szCs w:val="18"/>
                <w:lang w:val="en-GB"/>
              </w:rPr>
            </w:pPr>
          </w:p>
        </w:tc>
      </w:tr>
      <w:tr w:rsidR="00C21071" w:rsidRPr="0000602A" w14:paraId="40D4B18F" w14:textId="77777777" w:rsidTr="30964D0C">
        <w:tc>
          <w:tcPr>
            <w:tcW w:w="10885" w:type="dxa"/>
            <w:gridSpan w:val="4"/>
            <w:shd w:val="clear" w:color="auto" w:fill="A6A6A6" w:themeFill="background1" w:themeFillShade="A6"/>
          </w:tcPr>
          <w:p w14:paraId="5E8F76FD" w14:textId="77777777" w:rsidR="00C21071" w:rsidRPr="00973525" w:rsidRDefault="00C21071" w:rsidP="0079353D">
            <w:pPr>
              <w:ind w:firstLine="1917"/>
              <w:rPr>
                <w:b/>
                <w:bCs/>
                <w:sz w:val="18"/>
                <w:szCs w:val="18"/>
                <w:highlight w:val="lightGray"/>
                <w:lang w:val="en-GB"/>
              </w:rPr>
            </w:pPr>
          </w:p>
        </w:tc>
      </w:tr>
      <w:tr w:rsidR="00C21071" w:rsidRPr="0000602A" w14:paraId="7EAA1FAB" w14:textId="77777777" w:rsidTr="30964D0C">
        <w:tc>
          <w:tcPr>
            <w:tcW w:w="10885" w:type="dxa"/>
            <w:gridSpan w:val="4"/>
          </w:tcPr>
          <w:p w14:paraId="5FDC9412" w14:textId="77777777" w:rsidR="00C21071" w:rsidRPr="00973525" w:rsidRDefault="00C21071" w:rsidP="00265131">
            <w:pPr>
              <w:ind w:firstLine="39"/>
              <w:jc w:val="both"/>
              <w:rPr>
                <w:b/>
                <w:bCs/>
                <w:sz w:val="18"/>
                <w:szCs w:val="18"/>
                <w:lang w:val="en-GB"/>
              </w:rPr>
            </w:pPr>
            <w:r w:rsidRPr="00973525">
              <w:rPr>
                <w:b/>
                <w:bCs/>
                <w:sz w:val="18"/>
                <w:szCs w:val="18"/>
                <w:highlight w:val="lightGray"/>
                <w:lang w:val="en-GB"/>
              </w:rPr>
              <w:t>The (p) factor</w:t>
            </w:r>
          </w:p>
          <w:p w14:paraId="2C296642" w14:textId="4E9AD001" w:rsidR="00C21071" w:rsidRPr="00973525" w:rsidRDefault="00C21071" w:rsidP="00265131">
            <w:pPr>
              <w:ind w:firstLine="39"/>
              <w:jc w:val="both"/>
              <w:rPr>
                <w:sz w:val="18"/>
                <w:szCs w:val="18"/>
                <w:lang w:val="en-GB"/>
              </w:rPr>
            </w:pPr>
            <w:r w:rsidRPr="00973525">
              <w:rPr>
                <w:sz w:val="18"/>
                <w:szCs w:val="18"/>
                <w:lang w:val="en-GB"/>
              </w:rPr>
              <w:t>The (p) factor is the main parameter of non</w:t>
            </w:r>
            <w:r w:rsidRPr="00973525">
              <w:rPr>
                <w:sz w:val="18"/>
                <w:szCs w:val="18"/>
                <w:lang w:val="en-GB"/>
              </w:rPr>
              <w:noBreakHyphen/>
              <w:t>neutrality in the securitisation framework. Besides incorporating the capital non</w:t>
            </w:r>
            <w:r w:rsidRPr="00973525">
              <w:rPr>
                <w:sz w:val="18"/>
                <w:szCs w:val="18"/>
                <w:lang w:val="en-GB"/>
              </w:rPr>
              <w:noBreakHyphen/>
              <w:t>neutrality, it also serves as a smoothing parameter to mitigate the so</w:t>
            </w:r>
            <w:r w:rsidRPr="00973525">
              <w:rPr>
                <w:sz w:val="18"/>
                <w:szCs w:val="18"/>
                <w:lang w:val="en-GB"/>
              </w:rPr>
              <w:noBreakHyphen/>
              <w:t xml:space="preserve">called ‘cliff effects’ that arise when small changes in input parameters under the current risk weight functions result in comparably large changes in risk weights (the lower the (p) factor, the higher the cliff effect). The (p) factor aims to capture the structural risks of </w:t>
            </w:r>
            <w:r w:rsidR="00E72BB8" w:rsidRPr="00973525">
              <w:rPr>
                <w:sz w:val="18"/>
                <w:szCs w:val="18"/>
                <w:lang w:val="en-GB"/>
              </w:rPr>
              <w:t>securitisation</w:t>
            </w:r>
            <w:r w:rsidR="00E72BB8" w:rsidRPr="00973525">
              <w:rPr>
                <w:sz w:val="18"/>
                <w:szCs w:val="18"/>
                <w:vertAlign w:val="superscript"/>
                <w:lang w:val="en-GB"/>
              </w:rPr>
              <w:t xml:space="preserve"> [</w:t>
            </w:r>
            <w:r w:rsidRPr="00973525">
              <w:rPr>
                <w:sz w:val="18"/>
                <w:szCs w:val="18"/>
                <w:vertAlign w:val="superscript"/>
                <w:lang w:val="en-GB"/>
              </w:rPr>
              <w:t>*]</w:t>
            </w:r>
            <w:r w:rsidRPr="00973525">
              <w:rPr>
                <w:sz w:val="18"/>
                <w:szCs w:val="18"/>
                <w:lang w:val="en-GB"/>
              </w:rPr>
              <w:t> </w:t>
            </w:r>
            <w:proofErr w:type="gramStart"/>
            <w:r w:rsidRPr="00973525">
              <w:rPr>
                <w:sz w:val="18"/>
                <w:szCs w:val="18"/>
                <w:lang w:val="en-GB"/>
              </w:rPr>
              <w:t>in particular agency</w:t>
            </w:r>
            <w:proofErr w:type="gramEnd"/>
            <w:r w:rsidRPr="00973525">
              <w:rPr>
                <w:sz w:val="18"/>
                <w:szCs w:val="18"/>
                <w:lang w:val="en-GB"/>
              </w:rPr>
              <w:t xml:space="preserve"> and model risks, and to some extent correlation (risk of correlated defaults, particularly present in non</w:t>
            </w:r>
            <w:r w:rsidRPr="00973525">
              <w:rPr>
                <w:sz w:val="18"/>
                <w:szCs w:val="18"/>
                <w:lang w:val="en-GB"/>
              </w:rPr>
              <w:noBreakHyphen/>
              <w:t>granular pools). A p</w:t>
            </w:r>
            <w:r w:rsidRPr="00973525">
              <w:rPr>
                <w:sz w:val="18"/>
                <w:szCs w:val="18"/>
                <w:lang w:val="en-GB"/>
              </w:rPr>
              <w:noBreakHyphen/>
              <w:t>factor of “1” means that for the whole securitisation structure (i.e., all the tranches) there is 100% more capital required (doubling the capital required) compared to the requirement that applies to the underlying portfolio of assets.</w:t>
            </w:r>
          </w:p>
          <w:p w14:paraId="4B44C526" w14:textId="77777777" w:rsidR="00C21071" w:rsidRPr="00973525" w:rsidRDefault="00C21071" w:rsidP="00265131">
            <w:pPr>
              <w:ind w:firstLine="39"/>
              <w:jc w:val="both"/>
              <w:rPr>
                <w:sz w:val="18"/>
                <w:szCs w:val="18"/>
                <w:lang w:val="en-GB"/>
              </w:rPr>
            </w:pPr>
            <w:r w:rsidRPr="00973525">
              <w:rPr>
                <w:sz w:val="18"/>
                <w:szCs w:val="18"/>
                <w:lang w:val="en-GB"/>
              </w:rPr>
              <w:t>In their </w:t>
            </w:r>
            <w:r>
              <w:fldChar w:fldCharType="begin"/>
            </w:r>
            <w:r w:rsidRPr="00C72B68">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 "_blank"</w:instrText>
            </w:r>
            <w:r>
              <w:fldChar w:fldCharType="separate"/>
            </w:r>
            <w:r w:rsidRPr="00973525">
              <w:rPr>
                <w:rStyle w:val="Lienhypertexte"/>
                <w:b/>
                <w:bCs/>
                <w:sz w:val="18"/>
                <w:szCs w:val="18"/>
                <w:lang w:val="en-GB"/>
              </w:rPr>
              <w:t>2022 advice, the ESAs</w:t>
            </w:r>
            <w:r>
              <w:rPr>
                <w:rStyle w:val="Lienhypertexte"/>
                <w:b/>
                <w:bCs/>
                <w:sz w:val="18"/>
                <w:szCs w:val="18"/>
                <w:lang w:val="en-GB"/>
              </w:rPr>
              <w:fldChar w:fldCharType="end"/>
            </w:r>
            <w:r w:rsidRPr="00973525">
              <w:rPr>
                <w:b/>
                <w:bCs/>
                <w:sz w:val="18"/>
                <w:szCs w:val="18"/>
                <w:lang w:val="en-GB"/>
              </w:rPr>
              <w:t> did not support the reduction of the (p) factor.</w:t>
            </w:r>
            <w:r w:rsidRPr="00973525">
              <w:rPr>
                <w:sz w:val="18"/>
                <w:szCs w:val="18"/>
                <w:lang w:val="en-GB"/>
              </w:rPr>
              <w:t xml:space="preserve"> </w:t>
            </w:r>
            <w:proofErr w:type="gramStart"/>
            <w:r w:rsidRPr="00973525">
              <w:rPr>
                <w:sz w:val="18"/>
                <w:szCs w:val="18"/>
                <w:lang w:val="en-GB"/>
              </w:rPr>
              <w:t>In particular, they</w:t>
            </w:r>
            <w:proofErr w:type="gramEnd"/>
            <w:r w:rsidRPr="00973525">
              <w:rPr>
                <w:sz w:val="18"/>
                <w:szCs w:val="18"/>
                <w:lang w:val="en-GB"/>
              </w:rPr>
              <w:t xml:space="preserve"> considered that lowering the (p) factor, without making other changes to the risk</w:t>
            </w:r>
            <w:r w:rsidRPr="00973525">
              <w:rPr>
                <w:sz w:val="18"/>
                <w:szCs w:val="18"/>
                <w:lang w:val="en-GB"/>
              </w:rPr>
              <w:noBreakHyphen/>
              <w:t>weight function underpinning the SEC</w:t>
            </w:r>
            <w:r w:rsidRPr="00973525">
              <w:rPr>
                <w:sz w:val="18"/>
                <w:szCs w:val="18"/>
                <w:lang w:val="en-GB"/>
              </w:rPr>
              <w:noBreakHyphen/>
              <w:t>IRBA and the SEC</w:t>
            </w:r>
            <w:r w:rsidRPr="00973525">
              <w:rPr>
                <w:sz w:val="18"/>
                <w:szCs w:val="18"/>
                <w:lang w:val="en-GB"/>
              </w:rPr>
              <w:noBreakHyphen/>
              <w:t xml:space="preserve">SA formulae, </w:t>
            </w:r>
            <w:r w:rsidRPr="00973525">
              <w:rPr>
                <w:b/>
                <w:bCs/>
                <w:sz w:val="18"/>
                <w:szCs w:val="18"/>
                <w:lang w:val="en-GB"/>
              </w:rPr>
              <w:t xml:space="preserve">might increase the risk of cliff effects </w:t>
            </w:r>
            <w:r w:rsidRPr="00973525">
              <w:rPr>
                <w:sz w:val="18"/>
                <w:szCs w:val="18"/>
                <w:lang w:val="en-GB"/>
              </w:rPr>
              <w:t xml:space="preserve">and of </w:t>
            </w:r>
            <w:r w:rsidRPr="00973525">
              <w:rPr>
                <w:b/>
                <w:bCs/>
                <w:sz w:val="18"/>
                <w:szCs w:val="18"/>
                <w:lang w:val="en-GB"/>
              </w:rPr>
              <w:t>undercapitalisation of the mezzanine</w:t>
            </w:r>
            <w:r w:rsidRPr="00973525">
              <w:rPr>
                <w:sz w:val="18"/>
                <w:szCs w:val="18"/>
                <w:lang w:val="en-GB"/>
              </w:rPr>
              <w:t xml:space="preserve"> (non</w:t>
            </w:r>
            <w:r w:rsidRPr="00973525">
              <w:rPr>
                <w:sz w:val="18"/>
                <w:szCs w:val="18"/>
                <w:lang w:val="en-GB"/>
              </w:rPr>
              <w:noBreakHyphen/>
              <w:t xml:space="preserve">senior) tranches. Overall, the </w:t>
            </w:r>
            <w:r w:rsidRPr="00973525">
              <w:rPr>
                <w:b/>
                <w:bCs/>
                <w:sz w:val="18"/>
                <w:szCs w:val="18"/>
                <w:lang w:val="en-GB"/>
              </w:rPr>
              <w:t>reduction of the (p) factor seems to have the most significant impact on the capital treatment of the mezzanine tranches</w:t>
            </w:r>
            <w:r w:rsidRPr="00973525">
              <w:rPr>
                <w:sz w:val="18"/>
                <w:szCs w:val="18"/>
                <w:lang w:val="en-GB"/>
              </w:rPr>
              <w:t>, where more bank investments may not be desirable, and a l</w:t>
            </w:r>
            <w:r w:rsidRPr="00973525">
              <w:rPr>
                <w:b/>
                <w:bCs/>
                <w:sz w:val="18"/>
                <w:szCs w:val="18"/>
                <w:lang w:val="en-GB"/>
              </w:rPr>
              <w:t xml:space="preserve">ess </w:t>
            </w:r>
            <w:r w:rsidRPr="00973525">
              <w:rPr>
                <w:sz w:val="18"/>
                <w:szCs w:val="18"/>
                <w:lang w:val="en-GB"/>
              </w:rPr>
              <w:t xml:space="preserve">significant impact on the capital treatment of </w:t>
            </w:r>
            <w:r w:rsidRPr="00973525">
              <w:rPr>
                <w:b/>
                <w:bCs/>
                <w:sz w:val="18"/>
                <w:szCs w:val="18"/>
                <w:lang w:val="en-GB"/>
              </w:rPr>
              <w:t>senior tranches</w:t>
            </w:r>
            <w:r w:rsidRPr="00973525">
              <w:rPr>
                <w:sz w:val="18"/>
                <w:szCs w:val="18"/>
                <w:lang w:val="en-GB"/>
              </w:rPr>
              <w:t>, where the risk weight floor has a more significant impact.</w:t>
            </w:r>
          </w:p>
          <w:p w14:paraId="284C0E1C" w14:textId="77777777" w:rsidR="00C21071" w:rsidRPr="00973525" w:rsidRDefault="00C21071" w:rsidP="00265131">
            <w:pPr>
              <w:ind w:firstLine="39"/>
              <w:jc w:val="both"/>
              <w:rPr>
                <w:sz w:val="18"/>
                <w:szCs w:val="18"/>
                <w:lang w:val="en-GB"/>
              </w:rPr>
            </w:pPr>
            <w:r w:rsidRPr="00973525">
              <w:rPr>
                <w:sz w:val="18"/>
                <w:szCs w:val="18"/>
                <w:lang w:val="en-GB"/>
              </w:rPr>
              <w:t xml:space="preserve">The issue is whether the (p) factor could potentially be reduced, in a targeted manner and on a limited basis only (equivalent to, for example, a [x%] reduction, compared to the existing treatment), to improve the coherence between the actual risks and the capital treatment, while avoiding the unwarranted risk of increased cliff effects and undercapitalisation of the mezzanine </w:t>
            </w:r>
            <w:proofErr w:type="gramStart"/>
            <w:r w:rsidRPr="00973525">
              <w:rPr>
                <w:sz w:val="18"/>
                <w:szCs w:val="18"/>
                <w:lang w:val="en-GB"/>
              </w:rPr>
              <w:t>tranches in particular</w:t>
            </w:r>
            <w:proofErr w:type="gramEnd"/>
            <w:r w:rsidRPr="00973525">
              <w:rPr>
                <w:sz w:val="18"/>
                <w:szCs w:val="18"/>
                <w:lang w:val="en-GB"/>
              </w:rPr>
              <w:t>. Possible targeted reductions could focus on originators, STS transactions, or senior tranches.</w:t>
            </w:r>
          </w:p>
          <w:p w14:paraId="5DB6E19A" w14:textId="77777777" w:rsidR="00C21071" w:rsidRPr="00973525" w:rsidRDefault="00C21071" w:rsidP="00265131">
            <w:pPr>
              <w:ind w:firstLine="39"/>
              <w:jc w:val="both"/>
              <w:rPr>
                <w:i/>
                <w:iCs/>
                <w:sz w:val="18"/>
                <w:szCs w:val="18"/>
                <w:lang w:val="en-GB"/>
              </w:rPr>
            </w:pPr>
            <w:r w:rsidRPr="00973525">
              <w:rPr>
                <w:i/>
                <w:iCs/>
                <w:sz w:val="18"/>
                <w:szCs w:val="18"/>
                <w:lang w:val="en-GB"/>
              </w:rPr>
              <w:t xml:space="preserve">* Under SEC-SA, there is a fixed (p) factor of 1 (for non-STS securitisations) and 0.5 (for STS securitisations). </w:t>
            </w:r>
            <w:r w:rsidRPr="00973525">
              <w:rPr>
                <w:i/>
                <w:iCs/>
                <w:sz w:val="18"/>
                <w:szCs w:val="18"/>
                <w:lang w:val="en-GB"/>
              </w:rPr>
              <w:br/>
              <w:t xml:space="preserve">Under the SEC-IRBA, banks may calculate their own supervisory parameter based on four risk factors, i.e., the framework (correlation effect), the granularity of the securitised pool for wholesale, the capital charge for the underlying exposures, the average loss given default of the securitised pool, plus one non-risk parameter (tranche maturity MT, capped at 5 years), which is subject to a </w:t>
            </w:r>
            <w:r w:rsidRPr="00973525">
              <w:rPr>
                <w:b/>
                <w:bCs/>
                <w:i/>
                <w:iCs/>
                <w:sz w:val="18"/>
                <w:szCs w:val="18"/>
                <w:lang w:val="en-GB"/>
              </w:rPr>
              <w:t>floor of 0.30</w:t>
            </w:r>
            <w:r w:rsidRPr="00973525">
              <w:rPr>
                <w:i/>
                <w:iCs/>
                <w:sz w:val="18"/>
                <w:szCs w:val="18"/>
                <w:lang w:val="en-GB"/>
              </w:rPr>
              <w:t xml:space="preserve">. </w:t>
            </w:r>
          </w:p>
          <w:p w14:paraId="08C610B5" w14:textId="71E4484F" w:rsidR="00C21071" w:rsidRPr="00973525" w:rsidRDefault="00C21071" w:rsidP="00265131">
            <w:pPr>
              <w:ind w:firstLine="39"/>
              <w:jc w:val="both"/>
              <w:rPr>
                <w:i/>
                <w:iCs/>
                <w:sz w:val="18"/>
                <w:szCs w:val="18"/>
                <w:lang w:val="en-GB"/>
              </w:rPr>
            </w:pPr>
            <w:r w:rsidRPr="00973525">
              <w:rPr>
                <w:i/>
                <w:iCs/>
                <w:sz w:val="18"/>
                <w:szCs w:val="18"/>
                <w:lang w:val="en-GB"/>
              </w:rPr>
              <w:t>There is no (p) factor in SEC-ERBA where the capital requirements are set out in the look-up tables, to ensure consistency compared with the capital requirements with SEC-SA.</w:t>
            </w:r>
          </w:p>
          <w:p w14:paraId="5F84A490" w14:textId="77777777" w:rsidR="00C21071" w:rsidRPr="00973525" w:rsidRDefault="00C21071" w:rsidP="00265131">
            <w:pPr>
              <w:ind w:firstLine="1917"/>
              <w:jc w:val="both"/>
              <w:rPr>
                <w:sz w:val="18"/>
                <w:szCs w:val="18"/>
                <w:lang w:val="en-GB"/>
              </w:rPr>
            </w:pPr>
          </w:p>
        </w:tc>
      </w:tr>
      <w:tr w:rsidR="00C21071" w:rsidRPr="0000602A" w14:paraId="2E442E3B" w14:textId="77777777" w:rsidTr="30964D0C">
        <w:trPr>
          <w:gridAfter w:val="1"/>
          <w:wAfter w:w="16" w:type="dxa"/>
        </w:trPr>
        <w:tc>
          <w:tcPr>
            <w:tcW w:w="2893" w:type="dxa"/>
          </w:tcPr>
          <w:p w14:paraId="1082F1FD" w14:textId="77777777" w:rsidR="00C21071" w:rsidRPr="00973525" w:rsidRDefault="00C21071" w:rsidP="00C21071">
            <w:pPr>
              <w:rPr>
                <w:sz w:val="18"/>
                <w:szCs w:val="18"/>
                <w:lang w:val="en-GB"/>
              </w:rPr>
            </w:pPr>
            <w:r w:rsidRPr="00973525">
              <w:rPr>
                <w:sz w:val="18"/>
                <w:szCs w:val="18"/>
                <w:lang w:val="en-GB"/>
              </w:rPr>
              <w:t xml:space="preserve">Question 9.20. Do you consider that the </w:t>
            </w:r>
            <w:r w:rsidRPr="00973525">
              <w:rPr>
                <w:b/>
                <w:bCs/>
                <w:sz w:val="18"/>
                <w:szCs w:val="18"/>
                <w:lang w:val="en-GB"/>
              </w:rPr>
              <w:t>current levels of the (p) factor adequately address</w:t>
            </w:r>
            <w:r w:rsidRPr="00973525">
              <w:rPr>
                <w:sz w:val="18"/>
                <w:szCs w:val="18"/>
                <w:lang w:val="en-GB"/>
              </w:rPr>
              <w:t xml:space="preserve"> structural risks embedded in securitisation, such as model risk, agency risk and to some extent correlation, as well as the </w:t>
            </w:r>
            <w:r w:rsidRPr="00973525">
              <w:rPr>
                <w:b/>
                <w:bCs/>
                <w:sz w:val="18"/>
                <w:szCs w:val="18"/>
                <w:lang w:val="en-GB"/>
              </w:rPr>
              <w:t>cliff effects</w:t>
            </w:r>
            <w:r w:rsidRPr="00973525">
              <w:rPr>
                <w:sz w:val="18"/>
                <w:szCs w:val="18"/>
                <w:lang w:val="en-GB"/>
              </w:rPr>
              <w:t>?</w:t>
            </w:r>
          </w:p>
          <w:p w14:paraId="25C445B9" w14:textId="77777777" w:rsidR="00C21071" w:rsidRPr="00973525" w:rsidRDefault="00C21071" w:rsidP="00C21071">
            <w:pPr>
              <w:rPr>
                <w:sz w:val="18"/>
                <w:szCs w:val="18"/>
                <w:lang w:val="en-GB"/>
              </w:rPr>
            </w:pPr>
          </w:p>
        </w:tc>
        <w:tc>
          <w:tcPr>
            <w:tcW w:w="7740" w:type="dxa"/>
          </w:tcPr>
          <w:p w14:paraId="1B1CF4CA" w14:textId="77777777" w:rsidR="00C21071" w:rsidRPr="00973525" w:rsidRDefault="00C21071" w:rsidP="00C21071">
            <w:pPr>
              <w:rPr>
                <w:sz w:val="18"/>
                <w:szCs w:val="18"/>
                <w:lang w:val="en-GB"/>
              </w:rPr>
            </w:pPr>
            <w:r w:rsidRPr="00973525">
              <w:rPr>
                <w:sz w:val="18"/>
                <w:szCs w:val="18"/>
                <w:lang w:val="en-GB"/>
              </w:rPr>
              <w:t>Answer</w:t>
            </w:r>
          </w:p>
          <w:p w14:paraId="40E7B1D7" w14:textId="77777777" w:rsidR="00C21071" w:rsidRPr="00973525" w:rsidRDefault="00000000" w:rsidP="00C21071">
            <w:pPr>
              <w:rPr>
                <w:sz w:val="18"/>
                <w:szCs w:val="18"/>
                <w:lang w:val="en-GB"/>
              </w:rPr>
            </w:pPr>
            <w:sdt>
              <w:sdtPr>
                <w:rPr>
                  <w:sz w:val="18"/>
                  <w:szCs w:val="18"/>
                  <w:lang w:val="en-GB"/>
                </w:rPr>
                <w:id w:val="1079258134"/>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139E5163" w14:textId="77777777" w:rsidR="00C21071" w:rsidRPr="00973525" w:rsidRDefault="00000000" w:rsidP="00C21071">
            <w:pPr>
              <w:rPr>
                <w:b/>
                <w:bCs/>
                <w:sz w:val="18"/>
                <w:szCs w:val="18"/>
                <w:lang w:val="en-GB"/>
              </w:rPr>
            </w:pPr>
            <w:sdt>
              <w:sdtPr>
                <w:rPr>
                  <w:b/>
                  <w:bCs/>
                  <w:sz w:val="18"/>
                  <w:szCs w:val="18"/>
                  <w:lang w:val="en-GB"/>
                </w:rPr>
                <w:id w:val="-1663923871"/>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No</w:t>
            </w:r>
          </w:p>
          <w:p w14:paraId="3BA4F2FF" w14:textId="77777777" w:rsidR="00C21071" w:rsidRPr="00973525" w:rsidRDefault="00000000" w:rsidP="00C21071">
            <w:pPr>
              <w:rPr>
                <w:sz w:val="18"/>
                <w:szCs w:val="18"/>
                <w:lang w:val="en-GB"/>
              </w:rPr>
            </w:pPr>
            <w:sdt>
              <w:sdtPr>
                <w:rPr>
                  <w:sz w:val="18"/>
                  <w:szCs w:val="18"/>
                  <w:lang w:val="en-GB"/>
                </w:rPr>
                <w:id w:val="-1635475579"/>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420AE4AC" w14:textId="77777777" w:rsidR="00C21071" w:rsidRPr="00973525" w:rsidRDefault="00C21071" w:rsidP="00C21071">
            <w:pPr>
              <w:rPr>
                <w:sz w:val="18"/>
                <w:szCs w:val="18"/>
                <w:lang w:val="en-US"/>
              </w:rPr>
            </w:pPr>
          </w:p>
          <w:p w14:paraId="75B3A2C5" w14:textId="213F90E1" w:rsidR="00C21071" w:rsidRPr="00973525" w:rsidRDefault="00C21071" w:rsidP="00C21071">
            <w:pPr>
              <w:rPr>
                <w:sz w:val="18"/>
                <w:szCs w:val="18"/>
                <w:lang w:val="en-GB"/>
              </w:rPr>
            </w:pPr>
            <w:r w:rsidRPr="00973525">
              <w:rPr>
                <w:sz w:val="18"/>
                <w:szCs w:val="18"/>
                <w:lang w:val="en-US"/>
              </w:rPr>
              <w:t xml:space="preserve"> </w:t>
            </w:r>
          </w:p>
        </w:tc>
        <w:tc>
          <w:tcPr>
            <w:tcW w:w="236" w:type="dxa"/>
          </w:tcPr>
          <w:p w14:paraId="0778543C" w14:textId="0F8826C2" w:rsidR="00C21071" w:rsidRPr="00973525" w:rsidRDefault="00C21071" w:rsidP="0079353D">
            <w:pPr>
              <w:ind w:firstLine="1917"/>
              <w:rPr>
                <w:sz w:val="18"/>
                <w:szCs w:val="18"/>
                <w:lang w:val="en-GB"/>
              </w:rPr>
            </w:pPr>
          </w:p>
        </w:tc>
      </w:tr>
      <w:tr w:rsidR="00C21071" w:rsidRPr="00C72B68" w14:paraId="16FE44CB" w14:textId="77777777" w:rsidTr="30964D0C">
        <w:trPr>
          <w:gridAfter w:val="1"/>
          <w:wAfter w:w="16" w:type="dxa"/>
        </w:trPr>
        <w:tc>
          <w:tcPr>
            <w:tcW w:w="2893" w:type="dxa"/>
          </w:tcPr>
          <w:p w14:paraId="32243078" w14:textId="77777777" w:rsidR="00C21071" w:rsidRPr="00973525" w:rsidRDefault="00C21071" w:rsidP="00C21071">
            <w:pPr>
              <w:rPr>
                <w:sz w:val="18"/>
                <w:szCs w:val="18"/>
                <w:lang w:val="en-GB"/>
              </w:rPr>
            </w:pPr>
            <w:r w:rsidRPr="00973525">
              <w:rPr>
                <w:sz w:val="18"/>
                <w:szCs w:val="18"/>
                <w:lang w:val="en-GB"/>
              </w:rPr>
              <w:t xml:space="preserve">Question 9.21. If you answered no to question 9.20., please provide the </w:t>
            </w:r>
            <w:r w:rsidRPr="00973525">
              <w:rPr>
                <w:b/>
                <w:bCs/>
                <w:sz w:val="18"/>
                <w:szCs w:val="18"/>
                <w:lang w:val="en-GB"/>
              </w:rPr>
              <w:t>justification</w:t>
            </w:r>
            <w:r w:rsidRPr="00973525">
              <w:rPr>
                <w:sz w:val="18"/>
                <w:szCs w:val="18"/>
                <w:lang w:val="en-GB"/>
              </w:rPr>
              <w:t xml:space="preserve">, and provide </w:t>
            </w:r>
            <w:r w:rsidRPr="00973525">
              <w:rPr>
                <w:sz w:val="18"/>
                <w:szCs w:val="18"/>
                <w:lang w:val="en-GB"/>
              </w:rPr>
              <w:lastRenderedPageBreak/>
              <w:t xml:space="preserve">quantitative and </w:t>
            </w:r>
            <w:r w:rsidRPr="00973525">
              <w:rPr>
                <w:b/>
                <w:bCs/>
                <w:sz w:val="18"/>
                <w:szCs w:val="18"/>
                <w:lang w:val="en-GB"/>
              </w:rPr>
              <w:t>qualitative data</w:t>
            </w:r>
            <w:r w:rsidRPr="00973525">
              <w:rPr>
                <w:sz w:val="18"/>
                <w:szCs w:val="18"/>
                <w:lang w:val="en-GB"/>
              </w:rPr>
              <w:t xml:space="preserve">, for whether and </w:t>
            </w:r>
            <w:r w:rsidRPr="00973525">
              <w:rPr>
                <w:b/>
                <w:bCs/>
                <w:sz w:val="18"/>
                <w:szCs w:val="18"/>
                <w:lang w:val="en-GB"/>
              </w:rPr>
              <w:t>how the (p) factor overestimates the risks</w:t>
            </w:r>
            <w:r w:rsidRPr="00973525">
              <w:rPr>
                <w:sz w:val="18"/>
                <w:szCs w:val="18"/>
                <w:lang w:val="en-GB"/>
              </w:rPr>
              <w:t xml:space="preserve"> and inappropriately mitigates the cliff</w:t>
            </w:r>
            <w:r w:rsidRPr="00973525">
              <w:rPr>
                <w:sz w:val="18"/>
                <w:szCs w:val="18"/>
                <w:lang w:val="en-GB"/>
              </w:rPr>
              <w:noBreakHyphen/>
              <w:t>effects, for specific types of securitisation exposures.</w:t>
            </w:r>
          </w:p>
          <w:p w14:paraId="114E64AE" w14:textId="1D0691B2" w:rsidR="00C21071" w:rsidRPr="00973525" w:rsidRDefault="00734982" w:rsidP="00C21071">
            <w:pPr>
              <w:rPr>
                <w:sz w:val="18"/>
                <w:szCs w:val="18"/>
                <w:lang w:val="en-GB"/>
              </w:rPr>
            </w:pPr>
            <w:r>
              <w:rPr>
                <w:sz w:val="18"/>
                <w:szCs w:val="18"/>
                <w:lang w:val="en-GB"/>
              </w:rPr>
              <w:t>targeted</w:t>
            </w:r>
          </w:p>
        </w:tc>
        <w:tc>
          <w:tcPr>
            <w:tcW w:w="7740" w:type="dxa"/>
          </w:tcPr>
          <w:p w14:paraId="632F0E26" w14:textId="77777777" w:rsidR="00C21071" w:rsidRPr="00973525" w:rsidRDefault="00C21071" w:rsidP="00C21071">
            <w:pPr>
              <w:rPr>
                <w:sz w:val="18"/>
                <w:szCs w:val="18"/>
                <w:lang w:val="en-US"/>
              </w:rPr>
            </w:pPr>
            <w:r w:rsidRPr="00973525">
              <w:rPr>
                <w:sz w:val="18"/>
                <w:szCs w:val="18"/>
                <w:lang w:val="en-US"/>
              </w:rPr>
              <w:lastRenderedPageBreak/>
              <w:t xml:space="preserve">The p-factor is overly conservative in all methods and increases the non-neutrality (which is embedded in the formulas following the 1250% Risk Weight of the </w:t>
            </w:r>
            <w:proofErr w:type="spellStart"/>
            <w:r w:rsidRPr="00973525">
              <w:rPr>
                <w:sz w:val="18"/>
                <w:szCs w:val="18"/>
                <w:lang w:val="en-US"/>
              </w:rPr>
              <w:t>Kirb</w:t>
            </w:r>
            <w:proofErr w:type="spellEnd"/>
            <w:r w:rsidRPr="00973525">
              <w:rPr>
                <w:sz w:val="18"/>
                <w:szCs w:val="18"/>
                <w:lang w:val="en-US"/>
              </w:rPr>
              <w:t xml:space="preserve"> first loss).</w:t>
            </w:r>
          </w:p>
          <w:p w14:paraId="0A22A92E" w14:textId="77777777" w:rsidR="00C21071" w:rsidRPr="00973525" w:rsidRDefault="00C21071" w:rsidP="00C21071">
            <w:pPr>
              <w:rPr>
                <w:sz w:val="18"/>
                <w:szCs w:val="18"/>
                <w:lang w:val="en-US"/>
              </w:rPr>
            </w:pPr>
          </w:p>
          <w:p w14:paraId="1F3EB8A6" w14:textId="056B8D91" w:rsidR="00C21071" w:rsidRPr="00973525" w:rsidRDefault="00C21071" w:rsidP="00C21071">
            <w:pPr>
              <w:rPr>
                <w:sz w:val="18"/>
                <w:szCs w:val="18"/>
                <w:lang w:val="en-US"/>
              </w:rPr>
            </w:pPr>
            <w:r w:rsidRPr="00973525">
              <w:rPr>
                <w:sz w:val="18"/>
                <w:szCs w:val="18"/>
                <w:lang w:val="en-US"/>
              </w:rPr>
              <w:lastRenderedPageBreak/>
              <w:t xml:space="preserve">As indicated in 9.4, </w:t>
            </w:r>
            <w:r w:rsidRPr="00973525">
              <w:rPr>
                <w:sz w:val="18"/>
                <w:szCs w:val="18"/>
                <w:lang w:val="en-GB"/>
              </w:rPr>
              <w:t>we recommend moving towards closer to neutrality</w:t>
            </w:r>
            <w:r w:rsidRPr="00973525">
              <w:rPr>
                <w:sz w:val="18"/>
                <w:szCs w:val="18"/>
                <w:lang w:val="en-US"/>
              </w:rPr>
              <w:t xml:space="preserve"> for originators (and ABCP sponsors) since there is no asymmetry of information. </w:t>
            </w:r>
          </w:p>
          <w:p w14:paraId="02E282BB" w14:textId="77777777" w:rsidR="00C21071" w:rsidRPr="00973525" w:rsidRDefault="00C21071" w:rsidP="00C21071">
            <w:pPr>
              <w:rPr>
                <w:sz w:val="18"/>
                <w:szCs w:val="18"/>
                <w:lang w:val="en-US"/>
              </w:rPr>
            </w:pPr>
          </w:p>
          <w:p w14:paraId="1E11FAC4" w14:textId="4AD7C52E" w:rsidR="00C21071" w:rsidRPr="00973525" w:rsidRDefault="00C21071" w:rsidP="00C21071">
            <w:pPr>
              <w:pStyle w:val="Paragraphedeliste"/>
              <w:numPr>
                <w:ilvl w:val="0"/>
                <w:numId w:val="12"/>
              </w:numPr>
              <w:rPr>
                <w:sz w:val="18"/>
                <w:szCs w:val="18"/>
                <w:lang w:val="en-US"/>
              </w:rPr>
            </w:pPr>
            <w:r w:rsidRPr="00973525">
              <w:rPr>
                <w:sz w:val="18"/>
                <w:szCs w:val="18"/>
                <w:lang w:val="en-US"/>
              </w:rPr>
              <w:t xml:space="preserve">The reduction of the p-factor is part of the solution. </w:t>
            </w:r>
          </w:p>
          <w:p w14:paraId="1CA65BC6" w14:textId="77777777" w:rsidR="00C21071" w:rsidRPr="00973525" w:rsidRDefault="00C21071" w:rsidP="00C21071">
            <w:pPr>
              <w:rPr>
                <w:sz w:val="18"/>
                <w:szCs w:val="18"/>
                <w:lang w:val="en-US"/>
              </w:rPr>
            </w:pPr>
          </w:p>
          <w:p w14:paraId="13E86E07" w14:textId="6E56B8F2" w:rsidR="00C21071" w:rsidRPr="00973525" w:rsidRDefault="00C21071" w:rsidP="00C21071">
            <w:pPr>
              <w:pStyle w:val="Paragraphedeliste"/>
              <w:numPr>
                <w:ilvl w:val="0"/>
                <w:numId w:val="20"/>
              </w:numPr>
              <w:rPr>
                <w:sz w:val="18"/>
                <w:szCs w:val="18"/>
                <w:lang w:val="en-US"/>
              </w:rPr>
            </w:pPr>
            <w:r w:rsidRPr="00973525">
              <w:rPr>
                <w:sz w:val="18"/>
                <w:szCs w:val="18"/>
                <w:lang w:val="en-US"/>
              </w:rPr>
              <w:t xml:space="preserve">When a bank realizes a securitisation </w:t>
            </w:r>
            <w:proofErr w:type="gramStart"/>
            <w:r w:rsidRPr="00973525">
              <w:rPr>
                <w:sz w:val="18"/>
                <w:szCs w:val="18"/>
                <w:lang w:val="en-US"/>
              </w:rPr>
              <w:t>in order to</w:t>
            </w:r>
            <w:proofErr w:type="gramEnd"/>
            <w:r w:rsidRPr="00973525">
              <w:rPr>
                <w:sz w:val="18"/>
                <w:szCs w:val="18"/>
                <w:lang w:val="en-US"/>
              </w:rPr>
              <w:t xml:space="preserve"> transfer risk (through SRT), the bank is exposed to its own portfolio and the securitisation is an insurance that can only lead to a reduction of the capital allocated. There is no additional risk linked to model risk, agency risk or correlation risk since the primary risk is on the pool which is very well known and diversified in the portfolio of the bank. </w:t>
            </w:r>
          </w:p>
          <w:p w14:paraId="697D11EB" w14:textId="408E438D" w:rsidR="00C21071" w:rsidRPr="00973525" w:rsidRDefault="00C21071" w:rsidP="00C21071">
            <w:pPr>
              <w:ind w:left="708"/>
              <w:rPr>
                <w:sz w:val="18"/>
                <w:szCs w:val="18"/>
                <w:lang w:val="en-US"/>
              </w:rPr>
            </w:pPr>
            <w:r w:rsidRPr="00973525">
              <w:rPr>
                <w:sz w:val="18"/>
                <w:szCs w:val="18"/>
                <w:lang w:val="en-US"/>
              </w:rPr>
              <w:t xml:space="preserve"> Here, cautiousness should be limited to the efficiency of the method of risk reduction.</w:t>
            </w:r>
          </w:p>
          <w:p w14:paraId="7E25622C" w14:textId="77777777" w:rsidR="00C21071" w:rsidRPr="00973525" w:rsidRDefault="00C21071" w:rsidP="00C21071">
            <w:pPr>
              <w:rPr>
                <w:sz w:val="18"/>
                <w:szCs w:val="18"/>
                <w:lang w:val="en-US"/>
              </w:rPr>
            </w:pPr>
          </w:p>
          <w:p w14:paraId="7C65C859" w14:textId="4D896447" w:rsidR="00BA30C8" w:rsidRDefault="00C21071" w:rsidP="00381410">
            <w:pPr>
              <w:pStyle w:val="Paragraphedeliste"/>
              <w:numPr>
                <w:ilvl w:val="0"/>
                <w:numId w:val="20"/>
              </w:numPr>
              <w:rPr>
                <w:sz w:val="18"/>
                <w:szCs w:val="18"/>
                <w:lang w:val="en-US"/>
              </w:rPr>
            </w:pPr>
            <w:r w:rsidRPr="00973525">
              <w:rPr>
                <w:sz w:val="18"/>
                <w:szCs w:val="18"/>
                <w:lang w:val="en-US"/>
              </w:rPr>
              <w:t xml:space="preserve">When a bank realizes an investment, it is subject to model risk, correlation risk or agency risk because of the asymmetry of information. However, this additional risk is not correctly dealt </w:t>
            </w:r>
            <w:proofErr w:type="gramStart"/>
            <w:r w:rsidRPr="00973525">
              <w:rPr>
                <w:sz w:val="18"/>
                <w:szCs w:val="18"/>
                <w:lang w:val="en-US"/>
              </w:rPr>
              <w:t>with</w:t>
            </w:r>
            <w:proofErr w:type="gramEnd"/>
            <w:r w:rsidRPr="00973525">
              <w:rPr>
                <w:sz w:val="18"/>
                <w:szCs w:val="18"/>
                <w:lang w:val="en-US"/>
              </w:rPr>
              <w:t xml:space="preserve"> the p-factor now. And it has been reduced by other parts of the regulation (regulation of rating agencies, etc.). </w:t>
            </w:r>
          </w:p>
          <w:p w14:paraId="4BA15E78" w14:textId="77777777" w:rsidR="00381410" w:rsidRDefault="00381410" w:rsidP="00381410">
            <w:pPr>
              <w:rPr>
                <w:sz w:val="18"/>
                <w:szCs w:val="18"/>
                <w:lang w:val="en-US"/>
              </w:rPr>
            </w:pPr>
          </w:p>
          <w:p w14:paraId="35D4B636" w14:textId="118C4A29" w:rsidR="00B00F9D" w:rsidRDefault="00B00F9D" w:rsidP="002046E6">
            <w:pPr>
              <w:ind w:left="360"/>
              <w:rPr>
                <w:sz w:val="18"/>
                <w:szCs w:val="18"/>
                <w:lang w:val="en-US"/>
              </w:rPr>
            </w:pPr>
            <w:r>
              <w:rPr>
                <w:sz w:val="18"/>
                <w:szCs w:val="18"/>
                <w:lang w:val="en-US"/>
              </w:rPr>
              <w:t xml:space="preserve">More </w:t>
            </w:r>
            <w:r w:rsidR="00F9557B">
              <w:rPr>
                <w:sz w:val="18"/>
                <w:szCs w:val="18"/>
                <w:lang w:val="en-US"/>
              </w:rPr>
              <w:t>broadly</w:t>
            </w:r>
            <w:r>
              <w:rPr>
                <w:sz w:val="18"/>
                <w:szCs w:val="18"/>
                <w:lang w:val="en-US"/>
              </w:rPr>
              <w:t>, o</w:t>
            </w:r>
            <w:r w:rsidR="00381410" w:rsidRPr="00381410">
              <w:rPr>
                <w:sz w:val="18"/>
                <w:szCs w:val="18"/>
                <w:lang w:val="en-US"/>
              </w:rPr>
              <w:t xml:space="preserve">n SEC-SA, it is key that the Commission considers the level playing field stake, specifically with the UK. </w:t>
            </w:r>
          </w:p>
          <w:p w14:paraId="45454942" w14:textId="14A91699" w:rsidR="00381410" w:rsidRPr="005C4889" w:rsidRDefault="00381410" w:rsidP="005C4889">
            <w:pPr>
              <w:ind w:left="708"/>
              <w:rPr>
                <w:sz w:val="18"/>
                <w:szCs w:val="18"/>
                <w:lang w:val="en-GB"/>
              </w:rPr>
            </w:pPr>
            <w:r w:rsidRPr="00381410">
              <w:rPr>
                <w:sz w:val="18"/>
                <w:szCs w:val="18"/>
                <w:lang w:val="en-US"/>
              </w:rPr>
              <w:t xml:space="preserve">The PRA, in an open consultation, proposes an optional formulaic p-factor for both capital calculations under the SEC-SA and for output floor calculations, using the LGD value based on the type of underlying </w:t>
            </w:r>
          </w:p>
          <w:p w14:paraId="339BA1B2" w14:textId="77777777" w:rsidR="00BB111E" w:rsidRDefault="00381410" w:rsidP="005C4889">
            <w:pPr>
              <w:ind w:left="708"/>
              <w:rPr>
                <w:sz w:val="18"/>
                <w:szCs w:val="18"/>
                <w:lang w:val="en-US"/>
              </w:rPr>
            </w:pPr>
            <w:r w:rsidRPr="00381410">
              <w:rPr>
                <w:sz w:val="18"/>
                <w:szCs w:val="18"/>
                <w:lang w:val="en-US"/>
              </w:rPr>
              <w:t xml:space="preserve">Exposures. </w:t>
            </w:r>
          </w:p>
          <w:p w14:paraId="0E1843A5" w14:textId="253C326D" w:rsidR="00381410" w:rsidRPr="007C00F3" w:rsidRDefault="00C32FD1" w:rsidP="005C4889">
            <w:pPr>
              <w:ind w:left="708"/>
              <w:rPr>
                <w:sz w:val="18"/>
                <w:szCs w:val="18"/>
                <w:lang w:val="en-GB"/>
              </w:rPr>
            </w:pPr>
            <w:r w:rsidRPr="00381410">
              <w:rPr>
                <w:sz w:val="18"/>
                <w:szCs w:val="18"/>
                <w:lang w:val="en-US"/>
              </w:rPr>
              <w:t xml:space="preserve">The resulting </w:t>
            </w:r>
            <w:r w:rsidR="00381410" w:rsidRPr="00381410">
              <w:rPr>
                <w:sz w:val="18"/>
                <w:szCs w:val="18"/>
                <w:lang w:val="en-US"/>
              </w:rPr>
              <w:t>factor would be between:</w:t>
            </w:r>
          </w:p>
          <w:p w14:paraId="5E5EAFCE" w14:textId="77777777" w:rsidR="00543E68" w:rsidRPr="00223209" w:rsidRDefault="00543E68" w:rsidP="005C4889">
            <w:pPr>
              <w:ind w:left="708"/>
              <w:rPr>
                <w:sz w:val="18"/>
                <w:szCs w:val="18"/>
                <w:lang w:val="en-GB"/>
              </w:rPr>
            </w:pPr>
            <w:r w:rsidRPr="00381410">
              <w:rPr>
                <w:sz w:val="18"/>
                <w:szCs w:val="18"/>
                <w:lang w:val="en-US"/>
              </w:rPr>
              <w:t>•              a floor of 0.3 and a cap of 0.5 for STS securitisations</w:t>
            </w:r>
          </w:p>
          <w:p w14:paraId="7CD9629D" w14:textId="08586791" w:rsidR="003C0276" w:rsidRDefault="00381410" w:rsidP="0022508C">
            <w:pPr>
              <w:ind w:left="708"/>
              <w:rPr>
                <w:sz w:val="18"/>
                <w:szCs w:val="18"/>
                <w:lang w:val="en-US"/>
              </w:rPr>
            </w:pPr>
            <w:r w:rsidRPr="00381410">
              <w:rPr>
                <w:sz w:val="18"/>
                <w:szCs w:val="18"/>
                <w:lang w:val="en-US"/>
              </w:rPr>
              <w:t>•              a floor of 0.5 and a cap of 1 for non-STS securitisations</w:t>
            </w:r>
          </w:p>
          <w:p w14:paraId="65DD96E6" w14:textId="16EC0B30" w:rsidR="003C0276" w:rsidRPr="00223209" w:rsidRDefault="003C0276" w:rsidP="003C0276">
            <w:pPr>
              <w:ind w:left="708"/>
              <w:rPr>
                <w:sz w:val="18"/>
                <w:szCs w:val="18"/>
                <w:lang w:val="en-GB"/>
              </w:rPr>
            </w:pPr>
            <w:r w:rsidRPr="00223209">
              <w:rPr>
                <w:sz w:val="18"/>
                <w:szCs w:val="18"/>
                <w:lang w:val="en-US"/>
              </w:rPr>
              <w:t xml:space="preserve">This new proposal has not been evaluated yet by the EU banking industry, notably in terms of </w:t>
            </w:r>
            <w:proofErr w:type="gramStart"/>
            <w:r w:rsidRPr="00223209">
              <w:rPr>
                <w:sz w:val="18"/>
                <w:szCs w:val="18"/>
                <w:lang w:val="en-US"/>
              </w:rPr>
              <w:t>impacts</w:t>
            </w:r>
            <w:proofErr w:type="gramEnd"/>
            <w:r w:rsidRPr="00223209">
              <w:rPr>
                <w:sz w:val="18"/>
                <w:szCs w:val="18"/>
                <w:lang w:val="en-US"/>
              </w:rPr>
              <w:t xml:space="preserve">. However, it is obvious that the PRA formula proposal under consultation would be </w:t>
            </w:r>
            <w:proofErr w:type="gramStart"/>
            <w:r w:rsidRPr="00223209">
              <w:rPr>
                <w:sz w:val="18"/>
                <w:szCs w:val="18"/>
                <w:lang w:val="en-US"/>
              </w:rPr>
              <w:t>complex  for</w:t>
            </w:r>
            <w:proofErr w:type="gramEnd"/>
            <w:r w:rsidRPr="00223209">
              <w:rPr>
                <w:sz w:val="18"/>
                <w:szCs w:val="18"/>
                <w:lang w:val="en-US"/>
              </w:rPr>
              <w:t xml:space="preserve"> a SA approach, could be less efficient than the simple solution (new fix p-factors) proposed here, in line with current CRR transitional output floor amendment 495.</w:t>
            </w:r>
          </w:p>
          <w:p w14:paraId="50259B3B" w14:textId="77777777" w:rsidR="003C0276" w:rsidRDefault="003C0276" w:rsidP="0022508C">
            <w:pPr>
              <w:ind w:left="708"/>
              <w:rPr>
                <w:sz w:val="18"/>
                <w:szCs w:val="18"/>
                <w:lang w:val="en-US"/>
              </w:rPr>
            </w:pPr>
          </w:p>
          <w:p w14:paraId="03C0A63D" w14:textId="77777777" w:rsidR="003C0276" w:rsidRDefault="003C0276" w:rsidP="0022508C">
            <w:pPr>
              <w:ind w:left="708"/>
              <w:rPr>
                <w:sz w:val="18"/>
                <w:szCs w:val="18"/>
                <w:lang w:val="en-GB"/>
              </w:rPr>
            </w:pPr>
          </w:p>
          <w:p w14:paraId="07792B53" w14:textId="1F00DB78" w:rsidR="00C21071" w:rsidRPr="007C00F3" w:rsidRDefault="00C21071" w:rsidP="00F9557B">
            <w:pPr>
              <w:ind w:left="708"/>
              <w:rPr>
                <w:sz w:val="18"/>
                <w:szCs w:val="18"/>
                <w:lang w:val="en-GB"/>
              </w:rPr>
            </w:pPr>
          </w:p>
        </w:tc>
        <w:tc>
          <w:tcPr>
            <w:tcW w:w="236" w:type="dxa"/>
          </w:tcPr>
          <w:p w14:paraId="4E7FC6E6" w14:textId="08B2AEAD" w:rsidR="00C21071" w:rsidRPr="007C79DF" w:rsidRDefault="00C21071" w:rsidP="0079353D">
            <w:pPr>
              <w:ind w:firstLine="1917"/>
              <w:rPr>
                <w:sz w:val="18"/>
                <w:szCs w:val="18"/>
                <w:lang w:val="en-GB"/>
              </w:rPr>
            </w:pPr>
          </w:p>
        </w:tc>
      </w:tr>
      <w:tr w:rsidR="00C21071" w:rsidRPr="0000602A" w14:paraId="1430BF0F" w14:textId="77777777" w:rsidTr="30964D0C">
        <w:trPr>
          <w:gridAfter w:val="1"/>
          <w:wAfter w:w="16" w:type="dxa"/>
        </w:trPr>
        <w:tc>
          <w:tcPr>
            <w:tcW w:w="2893" w:type="dxa"/>
          </w:tcPr>
          <w:p w14:paraId="04B9FD4C" w14:textId="77777777" w:rsidR="00C21071" w:rsidRPr="00973525" w:rsidRDefault="00C21071" w:rsidP="00C21071">
            <w:pPr>
              <w:rPr>
                <w:sz w:val="18"/>
                <w:szCs w:val="18"/>
                <w:lang w:val="en-GB"/>
              </w:rPr>
            </w:pPr>
            <w:r w:rsidRPr="00973525">
              <w:rPr>
                <w:sz w:val="18"/>
                <w:szCs w:val="18"/>
                <w:lang w:val="en-GB"/>
              </w:rPr>
              <w:t xml:space="preserve">Question 9.22. Do you consider that </w:t>
            </w:r>
            <w:r w:rsidRPr="00973525">
              <w:rPr>
                <w:b/>
                <w:bCs/>
                <w:sz w:val="18"/>
                <w:szCs w:val="18"/>
                <w:lang w:val="en-GB"/>
              </w:rPr>
              <w:t>potential targeted and limited reductions to the</w:t>
            </w:r>
            <w:r w:rsidRPr="00973525">
              <w:rPr>
                <w:sz w:val="18"/>
                <w:szCs w:val="18"/>
                <w:lang w:val="en-GB"/>
              </w:rPr>
              <w:t xml:space="preserve"> </w:t>
            </w:r>
            <w:r w:rsidRPr="00973525">
              <w:rPr>
                <w:b/>
                <w:bCs/>
                <w:sz w:val="18"/>
                <w:szCs w:val="18"/>
                <w:lang w:val="en-GB"/>
              </w:rPr>
              <w:t>(p) factor</w:t>
            </w:r>
            <w:r w:rsidRPr="00973525">
              <w:rPr>
                <w:sz w:val="18"/>
                <w:szCs w:val="18"/>
                <w:lang w:val="en-GB"/>
              </w:rPr>
              <w:t xml:space="preserve"> may </w:t>
            </w:r>
            <w:r w:rsidRPr="00973525">
              <w:rPr>
                <w:b/>
                <w:bCs/>
                <w:sz w:val="18"/>
                <w:szCs w:val="18"/>
                <w:lang w:val="en-GB"/>
              </w:rPr>
              <w:t>increase</w:t>
            </w:r>
            <w:r w:rsidRPr="00973525">
              <w:rPr>
                <w:sz w:val="18"/>
                <w:szCs w:val="18"/>
                <w:lang w:val="en-GB"/>
              </w:rPr>
              <w:t xml:space="preserve"> securitisation </w:t>
            </w:r>
            <w:r w:rsidRPr="00973525">
              <w:rPr>
                <w:b/>
                <w:bCs/>
                <w:sz w:val="18"/>
                <w:szCs w:val="18"/>
                <w:lang w:val="en-GB"/>
              </w:rPr>
              <w:t>issuance and investment</w:t>
            </w:r>
            <w:r w:rsidRPr="00973525">
              <w:rPr>
                <w:sz w:val="18"/>
                <w:szCs w:val="18"/>
                <w:lang w:val="en-GB"/>
              </w:rPr>
              <w:t xml:space="preserve"> in the EU, while at the same time keeping the capitalisation of the securitisation tranches at a sufficiently </w:t>
            </w:r>
            <w:r w:rsidRPr="00973525">
              <w:rPr>
                <w:b/>
                <w:bCs/>
                <w:sz w:val="18"/>
                <w:szCs w:val="18"/>
                <w:lang w:val="en-GB"/>
              </w:rPr>
              <w:t>prudent</w:t>
            </w:r>
            <w:r w:rsidRPr="00973525">
              <w:rPr>
                <w:sz w:val="18"/>
                <w:szCs w:val="18"/>
                <w:lang w:val="en-GB"/>
              </w:rPr>
              <w:t xml:space="preserve"> level?</w:t>
            </w:r>
          </w:p>
          <w:p w14:paraId="41996930" w14:textId="77777777" w:rsidR="00C21071" w:rsidRPr="00973525" w:rsidRDefault="00C21071" w:rsidP="00C21071">
            <w:pPr>
              <w:rPr>
                <w:sz w:val="18"/>
                <w:szCs w:val="18"/>
                <w:lang w:val="en-GB"/>
              </w:rPr>
            </w:pPr>
          </w:p>
        </w:tc>
        <w:tc>
          <w:tcPr>
            <w:tcW w:w="7740" w:type="dxa"/>
          </w:tcPr>
          <w:p w14:paraId="2542C749" w14:textId="77777777" w:rsidR="00C21071" w:rsidRPr="00973525" w:rsidRDefault="00C21071" w:rsidP="00C21071">
            <w:pPr>
              <w:rPr>
                <w:sz w:val="18"/>
                <w:szCs w:val="18"/>
                <w:lang w:val="en-GB"/>
              </w:rPr>
            </w:pPr>
            <w:r w:rsidRPr="00973525">
              <w:rPr>
                <w:sz w:val="18"/>
                <w:szCs w:val="18"/>
                <w:lang w:val="en-GB"/>
              </w:rPr>
              <w:t>Answer</w:t>
            </w:r>
          </w:p>
          <w:p w14:paraId="0DE405B4" w14:textId="77777777" w:rsidR="00C21071" w:rsidRPr="00973525" w:rsidRDefault="00000000" w:rsidP="00C21071">
            <w:pPr>
              <w:rPr>
                <w:b/>
                <w:bCs/>
                <w:sz w:val="18"/>
                <w:szCs w:val="18"/>
                <w:lang w:val="en-GB"/>
              </w:rPr>
            </w:pPr>
            <w:sdt>
              <w:sdtPr>
                <w:rPr>
                  <w:b/>
                  <w:bCs/>
                  <w:sz w:val="18"/>
                  <w:szCs w:val="18"/>
                  <w:lang w:val="en-GB"/>
                </w:rPr>
                <w:id w:val="676695179"/>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Yes</w:t>
            </w:r>
          </w:p>
          <w:p w14:paraId="7FBB771F" w14:textId="77777777" w:rsidR="00C21071" w:rsidRPr="00973525" w:rsidRDefault="00000000" w:rsidP="00C21071">
            <w:pPr>
              <w:rPr>
                <w:sz w:val="18"/>
                <w:szCs w:val="18"/>
                <w:lang w:val="en-GB"/>
              </w:rPr>
            </w:pPr>
            <w:sdt>
              <w:sdtPr>
                <w:rPr>
                  <w:sz w:val="18"/>
                  <w:szCs w:val="18"/>
                  <w:lang w:val="en-GB"/>
                </w:rPr>
                <w:id w:val="331883487"/>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No</w:t>
            </w:r>
          </w:p>
          <w:p w14:paraId="55D5CAF5" w14:textId="77777777" w:rsidR="00C21071" w:rsidRPr="00973525" w:rsidRDefault="00000000" w:rsidP="00C21071">
            <w:pPr>
              <w:rPr>
                <w:sz w:val="18"/>
                <w:szCs w:val="18"/>
                <w:lang w:val="en-US"/>
              </w:rPr>
            </w:pPr>
            <w:sdt>
              <w:sdtPr>
                <w:rPr>
                  <w:sz w:val="18"/>
                  <w:szCs w:val="18"/>
                  <w:lang w:val="en-GB"/>
                </w:rPr>
                <w:id w:val="1801956916"/>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35652B2F" w14:textId="77777777" w:rsidR="00C21071" w:rsidRPr="00973525" w:rsidRDefault="00C21071" w:rsidP="00C21071">
            <w:pPr>
              <w:rPr>
                <w:sz w:val="18"/>
                <w:szCs w:val="18"/>
                <w:lang w:val="en-US"/>
              </w:rPr>
            </w:pPr>
          </w:p>
        </w:tc>
        <w:tc>
          <w:tcPr>
            <w:tcW w:w="236" w:type="dxa"/>
          </w:tcPr>
          <w:p w14:paraId="05366E43" w14:textId="5784AADC" w:rsidR="00C21071" w:rsidRPr="00973525" w:rsidRDefault="00C21071" w:rsidP="0079353D">
            <w:pPr>
              <w:ind w:firstLine="1917"/>
              <w:rPr>
                <w:sz w:val="18"/>
                <w:szCs w:val="18"/>
                <w:lang w:val="en-GB"/>
              </w:rPr>
            </w:pPr>
          </w:p>
        </w:tc>
      </w:tr>
      <w:tr w:rsidR="00B90A71" w:rsidRPr="0000602A" w14:paraId="6CFF5FE6" w14:textId="77777777" w:rsidTr="30964D0C">
        <w:trPr>
          <w:gridAfter w:val="1"/>
          <w:wAfter w:w="16" w:type="dxa"/>
        </w:trPr>
        <w:tc>
          <w:tcPr>
            <w:tcW w:w="2893" w:type="dxa"/>
          </w:tcPr>
          <w:p w14:paraId="2B621306" w14:textId="77777777" w:rsidR="00C21071" w:rsidRPr="00973525" w:rsidRDefault="00C21071" w:rsidP="00C21071">
            <w:pPr>
              <w:rPr>
                <w:sz w:val="18"/>
                <w:szCs w:val="18"/>
                <w:lang w:val="en-GB"/>
              </w:rPr>
            </w:pPr>
            <w:r w:rsidRPr="00973525">
              <w:rPr>
                <w:sz w:val="18"/>
                <w:szCs w:val="18"/>
                <w:lang w:val="en-GB"/>
              </w:rPr>
              <w:t>Please explain your answer to question 9.22:</w:t>
            </w:r>
          </w:p>
          <w:p w14:paraId="0CDD4B39" w14:textId="77777777" w:rsidR="00C21071" w:rsidRPr="00973525" w:rsidRDefault="00C21071" w:rsidP="00C21071">
            <w:pPr>
              <w:rPr>
                <w:sz w:val="18"/>
                <w:szCs w:val="18"/>
                <w:lang w:val="en-GB"/>
              </w:rPr>
            </w:pPr>
          </w:p>
        </w:tc>
        <w:tc>
          <w:tcPr>
            <w:tcW w:w="7740" w:type="dxa"/>
          </w:tcPr>
          <w:p w14:paraId="48492138" w14:textId="77777777" w:rsidR="00C21071" w:rsidRPr="00973525" w:rsidRDefault="00C21071" w:rsidP="00C21071">
            <w:pPr>
              <w:rPr>
                <w:sz w:val="18"/>
                <w:szCs w:val="18"/>
                <w:lang w:val="en-US"/>
              </w:rPr>
            </w:pPr>
            <w:r w:rsidRPr="00973525">
              <w:rPr>
                <w:sz w:val="18"/>
                <w:szCs w:val="18"/>
                <w:lang w:val="en-US"/>
              </w:rPr>
              <w:t xml:space="preserve">The absence of capital neutrality is a strong limiting factor for three reasons: </w:t>
            </w:r>
          </w:p>
          <w:p w14:paraId="388C3650" w14:textId="77777777" w:rsidR="00C21071" w:rsidRPr="00973525" w:rsidRDefault="00C21071" w:rsidP="00C21071">
            <w:pPr>
              <w:pStyle w:val="Paragraphedeliste"/>
              <w:numPr>
                <w:ilvl w:val="0"/>
                <w:numId w:val="23"/>
              </w:numPr>
              <w:rPr>
                <w:sz w:val="18"/>
                <w:szCs w:val="18"/>
                <w:lang w:val="en-US"/>
              </w:rPr>
            </w:pPr>
            <w:r w:rsidRPr="00973525">
              <w:rPr>
                <w:sz w:val="18"/>
                <w:szCs w:val="18"/>
                <w:lang w:val="en-US"/>
              </w:rPr>
              <w:t>The RW floor</w:t>
            </w:r>
          </w:p>
          <w:p w14:paraId="56D0D4E2" w14:textId="77777777" w:rsidR="00C21071" w:rsidRPr="00973525" w:rsidRDefault="00C21071" w:rsidP="00C21071">
            <w:pPr>
              <w:pStyle w:val="Paragraphedeliste"/>
              <w:numPr>
                <w:ilvl w:val="0"/>
                <w:numId w:val="23"/>
              </w:numPr>
              <w:rPr>
                <w:sz w:val="18"/>
                <w:szCs w:val="18"/>
                <w:lang w:val="en-US"/>
              </w:rPr>
            </w:pPr>
            <w:proofErr w:type="gramStart"/>
            <w:r w:rsidRPr="00973525">
              <w:rPr>
                <w:sz w:val="18"/>
                <w:szCs w:val="18"/>
                <w:lang w:val="en-US"/>
              </w:rPr>
              <w:t>The p-</w:t>
            </w:r>
            <w:proofErr w:type="gramEnd"/>
            <w:r w:rsidRPr="00973525">
              <w:rPr>
                <w:sz w:val="18"/>
                <w:szCs w:val="18"/>
                <w:lang w:val="en-US"/>
              </w:rPr>
              <w:t>factor</w:t>
            </w:r>
          </w:p>
          <w:p w14:paraId="32F714DA" w14:textId="72E07ACC" w:rsidR="00C21071" w:rsidRPr="00973525" w:rsidRDefault="00C21071" w:rsidP="00C21071">
            <w:pPr>
              <w:pStyle w:val="Paragraphedeliste"/>
              <w:numPr>
                <w:ilvl w:val="0"/>
                <w:numId w:val="23"/>
              </w:numPr>
              <w:rPr>
                <w:sz w:val="18"/>
                <w:szCs w:val="18"/>
                <w:lang w:val="en-US"/>
              </w:rPr>
            </w:pPr>
            <w:r w:rsidRPr="00973525">
              <w:rPr>
                <w:sz w:val="18"/>
                <w:szCs w:val="18"/>
                <w:lang w:val="en-US"/>
              </w:rPr>
              <w:t xml:space="preserve">The 1250% RW of the </w:t>
            </w:r>
            <w:proofErr w:type="spellStart"/>
            <w:r w:rsidRPr="00973525">
              <w:rPr>
                <w:sz w:val="18"/>
                <w:szCs w:val="18"/>
                <w:lang w:val="en-US"/>
              </w:rPr>
              <w:t>Kirb</w:t>
            </w:r>
            <w:proofErr w:type="spellEnd"/>
            <w:r w:rsidRPr="00973525">
              <w:rPr>
                <w:sz w:val="18"/>
                <w:szCs w:val="18"/>
                <w:lang w:val="en-US"/>
              </w:rPr>
              <w:t xml:space="preserve"> (or </w:t>
            </w:r>
            <w:proofErr w:type="spellStart"/>
            <w:r w:rsidRPr="00973525">
              <w:rPr>
                <w:sz w:val="18"/>
                <w:szCs w:val="18"/>
                <w:lang w:val="en-US"/>
              </w:rPr>
              <w:t>Ksa</w:t>
            </w:r>
            <w:proofErr w:type="spellEnd"/>
            <w:r w:rsidRPr="00973525">
              <w:rPr>
                <w:sz w:val="18"/>
                <w:szCs w:val="18"/>
                <w:lang w:val="en-US"/>
              </w:rPr>
              <w:t xml:space="preserve">) for first loss </w:t>
            </w:r>
            <w:proofErr w:type="gramStart"/>
            <w:r w:rsidRPr="00973525">
              <w:rPr>
                <w:sz w:val="18"/>
                <w:szCs w:val="18"/>
                <w:lang w:val="en-US"/>
              </w:rPr>
              <w:t>tranches</w:t>
            </w:r>
            <w:proofErr w:type="gramEnd"/>
          </w:p>
          <w:p w14:paraId="2483BE57" w14:textId="77777777" w:rsidR="00C21071" w:rsidRPr="00973525" w:rsidRDefault="00C21071" w:rsidP="00C21071">
            <w:pPr>
              <w:rPr>
                <w:sz w:val="18"/>
                <w:szCs w:val="18"/>
                <w:lang w:val="en-US"/>
              </w:rPr>
            </w:pPr>
          </w:p>
          <w:p w14:paraId="1D1B3430" w14:textId="07D771DC" w:rsidR="00C21071" w:rsidRPr="00973525" w:rsidRDefault="00C21071" w:rsidP="00C21071">
            <w:pPr>
              <w:rPr>
                <w:sz w:val="18"/>
                <w:szCs w:val="18"/>
                <w:lang w:val="en-US"/>
              </w:rPr>
            </w:pPr>
            <w:r w:rsidRPr="00973525">
              <w:rPr>
                <w:sz w:val="18"/>
                <w:szCs w:val="18"/>
                <w:lang w:val="en-US"/>
              </w:rPr>
              <w:t>Certainly, the RWA floor is an important limiting factor since SRT securitisation of low RW portfolio is simply/mechanically excluded, and those portfolios represent the largest source of assets. And the floor impacts all methods (IAA, SEC ERBA, SEC SA, SEC IRBA).</w:t>
            </w:r>
          </w:p>
          <w:p w14:paraId="79A04698" w14:textId="77777777" w:rsidR="00C21071" w:rsidRPr="00973525" w:rsidRDefault="00C21071" w:rsidP="00C21071">
            <w:pPr>
              <w:rPr>
                <w:sz w:val="18"/>
                <w:szCs w:val="18"/>
                <w:lang w:val="en-US"/>
              </w:rPr>
            </w:pPr>
          </w:p>
          <w:p w14:paraId="14C135E0" w14:textId="18C31C20" w:rsidR="00C21071" w:rsidRPr="00973525" w:rsidRDefault="00C21071" w:rsidP="00C21071">
            <w:pPr>
              <w:rPr>
                <w:sz w:val="18"/>
                <w:szCs w:val="18"/>
                <w:lang w:val="en-US"/>
              </w:rPr>
            </w:pPr>
            <w:r w:rsidRPr="00973525">
              <w:rPr>
                <w:sz w:val="18"/>
                <w:szCs w:val="18"/>
                <w:lang w:val="en-US"/>
              </w:rPr>
              <w:t>However, the high p-factor is also a limiting factor because it increases the cost of insuring mezzanine tranches, which is a key component of the economy of SRT transactions.</w:t>
            </w:r>
          </w:p>
          <w:p w14:paraId="533C8134" w14:textId="28A52275" w:rsidR="00C21071" w:rsidRPr="00973525" w:rsidRDefault="00C21071" w:rsidP="00C21071">
            <w:pPr>
              <w:rPr>
                <w:sz w:val="18"/>
                <w:szCs w:val="18"/>
                <w:lang w:val="en-US"/>
              </w:rPr>
            </w:pPr>
            <w:r w:rsidRPr="00973525">
              <w:rPr>
                <w:sz w:val="18"/>
                <w:szCs w:val="18"/>
                <w:lang w:val="en-US"/>
              </w:rPr>
              <w:t>In essence, capital requirement on the pool (</w:t>
            </w:r>
            <w:proofErr w:type="spellStart"/>
            <w:r w:rsidRPr="00973525">
              <w:rPr>
                <w:sz w:val="18"/>
                <w:szCs w:val="18"/>
                <w:lang w:val="en-US"/>
              </w:rPr>
              <w:t>Kirb</w:t>
            </w:r>
            <w:proofErr w:type="spellEnd"/>
            <w:r w:rsidRPr="00973525">
              <w:rPr>
                <w:sz w:val="18"/>
                <w:szCs w:val="18"/>
                <w:lang w:val="en-US"/>
              </w:rPr>
              <w:t xml:space="preserve">) corresponds to the maximum loss that the regulation envisage on the pool. The securitisation process allocates this loss differently, but the total capital allocated should be the same at the end (capital neutrality). </w:t>
            </w:r>
          </w:p>
          <w:p w14:paraId="533595E2" w14:textId="77777777" w:rsidR="00C21071" w:rsidRPr="00973525" w:rsidRDefault="00C21071" w:rsidP="00C21071">
            <w:pPr>
              <w:rPr>
                <w:sz w:val="18"/>
                <w:szCs w:val="18"/>
                <w:lang w:val="en-US"/>
              </w:rPr>
            </w:pPr>
            <w:r w:rsidRPr="00973525">
              <w:rPr>
                <w:sz w:val="18"/>
                <w:szCs w:val="18"/>
                <w:lang w:val="en-US"/>
              </w:rPr>
              <w:t xml:space="preserve">In this regard since the </w:t>
            </w:r>
            <w:proofErr w:type="spellStart"/>
            <w:r w:rsidRPr="00973525">
              <w:rPr>
                <w:sz w:val="18"/>
                <w:szCs w:val="18"/>
                <w:lang w:val="en-US"/>
              </w:rPr>
              <w:t>Kirb</w:t>
            </w:r>
            <w:proofErr w:type="spellEnd"/>
            <w:r w:rsidRPr="00973525">
              <w:rPr>
                <w:sz w:val="18"/>
                <w:szCs w:val="18"/>
                <w:lang w:val="en-US"/>
              </w:rPr>
              <w:t xml:space="preserve"> first loss is weighted at 1250%, the p-factor should be minimal. A high p-factor impacts the size of the mezzanine tranches and therefore transaction costs. </w:t>
            </w:r>
          </w:p>
          <w:p w14:paraId="49C3F1D1" w14:textId="77777777" w:rsidR="00C21071" w:rsidRPr="00973525" w:rsidRDefault="00C21071" w:rsidP="00C21071">
            <w:pPr>
              <w:rPr>
                <w:sz w:val="18"/>
                <w:szCs w:val="18"/>
                <w:lang w:val="en-US"/>
              </w:rPr>
            </w:pPr>
            <w:r w:rsidRPr="00973525">
              <w:rPr>
                <w:sz w:val="18"/>
                <w:szCs w:val="18"/>
                <w:lang w:val="en-US"/>
              </w:rPr>
              <w:lastRenderedPageBreak/>
              <w:t>Achieving capital neutrality should be a key objective for every method (IAA, SEC ERBA, SEC SA, SEC IRBA).</w:t>
            </w:r>
          </w:p>
          <w:p w14:paraId="6CC37C1B" w14:textId="77777777" w:rsidR="00C21071" w:rsidRPr="00973525" w:rsidRDefault="00C21071" w:rsidP="00C21071">
            <w:pPr>
              <w:rPr>
                <w:sz w:val="18"/>
                <w:szCs w:val="18"/>
                <w:lang w:val="en-US"/>
              </w:rPr>
            </w:pPr>
          </w:p>
          <w:p w14:paraId="787B81FF" w14:textId="77777777" w:rsidR="00C21071" w:rsidRPr="00973525" w:rsidRDefault="00C21071" w:rsidP="00C21071">
            <w:pPr>
              <w:rPr>
                <w:sz w:val="18"/>
                <w:szCs w:val="18"/>
                <w:lang w:val="en-US"/>
              </w:rPr>
            </w:pPr>
            <w:r w:rsidRPr="00973525">
              <w:rPr>
                <w:sz w:val="18"/>
                <w:szCs w:val="18"/>
                <w:lang w:val="en-US"/>
              </w:rPr>
              <w:t>The perpetuation and extension of article 465 of the CRR (p-factor divided by two) beyond the Output Floor seems to be the minimum recalibration for originators to envisage viable both STS and non-STS transactions under SEC-SA.</w:t>
            </w:r>
          </w:p>
          <w:p w14:paraId="209B78FD" w14:textId="77777777" w:rsidR="00C21071" w:rsidRPr="00973525" w:rsidRDefault="00C21071" w:rsidP="00C21071">
            <w:pPr>
              <w:rPr>
                <w:sz w:val="18"/>
                <w:szCs w:val="18"/>
                <w:lang w:val="en-GB"/>
              </w:rPr>
            </w:pPr>
          </w:p>
        </w:tc>
        <w:tc>
          <w:tcPr>
            <w:tcW w:w="236" w:type="dxa"/>
          </w:tcPr>
          <w:p w14:paraId="077D4CFE" w14:textId="77777777" w:rsidR="00C21071" w:rsidRPr="00B90A71" w:rsidRDefault="00C21071" w:rsidP="0079353D">
            <w:pPr>
              <w:pStyle w:val="Corpsdetexte"/>
              <w:spacing w:before="33"/>
              <w:ind w:firstLine="1917"/>
              <w:jc w:val="both"/>
              <w:rPr>
                <w:sz w:val="18"/>
                <w:szCs w:val="18"/>
              </w:rPr>
            </w:pPr>
          </w:p>
        </w:tc>
      </w:tr>
      <w:tr w:rsidR="00C21071" w:rsidRPr="0000602A" w14:paraId="012819D4" w14:textId="77777777" w:rsidTr="30964D0C">
        <w:trPr>
          <w:gridAfter w:val="1"/>
          <w:wAfter w:w="16" w:type="dxa"/>
        </w:trPr>
        <w:tc>
          <w:tcPr>
            <w:tcW w:w="2893" w:type="dxa"/>
          </w:tcPr>
          <w:p w14:paraId="5E4EDECA" w14:textId="08C53A5A" w:rsidR="00C21071" w:rsidRPr="00973525" w:rsidRDefault="00C21071" w:rsidP="00C21071">
            <w:pPr>
              <w:rPr>
                <w:sz w:val="18"/>
                <w:szCs w:val="18"/>
                <w:lang w:val="en-GB"/>
              </w:rPr>
            </w:pPr>
            <w:r w:rsidRPr="00973525">
              <w:rPr>
                <w:sz w:val="18"/>
                <w:szCs w:val="18"/>
                <w:lang w:val="en-GB"/>
              </w:rPr>
              <w:t xml:space="preserve">Question 9.23. If you answered yes to question 9.22., </w:t>
            </w:r>
            <w:r w:rsidRPr="00973525">
              <w:rPr>
                <w:b/>
                <w:bCs/>
                <w:sz w:val="18"/>
                <w:szCs w:val="18"/>
                <w:lang w:val="en-GB"/>
              </w:rPr>
              <w:t>what criteria</w:t>
            </w:r>
            <w:r w:rsidRPr="00973525">
              <w:rPr>
                <w:sz w:val="18"/>
                <w:szCs w:val="18"/>
                <w:lang w:val="en-GB"/>
              </w:rPr>
              <w:t xml:space="preserve"> should be considered when considering such </w:t>
            </w:r>
            <w:r w:rsidRPr="00973525">
              <w:rPr>
                <w:b/>
                <w:bCs/>
                <w:sz w:val="18"/>
                <w:szCs w:val="18"/>
                <w:lang w:val="en-GB"/>
              </w:rPr>
              <w:t>targeted and limited reductions</w:t>
            </w:r>
            <w:r w:rsidRPr="00973525">
              <w:rPr>
                <w:sz w:val="18"/>
                <w:szCs w:val="18"/>
                <w:lang w:val="en-GB"/>
              </w:rPr>
              <w:t>?</w:t>
            </w:r>
            <w:r w:rsidRPr="00973525">
              <w:rPr>
                <w:sz w:val="18"/>
                <w:szCs w:val="18"/>
                <w:lang w:val="en-GB"/>
              </w:rPr>
              <w:br/>
            </w:r>
          </w:p>
        </w:tc>
        <w:tc>
          <w:tcPr>
            <w:tcW w:w="7740" w:type="dxa"/>
          </w:tcPr>
          <w:p w14:paraId="5B9CD1EE" w14:textId="42E8FD06" w:rsidR="00C21071" w:rsidRPr="00973525" w:rsidRDefault="00000000" w:rsidP="00C21071">
            <w:pPr>
              <w:rPr>
                <w:sz w:val="18"/>
                <w:szCs w:val="18"/>
                <w:lang w:val="en-GB"/>
              </w:rPr>
            </w:pPr>
            <w:sdt>
              <w:sdtPr>
                <w:rPr>
                  <w:sz w:val="18"/>
                  <w:szCs w:val="18"/>
                  <w:lang w:val="en-GB"/>
                </w:rPr>
                <w:id w:val="-364600729"/>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 xml:space="preserve"> Exposures held by originators versus investors</w:t>
            </w:r>
          </w:p>
          <w:p w14:paraId="2A2E8D66" w14:textId="79DFA980" w:rsidR="00C21071" w:rsidRPr="00973525" w:rsidRDefault="00000000" w:rsidP="00C21071">
            <w:pPr>
              <w:rPr>
                <w:sz w:val="18"/>
                <w:szCs w:val="18"/>
                <w:lang w:val="en-GB"/>
              </w:rPr>
            </w:pPr>
            <w:sdt>
              <w:sdtPr>
                <w:rPr>
                  <w:sz w:val="18"/>
                  <w:szCs w:val="18"/>
                  <w:lang w:val="en-GB"/>
                </w:rPr>
                <w:id w:val="-1507287812"/>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 xml:space="preserve"> Exposures in STS versus </w:t>
            </w:r>
            <w:r w:rsidR="00D01A1B" w:rsidRPr="00973525">
              <w:rPr>
                <w:sz w:val="18"/>
                <w:szCs w:val="18"/>
                <w:lang w:val="en-GB"/>
              </w:rPr>
              <w:t>non-STS</w:t>
            </w:r>
            <w:r w:rsidR="00C21071" w:rsidRPr="00973525">
              <w:rPr>
                <w:sz w:val="18"/>
                <w:szCs w:val="18"/>
                <w:lang w:val="en-GB"/>
              </w:rPr>
              <w:t xml:space="preserve"> securitisations (beyond the differentiation already provided for in Article 260 and in Article 262 CRR)</w:t>
            </w:r>
          </w:p>
          <w:p w14:paraId="56F35825" w14:textId="1ED39177" w:rsidR="00C21071" w:rsidRPr="00973525" w:rsidRDefault="00000000" w:rsidP="00C21071">
            <w:pPr>
              <w:rPr>
                <w:sz w:val="18"/>
                <w:szCs w:val="18"/>
                <w:lang w:val="en-GB"/>
              </w:rPr>
            </w:pPr>
            <w:sdt>
              <w:sdtPr>
                <w:rPr>
                  <w:sz w:val="18"/>
                  <w:szCs w:val="18"/>
                  <w:lang w:val="en-GB"/>
                </w:rPr>
                <w:id w:val="-730527782"/>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 xml:space="preserve"> Exposures in senior versus non senior tranches</w:t>
            </w:r>
          </w:p>
          <w:p w14:paraId="50897854" w14:textId="1D17EA26" w:rsidR="00C21071" w:rsidRPr="00973525" w:rsidRDefault="00000000" w:rsidP="00C21071">
            <w:pPr>
              <w:rPr>
                <w:sz w:val="18"/>
                <w:szCs w:val="18"/>
                <w:lang w:val="en-GB"/>
              </w:rPr>
            </w:pPr>
            <w:sdt>
              <w:sdtPr>
                <w:rPr>
                  <w:sz w:val="18"/>
                  <w:szCs w:val="18"/>
                  <w:lang w:val="en-GB"/>
                </w:rPr>
                <w:id w:val="-1829123397"/>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 xml:space="preserve"> Exposures calculated under different capital approaches</w:t>
            </w:r>
          </w:p>
          <w:p w14:paraId="44DA1624" w14:textId="4B063998" w:rsidR="00C21071" w:rsidRPr="00973525" w:rsidRDefault="00000000" w:rsidP="00C21071">
            <w:pPr>
              <w:rPr>
                <w:sz w:val="18"/>
                <w:szCs w:val="18"/>
                <w:lang w:val="en-GB"/>
              </w:rPr>
            </w:pPr>
            <w:sdt>
              <w:sdtPr>
                <w:rPr>
                  <w:sz w:val="18"/>
                  <w:szCs w:val="18"/>
                  <w:lang w:val="en-GB"/>
                </w:rPr>
                <w:id w:val="-659698331"/>
                <w14:checkbox>
                  <w14:checked w14:val="0"/>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 xml:space="preserve"> Other criteria</w:t>
            </w:r>
          </w:p>
          <w:p w14:paraId="12C5D6E8" w14:textId="15E1DCB1" w:rsidR="00C21071" w:rsidRPr="00973525" w:rsidRDefault="00000000" w:rsidP="00C21071">
            <w:pPr>
              <w:rPr>
                <w:sz w:val="18"/>
                <w:szCs w:val="18"/>
                <w:lang w:val="en-GB"/>
              </w:rPr>
            </w:pPr>
            <w:sdt>
              <w:sdtPr>
                <w:rPr>
                  <w:sz w:val="18"/>
                  <w:szCs w:val="18"/>
                  <w:lang w:val="en-GB"/>
                </w:rPr>
                <w:id w:val="-251126035"/>
                <w14:checkbox>
                  <w14:checked w14:val="1"/>
                  <w14:checkedState w14:val="2612" w14:font="MS Gothic"/>
                  <w14:uncheckedState w14:val="2610" w14:font="MS Gothic"/>
                </w14:checkbox>
              </w:sdtPr>
              <w:sdtContent>
                <w:r w:rsidR="00FD2D3E">
                  <w:rPr>
                    <w:rFonts w:ascii="MS Gothic" w:eastAsia="MS Gothic" w:hAnsi="MS Gothic" w:hint="eastAsia"/>
                    <w:sz w:val="18"/>
                    <w:szCs w:val="18"/>
                    <w:lang w:val="en-GB"/>
                  </w:rPr>
                  <w:t>☒</w:t>
                </w:r>
              </w:sdtContent>
            </w:sdt>
            <w:r w:rsidR="00C21071" w:rsidRPr="00973525">
              <w:rPr>
                <w:sz w:val="18"/>
                <w:szCs w:val="18"/>
                <w:lang w:val="en-GB"/>
              </w:rPr>
              <w:t xml:space="preserve"> Don’t know / no opinion / not applicable</w:t>
            </w:r>
          </w:p>
        </w:tc>
        <w:tc>
          <w:tcPr>
            <w:tcW w:w="236" w:type="dxa"/>
          </w:tcPr>
          <w:p w14:paraId="4AD24EDC" w14:textId="2F25E5AD" w:rsidR="00C21071" w:rsidRPr="007C79DF" w:rsidRDefault="00C21071" w:rsidP="0079353D">
            <w:pPr>
              <w:ind w:firstLine="1917"/>
              <w:rPr>
                <w:sz w:val="18"/>
                <w:szCs w:val="18"/>
                <w:lang w:val="en-GB"/>
              </w:rPr>
            </w:pPr>
          </w:p>
        </w:tc>
      </w:tr>
      <w:tr w:rsidR="00C21071" w:rsidRPr="00C72B68" w14:paraId="5B2715A9" w14:textId="77777777" w:rsidTr="30964D0C">
        <w:trPr>
          <w:gridAfter w:val="1"/>
          <w:wAfter w:w="16" w:type="dxa"/>
        </w:trPr>
        <w:tc>
          <w:tcPr>
            <w:tcW w:w="2893" w:type="dxa"/>
          </w:tcPr>
          <w:p w14:paraId="1D00D953" w14:textId="77777777" w:rsidR="00C21071" w:rsidRPr="00973525" w:rsidRDefault="00C21071" w:rsidP="00C21071">
            <w:pPr>
              <w:rPr>
                <w:sz w:val="18"/>
                <w:szCs w:val="18"/>
                <w:lang w:val="en-GB"/>
              </w:rPr>
            </w:pPr>
            <w:r w:rsidRPr="00973525">
              <w:rPr>
                <w:sz w:val="18"/>
                <w:szCs w:val="18"/>
                <w:lang w:val="en-GB"/>
              </w:rPr>
              <w:t>Please explain your answer to question 9.23:</w:t>
            </w:r>
          </w:p>
          <w:p w14:paraId="1F0C460D" w14:textId="77777777" w:rsidR="00C21071" w:rsidRPr="00973525" w:rsidRDefault="00C21071" w:rsidP="00C21071">
            <w:pPr>
              <w:rPr>
                <w:sz w:val="18"/>
                <w:szCs w:val="18"/>
                <w:lang w:val="en-GB"/>
              </w:rPr>
            </w:pPr>
          </w:p>
        </w:tc>
        <w:tc>
          <w:tcPr>
            <w:tcW w:w="7740" w:type="dxa"/>
          </w:tcPr>
          <w:p w14:paraId="32E30D77" w14:textId="73BD6C75" w:rsidR="00C21071" w:rsidRPr="00973525" w:rsidRDefault="00C21071" w:rsidP="00C21071">
            <w:pPr>
              <w:rPr>
                <w:sz w:val="18"/>
                <w:szCs w:val="18"/>
                <w:lang w:val="en-US"/>
              </w:rPr>
            </w:pPr>
            <w:r w:rsidRPr="00973525">
              <w:rPr>
                <w:sz w:val="18"/>
                <w:szCs w:val="18"/>
                <w:lang w:val="en-US"/>
              </w:rPr>
              <w:t xml:space="preserve">We believe that the reduction of risk weights should concern all types of exposure and should not be limited </w:t>
            </w:r>
            <w:r w:rsidR="00323D32">
              <w:rPr>
                <w:sz w:val="18"/>
                <w:szCs w:val="18"/>
                <w:lang w:val="en-US"/>
              </w:rPr>
              <w:t>n</w:t>
            </w:r>
            <w:r w:rsidRPr="00973525">
              <w:rPr>
                <w:sz w:val="18"/>
                <w:szCs w:val="18"/>
                <w:lang w:val="en-US"/>
              </w:rPr>
              <w:t xml:space="preserve">or targeted. </w:t>
            </w:r>
          </w:p>
          <w:p w14:paraId="2FB5A857" w14:textId="77777777" w:rsidR="00C21071" w:rsidRPr="00973525" w:rsidRDefault="00C21071" w:rsidP="00C21071">
            <w:pPr>
              <w:rPr>
                <w:sz w:val="18"/>
                <w:szCs w:val="18"/>
                <w:lang w:val="en-US"/>
              </w:rPr>
            </w:pPr>
          </w:p>
          <w:p w14:paraId="31962AC3" w14:textId="0AA5232C" w:rsidR="00C21071" w:rsidRPr="00973525" w:rsidRDefault="00C21071" w:rsidP="00C21071">
            <w:pPr>
              <w:pStyle w:val="Corpsdetexte"/>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The possible changes in the prudential treatment should apply to banks in all their roles, originators, sponsors and investors. CRR prudential treatment improvements should also apply to banks as investors, in the same way that Solvency II prudential framework should be reviewed to make insurers come back as investors. Neither the criteria Exposures in STS versus non-STS securitisations (beyond the differentiation already provided for in Article 260 and in Article 262 CRR), nor the capital approach, nor the seniority.</w:t>
            </w:r>
          </w:p>
          <w:p w14:paraId="060BD122" w14:textId="77777777" w:rsidR="00C21071" w:rsidRPr="00973525" w:rsidRDefault="00C21071" w:rsidP="00C21071">
            <w:pPr>
              <w:pStyle w:val="Default"/>
              <w:spacing w:after="18"/>
              <w:rPr>
                <w:rFonts w:asciiTheme="minorHAnsi" w:hAnsiTheme="minorHAnsi"/>
                <w:sz w:val="18"/>
                <w:szCs w:val="18"/>
                <w:lang w:val="en-US"/>
              </w:rPr>
            </w:pPr>
            <w:r w:rsidRPr="00973525">
              <w:rPr>
                <w:rFonts w:asciiTheme="minorHAnsi" w:hAnsiTheme="minorHAnsi"/>
                <w:sz w:val="18"/>
                <w:szCs w:val="18"/>
                <w:lang w:val="en-US"/>
              </w:rPr>
              <w:t xml:space="preserve">The review of this P-Factor is highly required for revival of appetite from investors in priority on Senior tranches (being STS or not). </w:t>
            </w:r>
          </w:p>
          <w:p w14:paraId="0B68F3C7" w14:textId="77777777" w:rsidR="00C21071" w:rsidRPr="00973525" w:rsidRDefault="00C21071" w:rsidP="00C21071">
            <w:pPr>
              <w:rPr>
                <w:sz w:val="18"/>
                <w:szCs w:val="18"/>
                <w:lang w:val="en-US"/>
              </w:rPr>
            </w:pPr>
          </w:p>
          <w:p w14:paraId="256424C3" w14:textId="08CF238A" w:rsidR="00C21071" w:rsidRPr="00973525" w:rsidRDefault="00C21071" w:rsidP="00C21071">
            <w:pPr>
              <w:pStyle w:val="Default"/>
              <w:rPr>
                <w:rFonts w:asciiTheme="minorHAnsi" w:hAnsiTheme="minorHAnsi"/>
                <w:sz w:val="18"/>
                <w:szCs w:val="18"/>
                <w:lang w:val="en-US"/>
              </w:rPr>
            </w:pPr>
            <w:r w:rsidRPr="00973525">
              <w:rPr>
                <w:rFonts w:asciiTheme="minorHAnsi" w:hAnsiTheme="minorHAnsi"/>
                <w:sz w:val="18"/>
                <w:szCs w:val="18"/>
                <w:lang w:val="en-US"/>
              </w:rPr>
              <w:t>We would suggest the following quick</w:t>
            </w:r>
            <w:r w:rsidR="00707AC5">
              <w:rPr>
                <w:rFonts w:asciiTheme="minorHAnsi" w:hAnsiTheme="minorHAnsi"/>
                <w:sz w:val="18"/>
                <w:szCs w:val="18"/>
                <w:lang w:val="en-US"/>
              </w:rPr>
              <w:t>-</w:t>
            </w:r>
            <w:r w:rsidRPr="00973525">
              <w:rPr>
                <w:rFonts w:asciiTheme="minorHAnsi" w:hAnsiTheme="minorHAnsi"/>
                <w:sz w:val="18"/>
                <w:szCs w:val="18"/>
                <w:lang w:val="en-US"/>
              </w:rPr>
              <w:t xml:space="preserve">fix measures: </w:t>
            </w:r>
          </w:p>
          <w:p w14:paraId="5978CA9F" w14:textId="77777777" w:rsidR="00C21071" w:rsidRPr="00973525" w:rsidRDefault="00C21071" w:rsidP="00C21071">
            <w:pPr>
              <w:pStyle w:val="Default"/>
              <w:rPr>
                <w:rFonts w:asciiTheme="minorHAnsi" w:hAnsiTheme="minorHAnsi"/>
                <w:kern w:val="2"/>
                <w:sz w:val="18"/>
                <w:szCs w:val="18"/>
                <w:lang w:val="en-US"/>
              </w:rPr>
            </w:pPr>
          </w:p>
          <w:p w14:paraId="06C6AF2E" w14:textId="560FB0E5" w:rsidR="00C21071" w:rsidRPr="00973525" w:rsidRDefault="00C21071" w:rsidP="00C21071">
            <w:pPr>
              <w:pStyle w:val="Default"/>
              <w:spacing w:after="18"/>
              <w:rPr>
                <w:rFonts w:asciiTheme="minorHAnsi" w:hAnsiTheme="minorHAnsi"/>
                <w:sz w:val="18"/>
                <w:szCs w:val="18"/>
                <w:lang w:val="en-US"/>
              </w:rPr>
            </w:pPr>
            <w:r w:rsidRPr="00973525">
              <w:rPr>
                <w:rFonts w:asciiTheme="minorHAnsi" w:hAnsiTheme="minorHAnsi"/>
                <w:sz w:val="18"/>
                <w:szCs w:val="18"/>
                <w:lang w:val="en-US"/>
              </w:rPr>
              <w:t xml:space="preserve">- </w:t>
            </w:r>
            <w:r w:rsidRPr="00973525">
              <w:rPr>
                <w:rFonts w:asciiTheme="minorHAnsi" w:hAnsiTheme="minorHAnsi"/>
                <w:b/>
                <w:bCs/>
                <w:sz w:val="18"/>
                <w:szCs w:val="18"/>
                <w:u w:val="single"/>
                <w:lang w:val="en-US"/>
              </w:rPr>
              <w:t>in the SEC SA approach</w:t>
            </w:r>
            <w:r w:rsidR="00BB70B4">
              <w:rPr>
                <w:rFonts w:asciiTheme="minorHAnsi" w:hAnsiTheme="minorHAnsi"/>
                <w:b/>
                <w:bCs/>
                <w:sz w:val="18"/>
                <w:szCs w:val="18"/>
                <w:u w:val="single"/>
                <w:lang w:val="en-US"/>
              </w:rPr>
              <w:t xml:space="preserve"> </w:t>
            </w:r>
            <w:r w:rsidR="00BB70B4" w:rsidRPr="00E518BB">
              <w:rPr>
                <w:rFonts w:asciiTheme="minorHAnsi" w:hAnsiTheme="minorHAnsi"/>
                <w:sz w:val="18"/>
                <w:szCs w:val="18"/>
                <w:u w:val="single"/>
                <w:lang w:val="en-US"/>
              </w:rPr>
              <w:t>(</w:t>
            </w:r>
            <w:r w:rsidR="00E518BB" w:rsidRPr="00E518BB">
              <w:rPr>
                <w:rFonts w:asciiTheme="minorHAnsi" w:hAnsiTheme="minorHAnsi"/>
                <w:sz w:val="18"/>
                <w:szCs w:val="18"/>
                <w:u w:val="single"/>
                <w:lang w:val="en-US"/>
              </w:rPr>
              <w:t>A</w:t>
            </w:r>
            <w:r w:rsidR="00731FC2" w:rsidRPr="00E518BB">
              <w:rPr>
                <w:rFonts w:asciiTheme="minorHAnsi" w:hAnsiTheme="minorHAnsi"/>
                <w:sz w:val="18"/>
                <w:szCs w:val="18"/>
                <w:u w:val="single"/>
                <w:lang w:val="en-US"/>
              </w:rPr>
              <w:t>rt 261-262</w:t>
            </w:r>
            <w:r w:rsidR="00E518BB" w:rsidRPr="00E518BB">
              <w:rPr>
                <w:rFonts w:asciiTheme="minorHAnsi" w:hAnsiTheme="minorHAnsi"/>
                <w:sz w:val="18"/>
                <w:szCs w:val="18"/>
                <w:u w:val="single"/>
                <w:lang w:val="en-US"/>
              </w:rPr>
              <w:t>)</w:t>
            </w:r>
            <w:r w:rsidRPr="00973525">
              <w:rPr>
                <w:rFonts w:asciiTheme="minorHAnsi" w:hAnsiTheme="minorHAnsi"/>
                <w:sz w:val="18"/>
                <w:szCs w:val="18"/>
                <w:lang w:val="en-US"/>
              </w:rPr>
              <w:t xml:space="preserve">, a </w:t>
            </w:r>
            <w:r w:rsidRPr="00973525">
              <w:rPr>
                <w:rFonts w:asciiTheme="minorHAnsi" w:hAnsiTheme="minorHAnsi"/>
                <w:b/>
                <w:bCs/>
                <w:sz w:val="18"/>
                <w:szCs w:val="18"/>
                <w:u w:val="single"/>
                <w:lang w:val="en-US"/>
              </w:rPr>
              <w:t>reduction of the p-factor</w:t>
            </w:r>
            <w:r w:rsidRPr="00973525">
              <w:rPr>
                <w:rFonts w:asciiTheme="minorHAnsi" w:hAnsiTheme="minorHAnsi"/>
                <w:sz w:val="18"/>
                <w:szCs w:val="18"/>
                <w:lang w:val="en-US"/>
              </w:rPr>
              <w:t xml:space="preserve"> </w:t>
            </w:r>
          </w:p>
          <w:p w14:paraId="23C0B8FC" w14:textId="0AFB4D85" w:rsidR="00C21071" w:rsidRPr="00973525" w:rsidRDefault="00A331D2" w:rsidP="00C21071">
            <w:pPr>
              <w:pStyle w:val="Default"/>
              <w:numPr>
                <w:ilvl w:val="0"/>
                <w:numId w:val="35"/>
              </w:numPr>
              <w:spacing w:after="18"/>
              <w:rPr>
                <w:rFonts w:asciiTheme="minorHAnsi" w:hAnsiTheme="minorHAnsi"/>
                <w:sz w:val="18"/>
                <w:szCs w:val="18"/>
                <w:lang w:val="en-US"/>
              </w:rPr>
            </w:pPr>
            <w:r>
              <w:rPr>
                <w:rFonts w:asciiTheme="minorHAnsi" w:hAnsiTheme="minorHAnsi"/>
                <w:sz w:val="18"/>
                <w:szCs w:val="18"/>
                <w:lang w:val="en-US"/>
              </w:rPr>
              <w:t xml:space="preserve">from 0,5 down to </w:t>
            </w:r>
            <w:r w:rsidRPr="00D168CA">
              <w:rPr>
                <w:rFonts w:asciiTheme="minorHAnsi" w:hAnsiTheme="minorHAnsi"/>
                <w:b/>
                <w:bCs/>
                <w:sz w:val="18"/>
                <w:szCs w:val="18"/>
                <w:lang w:val="en-US"/>
              </w:rPr>
              <w:t>0.25</w:t>
            </w:r>
            <w:r w:rsidR="00C21071" w:rsidRPr="00D168CA">
              <w:rPr>
                <w:rFonts w:asciiTheme="minorHAnsi" w:hAnsiTheme="minorHAnsi"/>
                <w:b/>
                <w:bCs/>
                <w:sz w:val="18"/>
                <w:szCs w:val="18"/>
                <w:lang w:val="en-US"/>
              </w:rPr>
              <w:t xml:space="preserve"> for STS</w:t>
            </w:r>
            <w:r w:rsidR="00C21071" w:rsidRPr="00973525">
              <w:rPr>
                <w:rFonts w:asciiTheme="minorHAnsi" w:hAnsiTheme="minorHAnsi"/>
                <w:sz w:val="18"/>
                <w:szCs w:val="18"/>
                <w:lang w:val="en-US"/>
              </w:rPr>
              <w:t xml:space="preserve"> securitization and </w:t>
            </w:r>
          </w:p>
          <w:p w14:paraId="3825A92C" w14:textId="79E47782" w:rsidR="00C21071" w:rsidRPr="00973525" w:rsidRDefault="00B104FB" w:rsidP="00C21071">
            <w:pPr>
              <w:pStyle w:val="Default"/>
              <w:numPr>
                <w:ilvl w:val="0"/>
                <w:numId w:val="35"/>
              </w:numPr>
              <w:spacing w:after="18"/>
              <w:rPr>
                <w:rFonts w:asciiTheme="minorHAnsi" w:hAnsiTheme="minorHAnsi"/>
                <w:sz w:val="18"/>
                <w:szCs w:val="18"/>
                <w:lang w:val="en-US"/>
              </w:rPr>
            </w:pPr>
            <w:r>
              <w:rPr>
                <w:rFonts w:asciiTheme="minorHAnsi" w:hAnsiTheme="minorHAnsi"/>
                <w:sz w:val="18"/>
                <w:szCs w:val="18"/>
                <w:lang w:val="en-US"/>
              </w:rPr>
              <w:t xml:space="preserve">from 1,0 down to </w:t>
            </w:r>
            <w:r w:rsidR="00C21071" w:rsidRPr="00D168CA">
              <w:rPr>
                <w:rFonts w:asciiTheme="minorHAnsi" w:hAnsiTheme="minorHAnsi"/>
                <w:b/>
                <w:bCs/>
                <w:sz w:val="18"/>
                <w:szCs w:val="18"/>
                <w:lang w:val="en-US"/>
              </w:rPr>
              <w:t>0.5 for non-STS</w:t>
            </w:r>
            <w:r w:rsidR="00C21071" w:rsidRPr="00973525">
              <w:rPr>
                <w:rFonts w:asciiTheme="minorHAnsi" w:hAnsiTheme="minorHAnsi"/>
                <w:sz w:val="18"/>
                <w:szCs w:val="18"/>
                <w:lang w:val="en-US"/>
              </w:rPr>
              <w:t xml:space="preserve"> </w:t>
            </w:r>
          </w:p>
          <w:p w14:paraId="07BDA078" w14:textId="08C3F691" w:rsidR="00C21071" w:rsidRPr="00973525" w:rsidRDefault="00C21071" w:rsidP="00C21071">
            <w:pPr>
              <w:pStyle w:val="Default"/>
              <w:spacing w:after="18"/>
              <w:rPr>
                <w:rFonts w:asciiTheme="minorHAnsi" w:hAnsiTheme="minorHAnsi"/>
                <w:sz w:val="18"/>
                <w:szCs w:val="18"/>
                <w:lang w:val="en-US"/>
              </w:rPr>
            </w:pPr>
            <w:r w:rsidRPr="00973525">
              <w:rPr>
                <w:rFonts w:asciiTheme="minorHAnsi" w:hAnsiTheme="minorHAnsi"/>
                <w:sz w:val="18"/>
                <w:szCs w:val="18"/>
                <w:lang w:val="en-US"/>
              </w:rPr>
              <w:t xml:space="preserve">in </w:t>
            </w:r>
            <w:r w:rsidRPr="00D168CA">
              <w:rPr>
                <w:rFonts w:asciiTheme="minorHAnsi" w:hAnsiTheme="minorHAnsi"/>
                <w:sz w:val="18"/>
                <w:szCs w:val="18"/>
                <w:u w:val="single"/>
                <w:lang w:val="en-US"/>
              </w:rPr>
              <w:t>all</w:t>
            </w:r>
            <w:r w:rsidRPr="00973525">
              <w:rPr>
                <w:rFonts w:asciiTheme="minorHAnsi" w:hAnsiTheme="minorHAnsi"/>
                <w:sz w:val="18"/>
                <w:szCs w:val="18"/>
                <w:lang w:val="en-US"/>
              </w:rPr>
              <w:t xml:space="preserve"> rol</w:t>
            </w:r>
            <w:r w:rsidR="00A331D2">
              <w:rPr>
                <w:rFonts w:asciiTheme="minorHAnsi" w:hAnsiTheme="minorHAnsi"/>
                <w:sz w:val="18"/>
                <w:szCs w:val="18"/>
                <w:lang w:val="en-US"/>
              </w:rPr>
              <w:t>e</w:t>
            </w:r>
            <w:r w:rsidRPr="00973525">
              <w:rPr>
                <w:rFonts w:asciiTheme="minorHAnsi" w:hAnsiTheme="minorHAnsi"/>
                <w:sz w:val="18"/>
                <w:szCs w:val="18"/>
                <w:lang w:val="en-US"/>
              </w:rPr>
              <w:t xml:space="preserve">s (originators, sponsors, and investors), </w:t>
            </w:r>
          </w:p>
          <w:p w14:paraId="7204873B" w14:textId="77777777" w:rsidR="00C21071" w:rsidRPr="00973525" w:rsidRDefault="00C21071" w:rsidP="00C21071">
            <w:pPr>
              <w:pStyle w:val="Default"/>
              <w:spacing w:after="18"/>
              <w:rPr>
                <w:rFonts w:asciiTheme="minorHAnsi" w:hAnsiTheme="minorHAnsi"/>
                <w:sz w:val="18"/>
                <w:szCs w:val="18"/>
                <w:lang w:val="en-US"/>
              </w:rPr>
            </w:pPr>
          </w:p>
          <w:p w14:paraId="6423CD48" w14:textId="297A888E" w:rsidR="00C21071" w:rsidRPr="00973525" w:rsidRDefault="00C21071" w:rsidP="00C21071">
            <w:pPr>
              <w:pStyle w:val="Default"/>
              <w:spacing w:after="18"/>
              <w:rPr>
                <w:rFonts w:asciiTheme="minorHAnsi" w:hAnsiTheme="minorHAnsi"/>
                <w:sz w:val="18"/>
                <w:szCs w:val="18"/>
                <w:lang w:val="en-US"/>
              </w:rPr>
            </w:pPr>
            <w:r w:rsidRPr="00973525">
              <w:rPr>
                <w:rFonts w:asciiTheme="minorHAnsi" w:hAnsiTheme="minorHAnsi"/>
                <w:sz w:val="18"/>
                <w:szCs w:val="18"/>
                <w:lang w:val="en-US"/>
              </w:rPr>
              <w:t>Beyond the</w:t>
            </w:r>
            <w:r w:rsidRPr="00973525">
              <w:rPr>
                <w:rFonts w:asciiTheme="minorHAnsi" w:hAnsiTheme="minorHAnsi"/>
                <w:sz w:val="18"/>
                <w:szCs w:val="18"/>
                <w:u w:val="single"/>
                <w:lang w:val="en-US"/>
              </w:rPr>
              <w:t xml:space="preserve"> calculation of the sole output </w:t>
            </w:r>
            <w:proofErr w:type="gramStart"/>
            <w:r w:rsidRPr="00973525">
              <w:rPr>
                <w:rFonts w:asciiTheme="minorHAnsi" w:hAnsiTheme="minorHAnsi"/>
                <w:sz w:val="18"/>
                <w:szCs w:val="18"/>
                <w:u w:val="single"/>
                <w:lang w:val="en-US"/>
              </w:rPr>
              <w:t>floor</w:t>
            </w:r>
            <w:proofErr w:type="gramEnd"/>
            <w:r w:rsidRPr="00973525">
              <w:rPr>
                <w:rFonts w:asciiTheme="minorHAnsi" w:hAnsiTheme="minorHAnsi"/>
                <w:sz w:val="18"/>
                <w:szCs w:val="18"/>
                <w:lang w:val="en-US"/>
              </w:rPr>
              <w:t xml:space="preserve"> article 465 </w:t>
            </w:r>
            <w:r w:rsidR="00D168CA">
              <w:rPr>
                <w:rFonts w:asciiTheme="minorHAnsi" w:hAnsiTheme="minorHAnsi"/>
                <w:sz w:val="18"/>
                <w:szCs w:val="18"/>
                <w:lang w:val="en-US"/>
              </w:rPr>
              <w:t xml:space="preserve">(on output </w:t>
            </w:r>
            <w:r w:rsidR="00B64921">
              <w:rPr>
                <w:rFonts w:asciiTheme="minorHAnsi" w:hAnsiTheme="minorHAnsi"/>
                <w:sz w:val="18"/>
                <w:szCs w:val="18"/>
                <w:lang w:val="en-US"/>
              </w:rPr>
              <w:t>floor)</w:t>
            </w:r>
            <w:r w:rsidR="00B64921" w:rsidRPr="00973525">
              <w:rPr>
                <w:rFonts w:asciiTheme="minorHAnsi" w:hAnsiTheme="minorHAnsi"/>
                <w:sz w:val="18"/>
                <w:szCs w:val="18"/>
                <w:lang w:val="en-US"/>
              </w:rPr>
              <w:t xml:space="preserve"> should</w:t>
            </w:r>
            <w:r w:rsidRPr="00973525">
              <w:rPr>
                <w:rFonts w:asciiTheme="minorHAnsi" w:hAnsiTheme="minorHAnsi"/>
                <w:sz w:val="18"/>
                <w:szCs w:val="18"/>
                <w:lang w:val="en-US"/>
              </w:rPr>
              <w:t xml:space="preserve"> </w:t>
            </w:r>
            <w:r w:rsidR="00E20D5A">
              <w:rPr>
                <w:rFonts w:asciiTheme="minorHAnsi" w:hAnsiTheme="minorHAnsi"/>
                <w:sz w:val="18"/>
                <w:szCs w:val="18"/>
                <w:lang w:val="en-US"/>
              </w:rPr>
              <w:t xml:space="preserve">hence </w:t>
            </w:r>
            <w:r w:rsidRPr="00973525">
              <w:rPr>
                <w:rFonts w:asciiTheme="minorHAnsi" w:hAnsiTheme="minorHAnsi"/>
                <w:sz w:val="18"/>
                <w:szCs w:val="18"/>
                <w:lang w:val="en-US"/>
              </w:rPr>
              <w:t xml:space="preserve">become permanent.  </w:t>
            </w:r>
          </w:p>
          <w:p w14:paraId="1D27E76B" w14:textId="77777777" w:rsidR="00C21071" w:rsidRPr="00973525" w:rsidRDefault="00C21071" w:rsidP="00C21071">
            <w:pPr>
              <w:pStyle w:val="Default"/>
              <w:spacing w:after="18"/>
              <w:rPr>
                <w:rFonts w:asciiTheme="minorHAnsi" w:hAnsiTheme="minorHAnsi"/>
                <w:sz w:val="18"/>
                <w:szCs w:val="18"/>
                <w:lang w:val="en-US"/>
              </w:rPr>
            </w:pPr>
          </w:p>
          <w:p w14:paraId="56CB9FBC" w14:textId="649ABE30" w:rsidR="00C21071" w:rsidRPr="00973525" w:rsidRDefault="00C21071" w:rsidP="00C21071">
            <w:pPr>
              <w:pStyle w:val="Default"/>
              <w:spacing w:after="18"/>
              <w:rPr>
                <w:rFonts w:asciiTheme="minorHAnsi" w:hAnsiTheme="minorHAnsi"/>
                <w:sz w:val="18"/>
                <w:szCs w:val="18"/>
                <w:lang w:val="en-US"/>
              </w:rPr>
            </w:pPr>
            <w:r w:rsidRPr="00973525">
              <w:rPr>
                <w:rFonts w:asciiTheme="minorHAnsi" w:hAnsiTheme="minorHAnsi"/>
                <w:sz w:val="18"/>
                <w:szCs w:val="18"/>
                <w:lang w:val="en-US"/>
              </w:rPr>
              <w:t xml:space="preserve">- </w:t>
            </w:r>
            <w:r w:rsidRPr="007A4499">
              <w:rPr>
                <w:rFonts w:asciiTheme="minorHAnsi" w:hAnsiTheme="minorHAnsi"/>
                <w:b/>
                <w:bCs/>
                <w:sz w:val="18"/>
                <w:szCs w:val="18"/>
                <w:u w:val="single"/>
                <w:lang w:val="en-US"/>
              </w:rPr>
              <w:t>in the SEC-IRBA calculation</w:t>
            </w:r>
            <w:r w:rsidR="0006184A">
              <w:rPr>
                <w:rFonts w:asciiTheme="minorHAnsi" w:hAnsiTheme="minorHAnsi"/>
                <w:b/>
                <w:bCs/>
                <w:sz w:val="18"/>
                <w:szCs w:val="18"/>
                <w:u w:val="single"/>
                <w:lang w:val="en-US"/>
              </w:rPr>
              <w:t xml:space="preserve"> </w:t>
            </w:r>
            <w:r w:rsidR="0006184A" w:rsidRPr="00E518BB">
              <w:rPr>
                <w:rFonts w:asciiTheme="minorHAnsi" w:hAnsiTheme="minorHAnsi"/>
                <w:sz w:val="18"/>
                <w:szCs w:val="18"/>
                <w:u w:val="single"/>
                <w:lang w:val="en-US"/>
              </w:rPr>
              <w:t>(Art 2</w:t>
            </w:r>
            <w:r w:rsidR="0006184A">
              <w:rPr>
                <w:rFonts w:asciiTheme="minorHAnsi" w:hAnsiTheme="minorHAnsi"/>
                <w:sz w:val="18"/>
                <w:szCs w:val="18"/>
                <w:u w:val="single"/>
                <w:lang w:val="en-US"/>
              </w:rPr>
              <w:t>59</w:t>
            </w:r>
            <w:r w:rsidR="0006184A" w:rsidRPr="00E518BB">
              <w:rPr>
                <w:rFonts w:asciiTheme="minorHAnsi" w:hAnsiTheme="minorHAnsi"/>
                <w:sz w:val="18"/>
                <w:szCs w:val="18"/>
                <w:u w:val="single"/>
                <w:lang w:val="en-US"/>
              </w:rPr>
              <w:t>-26</w:t>
            </w:r>
            <w:r w:rsidR="0006184A">
              <w:rPr>
                <w:rFonts w:asciiTheme="minorHAnsi" w:hAnsiTheme="minorHAnsi"/>
                <w:sz w:val="18"/>
                <w:szCs w:val="18"/>
                <w:u w:val="single"/>
                <w:lang w:val="en-US"/>
              </w:rPr>
              <w:t>0</w:t>
            </w:r>
            <w:r w:rsidR="0006184A" w:rsidRPr="00E518BB">
              <w:rPr>
                <w:rFonts w:asciiTheme="minorHAnsi" w:hAnsiTheme="minorHAnsi"/>
                <w:sz w:val="18"/>
                <w:szCs w:val="18"/>
                <w:u w:val="single"/>
                <w:lang w:val="en-US"/>
              </w:rPr>
              <w:t>)</w:t>
            </w:r>
            <w:r w:rsidRPr="00973525">
              <w:rPr>
                <w:rFonts w:asciiTheme="minorHAnsi" w:hAnsiTheme="minorHAnsi"/>
                <w:b/>
                <w:bCs/>
                <w:sz w:val="18"/>
                <w:szCs w:val="18"/>
                <w:lang w:val="en-US"/>
              </w:rPr>
              <w:t xml:space="preserve">, a recalibration of the floors and caps </w:t>
            </w:r>
            <w:r w:rsidRPr="00973525">
              <w:rPr>
                <w:rFonts w:asciiTheme="minorHAnsi" w:hAnsiTheme="minorHAnsi"/>
                <w:sz w:val="18"/>
                <w:szCs w:val="18"/>
                <w:u w:val="single"/>
                <w:lang w:val="en-US"/>
              </w:rPr>
              <w:t xml:space="preserve">for p-factor </w:t>
            </w:r>
            <w:r w:rsidRPr="00973525">
              <w:rPr>
                <w:rFonts w:asciiTheme="minorHAnsi" w:hAnsiTheme="minorHAnsi"/>
                <w:sz w:val="18"/>
                <w:szCs w:val="18"/>
                <w:lang w:val="en-US"/>
              </w:rPr>
              <w:t>with:</w:t>
            </w:r>
          </w:p>
          <w:p w14:paraId="05DA3EC7" w14:textId="77777777" w:rsidR="00C21071" w:rsidRPr="00973525" w:rsidRDefault="00C21071" w:rsidP="00C21071">
            <w:pPr>
              <w:pStyle w:val="Default"/>
              <w:numPr>
                <w:ilvl w:val="1"/>
                <w:numId w:val="21"/>
              </w:numPr>
              <w:spacing w:after="18"/>
              <w:rPr>
                <w:rFonts w:asciiTheme="minorHAnsi" w:hAnsiTheme="minorHAnsi"/>
                <w:sz w:val="18"/>
                <w:szCs w:val="18"/>
                <w:lang w:val="en-US"/>
              </w:rPr>
            </w:pPr>
            <w:r w:rsidRPr="00973525">
              <w:rPr>
                <w:rFonts w:asciiTheme="minorHAnsi" w:hAnsiTheme="minorHAnsi"/>
                <w:sz w:val="18"/>
                <w:szCs w:val="18"/>
                <w:lang w:val="en-US"/>
              </w:rPr>
              <w:t xml:space="preserve">a floor at 0.2 for STS and 0.3 for non-STS, </w:t>
            </w:r>
          </w:p>
          <w:p w14:paraId="7AA698EE" w14:textId="697D4558" w:rsidR="00C21071" w:rsidRPr="00973525" w:rsidRDefault="00C21071" w:rsidP="00C21071">
            <w:pPr>
              <w:pStyle w:val="Default"/>
              <w:numPr>
                <w:ilvl w:val="1"/>
                <w:numId w:val="21"/>
              </w:numPr>
              <w:spacing w:after="18"/>
              <w:rPr>
                <w:rFonts w:asciiTheme="minorHAnsi" w:hAnsiTheme="minorHAnsi"/>
                <w:sz w:val="18"/>
                <w:szCs w:val="18"/>
                <w:lang w:val="en-US"/>
              </w:rPr>
            </w:pPr>
            <w:r w:rsidRPr="00973525">
              <w:rPr>
                <w:rFonts w:asciiTheme="minorHAnsi" w:hAnsiTheme="minorHAnsi"/>
                <w:sz w:val="18"/>
                <w:szCs w:val="18"/>
                <w:lang w:val="en-US"/>
              </w:rPr>
              <w:t xml:space="preserve">and a cap at 0.5 for STS and 0.75 for non-STS. </w:t>
            </w:r>
          </w:p>
          <w:tbl>
            <w:tblPr>
              <w:tblW w:w="3955" w:type="dxa"/>
              <w:jc w:val="center"/>
              <w:tblLayout w:type="fixed"/>
              <w:tblCellMar>
                <w:left w:w="70" w:type="dxa"/>
                <w:right w:w="70" w:type="dxa"/>
              </w:tblCellMar>
              <w:tblLook w:val="04A0" w:firstRow="1" w:lastRow="0" w:firstColumn="1" w:lastColumn="0" w:noHBand="0" w:noVBand="1"/>
            </w:tblPr>
            <w:tblGrid>
              <w:gridCol w:w="923"/>
              <w:gridCol w:w="1093"/>
              <w:gridCol w:w="923"/>
              <w:gridCol w:w="1016"/>
            </w:tblGrid>
            <w:tr w:rsidR="0079353D" w:rsidRPr="00197675" w14:paraId="49071D6F" w14:textId="77777777" w:rsidTr="0079353D">
              <w:trPr>
                <w:trHeight w:val="233"/>
                <w:jc w:val="center"/>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E4EE1" w14:textId="77777777" w:rsidR="00197675" w:rsidRPr="00197675" w:rsidRDefault="00197675" w:rsidP="00197675">
                  <w:pPr>
                    <w:spacing w:after="0" w:line="240" w:lineRule="auto"/>
                    <w:rPr>
                      <w:rFonts w:ascii="Aptos Narrow" w:eastAsia="Times New Roman" w:hAnsi="Aptos Narrow" w:cs="Times New Roman"/>
                      <w:b/>
                      <w:bCs/>
                      <w:color w:val="000000"/>
                      <w:kern w:val="0"/>
                      <w:sz w:val="14"/>
                      <w:szCs w:val="14"/>
                      <w:lang w:eastAsia="fr-FR"/>
                      <w14:ligatures w14:val="none"/>
                    </w:rPr>
                  </w:pPr>
                  <w:r w:rsidRPr="00197675">
                    <w:rPr>
                      <w:rFonts w:ascii="Aptos Narrow" w:eastAsia="Times New Roman" w:hAnsi="Aptos Narrow" w:cs="Times New Roman"/>
                      <w:b/>
                      <w:bCs/>
                      <w:color w:val="000000"/>
                      <w:kern w:val="0"/>
                      <w:sz w:val="14"/>
                      <w:szCs w:val="14"/>
                      <w:lang w:eastAsia="fr-FR"/>
                      <w14:ligatures w14:val="none"/>
                    </w:rPr>
                    <w:t xml:space="preserve">P-Factor </w:t>
                  </w:r>
                  <w:proofErr w:type="spellStart"/>
                  <w:r w:rsidRPr="00197675">
                    <w:rPr>
                      <w:rFonts w:ascii="Aptos Narrow" w:eastAsia="Times New Roman" w:hAnsi="Aptos Narrow" w:cs="Times New Roman"/>
                      <w:b/>
                      <w:bCs/>
                      <w:color w:val="000000"/>
                      <w:kern w:val="0"/>
                      <w:sz w:val="14"/>
                      <w:szCs w:val="14"/>
                      <w:lang w:eastAsia="fr-FR"/>
                      <w14:ligatures w14:val="none"/>
                    </w:rPr>
                    <w:t>proposal</w:t>
                  </w:r>
                  <w:proofErr w:type="spellEnd"/>
                </w:p>
              </w:tc>
              <w:tc>
                <w:tcPr>
                  <w:tcW w:w="1093" w:type="dxa"/>
                  <w:tcBorders>
                    <w:top w:val="single" w:sz="4" w:space="0" w:color="auto"/>
                    <w:left w:val="nil"/>
                    <w:bottom w:val="single" w:sz="4" w:space="0" w:color="auto"/>
                    <w:right w:val="single" w:sz="4" w:space="0" w:color="auto"/>
                  </w:tcBorders>
                  <w:shd w:val="clear" w:color="auto" w:fill="auto"/>
                  <w:noWrap/>
                  <w:vAlign w:val="bottom"/>
                  <w:hideMark/>
                </w:tcPr>
                <w:p w14:paraId="3694E614" w14:textId="77777777" w:rsidR="00197675" w:rsidRPr="00197675" w:rsidRDefault="00197675" w:rsidP="00197675">
                  <w:pPr>
                    <w:spacing w:after="0" w:line="240" w:lineRule="auto"/>
                    <w:rPr>
                      <w:rFonts w:ascii="Aptos Narrow" w:eastAsia="Times New Roman" w:hAnsi="Aptos Narrow" w:cs="Times New Roman"/>
                      <w:b/>
                      <w:bCs/>
                      <w:color w:val="000000"/>
                      <w:kern w:val="0"/>
                      <w:sz w:val="14"/>
                      <w:szCs w:val="14"/>
                      <w:lang w:eastAsia="fr-FR"/>
                      <w14:ligatures w14:val="none"/>
                    </w:rPr>
                  </w:pPr>
                  <w:r w:rsidRPr="00197675">
                    <w:rPr>
                      <w:rFonts w:ascii="Aptos Narrow" w:eastAsia="Times New Roman" w:hAnsi="Aptos Narrow" w:cs="Times New Roman"/>
                      <w:b/>
                      <w:bCs/>
                      <w:color w:val="000000"/>
                      <w:kern w:val="0"/>
                      <w:sz w:val="14"/>
                      <w:szCs w:val="14"/>
                      <w:lang w:eastAsia="fr-FR"/>
                      <w14:ligatures w14:val="none"/>
                    </w:rPr>
                    <w:t> </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094B6D07"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proofErr w:type="spellStart"/>
                  <w:r w:rsidRPr="00197675">
                    <w:rPr>
                      <w:rFonts w:ascii="Aptos Narrow" w:eastAsia="Times New Roman" w:hAnsi="Aptos Narrow" w:cs="Times New Roman"/>
                      <w:color w:val="000000"/>
                      <w:kern w:val="0"/>
                      <w:sz w:val="14"/>
                      <w:szCs w:val="14"/>
                      <w:lang w:eastAsia="fr-FR"/>
                      <w14:ligatures w14:val="none"/>
                    </w:rPr>
                    <w:t>Current</w:t>
                  </w:r>
                  <w:proofErr w:type="spellEnd"/>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2DA25E44"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Proposition</w:t>
                  </w:r>
                </w:p>
              </w:tc>
            </w:tr>
            <w:tr w:rsidR="0017503B" w:rsidRPr="00197675" w14:paraId="6C47548B" w14:textId="77777777" w:rsidTr="0079353D">
              <w:trPr>
                <w:trHeight w:val="233"/>
                <w:jc w:val="center"/>
              </w:trPr>
              <w:tc>
                <w:tcPr>
                  <w:tcW w:w="9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011726"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SEC-SA</w:t>
                  </w:r>
                </w:p>
              </w:tc>
              <w:tc>
                <w:tcPr>
                  <w:tcW w:w="1093" w:type="dxa"/>
                  <w:tcBorders>
                    <w:top w:val="nil"/>
                    <w:left w:val="nil"/>
                    <w:bottom w:val="single" w:sz="4" w:space="0" w:color="auto"/>
                    <w:right w:val="single" w:sz="4" w:space="0" w:color="auto"/>
                  </w:tcBorders>
                  <w:shd w:val="clear" w:color="auto" w:fill="auto"/>
                  <w:noWrap/>
                  <w:vAlign w:val="center"/>
                  <w:hideMark/>
                </w:tcPr>
                <w:p w14:paraId="11E1CEE5"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STS</w:t>
                  </w:r>
                </w:p>
              </w:tc>
              <w:tc>
                <w:tcPr>
                  <w:tcW w:w="923" w:type="dxa"/>
                  <w:tcBorders>
                    <w:top w:val="nil"/>
                    <w:left w:val="nil"/>
                    <w:bottom w:val="single" w:sz="4" w:space="0" w:color="auto"/>
                    <w:right w:val="single" w:sz="4" w:space="0" w:color="auto"/>
                  </w:tcBorders>
                  <w:shd w:val="clear" w:color="auto" w:fill="auto"/>
                  <w:noWrap/>
                  <w:vAlign w:val="center"/>
                  <w:hideMark/>
                </w:tcPr>
                <w:p w14:paraId="1ECAE29D"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0,5</w:t>
                  </w:r>
                </w:p>
              </w:tc>
              <w:tc>
                <w:tcPr>
                  <w:tcW w:w="1016" w:type="dxa"/>
                  <w:tcBorders>
                    <w:top w:val="nil"/>
                    <w:left w:val="nil"/>
                    <w:bottom w:val="single" w:sz="4" w:space="0" w:color="auto"/>
                    <w:right w:val="single" w:sz="4" w:space="0" w:color="auto"/>
                  </w:tcBorders>
                  <w:shd w:val="clear" w:color="auto" w:fill="auto"/>
                  <w:noWrap/>
                  <w:vAlign w:val="center"/>
                  <w:hideMark/>
                </w:tcPr>
                <w:p w14:paraId="68645615" w14:textId="77777777" w:rsidR="00197675" w:rsidRPr="00197675" w:rsidRDefault="00197675" w:rsidP="00197675">
                  <w:pPr>
                    <w:spacing w:after="0" w:line="240" w:lineRule="auto"/>
                    <w:jc w:val="center"/>
                    <w:rPr>
                      <w:rFonts w:ascii="Aptos Narrow" w:eastAsia="Times New Roman" w:hAnsi="Aptos Narrow" w:cs="Times New Roman"/>
                      <w:b/>
                      <w:bCs/>
                      <w:color w:val="000000"/>
                      <w:kern w:val="0"/>
                      <w:sz w:val="14"/>
                      <w:szCs w:val="14"/>
                      <w:lang w:eastAsia="fr-FR"/>
                      <w14:ligatures w14:val="none"/>
                    </w:rPr>
                  </w:pPr>
                  <w:r w:rsidRPr="00197675">
                    <w:rPr>
                      <w:rFonts w:ascii="Aptos Narrow" w:eastAsia="Times New Roman" w:hAnsi="Aptos Narrow" w:cs="Times New Roman"/>
                      <w:b/>
                      <w:bCs/>
                      <w:color w:val="000000"/>
                      <w:kern w:val="0"/>
                      <w:sz w:val="14"/>
                      <w:szCs w:val="14"/>
                      <w:lang w:eastAsia="fr-FR"/>
                      <w14:ligatures w14:val="none"/>
                    </w:rPr>
                    <w:t>0,25</w:t>
                  </w:r>
                </w:p>
              </w:tc>
            </w:tr>
            <w:tr w:rsidR="0017503B" w:rsidRPr="00197675" w14:paraId="4DA51CB0" w14:textId="77777777" w:rsidTr="0079353D">
              <w:trPr>
                <w:trHeight w:val="233"/>
                <w:jc w:val="center"/>
              </w:trPr>
              <w:tc>
                <w:tcPr>
                  <w:tcW w:w="923" w:type="dxa"/>
                  <w:vMerge/>
                  <w:tcBorders>
                    <w:top w:val="nil"/>
                    <w:left w:val="single" w:sz="4" w:space="0" w:color="auto"/>
                    <w:bottom w:val="single" w:sz="4" w:space="0" w:color="auto"/>
                    <w:right w:val="single" w:sz="4" w:space="0" w:color="auto"/>
                  </w:tcBorders>
                  <w:vAlign w:val="center"/>
                  <w:hideMark/>
                </w:tcPr>
                <w:p w14:paraId="07834E70"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p>
              </w:tc>
              <w:tc>
                <w:tcPr>
                  <w:tcW w:w="1093" w:type="dxa"/>
                  <w:tcBorders>
                    <w:top w:val="nil"/>
                    <w:left w:val="nil"/>
                    <w:bottom w:val="single" w:sz="4" w:space="0" w:color="auto"/>
                    <w:right w:val="single" w:sz="4" w:space="0" w:color="auto"/>
                  </w:tcBorders>
                  <w:shd w:val="clear" w:color="auto" w:fill="auto"/>
                  <w:noWrap/>
                  <w:vAlign w:val="center"/>
                  <w:hideMark/>
                </w:tcPr>
                <w:p w14:paraId="5364CE91"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proofErr w:type="gramStart"/>
                  <w:r w:rsidRPr="00197675">
                    <w:rPr>
                      <w:rFonts w:ascii="Aptos Narrow" w:eastAsia="Times New Roman" w:hAnsi="Aptos Narrow" w:cs="Times New Roman"/>
                      <w:color w:val="000000"/>
                      <w:kern w:val="0"/>
                      <w:sz w:val="14"/>
                      <w:szCs w:val="14"/>
                      <w:lang w:eastAsia="fr-FR"/>
                      <w14:ligatures w14:val="none"/>
                    </w:rPr>
                    <w:t>non</w:t>
                  </w:r>
                  <w:proofErr w:type="gramEnd"/>
                  <w:r w:rsidRPr="00197675">
                    <w:rPr>
                      <w:rFonts w:ascii="Aptos Narrow" w:eastAsia="Times New Roman" w:hAnsi="Aptos Narrow" w:cs="Times New Roman"/>
                      <w:color w:val="000000"/>
                      <w:kern w:val="0"/>
                      <w:sz w:val="14"/>
                      <w:szCs w:val="14"/>
                      <w:lang w:eastAsia="fr-FR"/>
                      <w14:ligatures w14:val="none"/>
                    </w:rPr>
                    <w:t>-STS</w:t>
                  </w:r>
                </w:p>
              </w:tc>
              <w:tc>
                <w:tcPr>
                  <w:tcW w:w="923" w:type="dxa"/>
                  <w:tcBorders>
                    <w:top w:val="nil"/>
                    <w:left w:val="nil"/>
                    <w:bottom w:val="single" w:sz="4" w:space="0" w:color="auto"/>
                    <w:right w:val="single" w:sz="4" w:space="0" w:color="auto"/>
                  </w:tcBorders>
                  <w:shd w:val="clear" w:color="auto" w:fill="auto"/>
                  <w:noWrap/>
                  <w:vAlign w:val="center"/>
                  <w:hideMark/>
                </w:tcPr>
                <w:p w14:paraId="5D556D23"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1</w:t>
                  </w:r>
                </w:p>
              </w:tc>
              <w:tc>
                <w:tcPr>
                  <w:tcW w:w="1016" w:type="dxa"/>
                  <w:tcBorders>
                    <w:top w:val="nil"/>
                    <w:left w:val="nil"/>
                    <w:bottom w:val="single" w:sz="4" w:space="0" w:color="auto"/>
                    <w:right w:val="single" w:sz="4" w:space="0" w:color="auto"/>
                  </w:tcBorders>
                  <w:shd w:val="clear" w:color="auto" w:fill="auto"/>
                  <w:noWrap/>
                  <w:vAlign w:val="center"/>
                  <w:hideMark/>
                </w:tcPr>
                <w:p w14:paraId="3148B71A" w14:textId="77777777" w:rsidR="00197675" w:rsidRPr="00197675" w:rsidRDefault="00197675" w:rsidP="00197675">
                  <w:pPr>
                    <w:spacing w:after="0" w:line="240" w:lineRule="auto"/>
                    <w:jc w:val="center"/>
                    <w:rPr>
                      <w:rFonts w:ascii="Aptos Narrow" w:eastAsia="Times New Roman" w:hAnsi="Aptos Narrow" w:cs="Times New Roman"/>
                      <w:b/>
                      <w:bCs/>
                      <w:color w:val="000000"/>
                      <w:kern w:val="0"/>
                      <w:sz w:val="14"/>
                      <w:szCs w:val="14"/>
                      <w:lang w:eastAsia="fr-FR"/>
                      <w14:ligatures w14:val="none"/>
                    </w:rPr>
                  </w:pPr>
                  <w:r w:rsidRPr="00197675">
                    <w:rPr>
                      <w:rFonts w:ascii="Aptos Narrow" w:eastAsia="Times New Roman" w:hAnsi="Aptos Narrow" w:cs="Times New Roman"/>
                      <w:b/>
                      <w:bCs/>
                      <w:color w:val="000000"/>
                      <w:kern w:val="0"/>
                      <w:sz w:val="14"/>
                      <w:szCs w:val="14"/>
                      <w:lang w:eastAsia="fr-FR"/>
                      <w14:ligatures w14:val="none"/>
                    </w:rPr>
                    <w:t>0,5</w:t>
                  </w:r>
                </w:p>
              </w:tc>
            </w:tr>
            <w:tr w:rsidR="0017503B" w:rsidRPr="00197675" w14:paraId="06F54A8C" w14:textId="77777777" w:rsidTr="0079353D">
              <w:trPr>
                <w:trHeight w:val="233"/>
                <w:jc w:val="center"/>
              </w:trPr>
              <w:tc>
                <w:tcPr>
                  <w:tcW w:w="9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4A6746"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SEC-IRBA</w:t>
                  </w:r>
                </w:p>
              </w:tc>
              <w:tc>
                <w:tcPr>
                  <w:tcW w:w="1093" w:type="dxa"/>
                  <w:tcBorders>
                    <w:top w:val="nil"/>
                    <w:left w:val="nil"/>
                    <w:bottom w:val="single" w:sz="4" w:space="0" w:color="auto"/>
                    <w:right w:val="single" w:sz="4" w:space="0" w:color="auto"/>
                  </w:tcBorders>
                  <w:shd w:val="clear" w:color="auto" w:fill="auto"/>
                  <w:noWrap/>
                  <w:vAlign w:val="center"/>
                  <w:hideMark/>
                </w:tcPr>
                <w:p w14:paraId="0B68D262"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STS</w:t>
                  </w:r>
                </w:p>
              </w:tc>
              <w:tc>
                <w:tcPr>
                  <w:tcW w:w="923" w:type="dxa"/>
                  <w:tcBorders>
                    <w:top w:val="nil"/>
                    <w:left w:val="nil"/>
                    <w:bottom w:val="single" w:sz="4" w:space="0" w:color="auto"/>
                    <w:right w:val="single" w:sz="4" w:space="0" w:color="auto"/>
                  </w:tcBorders>
                  <w:shd w:val="clear" w:color="auto" w:fill="auto"/>
                  <w:noWrap/>
                  <w:vAlign w:val="center"/>
                  <w:hideMark/>
                </w:tcPr>
                <w:p w14:paraId="4F5BA6EF"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[0,3 ; 0,75]</w:t>
                  </w:r>
                </w:p>
              </w:tc>
              <w:tc>
                <w:tcPr>
                  <w:tcW w:w="1016" w:type="dxa"/>
                  <w:tcBorders>
                    <w:top w:val="nil"/>
                    <w:left w:val="nil"/>
                    <w:bottom w:val="single" w:sz="4" w:space="0" w:color="auto"/>
                    <w:right w:val="single" w:sz="4" w:space="0" w:color="auto"/>
                  </w:tcBorders>
                  <w:shd w:val="clear" w:color="auto" w:fill="auto"/>
                  <w:noWrap/>
                  <w:vAlign w:val="center"/>
                  <w:hideMark/>
                </w:tcPr>
                <w:p w14:paraId="0A1FF48C" w14:textId="0E164339"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w:t>
                  </w:r>
                  <w:r w:rsidRPr="00197675">
                    <w:rPr>
                      <w:rFonts w:ascii="Aptos Narrow" w:eastAsia="Times New Roman" w:hAnsi="Aptos Narrow" w:cs="Times New Roman"/>
                      <w:b/>
                      <w:bCs/>
                      <w:color w:val="000000"/>
                      <w:kern w:val="0"/>
                      <w:sz w:val="14"/>
                      <w:szCs w:val="14"/>
                      <w:lang w:eastAsia="fr-FR"/>
                      <w14:ligatures w14:val="none"/>
                    </w:rPr>
                    <w:t>0,2</w:t>
                  </w:r>
                  <w:r w:rsidR="004113A0" w:rsidRPr="004113A0">
                    <w:rPr>
                      <w:rFonts w:ascii="Aptos Narrow" w:eastAsia="Times New Roman" w:hAnsi="Aptos Narrow" w:cs="Times New Roman"/>
                      <w:b/>
                      <w:bCs/>
                      <w:color w:val="000000"/>
                      <w:kern w:val="0"/>
                      <w:sz w:val="14"/>
                      <w:szCs w:val="14"/>
                      <w:lang w:eastAsia="fr-FR"/>
                      <w14:ligatures w14:val="none"/>
                    </w:rPr>
                    <w:t xml:space="preserve"> </w:t>
                  </w:r>
                  <w:r w:rsidRPr="00197675">
                    <w:rPr>
                      <w:rFonts w:ascii="Aptos Narrow" w:eastAsia="Times New Roman" w:hAnsi="Aptos Narrow" w:cs="Times New Roman"/>
                      <w:color w:val="000000"/>
                      <w:kern w:val="0"/>
                      <w:sz w:val="14"/>
                      <w:szCs w:val="14"/>
                      <w:lang w:eastAsia="fr-FR"/>
                      <w14:ligatures w14:val="none"/>
                    </w:rPr>
                    <w:t>;</w:t>
                  </w:r>
                  <w:r w:rsidRPr="00197675">
                    <w:rPr>
                      <w:rFonts w:ascii="Aptos Narrow" w:eastAsia="Times New Roman" w:hAnsi="Aptos Narrow" w:cs="Times New Roman"/>
                      <w:b/>
                      <w:bCs/>
                      <w:color w:val="000000"/>
                      <w:kern w:val="0"/>
                      <w:sz w:val="14"/>
                      <w:szCs w:val="14"/>
                      <w:lang w:eastAsia="fr-FR"/>
                      <w14:ligatures w14:val="none"/>
                    </w:rPr>
                    <w:t>0,5</w:t>
                  </w:r>
                  <w:r w:rsidRPr="00197675">
                    <w:rPr>
                      <w:rFonts w:ascii="Aptos Narrow" w:eastAsia="Times New Roman" w:hAnsi="Aptos Narrow" w:cs="Times New Roman"/>
                      <w:color w:val="000000"/>
                      <w:kern w:val="0"/>
                      <w:sz w:val="14"/>
                      <w:szCs w:val="14"/>
                      <w:lang w:eastAsia="fr-FR"/>
                      <w14:ligatures w14:val="none"/>
                    </w:rPr>
                    <w:t>]</w:t>
                  </w:r>
                </w:p>
              </w:tc>
            </w:tr>
            <w:tr w:rsidR="0017503B" w:rsidRPr="00197675" w14:paraId="59D9285A" w14:textId="77777777" w:rsidTr="0079353D">
              <w:trPr>
                <w:trHeight w:val="233"/>
                <w:jc w:val="center"/>
              </w:trPr>
              <w:tc>
                <w:tcPr>
                  <w:tcW w:w="923" w:type="dxa"/>
                  <w:vMerge/>
                  <w:tcBorders>
                    <w:top w:val="nil"/>
                    <w:left w:val="single" w:sz="4" w:space="0" w:color="auto"/>
                    <w:bottom w:val="single" w:sz="4" w:space="0" w:color="auto"/>
                    <w:right w:val="single" w:sz="4" w:space="0" w:color="auto"/>
                  </w:tcBorders>
                  <w:vAlign w:val="center"/>
                  <w:hideMark/>
                </w:tcPr>
                <w:p w14:paraId="0B398C5E"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p>
              </w:tc>
              <w:tc>
                <w:tcPr>
                  <w:tcW w:w="1093" w:type="dxa"/>
                  <w:tcBorders>
                    <w:top w:val="nil"/>
                    <w:left w:val="nil"/>
                    <w:bottom w:val="single" w:sz="4" w:space="0" w:color="auto"/>
                    <w:right w:val="single" w:sz="4" w:space="0" w:color="auto"/>
                  </w:tcBorders>
                  <w:shd w:val="clear" w:color="auto" w:fill="auto"/>
                  <w:noWrap/>
                  <w:vAlign w:val="center"/>
                  <w:hideMark/>
                </w:tcPr>
                <w:p w14:paraId="39CAABC5" w14:textId="77777777" w:rsidR="00197675" w:rsidRPr="00197675" w:rsidRDefault="00197675" w:rsidP="00197675">
                  <w:pPr>
                    <w:spacing w:after="0" w:line="240" w:lineRule="auto"/>
                    <w:rPr>
                      <w:rFonts w:ascii="Aptos Narrow" w:eastAsia="Times New Roman" w:hAnsi="Aptos Narrow" w:cs="Times New Roman"/>
                      <w:color w:val="000000"/>
                      <w:kern w:val="0"/>
                      <w:sz w:val="14"/>
                      <w:szCs w:val="14"/>
                      <w:lang w:eastAsia="fr-FR"/>
                      <w14:ligatures w14:val="none"/>
                    </w:rPr>
                  </w:pPr>
                  <w:proofErr w:type="gramStart"/>
                  <w:r w:rsidRPr="00197675">
                    <w:rPr>
                      <w:rFonts w:ascii="Aptos Narrow" w:eastAsia="Times New Roman" w:hAnsi="Aptos Narrow" w:cs="Times New Roman"/>
                      <w:color w:val="000000"/>
                      <w:kern w:val="0"/>
                      <w:sz w:val="14"/>
                      <w:szCs w:val="14"/>
                      <w:lang w:eastAsia="fr-FR"/>
                      <w14:ligatures w14:val="none"/>
                    </w:rPr>
                    <w:t>non</w:t>
                  </w:r>
                  <w:proofErr w:type="gramEnd"/>
                  <w:r w:rsidRPr="00197675">
                    <w:rPr>
                      <w:rFonts w:ascii="Aptos Narrow" w:eastAsia="Times New Roman" w:hAnsi="Aptos Narrow" w:cs="Times New Roman"/>
                      <w:color w:val="000000"/>
                      <w:kern w:val="0"/>
                      <w:sz w:val="14"/>
                      <w:szCs w:val="14"/>
                      <w:lang w:eastAsia="fr-FR"/>
                      <w14:ligatures w14:val="none"/>
                    </w:rPr>
                    <w:t>-STS</w:t>
                  </w:r>
                </w:p>
              </w:tc>
              <w:tc>
                <w:tcPr>
                  <w:tcW w:w="923" w:type="dxa"/>
                  <w:tcBorders>
                    <w:top w:val="nil"/>
                    <w:left w:val="nil"/>
                    <w:bottom w:val="single" w:sz="4" w:space="0" w:color="auto"/>
                    <w:right w:val="single" w:sz="4" w:space="0" w:color="auto"/>
                  </w:tcBorders>
                  <w:shd w:val="clear" w:color="auto" w:fill="auto"/>
                  <w:noWrap/>
                  <w:vAlign w:val="center"/>
                  <w:hideMark/>
                </w:tcPr>
                <w:p w14:paraId="2F2C7232" w14:textId="77777777"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[0,3 ; 1,5]</w:t>
                  </w:r>
                </w:p>
              </w:tc>
              <w:tc>
                <w:tcPr>
                  <w:tcW w:w="1016" w:type="dxa"/>
                  <w:tcBorders>
                    <w:top w:val="nil"/>
                    <w:left w:val="nil"/>
                    <w:bottom w:val="single" w:sz="4" w:space="0" w:color="auto"/>
                    <w:right w:val="single" w:sz="4" w:space="0" w:color="auto"/>
                  </w:tcBorders>
                  <w:shd w:val="clear" w:color="auto" w:fill="auto"/>
                  <w:noWrap/>
                  <w:vAlign w:val="center"/>
                  <w:hideMark/>
                </w:tcPr>
                <w:p w14:paraId="5725A288" w14:textId="5FF19D9F" w:rsidR="00197675" w:rsidRPr="00197675" w:rsidRDefault="00197675" w:rsidP="00197675">
                  <w:pPr>
                    <w:spacing w:after="0" w:line="240" w:lineRule="auto"/>
                    <w:jc w:val="center"/>
                    <w:rPr>
                      <w:rFonts w:ascii="Aptos Narrow" w:eastAsia="Times New Roman" w:hAnsi="Aptos Narrow" w:cs="Times New Roman"/>
                      <w:color w:val="000000"/>
                      <w:kern w:val="0"/>
                      <w:sz w:val="14"/>
                      <w:szCs w:val="14"/>
                      <w:lang w:eastAsia="fr-FR"/>
                      <w14:ligatures w14:val="none"/>
                    </w:rPr>
                  </w:pPr>
                  <w:r w:rsidRPr="00197675">
                    <w:rPr>
                      <w:rFonts w:ascii="Aptos Narrow" w:eastAsia="Times New Roman" w:hAnsi="Aptos Narrow" w:cs="Times New Roman"/>
                      <w:color w:val="000000"/>
                      <w:kern w:val="0"/>
                      <w:sz w:val="14"/>
                      <w:szCs w:val="14"/>
                      <w:lang w:eastAsia="fr-FR"/>
                      <w14:ligatures w14:val="none"/>
                    </w:rPr>
                    <w:t>[0,3</w:t>
                  </w:r>
                  <w:r w:rsidR="004113A0" w:rsidRPr="004113A0">
                    <w:rPr>
                      <w:rFonts w:ascii="Aptos Narrow" w:eastAsia="Times New Roman" w:hAnsi="Aptos Narrow" w:cs="Times New Roman"/>
                      <w:color w:val="000000"/>
                      <w:kern w:val="0"/>
                      <w:sz w:val="14"/>
                      <w:szCs w:val="14"/>
                      <w:lang w:eastAsia="fr-FR"/>
                      <w14:ligatures w14:val="none"/>
                    </w:rPr>
                    <w:t xml:space="preserve"> </w:t>
                  </w:r>
                  <w:r w:rsidRPr="00197675">
                    <w:rPr>
                      <w:rFonts w:ascii="Aptos Narrow" w:eastAsia="Times New Roman" w:hAnsi="Aptos Narrow" w:cs="Times New Roman"/>
                      <w:color w:val="000000"/>
                      <w:kern w:val="0"/>
                      <w:sz w:val="14"/>
                      <w:szCs w:val="14"/>
                      <w:lang w:eastAsia="fr-FR"/>
                      <w14:ligatures w14:val="none"/>
                    </w:rPr>
                    <w:t>;</w:t>
                  </w:r>
                  <w:r w:rsidRPr="00197675">
                    <w:rPr>
                      <w:rFonts w:ascii="Aptos Narrow" w:eastAsia="Times New Roman" w:hAnsi="Aptos Narrow" w:cs="Times New Roman"/>
                      <w:b/>
                      <w:bCs/>
                      <w:color w:val="000000"/>
                      <w:kern w:val="0"/>
                      <w:sz w:val="14"/>
                      <w:szCs w:val="14"/>
                      <w:lang w:eastAsia="fr-FR"/>
                      <w14:ligatures w14:val="none"/>
                    </w:rPr>
                    <w:t>0,75</w:t>
                  </w:r>
                  <w:r w:rsidRPr="00197675">
                    <w:rPr>
                      <w:rFonts w:ascii="Aptos Narrow" w:eastAsia="Times New Roman" w:hAnsi="Aptos Narrow" w:cs="Times New Roman"/>
                      <w:color w:val="000000"/>
                      <w:kern w:val="0"/>
                      <w:sz w:val="14"/>
                      <w:szCs w:val="14"/>
                      <w:lang w:eastAsia="fr-FR"/>
                      <w14:ligatures w14:val="none"/>
                    </w:rPr>
                    <w:t>]</w:t>
                  </w:r>
                </w:p>
              </w:tc>
            </w:tr>
          </w:tbl>
          <w:p w14:paraId="6643F2C2" w14:textId="1C7E259F" w:rsidR="00C21071" w:rsidRPr="00CA5B4F" w:rsidRDefault="00CA5B4F" w:rsidP="00C21071">
            <w:pPr>
              <w:pStyle w:val="Default"/>
              <w:spacing w:after="18"/>
              <w:jc w:val="center"/>
              <w:rPr>
                <w:rFonts w:asciiTheme="minorHAnsi" w:hAnsiTheme="minorHAnsi"/>
                <w:sz w:val="18"/>
                <w:szCs w:val="18"/>
              </w:rPr>
            </w:pPr>
            <w:r w:rsidRPr="00CA5B4F">
              <w:rPr>
                <w:rFonts w:asciiTheme="minorHAnsi" w:hAnsiTheme="minorHAnsi"/>
                <w:sz w:val="18"/>
                <w:szCs w:val="18"/>
              </w:rPr>
              <w:t xml:space="preserve"> </w:t>
            </w:r>
            <w:r>
              <w:rPr>
                <w:rFonts w:asciiTheme="minorHAnsi" w:hAnsiTheme="minorHAnsi"/>
                <w:sz w:val="18"/>
                <w:szCs w:val="18"/>
              </w:rPr>
              <w:t>(</w:t>
            </w:r>
            <w:proofErr w:type="gramStart"/>
            <w:r w:rsidRPr="000E0A64">
              <w:rPr>
                <w:rFonts w:asciiTheme="minorHAnsi" w:hAnsiTheme="minorHAnsi"/>
                <w:sz w:val="18"/>
                <w:szCs w:val="18"/>
                <w:highlight w:val="lightGray"/>
              </w:rPr>
              <w:t>le</w:t>
            </w:r>
            <w:proofErr w:type="gramEnd"/>
            <w:r w:rsidRPr="000E0A64">
              <w:rPr>
                <w:rFonts w:asciiTheme="minorHAnsi" w:hAnsiTheme="minorHAnsi"/>
                <w:sz w:val="18"/>
                <w:szCs w:val="18"/>
                <w:highlight w:val="lightGray"/>
              </w:rPr>
              <w:t xml:space="preserve"> tableau sera retiré de la réponse en ligne)</w:t>
            </w:r>
          </w:p>
          <w:p w14:paraId="1EE5ACAB" w14:textId="739849B4" w:rsidR="00C21071" w:rsidRPr="00973525" w:rsidRDefault="00C21071" w:rsidP="00C21071">
            <w:pPr>
              <w:pStyle w:val="Default"/>
              <w:spacing w:after="18"/>
              <w:rPr>
                <w:rFonts w:asciiTheme="minorHAnsi" w:hAnsiTheme="minorHAnsi"/>
                <w:sz w:val="18"/>
                <w:szCs w:val="18"/>
                <w:lang w:val="en-US"/>
              </w:rPr>
            </w:pPr>
            <w:r w:rsidRPr="00CA5B4F">
              <w:rPr>
                <w:rFonts w:asciiTheme="minorHAnsi" w:hAnsiTheme="minorHAnsi"/>
                <w:sz w:val="18"/>
                <w:szCs w:val="18"/>
              </w:rPr>
              <w:t xml:space="preserve">  </w:t>
            </w:r>
            <w:r w:rsidRPr="00973525">
              <w:rPr>
                <w:rFonts w:asciiTheme="minorHAnsi" w:hAnsiTheme="minorHAnsi"/>
                <w:sz w:val="18"/>
                <w:szCs w:val="18"/>
                <w:lang w:val="en-US"/>
              </w:rPr>
              <w:t xml:space="preserve">In addition, it should also be made clear that the p-factor reductions apply to banks in all </w:t>
            </w:r>
            <w:proofErr w:type="gramStart"/>
            <w:r w:rsidRPr="00973525">
              <w:rPr>
                <w:rFonts w:asciiTheme="minorHAnsi" w:hAnsiTheme="minorHAnsi"/>
                <w:sz w:val="18"/>
                <w:szCs w:val="18"/>
                <w:lang w:val="en-US"/>
              </w:rPr>
              <w:t>roles</w:t>
            </w:r>
            <w:proofErr w:type="gramEnd"/>
            <w:r w:rsidRPr="00973525">
              <w:rPr>
                <w:rFonts w:asciiTheme="minorHAnsi" w:hAnsiTheme="minorHAnsi"/>
                <w:sz w:val="18"/>
                <w:szCs w:val="18"/>
                <w:lang w:val="en-US"/>
              </w:rPr>
              <w:t xml:space="preserve"> (originators, sponsors, and investors), and </w:t>
            </w:r>
            <w:r w:rsidR="006D2AAA">
              <w:rPr>
                <w:rFonts w:asciiTheme="minorHAnsi" w:hAnsiTheme="minorHAnsi"/>
                <w:sz w:val="18"/>
                <w:szCs w:val="18"/>
                <w:lang w:val="en-US"/>
              </w:rPr>
              <w:t xml:space="preserve">that </w:t>
            </w:r>
            <w:r w:rsidRPr="00973525">
              <w:rPr>
                <w:rFonts w:asciiTheme="minorHAnsi" w:hAnsiTheme="minorHAnsi"/>
                <w:sz w:val="18"/>
                <w:szCs w:val="18"/>
                <w:lang w:val="en-US"/>
              </w:rPr>
              <w:t xml:space="preserve">a similar adjustment should be made </w:t>
            </w:r>
            <w:r w:rsidRPr="006D2AAA">
              <w:rPr>
                <w:rFonts w:asciiTheme="minorHAnsi" w:hAnsiTheme="minorHAnsi"/>
                <w:b/>
                <w:bCs/>
                <w:sz w:val="18"/>
                <w:szCs w:val="18"/>
                <w:lang w:val="en-US"/>
              </w:rPr>
              <w:t>for the SEC-ERBA and the IAA</w:t>
            </w:r>
            <w:r w:rsidRPr="00973525">
              <w:rPr>
                <w:rFonts w:asciiTheme="minorHAnsi" w:hAnsiTheme="minorHAnsi"/>
                <w:sz w:val="18"/>
                <w:szCs w:val="18"/>
                <w:lang w:val="en-US"/>
              </w:rPr>
              <w:t xml:space="preserve"> by adjusting</w:t>
            </w:r>
            <w:r w:rsidRPr="00973525">
              <w:rPr>
                <w:rFonts w:asciiTheme="minorHAnsi" w:hAnsiTheme="minorHAnsi"/>
                <w:color w:val="auto"/>
                <w:sz w:val="18"/>
                <w:szCs w:val="18"/>
                <w:lang w:val="en-US"/>
              </w:rPr>
              <w:t xml:space="preserve"> risk weight</w:t>
            </w:r>
          </w:p>
          <w:p w14:paraId="6C1DE9D2" w14:textId="77777777" w:rsidR="00C21071" w:rsidRPr="00973525" w:rsidRDefault="00C21071" w:rsidP="00C21071">
            <w:pPr>
              <w:pStyle w:val="Default"/>
              <w:spacing w:after="18"/>
              <w:rPr>
                <w:rFonts w:asciiTheme="minorHAnsi" w:hAnsiTheme="minorHAnsi"/>
                <w:sz w:val="18"/>
                <w:szCs w:val="18"/>
                <w:lang w:val="en-US"/>
              </w:rPr>
            </w:pPr>
          </w:p>
          <w:p w14:paraId="34E82A4E" w14:textId="77777777" w:rsidR="00C21071" w:rsidRPr="00973525" w:rsidRDefault="00C21071" w:rsidP="00C21071">
            <w:pPr>
              <w:pStyle w:val="Default"/>
              <w:spacing w:after="18"/>
              <w:rPr>
                <w:sz w:val="18"/>
                <w:szCs w:val="18"/>
                <w:lang w:val="en-GB"/>
              </w:rPr>
            </w:pPr>
          </w:p>
        </w:tc>
        <w:tc>
          <w:tcPr>
            <w:tcW w:w="236" w:type="dxa"/>
          </w:tcPr>
          <w:p w14:paraId="49ABB40C" w14:textId="2093A6E6" w:rsidR="00C21071" w:rsidRPr="00973525" w:rsidRDefault="00C21071" w:rsidP="0079353D">
            <w:pPr>
              <w:pStyle w:val="Default"/>
              <w:ind w:firstLine="1917"/>
              <w:rPr>
                <w:sz w:val="18"/>
                <w:szCs w:val="18"/>
                <w:lang w:val="en-GB"/>
              </w:rPr>
            </w:pPr>
          </w:p>
        </w:tc>
      </w:tr>
      <w:tr w:rsidR="00C21071" w:rsidRPr="0000602A" w14:paraId="26779D27" w14:textId="77777777" w:rsidTr="30964D0C">
        <w:trPr>
          <w:gridAfter w:val="1"/>
          <w:wAfter w:w="16" w:type="dxa"/>
        </w:trPr>
        <w:tc>
          <w:tcPr>
            <w:tcW w:w="2893" w:type="dxa"/>
          </w:tcPr>
          <w:p w14:paraId="7F06C5F1" w14:textId="77777777" w:rsidR="00C21071" w:rsidRPr="00973525" w:rsidRDefault="00C21071" w:rsidP="00C21071">
            <w:pPr>
              <w:rPr>
                <w:b/>
                <w:bCs/>
                <w:sz w:val="18"/>
                <w:szCs w:val="18"/>
                <w:lang w:val="en-GB"/>
              </w:rPr>
            </w:pPr>
            <w:r w:rsidRPr="00973525">
              <w:rPr>
                <w:sz w:val="18"/>
                <w:szCs w:val="18"/>
                <w:lang w:val="en-GB"/>
              </w:rPr>
              <w:t xml:space="preserve">Question 9.24. As regards your answer to 9.22., please provide </w:t>
            </w:r>
            <w:r w:rsidRPr="00973525">
              <w:rPr>
                <w:b/>
                <w:bCs/>
                <w:sz w:val="18"/>
                <w:szCs w:val="18"/>
                <w:lang w:val="en-GB"/>
              </w:rPr>
              <w:t>quantitative and qualitative data</w:t>
            </w:r>
            <w:r w:rsidRPr="00973525">
              <w:rPr>
                <w:sz w:val="18"/>
                <w:szCs w:val="18"/>
                <w:lang w:val="en-GB"/>
              </w:rPr>
              <w:t xml:space="preserve"> on the likely impact of possible targeted and limited r</w:t>
            </w:r>
            <w:r w:rsidRPr="00973525">
              <w:rPr>
                <w:b/>
                <w:bCs/>
                <w:sz w:val="18"/>
                <w:szCs w:val="18"/>
                <w:lang w:val="en-GB"/>
              </w:rPr>
              <w:t>eductions to the (p) factor</w:t>
            </w:r>
            <w:r w:rsidRPr="00973525">
              <w:rPr>
                <w:sz w:val="18"/>
                <w:szCs w:val="18"/>
                <w:lang w:val="en-GB"/>
              </w:rPr>
              <w:t xml:space="preserve"> as investigated above, </w:t>
            </w:r>
            <w:proofErr w:type="gramStart"/>
            <w:r w:rsidRPr="00973525">
              <w:rPr>
                <w:sz w:val="18"/>
                <w:szCs w:val="18"/>
                <w:lang w:val="en-GB"/>
              </w:rPr>
              <w:t>in particular how</w:t>
            </w:r>
            <w:proofErr w:type="gramEnd"/>
            <w:r w:rsidRPr="00973525">
              <w:rPr>
                <w:sz w:val="18"/>
                <w:szCs w:val="18"/>
                <w:lang w:val="en-GB"/>
              </w:rPr>
              <w:t xml:space="preserve"> such targeted reductions </w:t>
            </w:r>
            <w:r w:rsidRPr="00973525">
              <w:rPr>
                <w:b/>
                <w:bCs/>
                <w:sz w:val="18"/>
                <w:szCs w:val="18"/>
                <w:lang w:val="en-GB"/>
              </w:rPr>
              <w:t xml:space="preserve">would avoid </w:t>
            </w:r>
            <w:r w:rsidRPr="00973525">
              <w:rPr>
                <w:b/>
                <w:bCs/>
                <w:sz w:val="18"/>
                <w:szCs w:val="18"/>
                <w:lang w:val="en-GB"/>
              </w:rPr>
              <w:lastRenderedPageBreak/>
              <w:t>cliff effects</w:t>
            </w:r>
            <w:r w:rsidRPr="00973525">
              <w:rPr>
                <w:sz w:val="18"/>
                <w:szCs w:val="18"/>
                <w:lang w:val="en-GB"/>
              </w:rPr>
              <w:t xml:space="preserve"> and </w:t>
            </w:r>
            <w:r w:rsidRPr="00973525">
              <w:rPr>
                <w:b/>
                <w:bCs/>
                <w:sz w:val="18"/>
                <w:szCs w:val="18"/>
                <w:lang w:val="en-GB"/>
              </w:rPr>
              <w:t>undercapitalisation of mezzanine</w:t>
            </w:r>
            <w:r w:rsidRPr="00973525">
              <w:rPr>
                <w:sz w:val="18"/>
                <w:szCs w:val="18"/>
                <w:lang w:val="en-GB"/>
              </w:rPr>
              <w:t xml:space="preserve"> tranches and, how they would not create </w:t>
            </w:r>
            <w:r w:rsidRPr="00973525">
              <w:rPr>
                <w:b/>
                <w:bCs/>
                <w:sz w:val="18"/>
                <w:szCs w:val="18"/>
                <w:lang w:val="en-GB"/>
              </w:rPr>
              <w:t>incentives for banks to invest in mezzanine tranches.</w:t>
            </w:r>
          </w:p>
          <w:p w14:paraId="6F0DAC25" w14:textId="77777777" w:rsidR="00C21071" w:rsidRPr="00973525" w:rsidRDefault="00C21071" w:rsidP="00C21071">
            <w:pPr>
              <w:rPr>
                <w:sz w:val="18"/>
                <w:szCs w:val="18"/>
                <w:lang w:val="en-GB"/>
              </w:rPr>
            </w:pPr>
          </w:p>
        </w:tc>
        <w:tc>
          <w:tcPr>
            <w:tcW w:w="7740" w:type="dxa"/>
          </w:tcPr>
          <w:p w14:paraId="3060EED4" w14:textId="77777777" w:rsidR="00C21071" w:rsidRPr="00973525" w:rsidRDefault="00C21071" w:rsidP="00C21071">
            <w:pPr>
              <w:rPr>
                <w:sz w:val="18"/>
                <w:szCs w:val="18"/>
                <w:lang w:val="en-US"/>
              </w:rPr>
            </w:pPr>
            <w:r w:rsidRPr="00973525">
              <w:rPr>
                <w:sz w:val="18"/>
                <w:szCs w:val="18"/>
                <w:lang w:val="en-US"/>
              </w:rPr>
              <w:lastRenderedPageBreak/>
              <w:t>Considering the progress made in the last decade regarding the EU Securitisation Framework, which has significantly reduced agency and model risks for securitisations, an efficient allocation of risk would be capital-neutral, with a moderate increase concentrated on the floor on senior tranches.</w:t>
            </w:r>
          </w:p>
          <w:p w14:paraId="11B71349" w14:textId="77777777" w:rsidR="00C21071" w:rsidRPr="00973525" w:rsidRDefault="00C21071" w:rsidP="00C21071">
            <w:pPr>
              <w:rPr>
                <w:sz w:val="18"/>
                <w:szCs w:val="18"/>
                <w:lang w:val="en-US"/>
              </w:rPr>
            </w:pPr>
          </w:p>
          <w:p w14:paraId="376B89F2" w14:textId="2CF08D29" w:rsidR="00C21071" w:rsidRPr="00973525" w:rsidRDefault="00C21071" w:rsidP="00C21071">
            <w:pPr>
              <w:rPr>
                <w:sz w:val="18"/>
                <w:szCs w:val="18"/>
                <w:lang w:val="en-US"/>
              </w:rPr>
            </w:pPr>
            <w:r w:rsidRPr="00973525">
              <w:rPr>
                <w:sz w:val="18"/>
                <w:szCs w:val="18"/>
                <w:lang w:val="en-US"/>
              </w:rPr>
              <w:t xml:space="preserve">In addition, a reduction of the p-factor is only a </w:t>
            </w:r>
            <w:r w:rsidR="001C6160" w:rsidRPr="00973525">
              <w:rPr>
                <w:sz w:val="18"/>
                <w:szCs w:val="18"/>
                <w:lang w:val="en-US"/>
              </w:rPr>
              <w:t>means</w:t>
            </w:r>
            <w:r w:rsidRPr="00973525">
              <w:rPr>
                <w:sz w:val="18"/>
                <w:szCs w:val="18"/>
                <w:lang w:val="en-US"/>
              </w:rPr>
              <w:t xml:space="preserve"> to get closer to a capital-neutral allocation. The cliff effect resulting from the current framework is linked to the overstatement of this risk weight (and not an undercapitalization).</w:t>
            </w:r>
          </w:p>
          <w:p w14:paraId="3397EC1F" w14:textId="77777777" w:rsidR="00C21071" w:rsidRPr="00973525" w:rsidRDefault="00C21071" w:rsidP="00C21071">
            <w:pPr>
              <w:rPr>
                <w:sz w:val="18"/>
                <w:szCs w:val="18"/>
                <w:lang w:val="en-US"/>
              </w:rPr>
            </w:pPr>
            <w:r w:rsidRPr="00973525">
              <w:rPr>
                <w:sz w:val="18"/>
                <w:szCs w:val="18"/>
                <w:lang w:val="en-US"/>
              </w:rPr>
              <w:lastRenderedPageBreak/>
              <w:t xml:space="preserve"> </w:t>
            </w:r>
          </w:p>
          <w:p w14:paraId="7A91F116" w14:textId="1BBCE6FC" w:rsidR="00C21071" w:rsidRPr="00973525" w:rsidRDefault="00C21071" w:rsidP="00C21071">
            <w:pPr>
              <w:rPr>
                <w:sz w:val="18"/>
                <w:szCs w:val="18"/>
                <w:lang w:val="en-US"/>
              </w:rPr>
            </w:pPr>
          </w:p>
        </w:tc>
        <w:tc>
          <w:tcPr>
            <w:tcW w:w="236" w:type="dxa"/>
          </w:tcPr>
          <w:p w14:paraId="4BDADDB1" w14:textId="2F9877A8" w:rsidR="00C21071" w:rsidRPr="007C79DF" w:rsidRDefault="00C21071" w:rsidP="0079353D">
            <w:pPr>
              <w:ind w:firstLine="1917"/>
              <w:rPr>
                <w:sz w:val="18"/>
                <w:szCs w:val="18"/>
                <w:lang w:val="en-GB"/>
              </w:rPr>
            </w:pPr>
          </w:p>
        </w:tc>
      </w:tr>
      <w:tr w:rsidR="00C21071" w:rsidRPr="0000602A" w14:paraId="7A2452E9" w14:textId="77777777" w:rsidTr="30964D0C">
        <w:trPr>
          <w:gridAfter w:val="1"/>
          <w:wAfter w:w="16" w:type="dxa"/>
        </w:trPr>
        <w:tc>
          <w:tcPr>
            <w:tcW w:w="2893" w:type="dxa"/>
          </w:tcPr>
          <w:p w14:paraId="4CCE67EA" w14:textId="77777777" w:rsidR="00C21071" w:rsidRPr="00973525" w:rsidRDefault="00C21071" w:rsidP="00C21071">
            <w:pPr>
              <w:rPr>
                <w:sz w:val="18"/>
                <w:szCs w:val="18"/>
                <w:lang w:val="en-GB"/>
              </w:rPr>
            </w:pPr>
            <w:r w:rsidRPr="00973525">
              <w:rPr>
                <w:sz w:val="18"/>
                <w:szCs w:val="18"/>
                <w:lang w:val="en-GB"/>
              </w:rPr>
              <w:t xml:space="preserve">Question 9.25. As regards your answer to 9.22, please provide the </w:t>
            </w:r>
            <w:r w:rsidRPr="00973525">
              <w:rPr>
                <w:b/>
                <w:bCs/>
                <w:sz w:val="18"/>
                <w:szCs w:val="18"/>
                <w:lang w:val="en-GB"/>
              </w:rPr>
              <w:t>data</w:t>
            </w:r>
            <w:r w:rsidRPr="00973525">
              <w:rPr>
                <w:sz w:val="18"/>
                <w:szCs w:val="18"/>
                <w:lang w:val="en-GB"/>
              </w:rPr>
              <w:t xml:space="preserve"> on how they would have a </w:t>
            </w:r>
            <w:r w:rsidRPr="00973525">
              <w:rPr>
                <w:b/>
                <w:bCs/>
                <w:sz w:val="18"/>
                <w:szCs w:val="18"/>
                <w:lang w:val="en-GB"/>
              </w:rPr>
              <w:t>positive impact</w:t>
            </w:r>
            <w:r w:rsidRPr="00973525">
              <w:rPr>
                <w:sz w:val="18"/>
                <w:szCs w:val="18"/>
                <w:lang w:val="en-GB"/>
              </w:rPr>
              <w:t xml:space="preserve"> on the </w:t>
            </w:r>
            <w:r w:rsidRPr="00973525">
              <w:rPr>
                <w:b/>
                <w:bCs/>
                <w:sz w:val="18"/>
                <w:szCs w:val="18"/>
                <w:lang w:val="en-GB"/>
              </w:rPr>
              <w:t>issuance</w:t>
            </w:r>
            <w:r w:rsidRPr="00973525">
              <w:rPr>
                <w:sz w:val="18"/>
                <w:szCs w:val="18"/>
                <w:lang w:val="en-GB"/>
              </w:rPr>
              <w:t xml:space="preserve"> of securitisation, the </w:t>
            </w:r>
            <w:r w:rsidRPr="00973525">
              <w:rPr>
                <w:b/>
                <w:bCs/>
                <w:sz w:val="18"/>
                <w:szCs w:val="18"/>
                <w:lang w:val="en-GB"/>
              </w:rPr>
              <w:t>investments</w:t>
            </w:r>
            <w:r w:rsidRPr="00973525">
              <w:rPr>
                <w:sz w:val="18"/>
                <w:szCs w:val="18"/>
                <w:lang w:val="en-GB"/>
              </w:rPr>
              <w:t xml:space="preserve"> in securitisation, and the placement of securitisation issuances with external </w:t>
            </w:r>
            <w:r w:rsidRPr="00973525">
              <w:rPr>
                <w:b/>
                <w:bCs/>
                <w:sz w:val="18"/>
                <w:szCs w:val="18"/>
                <w:lang w:val="en-GB"/>
              </w:rPr>
              <w:t>investors</w:t>
            </w:r>
            <w:r w:rsidRPr="00973525">
              <w:rPr>
                <w:sz w:val="18"/>
                <w:szCs w:val="18"/>
                <w:lang w:val="en-GB"/>
              </w:rPr>
              <w:t>, f</w:t>
            </w:r>
            <w:r w:rsidRPr="00973525">
              <w:rPr>
                <w:b/>
                <w:bCs/>
                <w:sz w:val="18"/>
                <w:szCs w:val="18"/>
                <w:lang w:val="en-GB"/>
              </w:rPr>
              <w:t xml:space="preserve">or different types </w:t>
            </w:r>
            <w:r w:rsidRPr="00973525">
              <w:rPr>
                <w:sz w:val="18"/>
                <w:szCs w:val="18"/>
                <w:lang w:val="en-GB"/>
              </w:rPr>
              <w:t>of securitisations (traditional securitisation, synthetic securitisation).</w:t>
            </w:r>
          </w:p>
          <w:p w14:paraId="0440E6E1" w14:textId="77777777" w:rsidR="00C21071" w:rsidRPr="00973525" w:rsidRDefault="00C21071" w:rsidP="00C21071">
            <w:pPr>
              <w:rPr>
                <w:sz w:val="18"/>
                <w:szCs w:val="18"/>
                <w:lang w:val="en-GB"/>
              </w:rPr>
            </w:pPr>
          </w:p>
        </w:tc>
        <w:tc>
          <w:tcPr>
            <w:tcW w:w="7740" w:type="dxa"/>
          </w:tcPr>
          <w:p w14:paraId="63E2A60E" w14:textId="004E2700" w:rsidR="00B530C8" w:rsidRDefault="00C21071" w:rsidP="00B530C8">
            <w:pPr>
              <w:rPr>
                <w:sz w:val="18"/>
                <w:szCs w:val="18"/>
                <w:lang w:val="en-US"/>
              </w:rPr>
            </w:pPr>
            <w:r w:rsidRPr="00B530C8">
              <w:rPr>
                <w:b/>
                <w:bCs/>
                <w:sz w:val="18"/>
                <w:szCs w:val="18"/>
                <w:u w:val="single"/>
                <w:lang w:val="en-US"/>
              </w:rPr>
              <w:t>Concerning the reduction of the floor</w:t>
            </w:r>
            <w:r w:rsidRPr="00B530C8">
              <w:rPr>
                <w:sz w:val="18"/>
                <w:szCs w:val="18"/>
                <w:lang w:val="en-US"/>
              </w:rPr>
              <w:t xml:space="preserve">, based on a risk sensitive value, it will have an impact on the securitisation of </w:t>
            </w:r>
            <w:r w:rsidR="006D2AAA" w:rsidRPr="00B530C8">
              <w:rPr>
                <w:sz w:val="18"/>
                <w:szCs w:val="18"/>
                <w:lang w:val="en-US"/>
              </w:rPr>
              <w:t>low-risk</w:t>
            </w:r>
            <w:r w:rsidRPr="00B530C8">
              <w:rPr>
                <w:sz w:val="18"/>
                <w:szCs w:val="18"/>
                <w:lang w:val="en-US"/>
              </w:rPr>
              <w:t xml:space="preserve"> portfolio, for example RMBS: </w:t>
            </w:r>
          </w:p>
          <w:p w14:paraId="3A6FF81A" w14:textId="107E65BA" w:rsidR="00C21071" w:rsidRPr="00B530C8" w:rsidRDefault="00C21071" w:rsidP="00B530C8">
            <w:pPr>
              <w:pStyle w:val="Paragraphedeliste"/>
              <w:numPr>
                <w:ilvl w:val="0"/>
                <w:numId w:val="9"/>
              </w:numPr>
              <w:rPr>
                <w:sz w:val="18"/>
                <w:szCs w:val="18"/>
                <w:lang w:val="en-US"/>
              </w:rPr>
            </w:pPr>
            <w:r w:rsidRPr="00B530C8">
              <w:rPr>
                <w:sz w:val="18"/>
                <w:szCs w:val="18"/>
                <w:lang w:val="en-US"/>
              </w:rPr>
              <w:t xml:space="preserve">Currently mortgage pools, that have a very low default rate in Europe, are mainly financed through the balance sheet of banks. </w:t>
            </w:r>
            <w:r w:rsidRPr="00B530C8">
              <w:rPr>
                <w:sz w:val="18"/>
                <w:szCs w:val="18"/>
                <w:lang w:val="en-US"/>
              </w:rPr>
              <w:br/>
              <w:t xml:space="preserve">The mortgage pools are financed through Covered bonds, but for a limited part (in France mortgages represent 1,500billons euros for </w:t>
            </w:r>
            <w:r w:rsidR="00062F3F" w:rsidRPr="00062F3F">
              <w:rPr>
                <w:sz w:val="18"/>
                <w:szCs w:val="18"/>
                <w:lang w:val="en-US"/>
              </w:rPr>
              <w:t xml:space="preserve">less than 400 </w:t>
            </w:r>
            <w:r w:rsidRPr="00B530C8">
              <w:rPr>
                <w:sz w:val="18"/>
                <w:szCs w:val="18"/>
                <w:lang w:val="en-US"/>
              </w:rPr>
              <w:t xml:space="preserve">billion engaged in covered bonds), </w:t>
            </w:r>
          </w:p>
          <w:p w14:paraId="748DC560" w14:textId="77777777" w:rsidR="00C21071" w:rsidRPr="00973525" w:rsidRDefault="00C21071" w:rsidP="00C21071">
            <w:pPr>
              <w:pStyle w:val="Paragraphedeliste"/>
              <w:rPr>
                <w:sz w:val="18"/>
                <w:szCs w:val="18"/>
                <w:lang w:val="en-US"/>
              </w:rPr>
            </w:pPr>
          </w:p>
          <w:p w14:paraId="7DD9DC19" w14:textId="71074CB1" w:rsidR="00C21071" w:rsidRPr="00973525" w:rsidRDefault="00C21071" w:rsidP="00C21071">
            <w:pPr>
              <w:pStyle w:val="Paragraphedeliste"/>
              <w:numPr>
                <w:ilvl w:val="0"/>
                <w:numId w:val="9"/>
              </w:numPr>
              <w:rPr>
                <w:sz w:val="18"/>
                <w:szCs w:val="18"/>
                <w:lang w:val="en-US"/>
              </w:rPr>
            </w:pPr>
            <w:r w:rsidRPr="00973525">
              <w:rPr>
                <w:b/>
                <w:bCs/>
                <w:sz w:val="18"/>
                <w:szCs w:val="18"/>
                <w:u w:val="single"/>
                <w:lang w:val="en-US"/>
              </w:rPr>
              <w:t xml:space="preserve">Considering </w:t>
            </w:r>
            <w:r w:rsidRPr="00973525">
              <w:rPr>
                <w:sz w:val="18"/>
                <w:szCs w:val="18"/>
                <w:lang w:val="en-US"/>
              </w:rPr>
              <w:t xml:space="preserve">that low RW pools are also well considered by investors, and that they would be </w:t>
            </w:r>
            <w:r w:rsidRPr="00973525">
              <w:rPr>
                <w:sz w:val="18"/>
                <w:szCs w:val="18"/>
                <w:u w:val="single"/>
                <w:lang w:val="en-US"/>
              </w:rPr>
              <w:t>eligible to LCR</w:t>
            </w:r>
            <w:r w:rsidRPr="00973525">
              <w:rPr>
                <w:sz w:val="18"/>
                <w:szCs w:val="18"/>
                <w:lang w:val="en-US"/>
              </w:rPr>
              <w:t>, this amendment will thus have the largest potential impact.</w:t>
            </w:r>
          </w:p>
          <w:p w14:paraId="5591A068" w14:textId="77777777" w:rsidR="002505BE" w:rsidRPr="002505BE" w:rsidRDefault="002505BE" w:rsidP="002505BE">
            <w:pPr>
              <w:pStyle w:val="Paragraphedeliste"/>
              <w:rPr>
                <w:sz w:val="18"/>
                <w:szCs w:val="18"/>
                <w:lang w:val="en-GB"/>
              </w:rPr>
            </w:pPr>
          </w:p>
          <w:p w14:paraId="29DA9CF9" w14:textId="5B8D44B4" w:rsidR="00C21071" w:rsidRPr="00932575" w:rsidRDefault="00C21071" w:rsidP="002505BE">
            <w:pPr>
              <w:pStyle w:val="Paragraphedeliste"/>
              <w:numPr>
                <w:ilvl w:val="0"/>
                <w:numId w:val="12"/>
              </w:numPr>
              <w:rPr>
                <w:sz w:val="18"/>
                <w:szCs w:val="18"/>
                <w:u w:val="single"/>
                <w:lang w:val="en-US"/>
              </w:rPr>
            </w:pPr>
            <w:r w:rsidRPr="00932575">
              <w:rPr>
                <w:sz w:val="18"/>
                <w:szCs w:val="18"/>
                <w:lang w:val="en-GB"/>
              </w:rPr>
              <w:t xml:space="preserve">We could </w:t>
            </w:r>
            <w:r w:rsidRPr="00932575">
              <w:rPr>
                <w:sz w:val="18"/>
                <w:szCs w:val="18"/>
                <w:u w:val="single"/>
                <w:lang w:val="en-GB"/>
              </w:rPr>
              <w:t>anticipate more than a threefold increase in securitization positions</w:t>
            </w:r>
            <w:r w:rsidRPr="00932575">
              <w:rPr>
                <w:sz w:val="18"/>
                <w:szCs w:val="18"/>
                <w:lang w:val="en-GB"/>
              </w:rPr>
              <w:t xml:space="preserve"> </w:t>
            </w:r>
            <w:r w:rsidRPr="00932575">
              <w:rPr>
                <w:sz w:val="18"/>
                <w:szCs w:val="18"/>
                <w:u w:val="single"/>
                <w:lang w:val="en-GB"/>
              </w:rPr>
              <w:t>within banks' treasurers' buffers.</w:t>
            </w:r>
          </w:p>
          <w:p w14:paraId="16ECA58D" w14:textId="77777777" w:rsidR="00C21071" w:rsidRPr="00932575" w:rsidRDefault="00C21071" w:rsidP="00B530C8">
            <w:pPr>
              <w:pStyle w:val="Paragraphedeliste"/>
              <w:rPr>
                <w:sz w:val="18"/>
                <w:szCs w:val="18"/>
                <w:lang w:val="en-US"/>
              </w:rPr>
            </w:pPr>
          </w:p>
          <w:p w14:paraId="1D8BCA86" w14:textId="42B3EE16" w:rsidR="00432822" w:rsidRPr="00432822" w:rsidRDefault="00C21071" w:rsidP="00432822">
            <w:pPr>
              <w:pStyle w:val="Paragraphedeliste"/>
              <w:numPr>
                <w:ilvl w:val="0"/>
                <w:numId w:val="9"/>
              </w:numPr>
              <w:rPr>
                <w:sz w:val="18"/>
                <w:szCs w:val="18"/>
                <w:lang w:val="en-US"/>
              </w:rPr>
            </w:pPr>
            <w:r w:rsidRPr="00932575">
              <w:rPr>
                <w:sz w:val="18"/>
                <w:szCs w:val="18"/>
                <w:lang w:val="en-GB"/>
              </w:rPr>
              <w:t xml:space="preserve">Hence, </w:t>
            </w:r>
            <w:r w:rsidRPr="00932575">
              <w:rPr>
                <w:b/>
                <w:bCs/>
                <w:sz w:val="18"/>
                <w:szCs w:val="18"/>
                <w:lang w:val="en-GB"/>
              </w:rPr>
              <w:t>securitisation has demonstrated strong resilience during recent periods of tight liquidity</w:t>
            </w:r>
            <w:r w:rsidRPr="00932575">
              <w:rPr>
                <w:sz w:val="18"/>
                <w:szCs w:val="18"/>
                <w:lang w:val="en-GB"/>
              </w:rPr>
              <w:t xml:space="preserve">, with their resilience attributed </w:t>
            </w:r>
            <w:r w:rsidR="00FC1978" w:rsidRPr="00932575">
              <w:rPr>
                <w:sz w:val="18"/>
                <w:szCs w:val="18"/>
                <w:lang w:val="en-GB"/>
              </w:rPr>
              <w:t>to:</w:t>
            </w:r>
          </w:p>
          <w:p w14:paraId="19E01967" w14:textId="77777777" w:rsidR="00432822" w:rsidRPr="00432822" w:rsidRDefault="00C21071" w:rsidP="00432822">
            <w:pPr>
              <w:pStyle w:val="Paragraphedeliste"/>
              <w:numPr>
                <w:ilvl w:val="1"/>
                <w:numId w:val="9"/>
              </w:numPr>
              <w:rPr>
                <w:sz w:val="18"/>
                <w:szCs w:val="18"/>
                <w:lang w:val="en-US"/>
              </w:rPr>
            </w:pPr>
            <w:r w:rsidRPr="00202093">
              <w:rPr>
                <w:sz w:val="18"/>
                <w:szCs w:val="18"/>
                <w:lang w:val="en-GB"/>
              </w:rPr>
              <w:t xml:space="preserve">their quality (fully secured), </w:t>
            </w:r>
          </w:p>
          <w:p w14:paraId="0B8BA17D" w14:textId="77777777" w:rsidR="00432822" w:rsidRPr="00432822" w:rsidRDefault="00C21071" w:rsidP="00432822">
            <w:pPr>
              <w:pStyle w:val="Paragraphedeliste"/>
              <w:numPr>
                <w:ilvl w:val="1"/>
                <w:numId w:val="9"/>
              </w:numPr>
              <w:rPr>
                <w:sz w:val="18"/>
                <w:szCs w:val="18"/>
                <w:lang w:val="en-US"/>
              </w:rPr>
            </w:pPr>
            <w:r w:rsidRPr="00202093">
              <w:rPr>
                <w:sz w:val="18"/>
                <w:szCs w:val="18"/>
                <w:lang w:val="en-GB"/>
              </w:rPr>
              <w:t xml:space="preserve">floating rates properties (which are useful for being monetized at par and easier to avoid micro-hedging within the buffer), </w:t>
            </w:r>
          </w:p>
          <w:p w14:paraId="15DAF44E" w14:textId="77777777" w:rsidR="002505BE" w:rsidRPr="00F91E06" w:rsidRDefault="00C21071" w:rsidP="002505BE">
            <w:pPr>
              <w:pStyle w:val="Paragraphedeliste"/>
              <w:numPr>
                <w:ilvl w:val="1"/>
                <w:numId w:val="9"/>
              </w:numPr>
              <w:rPr>
                <w:sz w:val="18"/>
                <w:szCs w:val="18"/>
                <w:lang w:val="en-US"/>
              </w:rPr>
            </w:pPr>
            <w:r w:rsidRPr="00202093">
              <w:rPr>
                <w:sz w:val="18"/>
                <w:szCs w:val="18"/>
                <w:lang w:val="en-GB"/>
              </w:rPr>
              <w:t>and the depth of their market.</w:t>
            </w:r>
          </w:p>
          <w:p w14:paraId="03726800" w14:textId="09BEAC45" w:rsidR="009A000E" w:rsidRPr="00463CCF" w:rsidRDefault="009A000E" w:rsidP="009A000E">
            <w:pPr>
              <w:ind w:left="1080"/>
              <w:rPr>
                <w:sz w:val="18"/>
                <w:szCs w:val="18"/>
                <w:lang w:val="en-US"/>
              </w:rPr>
            </w:pPr>
            <w:r>
              <w:rPr>
                <w:sz w:val="18"/>
                <w:szCs w:val="18"/>
                <w:lang w:val="en-US"/>
              </w:rPr>
              <w:t xml:space="preserve">This resilience has been highlighted recently while investors were facing a systemic crisis in September 2022 (during the UK” minibudget crisis”). Securitisation stayed more resilient to liquidity crisis than many others bonds, as shown in </w:t>
            </w:r>
            <w:r w:rsidR="00887C5B" w:rsidRPr="00973525">
              <w:rPr>
                <w:sz w:val="18"/>
                <w:szCs w:val="18"/>
                <w:lang w:val="en-US"/>
              </w:rPr>
              <w:t>study from 25.02.2022 Risk Control research note “</w:t>
            </w:r>
            <w:r w:rsidR="00887C5B">
              <w:fldChar w:fldCharType="begin"/>
            </w:r>
            <w:r w:rsidR="00887C5B" w:rsidRPr="0000602A">
              <w:rPr>
                <w:lang w:val="en-GB"/>
              </w:rPr>
              <w:instrText>HYPERLINK "https://www.riskcontrollimited.com/insights/comparing-cb-abs-and-corporate-bond-liquidity/"</w:instrText>
            </w:r>
            <w:r w:rsidR="00887C5B">
              <w:fldChar w:fldCharType="separate"/>
            </w:r>
            <w:r w:rsidR="00887C5B" w:rsidRPr="00973525">
              <w:rPr>
                <w:rStyle w:val="Lienhypertexte"/>
                <w:sz w:val="18"/>
                <w:szCs w:val="18"/>
                <w:lang w:val="en-US"/>
              </w:rPr>
              <w:t>Comparing ABS and Covered Bond</w:t>
            </w:r>
            <w:r w:rsidR="00887C5B">
              <w:rPr>
                <w:rStyle w:val="Lienhypertexte"/>
                <w:sz w:val="18"/>
                <w:szCs w:val="18"/>
                <w:lang w:val="en-US"/>
              </w:rPr>
              <w:fldChar w:fldCharType="end"/>
            </w:r>
            <w:r w:rsidR="00887C5B" w:rsidRPr="00973525">
              <w:rPr>
                <w:sz w:val="18"/>
                <w:szCs w:val="18"/>
                <w:lang w:val="en-US"/>
              </w:rPr>
              <w:t xml:space="preserve"> Liquidity”,</w:t>
            </w:r>
          </w:p>
          <w:p w14:paraId="29DD9E66" w14:textId="193EB60E" w:rsidR="00C21071" w:rsidRPr="002505BE" w:rsidRDefault="00C21071" w:rsidP="002505BE">
            <w:pPr>
              <w:pStyle w:val="Paragraphedeliste"/>
              <w:numPr>
                <w:ilvl w:val="0"/>
                <w:numId w:val="9"/>
              </w:numPr>
              <w:rPr>
                <w:sz w:val="18"/>
                <w:szCs w:val="18"/>
                <w:lang w:val="en-US"/>
              </w:rPr>
            </w:pPr>
            <w:r w:rsidRPr="002505BE">
              <w:rPr>
                <w:sz w:val="18"/>
                <w:szCs w:val="18"/>
                <w:lang w:val="en-GB"/>
              </w:rPr>
              <w:t>Finally, h</w:t>
            </w:r>
            <w:proofErr w:type="spellStart"/>
            <w:r w:rsidRPr="002505BE">
              <w:rPr>
                <w:sz w:val="18"/>
                <w:szCs w:val="18"/>
                <w:lang w:val="en-US"/>
              </w:rPr>
              <w:t>andling</w:t>
            </w:r>
            <w:proofErr w:type="spellEnd"/>
            <w:r w:rsidRPr="002505BE">
              <w:rPr>
                <w:sz w:val="18"/>
                <w:szCs w:val="18"/>
                <w:lang w:val="en-US"/>
              </w:rPr>
              <w:t xml:space="preserve"> securitisation within their buffer would allow banks a better diversification.</w:t>
            </w:r>
          </w:p>
          <w:p w14:paraId="570BFEFA" w14:textId="35C0030B" w:rsidR="00C21071" w:rsidRPr="00973525" w:rsidRDefault="00C21071" w:rsidP="00C21071">
            <w:pPr>
              <w:pStyle w:val="Paragraphedeliste"/>
              <w:numPr>
                <w:ilvl w:val="0"/>
                <w:numId w:val="9"/>
              </w:numPr>
              <w:rPr>
                <w:sz w:val="18"/>
                <w:szCs w:val="18"/>
                <w:lang w:val="en-US"/>
              </w:rPr>
            </w:pPr>
            <w:r w:rsidRPr="00973525">
              <w:rPr>
                <w:b/>
                <w:bCs/>
                <w:sz w:val="18"/>
                <w:szCs w:val="18"/>
                <w:u w:val="single"/>
                <w:lang w:val="en-US"/>
              </w:rPr>
              <w:t>Concerning the p-factor</w:t>
            </w:r>
            <w:r w:rsidRPr="00973525">
              <w:rPr>
                <w:sz w:val="18"/>
                <w:szCs w:val="18"/>
                <w:lang w:val="en-US"/>
              </w:rPr>
              <w:t xml:space="preserve"> (or the reduction of the 1250% risk weight on the upper part of the </w:t>
            </w:r>
            <w:proofErr w:type="spellStart"/>
            <w:r w:rsidRPr="00973525">
              <w:rPr>
                <w:sz w:val="18"/>
                <w:szCs w:val="18"/>
                <w:lang w:val="en-US"/>
              </w:rPr>
              <w:t>Kirb</w:t>
            </w:r>
            <w:proofErr w:type="spellEnd"/>
            <w:r w:rsidRPr="00973525">
              <w:rPr>
                <w:sz w:val="18"/>
                <w:szCs w:val="18"/>
                <w:lang w:val="en-US"/>
              </w:rPr>
              <w:t xml:space="preserve">), the main impact is expected on mezzanine tranches. This is important for SRT transaction that will be more efficient with a lower cost at issuance for investors </w:t>
            </w:r>
          </w:p>
          <w:p w14:paraId="7D7FA8DD" w14:textId="77777777" w:rsidR="00C21071" w:rsidRPr="00973525" w:rsidRDefault="00C21071" w:rsidP="00C21071">
            <w:pPr>
              <w:rPr>
                <w:sz w:val="18"/>
                <w:szCs w:val="18"/>
                <w:lang w:val="en-US"/>
              </w:rPr>
            </w:pPr>
          </w:p>
          <w:p w14:paraId="48E5F325" w14:textId="56478540" w:rsidR="00C21071" w:rsidRPr="00973525" w:rsidRDefault="00C21071" w:rsidP="00C21071">
            <w:pPr>
              <w:rPr>
                <w:sz w:val="18"/>
                <w:szCs w:val="18"/>
                <w:lang w:val="en-GB"/>
              </w:rPr>
            </w:pPr>
          </w:p>
        </w:tc>
        <w:tc>
          <w:tcPr>
            <w:tcW w:w="236" w:type="dxa"/>
          </w:tcPr>
          <w:p w14:paraId="38ADAF21" w14:textId="70BF36D1" w:rsidR="00C21071" w:rsidRPr="00DC0597" w:rsidRDefault="00C21071" w:rsidP="0079353D">
            <w:pPr>
              <w:ind w:firstLine="1917"/>
              <w:rPr>
                <w:color w:val="0070C0"/>
                <w:sz w:val="18"/>
                <w:szCs w:val="18"/>
                <w:lang w:val="en-GB"/>
              </w:rPr>
            </w:pPr>
          </w:p>
        </w:tc>
      </w:tr>
      <w:tr w:rsidR="00C21071" w:rsidRPr="0000602A" w14:paraId="062B0A1C" w14:textId="77777777" w:rsidTr="30964D0C">
        <w:trPr>
          <w:gridAfter w:val="1"/>
          <w:wAfter w:w="16" w:type="dxa"/>
        </w:trPr>
        <w:tc>
          <w:tcPr>
            <w:tcW w:w="2893" w:type="dxa"/>
          </w:tcPr>
          <w:p w14:paraId="15CD5FA8" w14:textId="77777777" w:rsidR="00C21071" w:rsidRPr="00973525" w:rsidRDefault="00C21071" w:rsidP="00C21071">
            <w:pPr>
              <w:rPr>
                <w:sz w:val="18"/>
                <w:szCs w:val="18"/>
                <w:lang w:val="en-GB"/>
              </w:rPr>
            </w:pPr>
            <w:r w:rsidRPr="00973525">
              <w:rPr>
                <w:sz w:val="18"/>
                <w:szCs w:val="18"/>
                <w:lang w:val="en-GB"/>
              </w:rPr>
              <w:t xml:space="preserve">Question 9.26. Do you consider that the </w:t>
            </w:r>
            <w:r w:rsidRPr="00973525">
              <w:rPr>
                <w:b/>
                <w:bCs/>
                <w:sz w:val="18"/>
                <w:szCs w:val="18"/>
                <w:lang w:val="en-GB"/>
              </w:rPr>
              <w:t>current approach to non</w:t>
            </w:r>
            <w:r w:rsidRPr="00973525">
              <w:rPr>
                <w:b/>
                <w:bCs/>
                <w:sz w:val="18"/>
                <w:szCs w:val="18"/>
                <w:lang w:val="en-GB"/>
              </w:rPr>
              <w:noBreakHyphen/>
              <w:t>neutrality</w:t>
            </w:r>
            <w:r w:rsidRPr="00973525">
              <w:rPr>
                <w:sz w:val="18"/>
                <w:szCs w:val="18"/>
                <w:lang w:val="en-GB"/>
              </w:rPr>
              <w:t xml:space="preserve"> of capital requirements as one of core elements of the securitisation prudential framework, leads to undue </w:t>
            </w:r>
            <w:r w:rsidRPr="00973525">
              <w:rPr>
                <w:b/>
                <w:bCs/>
                <w:sz w:val="18"/>
                <w:szCs w:val="18"/>
                <w:lang w:val="en-GB"/>
              </w:rPr>
              <w:t>overcapitalisation</w:t>
            </w:r>
            <w:r w:rsidRPr="00973525">
              <w:rPr>
                <w:sz w:val="18"/>
                <w:szCs w:val="18"/>
                <w:lang w:val="en-GB"/>
              </w:rPr>
              <w:t xml:space="preserve"> (or undercapitalisation) of the securitisation exposures, </w:t>
            </w:r>
            <w:proofErr w:type="gramStart"/>
            <w:r w:rsidRPr="00973525">
              <w:rPr>
                <w:sz w:val="18"/>
                <w:szCs w:val="18"/>
                <w:lang w:val="en-GB"/>
              </w:rPr>
              <w:t>in particular when</w:t>
            </w:r>
            <w:proofErr w:type="gramEnd"/>
            <w:r w:rsidRPr="00973525">
              <w:rPr>
                <w:sz w:val="18"/>
                <w:szCs w:val="18"/>
                <w:lang w:val="en-GB"/>
              </w:rPr>
              <w:t xml:space="preserve"> compared to the realised losses and distribution of the losses across the capital structure (different tranches of securitisation) over a full economic cycle?</w:t>
            </w:r>
          </w:p>
          <w:p w14:paraId="194331F1" w14:textId="77777777" w:rsidR="00C21071" w:rsidRPr="00973525" w:rsidRDefault="00C21071" w:rsidP="00C21071">
            <w:pPr>
              <w:rPr>
                <w:sz w:val="18"/>
                <w:szCs w:val="18"/>
                <w:lang w:val="en-GB"/>
              </w:rPr>
            </w:pPr>
          </w:p>
        </w:tc>
        <w:tc>
          <w:tcPr>
            <w:tcW w:w="7740" w:type="dxa"/>
          </w:tcPr>
          <w:p w14:paraId="257E230B" w14:textId="77777777" w:rsidR="00C21071" w:rsidRPr="00973525" w:rsidRDefault="00C21071" w:rsidP="00C21071">
            <w:pPr>
              <w:rPr>
                <w:sz w:val="18"/>
                <w:szCs w:val="18"/>
                <w:lang w:val="en-GB"/>
              </w:rPr>
            </w:pPr>
            <w:r w:rsidRPr="00973525">
              <w:rPr>
                <w:sz w:val="18"/>
                <w:szCs w:val="18"/>
                <w:lang w:val="en-GB"/>
              </w:rPr>
              <w:t>Answer</w:t>
            </w:r>
          </w:p>
          <w:p w14:paraId="7313211A" w14:textId="77777777" w:rsidR="00C21071" w:rsidRPr="00973525" w:rsidRDefault="00000000" w:rsidP="00C21071">
            <w:pPr>
              <w:rPr>
                <w:b/>
                <w:bCs/>
                <w:sz w:val="18"/>
                <w:szCs w:val="18"/>
                <w:lang w:val="en-GB"/>
              </w:rPr>
            </w:pPr>
            <w:sdt>
              <w:sdtPr>
                <w:rPr>
                  <w:b/>
                  <w:bCs/>
                  <w:sz w:val="18"/>
                  <w:szCs w:val="18"/>
                  <w:lang w:val="en-GB"/>
                </w:rPr>
                <w:id w:val="899179584"/>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Yes</w:t>
            </w:r>
          </w:p>
          <w:p w14:paraId="3FE9E6EB" w14:textId="77777777" w:rsidR="00C21071" w:rsidRPr="00973525" w:rsidRDefault="00000000" w:rsidP="00C21071">
            <w:pPr>
              <w:rPr>
                <w:sz w:val="18"/>
                <w:szCs w:val="18"/>
                <w:lang w:val="en-GB"/>
              </w:rPr>
            </w:pPr>
            <w:sdt>
              <w:sdtPr>
                <w:rPr>
                  <w:sz w:val="18"/>
                  <w:szCs w:val="18"/>
                  <w:lang w:val="en-GB"/>
                </w:rPr>
                <w:id w:val="834572834"/>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No</w:t>
            </w:r>
          </w:p>
          <w:p w14:paraId="0B4CA49C" w14:textId="77777777" w:rsidR="00C21071" w:rsidRPr="00973525" w:rsidRDefault="00000000" w:rsidP="00C21071">
            <w:pPr>
              <w:rPr>
                <w:sz w:val="18"/>
                <w:szCs w:val="18"/>
                <w:lang w:val="en-US"/>
              </w:rPr>
            </w:pPr>
            <w:sdt>
              <w:sdtPr>
                <w:rPr>
                  <w:sz w:val="18"/>
                  <w:szCs w:val="18"/>
                  <w:lang w:val="en-GB"/>
                </w:rPr>
                <w:id w:val="1940407982"/>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1653A2FB" w14:textId="77777777" w:rsidR="00C21071" w:rsidRPr="00973525" w:rsidRDefault="00C21071" w:rsidP="00C21071">
            <w:pPr>
              <w:rPr>
                <w:sz w:val="18"/>
                <w:szCs w:val="18"/>
                <w:lang w:val="en-US"/>
              </w:rPr>
            </w:pPr>
          </w:p>
          <w:p w14:paraId="41DFBD0C" w14:textId="77777777" w:rsidR="00C21071" w:rsidRPr="00973525" w:rsidRDefault="00C21071" w:rsidP="00C21071">
            <w:pPr>
              <w:rPr>
                <w:sz w:val="18"/>
                <w:szCs w:val="18"/>
                <w:lang w:val="en-GB"/>
              </w:rPr>
            </w:pPr>
          </w:p>
        </w:tc>
        <w:tc>
          <w:tcPr>
            <w:tcW w:w="236" w:type="dxa"/>
          </w:tcPr>
          <w:p w14:paraId="3F644EAD" w14:textId="2963E5A8" w:rsidR="00C21071" w:rsidRPr="00973525" w:rsidRDefault="00C21071" w:rsidP="0079353D">
            <w:pPr>
              <w:ind w:firstLine="1917"/>
              <w:rPr>
                <w:i/>
                <w:iCs/>
                <w:sz w:val="18"/>
                <w:szCs w:val="18"/>
                <w:lang w:val="en-GB"/>
              </w:rPr>
            </w:pPr>
          </w:p>
        </w:tc>
      </w:tr>
      <w:tr w:rsidR="00C21071" w:rsidRPr="0000602A" w14:paraId="1685AB82" w14:textId="77777777" w:rsidTr="30964D0C">
        <w:trPr>
          <w:gridAfter w:val="1"/>
          <w:wAfter w:w="16" w:type="dxa"/>
        </w:trPr>
        <w:tc>
          <w:tcPr>
            <w:tcW w:w="2893" w:type="dxa"/>
          </w:tcPr>
          <w:p w14:paraId="0527E4BB" w14:textId="77777777" w:rsidR="00C21071" w:rsidRPr="00973525" w:rsidRDefault="00C21071" w:rsidP="00C21071">
            <w:pPr>
              <w:rPr>
                <w:sz w:val="18"/>
                <w:szCs w:val="18"/>
                <w:lang w:val="en-GB"/>
              </w:rPr>
            </w:pPr>
            <w:r w:rsidRPr="00973525">
              <w:rPr>
                <w:sz w:val="18"/>
                <w:szCs w:val="18"/>
                <w:lang w:val="en-GB"/>
              </w:rPr>
              <w:t>Please explain your answer to question 9.26:</w:t>
            </w:r>
          </w:p>
          <w:p w14:paraId="1264C634" w14:textId="77777777" w:rsidR="00C21071" w:rsidRPr="00973525" w:rsidRDefault="00C21071" w:rsidP="00C21071">
            <w:pPr>
              <w:rPr>
                <w:sz w:val="18"/>
                <w:szCs w:val="18"/>
                <w:lang w:val="en-GB"/>
              </w:rPr>
            </w:pPr>
          </w:p>
        </w:tc>
        <w:tc>
          <w:tcPr>
            <w:tcW w:w="7740" w:type="dxa"/>
          </w:tcPr>
          <w:p w14:paraId="73A1D158" w14:textId="78C5C07D" w:rsidR="00C21071" w:rsidRPr="00973525" w:rsidRDefault="00C21071" w:rsidP="00C21071">
            <w:pPr>
              <w:rPr>
                <w:sz w:val="18"/>
                <w:szCs w:val="18"/>
                <w:lang w:val="en-US"/>
              </w:rPr>
            </w:pPr>
            <w:r w:rsidRPr="00973525">
              <w:rPr>
                <w:sz w:val="18"/>
                <w:szCs w:val="18"/>
                <w:lang w:val="en-US"/>
              </w:rPr>
              <w:t>Yes, indeed. It leads to strong overcapitalization (of both senior and junior/mezzanine securitisation positions).</w:t>
            </w:r>
          </w:p>
          <w:p w14:paraId="21E9001A" w14:textId="77777777" w:rsidR="00C21071" w:rsidRPr="00973525" w:rsidRDefault="00C21071" w:rsidP="00C21071">
            <w:pPr>
              <w:rPr>
                <w:sz w:val="18"/>
                <w:szCs w:val="18"/>
                <w:lang w:val="en-US"/>
              </w:rPr>
            </w:pPr>
          </w:p>
          <w:p w14:paraId="02B5A4EA" w14:textId="77777777" w:rsidR="00C21071" w:rsidRPr="00973525" w:rsidRDefault="00C21071" w:rsidP="00C21071">
            <w:pPr>
              <w:rPr>
                <w:sz w:val="18"/>
                <w:szCs w:val="18"/>
                <w:lang w:val="en-US"/>
              </w:rPr>
            </w:pPr>
            <w:r w:rsidRPr="00973525">
              <w:rPr>
                <w:sz w:val="18"/>
                <w:szCs w:val="18"/>
                <w:lang w:val="en-US"/>
              </w:rPr>
              <w:t xml:space="preserve">If we look at </w:t>
            </w:r>
            <w:r w:rsidRPr="00CA5B4F">
              <w:rPr>
                <w:b/>
                <w:bCs/>
                <w:sz w:val="18"/>
                <w:szCs w:val="18"/>
                <w:lang w:val="en-US"/>
              </w:rPr>
              <w:t>average default rates from rating agencies</w:t>
            </w:r>
            <w:r w:rsidRPr="00973525">
              <w:rPr>
                <w:sz w:val="18"/>
                <w:szCs w:val="18"/>
                <w:lang w:val="en-US"/>
              </w:rPr>
              <w:t>, such as S&amp;P:</w:t>
            </w:r>
          </w:p>
          <w:p w14:paraId="0D8452B8" w14:textId="7B79A5DC" w:rsidR="00C21071" w:rsidRPr="00973525" w:rsidRDefault="00C21071" w:rsidP="00C21071">
            <w:pPr>
              <w:pStyle w:val="Paragraphedeliste"/>
              <w:numPr>
                <w:ilvl w:val="0"/>
                <w:numId w:val="9"/>
              </w:numPr>
              <w:rPr>
                <w:sz w:val="18"/>
                <w:szCs w:val="18"/>
                <w:lang w:val="en-US"/>
              </w:rPr>
            </w:pPr>
            <w:r w:rsidRPr="00973525">
              <w:rPr>
                <w:sz w:val="18"/>
                <w:szCs w:val="18"/>
                <w:lang w:val="en-US"/>
              </w:rPr>
              <w:t xml:space="preserve"> the average cumulative default rates over 3-year horizon for BBB rating (from 1983 to 2022) is 1.4%, which corresponds to approximately 0.5% /year. </w:t>
            </w:r>
            <w:r w:rsidR="00186F36">
              <w:rPr>
                <w:sz w:val="18"/>
                <w:szCs w:val="18"/>
                <w:lang w:val="en-US"/>
              </w:rPr>
              <w:br/>
            </w:r>
            <w:r w:rsidRPr="00C31BC2">
              <w:rPr>
                <w:b/>
                <w:bCs/>
                <w:sz w:val="18"/>
                <w:szCs w:val="18"/>
                <w:lang w:val="en-US"/>
              </w:rPr>
              <w:t>The mezzanine tranche</w:t>
            </w:r>
            <w:r w:rsidRPr="00973525">
              <w:rPr>
                <w:sz w:val="18"/>
                <w:szCs w:val="18"/>
                <w:lang w:val="en-US"/>
              </w:rPr>
              <w:t xml:space="preserve"> that receives a risk weight around 260% based on SEC ERBA or </w:t>
            </w:r>
            <w:r w:rsidRPr="00973525">
              <w:rPr>
                <w:sz w:val="18"/>
                <w:szCs w:val="18"/>
                <w:lang w:val="en-US"/>
              </w:rPr>
              <w:lastRenderedPageBreak/>
              <w:t xml:space="preserve">that could be even higher using SEC </w:t>
            </w:r>
            <w:r w:rsidR="00BA6BEB" w:rsidRPr="00973525">
              <w:rPr>
                <w:sz w:val="18"/>
                <w:szCs w:val="18"/>
                <w:lang w:val="en-US"/>
              </w:rPr>
              <w:t>IRBA, is</w:t>
            </w:r>
            <w:r w:rsidRPr="00973525">
              <w:rPr>
                <w:sz w:val="18"/>
                <w:szCs w:val="18"/>
                <w:lang w:val="en-US"/>
              </w:rPr>
              <w:t xml:space="preserve"> </w:t>
            </w:r>
            <w:r w:rsidRPr="001D3195">
              <w:rPr>
                <w:b/>
                <w:bCs/>
                <w:sz w:val="18"/>
                <w:szCs w:val="18"/>
                <w:lang w:val="en-US"/>
              </w:rPr>
              <w:t>as risky</w:t>
            </w:r>
            <w:r w:rsidRPr="00973525">
              <w:rPr>
                <w:sz w:val="18"/>
                <w:szCs w:val="18"/>
                <w:lang w:val="en-US"/>
              </w:rPr>
              <w:t xml:space="preserve"> on average over a cycle as the investment on </w:t>
            </w:r>
            <w:r w:rsidRPr="001D3195">
              <w:rPr>
                <w:b/>
                <w:bCs/>
                <w:sz w:val="18"/>
                <w:szCs w:val="18"/>
                <w:lang w:val="en-US"/>
              </w:rPr>
              <w:t>an investment grade corporate</w:t>
            </w:r>
            <w:r w:rsidRPr="00973525">
              <w:rPr>
                <w:sz w:val="18"/>
                <w:szCs w:val="18"/>
                <w:lang w:val="en-US"/>
              </w:rPr>
              <w:t xml:space="preserve">. </w:t>
            </w:r>
            <w:r w:rsidR="00F31F19">
              <w:rPr>
                <w:sz w:val="18"/>
                <w:szCs w:val="18"/>
                <w:lang w:val="en-US"/>
              </w:rPr>
              <w:br/>
            </w:r>
            <w:r w:rsidRPr="00973525">
              <w:rPr>
                <w:sz w:val="18"/>
                <w:szCs w:val="18"/>
                <w:lang w:val="en-US"/>
              </w:rPr>
              <w:t xml:space="preserve">However, a </w:t>
            </w:r>
            <w:r w:rsidRPr="00092CEC">
              <w:rPr>
                <w:b/>
                <w:bCs/>
                <w:sz w:val="18"/>
                <w:szCs w:val="18"/>
                <w:lang w:val="en-US"/>
              </w:rPr>
              <w:t xml:space="preserve">Corporate with </w:t>
            </w:r>
            <w:proofErr w:type="gramStart"/>
            <w:r w:rsidRPr="00092CEC">
              <w:rPr>
                <w:b/>
                <w:bCs/>
                <w:sz w:val="18"/>
                <w:szCs w:val="18"/>
                <w:lang w:val="en-US"/>
              </w:rPr>
              <w:t>0.5</w:t>
            </w:r>
            <w:proofErr w:type="gramEnd"/>
            <w:r w:rsidRPr="00092CEC">
              <w:rPr>
                <w:b/>
                <w:bCs/>
                <w:sz w:val="18"/>
                <w:szCs w:val="18"/>
                <w:lang w:val="en-US"/>
              </w:rPr>
              <w:t>% PD would receive around 100%</w:t>
            </w:r>
            <w:r w:rsidRPr="00973525">
              <w:rPr>
                <w:sz w:val="18"/>
                <w:szCs w:val="18"/>
                <w:lang w:val="en-US"/>
              </w:rPr>
              <w:t xml:space="preserve"> risk weight under standard method or that could be around </w:t>
            </w:r>
            <w:r w:rsidRPr="00092CEC">
              <w:rPr>
                <w:b/>
                <w:bCs/>
                <w:sz w:val="18"/>
                <w:szCs w:val="18"/>
                <w:lang w:val="en-US"/>
              </w:rPr>
              <w:t>60%</w:t>
            </w:r>
            <w:r w:rsidRPr="00973525">
              <w:rPr>
                <w:sz w:val="18"/>
                <w:szCs w:val="18"/>
                <w:lang w:val="en-US"/>
              </w:rPr>
              <w:t xml:space="preserve"> under IRBA. </w:t>
            </w:r>
            <w:r w:rsidR="008F2021">
              <w:rPr>
                <w:sz w:val="18"/>
                <w:szCs w:val="18"/>
                <w:lang w:val="en-US"/>
              </w:rPr>
              <w:br/>
            </w:r>
            <w:r w:rsidR="00180B99">
              <w:rPr>
                <w:sz w:val="18"/>
                <w:szCs w:val="18"/>
                <w:lang w:val="en-US"/>
              </w:rPr>
              <w:t xml:space="preserve">=&gt; </w:t>
            </w:r>
            <w:r w:rsidRPr="00702832">
              <w:rPr>
                <w:b/>
                <w:bCs/>
                <w:sz w:val="18"/>
                <w:szCs w:val="18"/>
                <w:lang w:val="en-US"/>
              </w:rPr>
              <w:t xml:space="preserve">The ratio of overcapitalization on this mezzanine </w:t>
            </w:r>
            <w:r w:rsidR="008428C1" w:rsidRPr="00702832">
              <w:rPr>
                <w:b/>
                <w:bCs/>
                <w:sz w:val="18"/>
                <w:szCs w:val="18"/>
                <w:lang w:val="en-US"/>
              </w:rPr>
              <w:t>tranche compared</w:t>
            </w:r>
            <w:r w:rsidR="00305722" w:rsidRPr="00702832">
              <w:rPr>
                <w:b/>
                <w:bCs/>
                <w:sz w:val="18"/>
                <w:szCs w:val="18"/>
                <w:lang w:val="en-US"/>
              </w:rPr>
              <w:t xml:space="preserve"> to the </w:t>
            </w:r>
            <w:r w:rsidR="008428C1">
              <w:rPr>
                <w:b/>
                <w:bCs/>
                <w:sz w:val="18"/>
                <w:szCs w:val="18"/>
                <w:lang w:val="en-US"/>
              </w:rPr>
              <w:t>equivalent</w:t>
            </w:r>
            <w:r w:rsidR="006F1538" w:rsidRPr="00702832">
              <w:rPr>
                <w:b/>
                <w:bCs/>
                <w:sz w:val="18"/>
                <w:szCs w:val="18"/>
                <w:lang w:val="en-US"/>
              </w:rPr>
              <w:t xml:space="preserve"> PD Corporate </w:t>
            </w:r>
            <w:r w:rsidRPr="00702832">
              <w:rPr>
                <w:b/>
                <w:bCs/>
                <w:sz w:val="18"/>
                <w:szCs w:val="18"/>
                <w:lang w:val="en-US"/>
              </w:rPr>
              <w:t xml:space="preserve">is </w:t>
            </w:r>
            <w:r w:rsidR="005569E0" w:rsidRPr="00702832">
              <w:rPr>
                <w:b/>
                <w:bCs/>
                <w:sz w:val="18"/>
                <w:szCs w:val="18"/>
                <w:lang w:val="en-US"/>
              </w:rPr>
              <w:t xml:space="preserve">hence </w:t>
            </w:r>
            <w:r w:rsidRPr="00702832">
              <w:rPr>
                <w:b/>
                <w:bCs/>
                <w:sz w:val="18"/>
                <w:szCs w:val="18"/>
                <w:lang w:val="en-US"/>
              </w:rPr>
              <w:t>between x5 and x2.5</w:t>
            </w:r>
            <w:r w:rsidRPr="00973525">
              <w:rPr>
                <w:sz w:val="18"/>
                <w:szCs w:val="18"/>
                <w:lang w:val="en-US"/>
              </w:rPr>
              <w:t>.</w:t>
            </w:r>
          </w:p>
          <w:p w14:paraId="286608AE" w14:textId="77777777" w:rsidR="00C21071" w:rsidRPr="00973525" w:rsidRDefault="00C21071" w:rsidP="00C21071">
            <w:pPr>
              <w:pStyle w:val="Paragraphedeliste"/>
              <w:rPr>
                <w:sz w:val="18"/>
                <w:szCs w:val="18"/>
                <w:lang w:val="en-US"/>
              </w:rPr>
            </w:pPr>
          </w:p>
          <w:p w14:paraId="6D67CFA7" w14:textId="33B50237" w:rsidR="00C21071" w:rsidRPr="00973525" w:rsidRDefault="00C21071" w:rsidP="00C21071">
            <w:pPr>
              <w:pStyle w:val="Paragraphedeliste"/>
              <w:numPr>
                <w:ilvl w:val="0"/>
                <w:numId w:val="9"/>
              </w:numPr>
              <w:rPr>
                <w:sz w:val="18"/>
                <w:szCs w:val="18"/>
                <w:lang w:val="en-US"/>
              </w:rPr>
            </w:pPr>
            <w:r w:rsidRPr="00973525">
              <w:rPr>
                <w:sz w:val="18"/>
                <w:szCs w:val="18"/>
                <w:lang w:val="en-US"/>
              </w:rPr>
              <w:t xml:space="preserve">For </w:t>
            </w:r>
            <w:proofErr w:type="gramStart"/>
            <w:r w:rsidRPr="00973525">
              <w:rPr>
                <w:sz w:val="18"/>
                <w:szCs w:val="18"/>
                <w:lang w:val="en-US"/>
              </w:rPr>
              <w:t xml:space="preserve">a </w:t>
            </w:r>
            <w:r w:rsidRPr="00BA6BEB">
              <w:rPr>
                <w:sz w:val="18"/>
                <w:szCs w:val="18"/>
                <w:u w:val="single"/>
                <w:lang w:val="en-US"/>
              </w:rPr>
              <w:t>AAA</w:t>
            </w:r>
            <w:proofErr w:type="gramEnd"/>
            <w:r w:rsidRPr="00BA6BEB">
              <w:rPr>
                <w:sz w:val="18"/>
                <w:szCs w:val="18"/>
                <w:u w:val="single"/>
                <w:lang w:val="en-US"/>
              </w:rPr>
              <w:t xml:space="preserve"> rating, for example on EU RMBS</w:t>
            </w:r>
            <w:r w:rsidRPr="00973525">
              <w:rPr>
                <w:sz w:val="18"/>
                <w:szCs w:val="18"/>
                <w:lang w:val="en-US"/>
              </w:rPr>
              <w:t xml:space="preserve"> the average cumulative default rates </w:t>
            </w:r>
            <w:proofErr w:type="gramStart"/>
            <w:r w:rsidRPr="00973525">
              <w:rPr>
                <w:sz w:val="18"/>
                <w:szCs w:val="18"/>
                <w:lang w:val="en-US"/>
              </w:rPr>
              <w:t>is</w:t>
            </w:r>
            <w:proofErr w:type="gramEnd"/>
            <w:r w:rsidRPr="00973525">
              <w:rPr>
                <w:sz w:val="18"/>
                <w:szCs w:val="18"/>
                <w:lang w:val="en-US"/>
              </w:rPr>
              <w:t xml:space="preserve"> </w:t>
            </w:r>
            <w:r w:rsidRPr="00BA6BEB">
              <w:rPr>
                <w:sz w:val="18"/>
                <w:szCs w:val="18"/>
                <w:u w:val="single"/>
                <w:lang w:val="en-US"/>
              </w:rPr>
              <w:t>0.12% over 10year</w:t>
            </w:r>
            <w:r w:rsidRPr="00973525">
              <w:rPr>
                <w:sz w:val="18"/>
                <w:szCs w:val="18"/>
                <w:lang w:val="en-US"/>
              </w:rPr>
              <w:t xml:space="preserve"> horizon under S&amp;P historical data. This level of average risk is pretty much in line with the very best corporates and less than 10% of IRB risk weight. We can also compare this risk weight with the usual average IRB risk Weight on French Real Estate, around 12%. </w:t>
            </w:r>
            <w:proofErr w:type="gramStart"/>
            <w:r w:rsidRPr="00973525">
              <w:rPr>
                <w:sz w:val="18"/>
                <w:szCs w:val="18"/>
                <w:lang w:val="en-US"/>
              </w:rPr>
              <w:t>However</w:t>
            </w:r>
            <w:proofErr w:type="gramEnd"/>
            <w:r w:rsidRPr="00973525">
              <w:rPr>
                <w:sz w:val="18"/>
                <w:szCs w:val="18"/>
                <w:lang w:val="en-US"/>
              </w:rPr>
              <w:t xml:space="preserve"> the current risk weight for a 5Y senior tranche is at </w:t>
            </w:r>
            <w:r w:rsidR="00157401" w:rsidRPr="00973525">
              <w:rPr>
                <w:sz w:val="18"/>
                <w:szCs w:val="18"/>
                <w:lang w:val="en-US"/>
              </w:rPr>
              <w:t>least 20</w:t>
            </w:r>
            <w:r w:rsidRPr="00973525">
              <w:rPr>
                <w:sz w:val="18"/>
                <w:szCs w:val="18"/>
                <w:lang w:val="en-US"/>
              </w:rPr>
              <w:t xml:space="preserve">% (and could be 70% if the AAA tranche was not senior), even though there is an additional layer of protection. </w:t>
            </w:r>
            <w:r w:rsidR="007257D2">
              <w:rPr>
                <w:sz w:val="18"/>
                <w:szCs w:val="18"/>
                <w:lang w:val="en-US"/>
              </w:rPr>
              <w:br/>
              <w:t>=&gt;</w:t>
            </w:r>
            <w:r w:rsidRPr="007257D2">
              <w:rPr>
                <w:b/>
                <w:bCs/>
                <w:sz w:val="18"/>
                <w:szCs w:val="18"/>
                <w:lang w:val="en-US"/>
              </w:rPr>
              <w:t>The ratio of overcapitalization on this AAA RMBS tranche is at least x2</w:t>
            </w:r>
            <w:r w:rsidRPr="00973525">
              <w:rPr>
                <w:sz w:val="18"/>
                <w:szCs w:val="18"/>
                <w:lang w:val="en-US"/>
              </w:rPr>
              <w:t xml:space="preserve">. </w:t>
            </w:r>
          </w:p>
          <w:p w14:paraId="42962EB5" w14:textId="77777777" w:rsidR="00C21071" w:rsidRPr="00973525" w:rsidRDefault="00C21071" w:rsidP="00C21071">
            <w:pPr>
              <w:pStyle w:val="Paragraphedeliste"/>
              <w:rPr>
                <w:sz w:val="18"/>
                <w:szCs w:val="18"/>
                <w:lang w:val="en-US"/>
              </w:rPr>
            </w:pPr>
          </w:p>
          <w:p w14:paraId="48744987" w14:textId="77777777" w:rsidR="007257D2" w:rsidRDefault="00C21071" w:rsidP="00C21071">
            <w:pPr>
              <w:rPr>
                <w:sz w:val="18"/>
                <w:szCs w:val="18"/>
                <w:lang w:val="en-US"/>
              </w:rPr>
            </w:pPr>
            <w:r w:rsidRPr="00973525">
              <w:rPr>
                <w:sz w:val="18"/>
                <w:szCs w:val="18"/>
                <w:lang w:val="en-US"/>
              </w:rPr>
              <w:t>Even if they are not public, it would be instructing for Commission to consult the back-</w:t>
            </w:r>
            <w:proofErr w:type="spellStart"/>
            <w:r w:rsidRPr="00973525">
              <w:rPr>
                <w:sz w:val="18"/>
                <w:szCs w:val="18"/>
                <w:lang w:val="en-US"/>
              </w:rPr>
              <w:t>testings</w:t>
            </w:r>
            <w:proofErr w:type="spellEnd"/>
            <w:r w:rsidRPr="00973525">
              <w:rPr>
                <w:sz w:val="18"/>
                <w:szCs w:val="18"/>
                <w:lang w:val="en-US"/>
              </w:rPr>
              <w:t xml:space="preserve"> that are mandatory run on SRT Issuances losses (that should be available from 2015). </w:t>
            </w:r>
          </w:p>
          <w:p w14:paraId="168AA51B" w14:textId="4222B486" w:rsidR="00C21071" w:rsidRPr="007257D2" w:rsidRDefault="00C21071" w:rsidP="00C21071">
            <w:pPr>
              <w:rPr>
                <w:b/>
                <w:bCs/>
                <w:sz w:val="18"/>
                <w:szCs w:val="18"/>
                <w:lang w:val="en-US"/>
              </w:rPr>
            </w:pPr>
            <w:r w:rsidRPr="007257D2">
              <w:rPr>
                <w:b/>
                <w:bCs/>
                <w:sz w:val="18"/>
                <w:szCs w:val="18"/>
                <w:lang w:val="en-US"/>
              </w:rPr>
              <w:t>They could be explicit proof that Senior tranches are unduly overcapitalized in Europe.</w:t>
            </w:r>
          </w:p>
          <w:p w14:paraId="3F1485D8" w14:textId="77777777" w:rsidR="00C21071" w:rsidRPr="00973525" w:rsidRDefault="00C21071" w:rsidP="00C21071">
            <w:pPr>
              <w:rPr>
                <w:sz w:val="18"/>
                <w:szCs w:val="18"/>
                <w:lang w:val="en-US"/>
              </w:rPr>
            </w:pPr>
          </w:p>
        </w:tc>
        <w:tc>
          <w:tcPr>
            <w:tcW w:w="236" w:type="dxa"/>
          </w:tcPr>
          <w:p w14:paraId="115F77DA" w14:textId="7B99D725" w:rsidR="00C21071" w:rsidRPr="00973525" w:rsidRDefault="00C21071" w:rsidP="0079353D">
            <w:pPr>
              <w:ind w:firstLine="1917"/>
              <w:rPr>
                <w:sz w:val="18"/>
                <w:szCs w:val="18"/>
                <w:lang w:val="en-GB"/>
              </w:rPr>
            </w:pPr>
          </w:p>
        </w:tc>
      </w:tr>
      <w:tr w:rsidR="00C21071" w:rsidRPr="0000602A" w14:paraId="07301904" w14:textId="77777777" w:rsidTr="30964D0C">
        <w:trPr>
          <w:gridAfter w:val="1"/>
          <w:wAfter w:w="16" w:type="dxa"/>
        </w:trPr>
        <w:tc>
          <w:tcPr>
            <w:tcW w:w="2893" w:type="dxa"/>
          </w:tcPr>
          <w:p w14:paraId="1027B267" w14:textId="2C75473A" w:rsidR="00C21071" w:rsidRPr="00973525" w:rsidRDefault="00C21071" w:rsidP="00C21071">
            <w:pPr>
              <w:rPr>
                <w:sz w:val="18"/>
                <w:szCs w:val="18"/>
                <w:lang w:val="en-GB"/>
              </w:rPr>
            </w:pPr>
            <w:r w:rsidRPr="00973525">
              <w:rPr>
                <w:sz w:val="18"/>
                <w:szCs w:val="18"/>
                <w:lang w:val="en-GB"/>
              </w:rPr>
              <w:t xml:space="preserve">Question 9.27. If you answered YES to question 9.26, please </w:t>
            </w:r>
            <w:r w:rsidRPr="00973525">
              <w:rPr>
                <w:b/>
                <w:bCs/>
                <w:sz w:val="18"/>
                <w:szCs w:val="18"/>
                <w:lang w:val="en-GB"/>
              </w:rPr>
              <w:t>justify</w:t>
            </w:r>
            <w:r w:rsidRPr="00973525">
              <w:rPr>
                <w:sz w:val="18"/>
                <w:szCs w:val="18"/>
                <w:lang w:val="en-GB"/>
              </w:rPr>
              <w:t xml:space="preserve"> your reasoning and provide </w:t>
            </w:r>
            <w:r w:rsidRPr="00973525">
              <w:rPr>
                <w:b/>
                <w:bCs/>
                <w:sz w:val="18"/>
                <w:szCs w:val="18"/>
                <w:lang w:val="en-GB"/>
              </w:rPr>
              <w:t>quantitative</w:t>
            </w:r>
            <w:r w:rsidRPr="00973525">
              <w:rPr>
                <w:sz w:val="18"/>
                <w:szCs w:val="18"/>
                <w:lang w:val="en-GB"/>
              </w:rPr>
              <w:t xml:space="preserve"> and qu</w:t>
            </w:r>
            <w:r w:rsidRPr="00973525">
              <w:rPr>
                <w:b/>
                <w:bCs/>
                <w:sz w:val="18"/>
                <w:szCs w:val="18"/>
                <w:lang w:val="en-GB"/>
              </w:rPr>
              <w:t>alitative data</w:t>
            </w:r>
            <w:r w:rsidRPr="00973525">
              <w:rPr>
                <w:sz w:val="18"/>
                <w:szCs w:val="18"/>
                <w:lang w:val="en-GB"/>
              </w:rPr>
              <w:t xml:space="preserve"> to show the extent of the undue non</w:t>
            </w:r>
            <w:r w:rsidRPr="00973525">
              <w:rPr>
                <w:sz w:val="18"/>
                <w:szCs w:val="18"/>
                <w:lang w:val="en-GB"/>
              </w:rPr>
              <w:noBreakHyphen/>
              <w:t xml:space="preserve">neutrality (overcapitalisation or undercapitalisation), </w:t>
            </w:r>
            <w:proofErr w:type="gramStart"/>
            <w:r w:rsidRPr="00973525">
              <w:rPr>
                <w:sz w:val="18"/>
                <w:szCs w:val="18"/>
                <w:lang w:val="en-GB"/>
              </w:rPr>
              <w:t>in particular when</w:t>
            </w:r>
            <w:proofErr w:type="gramEnd"/>
            <w:r w:rsidRPr="00973525">
              <w:rPr>
                <w:sz w:val="18"/>
                <w:szCs w:val="18"/>
                <w:lang w:val="en-GB"/>
              </w:rPr>
              <w:t xml:space="preserve"> </w:t>
            </w:r>
            <w:r w:rsidRPr="00973525">
              <w:rPr>
                <w:b/>
                <w:bCs/>
                <w:sz w:val="18"/>
                <w:szCs w:val="18"/>
                <w:lang w:val="en-GB"/>
              </w:rPr>
              <w:t>compared to the realised losses</w:t>
            </w:r>
            <w:r w:rsidRPr="00973525">
              <w:rPr>
                <w:sz w:val="18"/>
                <w:szCs w:val="18"/>
                <w:lang w:val="en-GB"/>
              </w:rPr>
              <w:t xml:space="preserve"> and distribution of the losses across the capital structure, taking into consideration the need to cover a full economic cycle.</w:t>
            </w:r>
          </w:p>
          <w:p w14:paraId="44FEED13" w14:textId="77777777" w:rsidR="00C21071" w:rsidRPr="00973525" w:rsidRDefault="00C21071" w:rsidP="00C21071">
            <w:pPr>
              <w:rPr>
                <w:sz w:val="18"/>
                <w:szCs w:val="18"/>
                <w:lang w:val="en-GB"/>
              </w:rPr>
            </w:pPr>
          </w:p>
        </w:tc>
        <w:tc>
          <w:tcPr>
            <w:tcW w:w="7740" w:type="dxa"/>
          </w:tcPr>
          <w:p w14:paraId="134EE56C" w14:textId="77777777" w:rsidR="007257D2" w:rsidRDefault="00C21071" w:rsidP="00C21071">
            <w:pPr>
              <w:rPr>
                <w:sz w:val="18"/>
                <w:szCs w:val="18"/>
                <w:lang w:val="en-US"/>
              </w:rPr>
            </w:pPr>
            <w:r w:rsidRPr="00973525">
              <w:rPr>
                <w:sz w:val="18"/>
                <w:szCs w:val="18"/>
                <w:lang w:val="en-US"/>
              </w:rPr>
              <w:t xml:space="preserve">If we use the comparison from question 9.26, based on the average default rate over the cycle, the senior tranches and the mezzanine tranches receive significant overcapitalization. </w:t>
            </w:r>
          </w:p>
          <w:p w14:paraId="053205A6" w14:textId="30359982" w:rsidR="00C21071" w:rsidRPr="00973525" w:rsidRDefault="00C21071" w:rsidP="00C21071">
            <w:pPr>
              <w:rPr>
                <w:sz w:val="18"/>
                <w:szCs w:val="18"/>
                <w:lang w:val="en-US"/>
              </w:rPr>
            </w:pPr>
            <w:r w:rsidRPr="00973525">
              <w:rPr>
                <w:sz w:val="18"/>
                <w:szCs w:val="18"/>
                <w:lang w:val="en-US"/>
              </w:rPr>
              <w:t xml:space="preserve">This is clearly linked to capital non neutrality as illustrates the example of the French RMBS whose pool would be risk weighted at 12%. The proper risk weight on a AAA senior tranche for a pool having 12% </w:t>
            </w:r>
            <w:proofErr w:type="gramStart"/>
            <w:r w:rsidRPr="00973525">
              <w:rPr>
                <w:sz w:val="18"/>
                <w:szCs w:val="18"/>
                <w:lang w:val="en-US"/>
              </w:rPr>
              <w:t>risk weight</w:t>
            </w:r>
            <w:proofErr w:type="gramEnd"/>
            <w:r w:rsidRPr="00973525">
              <w:rPr>
                <w:sz w:val="18"/>
                <w:szCs w:val="18"/>
                <w:lang w:val="en-US"/>
              </w:rPr>
              <w:t xml:space="preserve"> should be far below 10%.</w:t>
            </w:r>
          </w:p>
          <w:p w14:paraId="6B0F5259" w14:textId="312A05EF" w:rsidR="00C21071" w:rsidRPr="00973525" w:rsidRDefault="00C21071" w:rsidP="00C21071">
            <w:pPr>
              <w:rPr>
                <w:sz w:val="18"/>
                <w:szCs w:val="18"/>
                <w:lang w:val="en-US"/>
              </w:rPr>
            </w:pPr>
            <w:r w:rsidRPr="00973525">
              <w:rPr>
                <w:sz w:val="18"/>
                <w:szCs w:val="18"/>
                <w:lang w:val="en-US"/>
              </w:rPr>
              <w:t xml:space="preserve">With a cumulative average default rate of 0.12% over 10 years, we can expect 1% cumulative loss over 10 years in the extreme loss event that correspond to x8 the average (based on defaults in Europe, knowing that in France it is much lower). </w:t>
            </w:r>
          </w:p>
          <w:p w14:paraId="45D6FE24" w14:textId="0D270D06" w:rsidR="00C21071" w:rsidRPr="00DD3B19" w:rsidRDefault="00C21071" w:rsidP="00C21071">
            <w:pPr>
              <w:rPr>
                <w:b/>
                <w:bCs/>
                <w:sz w:val="18"/>
                <w:szCs w:val="18"/>
                <w:lang w:val="en-US"/>
              </w:rPr>
            </w:pPr>
            <w:r w:rsidRPr="00973525">
              <w:rPr>
                <w:sz w:val="18"/>
                <w:szCs w:val="18"/>
                <w:lang w:val="en-US"/>
              </w:rPr>
              <w:t xml:space="preserve">If we look at 1-year PD from S&amp;P, we have 0.06% and with x8 extreme loss stress it would require 0.5% of capital over the life of the transaction. Therefore, a </w:t>
            </w:r>
            <w:r w:rsidRPr="00DD3B19">
              <w:rPr>
                <w:b/>
                <w:bCs/>
                <w:sz w:val="18"/>
                <w:szCs w:val="18"/>
                <w:lang w:val="en-US"/>
              </w:rPr>
              <w:t>Risk weight between 6% and 12% would be already conservative rather than the 20% (or 70%) proposed by the regulation.</w:t>
            </w:r>
          </w:p>
          <w:p w14:paraId="63E094CD" w14:textId="77777777" w:rsidR="00C21071" w:rsidRPr="00973525" w:rsidRDefault="00C21071" w:rsidP="00C21071">
            <w:pPr>
              <w:rPr>
                <w:sz w:val="18"/>
                <w:szCs w:val="18"/>
                <w:lang w:val="en-US"/>
              </w:rPr>
            </w:pPr>
          </w:p>
          <w:p w14:paraId="39B961A0" w14:textId="433D3328" w:rsidR="00C21071" w:rsidRPr="00973525" w:rsidRDefault="00C21071" w:rsidP="00C21071">
            <w:pPr>
              <w:rPr>
                <w:sz w:val="18"/>
                <w:szCs w:val="18"/>
                <w:lang w:val="en-US"/>
              </w:rPr>
            </w:pPr>
            <w:r w:rsidRPr="00973525">
              <w:rPr>
                <w:sz w:val="18"/>
                <w:szCs w:val="18"/>
                <w:lang w:val="en-US"/>
              </w:rPr>
              <w:t xml:space="preserve">Similarly, </w:t>
            </w:r>
            <w:r w:rsidR="00856AD3">
              <w:rPr>
                <w:sz w:val="18"/>
                <w:szCs w:val="18"/>
                <w:lang w:val="en-US"/>
              </w:rPr>
              <w:t>under a</w:t>
            </w:r>
            <w:r w:rsidRPr="00973525">
              <w:rPr>
                <w:sz w:val="18"/>
                <w:szCs w:val="18"/>
                <w:lang w:val="en-US"/>
              </w:rPr>
              <w:t xml:space="preserve"> BBB rating</w:t>
            </w:r>
            <w:r w:rsidR="00856AD3">
              <w:rPr>
                <w:sz w:val="18"/>
                <w:szCs w:val="18"/>
                <w:lang w:val="en-US"/>
              </w:rPr>
              <w:t>,</w:t>
            </w:r>
            <w:r w:rsidRPr="00973525">
              <w:rPr>
                <w:sz w:val="18"/>
                <w:szCs w:val="18"/>
                <w:lang w:val="en-US"/>
              </w:rPr>
              <w:t xml:space="preserve"> the loss would be consistent with a capital requirement at a x8 stress (assuming 0.5% default/year), we would need between 5% and 10% capital requirement corresponding </w:t>
            </w:r>
            <w:r w:rsidRPr="003E1E49">
              <w:rPr>
                <w:b/>
                <w:bCs/>
                <w:sz w:val="18"/>
                <w:szCs w:val="18"/>
                <w:lang w:val="en-US"/>
              </w:rPr>
              <w:t>to 60% to 120% risk weight,</w:t>
            </w:r>
            <w:r w:rsidRPr="00973525">
              <w:rPr>
                <w:sz w:val="18"/>
                <w:szCs w:val="18"/>
                <w:lang w:val="en-US"/>
              </w:rPr>
              <w:t xml:space="preserve"> </w:t>
            </w:r>
            <w:r w:rsidRPr="003E1E49">
              <w:rPr>
                <w:b/>
                <w:bCs/>
                <w:sz w:val="18"/>
                <w:szCs w:val="18"/>
                <w:lang w:val="en-US"/>
              </w:rPr>
              <w:t>far below the 260% level of the regulation</w:t>
            </w:r>
            <w:r w:rsidRPr="00973525">
              <w:rPr>
                <w:sz w:val="18"/>
                <w:szCs w:val="18"/>
                <w:lang w:val="en-US"/>
              </w:rPr>
              <w:t xml:space="preserve"> (on 5Year mezzanine tranche). </w:t>
            </w:r>
          </w:p>
          <w:p w14:paraId="02D9CE85" w14:textId="77777777" w:rsidR="00C21071" w:rsidRPr="00973525" w:rsidRDefault="00C21071" w:rsidP="00C21071">
            <w:pPr>
              <w:rPr>
                <w:sz w:val="18"/>
                <w:szCs w:val="18"/>
                <w:lang w:val="en-GB"/>
              </w:rPr>
            </w:pPr>
          </w:p>
        </w:tc>
        <w:tc>
          <w:tcPr>
            <w:tcW w:w="236" w:type="dxa"/>
          </w:tcPr>
          <w:p w14:paraId="78D464E8" w14:textId="56B749F1" w:rsidR="00C21071" w:rsidRPr="00973525" w:rsidRDefault="00C21071" w:rsidP="0079353D">
            <w:pPr>
              <w:ind w:firstLine="1917"/>
              <w:rPr>
                <w:sz w:val="18"/>
                <w:szCs w:val="18"/>
                <w:lang w:val="en-GB"/>
              </w:rPr>
            </w:pPr>
          </w:p>
        </w:tc>
      </w:tr>
      <w:tr w:rsidR="00C21071" w:rsidRPr="0000602A" w14:paraId="6468AE86" w14:textId="77777777" w:rsidTr="30964D0C">
        <w:trPr>
          <w:gridAfter w:val="1"/>
          <w:wAfter w:w="16" w:type="dxa"/>
        </w:trPr>
        <w:tc>
          <w:tcPr>
            <w:tcW w:w="2893" w:type="dxa"/>
          </w:tcPr>
          <w:p w14:paraId="1FE4B530" w14:textId="77777777" w:rsidR="00C21071" w:rsidRPr="00973525" w:rsidRDefault="00C21071" w:rsidP="00C21071">
            <w:pPr>
              <w:rPr>
                <w:sz w:val="18"/>
                <w:szCs w:val="18"/>
                <w:lang w:val="en-GB"/>
              </w:rPr>
            </w:pPr>
            <w:r w:rsidRPr="00973525">
              <w:rPr>
                <w:sz w:val="18"/>
                <w:szCs w:val="18"/>
                <w:lang w:val="en-GB"/>
              </w:rPr>
              <w:t>Question 9.28. Based on your answer to 9.26., do you consider that a</w:t>
            </w:r>
            <w:r w:rsidRPr="00973525">
              <w:rPr>
                <w:b/>
                <w:bCs/>
                <w:sz w:val="18"/>
                <w:szCs w:val="18"/>
                <w:lang w:val="en-GB"/>
              </w:rPr>
              <w:t>lternative designs of the risk weight functions</w:t>
            </w:r>
            <w:r w:rsidRPr="00973525">
              <w:rPr>
                <w:sz w:val="18"/>
                <w:szCs w:val="18"/>
                <w:lang w:val="en-GB"/>
              </w:rPr>
              <w:t xml:space="preserve">, such as an </w:t>
            </w:r>
            <w:r w:rsidRPr="00973525">
              <w:rPr>
                <w:b/>
                <w:bCs/>
                <w:sz w:val="18"/>
                <w:szCs w:val="18"/>
                <w:lang w:val="en-GB"/>
              </w:rPr>
              <w:t>inverted S</w:t>
            </w:r>
            <w:r w:rsidRPr="00973525">
              <w:rPr>
                <w:b/>
                <w:bCs/>
                <w:sz w:val="18"/>
                <w:szCs w:val="18"/>
                <w:lang w:val="en-GB"/>
              </w:rPr>
              <w:noBreakHyphen/>
              <w:t>curve</w:t>
            </w:r>
            <w:r w:rsidRPr="00973525">
              <w:rPr>
                <w:sz w:val="18"/>
                <w:szCs w:val="18"/>
                <w:lang w:val="en-GB"/>
              </w:rPr>
              <w:t xml:space="preserve">, or introducing a </w:t>
            </w:r>
            <w:r w:rsidRPr="00973525">
              <w:rPr>
                <w:b/>
                <w:bCs/>
                <w:sz w:val="18"/>
                <w:szCs w:val="18"/>
                <w:lang w:val="en-GB"/>
              </w:rPr>
              <w:t>scaling parameter to scale the KA</w:t>
            </w:r>
            <w:r w:rsidRPr="00973525">
              <w:rPr>
                <w:sz w:val="18"/>
                <w:szCs w:val="18"/>
                <w:vertAlign w:val="superscript"/>
                <w:lang w:val="en-GB"/>
              </w:rPr>
              <w:t>[*]</w:t>
            </w:r>
            <w:r w:rsidRPr="00973525">
              <w:rPr>
                <w:sz w:val="18"/>
                <w:szCs w:val="18"/>
                <w:lang w:val="en-GB"/>
              </w:rPr>
              <w:t> downwards, within the current halfpipe design, as investigated in the Section 3.3.2 of the </w:t>
            </w:r>
            <w:r>
              <w:fldChar w:fldCharType="begin"/>
            </w:r>
            <w:r w:rsidRPr="0000602A">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 "_blank"</w:instrText>
            </w:r>
            <w:r>
              <w:fldChar w:fldCharType="separate"/>
            </w:r>
            <w:r w:rsidRPr="00973525">
              <w:rPr>
                <w:rStyle w:val="Lienhypertexte"/>
                <w:sz w:val="18"/>
                <w:szCs w:val="18"/>
                <w:lang w:val="en-GB"/>
              </w:rPr>
              <w:t>EBA Report</w:t>
            </w:r>
            <w:r>
              <w:rPr>
                <w:rStyle w:val="Lienhypertexte"/>
                <w:sz w:val="18"/>
                <w:szCs w:val="18"/>
                <w:lang w:val="en-GB"/>
              </w:rPr>
              <w:fldChar w:fldCharType="end"/>
            </w:r>
            <w:r w:rsidRPr="00973525">
              <w:rPr>
                <w:sz w:val="18"/>
                <w:szCs w:val="18"/>
                <w:lang w:val="en-GB"/>
              </w:rPr>
              <w:t xml:space="preserve">, have potential to achieve </w:t>
            </w:r>
            <w:r w:rsidRPr="00973525">
              <w:rPr>
                <w:b/>
                <w:bCs/>
                <w:sz w:val="18"/>
                <w:szCs w:val="18"/>
                <w:lang w:val="en-GB"/>
              </w:rPr>
              <w:t xml:space="preserve">more proportionate levels of capital </w:t>
            </w:r>
            <w:r w:rsidRPr="00973525">
              <w:rPr>
                <w:sz w:val="18"/>
                <w:szCs w:val="18"/>
                <w:lang w:val="en-GB"/>
              </w:rPr>
              <w:t>non</w:t>
            </w:r>
            <w:r w:rsidRPr="00973525">
              <w:rPr>
                <w:sz w:val="18"/>
                <w:szCs w:val="18"/>
                <w:lang w:val="en-GB"/>
              </w:rPr>
              <w:noBreakHyphen/>
              <w:t xml:space="preserve">neutrality and capital distribution across tranches, address the potential </w:t>
            </w:r>
            <w:r w:rsidRPr="00973525">
              <w:rPr>
                <w:b/>
                <w:bCs/>
                <w:sz w:val="18"/>
                <w:szCs w:val="18"/>
                <w:lang w:val="en-GB"/>
              </w:rPr>
              <w:t>cliff effects</w:t>
            </w:r>
            <w:r w:rsidRPr="00973525">
              <w:rPr>
                <w:sz w:val="18"/>
                <w:szCs w:val="18"/>
                <w:lang w:val="en-GB"/>
              </w:rPr>
              <w:t xml:space="preserve"> more appropriately and achieve prudential objectives?</w:t>
            </w:r>
          </w:p>
          <w:p w14:paraId="4904E68A" w14:textId="77777777" w:rsidR="00C21071" w:rsidRPr="00973525" w:rsidRDefault="00C21071" w:rsidP="00C21071">
            <w:pPr>
              <w:rPr>
                <w:sz w:val="18"/>
                <w:szCs w:val="18"/>
                <w:lang w:val="en-GB"/>
              </w:rPr>
            </w:pPr>
            <w:r w:rsidRPr="00973525">
              <w:rPr>
                <w:sz w:val="18"/>
                <w:szCs w:val="18"/>
                <w:lang w:val="en-GB"/>
              </w:rPr>
              <w:t>* KA factor as specified in paragraph 2 of Article 261 of the CRR, for the purpose of calculation of the capital charge under the standardised approach (SEC-SA).</w:t>
            </w:r>
          </w:p>
          <w:p w14:paraId="703EC4BF" w14:textId="77777777" w:rsidR="00C21071" w:rsidRPr="00973525" w:rsidRDefault="00C21071" w:rsidP="00C21071">
            <w:pPr>
              <w:rPr>
                <w:sz w:val="18"/>
                <w:szCs w:val="18"/>
                <w:lang w:val="en-GB"/>
              </w:rPr>
            </w:pPr>
          </w:p>
        </w:tc>
        <w:tc>
          <w:tcPr>
            <w:tcW w:w="7740" w:type="dxa"/>
          </w:tcPr>
          <w:p w14:paraId="53113868" w14:textId="77777777" w:rsidR="00C21071" w:rsidRPr="00973525" w:rsidRDefault="00C21071" w:rsidP="00C21071">
            <w:pPr>
              <w:rPr>
                <w:sz w:val="18"/>
                <w:szCs w:val="18"/>
                <w:lang w:val="en-GB"/>
              </w:rPr>
            </w:pPr>
            <w:r w:rsidRPr="00973525">
              <w:rPr>
                <w:sz w:val="18"/>
                <w:szCs w:val="18"/>
                <w:lang w:val="en-GB"/>
              </w:rPr>
              <w:t>Answer</w:t>
            </w:r>
          </w:p>
          <w:p w14:paraId="56ADD5DB" w14:textId="040446DB" w:rsidR="00C21071" w:rsidRPr="00973525" w:rsidRDefault="00000000" w:rsidP="00C21071">
            <w:pPr>
              <w:rPr>
                <w:sz w:val="18"/>
                <w:szCs w:val="18"/>
                <w:lang w:val="en-GB"/>
              </w:rPr>
            </w:pPr>
            <w:sdt>
              <w:sdtPr>
                <w:rPr>
                  <w:sz w:val="18"/>
                  <w:szCs w:val="18"/>
                  <w:lang w:val="en-GB"/>
                </w:rPr>
                <w:id w:val="327329595"/>
                <w14:checkbox>
                  <w14:checked w14:val="1"/>
                  <w14:checkedState w14:val="2612" w14:font="MS Gothic"/>
                  <w14:uncheckedState w14:val="2610" w14:font="MS Gothic"/>
                </w14:checkbox>
              </w:sdtPr>
              <w:sdtContent>
                <w:r w:rsidR="00C21071" w:rsidRPr="00973525">
                  <w:rPr>
                    <w:rFonts w:ascii="MS Gothic" w:eastAsia="MS Gothic" w:hAnsi="MS Gothic" w:hint="eastAsia"/>
                    <w:sz w:val="18"/>
                    <w:szCs w:val="18"/>
                    <w:lang w:val="en-GB"/>
                  </w:rPr>
                  <w:t>☒</w:t>
                </w:r>
              </w:sdtContent>
            </w:sdt>
            <w:r w:rsidR="00C21071" w:rsidRPr="00973525">
              <w:rPr>
                <w:sz w:val="18"/>
                <w:szCs w:val="18"/>
                <w:lang w:val="en-GB"/>
              </w:rPr>
              <w:t>Yes</w:t>
            </w:r>
          </w:p>
          <w:p w14:paraId="65F217DC" w14:textId="77777777" w:rsidR="00C21071" w:rsidRPr="00973525" w:rsidRDefault="00000000" w:rsidP="00C21071">
            <w:pPr>
              <w:rPr>
                <w:sz w:val="18"/>
                <w:szCs w:val="18"/>
                <w:lang w:val="en-GB"/>
              </w:rPr>
            </w:pPr>
            <w:sdt>
              <w:sdtPr>
                <w:rPr>
                  <w:sz w:val="18"/>
                  <w:szCs w:val="18"/>
                  <w:lang w:val="en-GB"/>
                </w:rPr>
                <w:id w:val="-470976458"/>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No</w:t>
            </w:r>
          </w:p>
          <w:p w14:paraId="138A42F1" w14:textId="77777777" w:rsidR="00C21071" w:rsidRPr="00973525" w:rsidRDefault="00000000" w:rsidP="00C21071">
            <w:pPr>
              <w:rPr>
                <w:sz w:val="18"/>
                <w:szCs w:val="18"/>
                <w:lang w:val="en-GB"/>
              </w:rPr>
            </w:pPr>
            <w:sdt>
              <w:sdtPr>
                <w:rPr>
                  <w:sz w:val="18"/>
                  <w:szCs w:val="18"/>
                  <w:lang w:val="en-GB"/>
                </w:rPr>
                <w:id w:val="315220521"/>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3A36E03B" w14:textId="77777777" w:rsidR="00C21071" w:rsidRPr="00973525" w:rsidRDefault="00C21071" w:rsidP="00C21071">
            <w:pPr>
              <w:rPr>
                <w:sz w:val="18"/>
                <w:szCs w:val="18"/>
                <w:lang w:val="en-GB"/>
              </w:rPr>
            </w:pPr>
          </w:p>
          <w:p w14:paraId="330ED83C" w14:textId="77777777" w:rsidR="00C21071" w:rsidRPr="00973525" w:rsidRDefault="00C21071" w:rsidP="00C21071">
            <w:pPr>
              <w:rPr>
                <w:sz w:val="18"/>
                <w:szCs w:val="18"/>
                <w:lang w:val="en-GB"/>
              </w:rPr>
            </w:pPr>
          </w:p>
        </w:tc>
        <w:tc>
          <w:tcPr>
            <w:tcW w:w="236" w:type="dxa"/>
          </w:tcPr>
          <w:p w14:paraId="5B8A5195" w14:textId="2F047271" w:rsidR="00C21071" w:rsidRPr="00973525" w:rsidRDefault="00C21071" w:rsidP="0079353D">
            <w:pPr>
              <w:ind w:firstLine="1917"/>
              <w:rPr>
                <w:i/>
                <w:iCs/>
                <w:sz w:val="18"/>
                <w:szCs w:val="18"/>
                <w:lang w:val="en-GB"/>
              </w:rPr>
            </w:pPr>
          </w:p>
        </w:tc>
      </w:tr>
      <w:tr w:rsidR="00C21071" w:rsidRPr="0000602A" w14:paraId="0D102E7A" w14:textId="77777777" w:rsidTr="30964D0C">
        <w:trPr>
          <w:gridAfter w:val="1"/>
          <w:wAfter w:w="16" w:type="dxa"/>
        </w:trPr>
        <w:tc>
          <w:tcPr>
            <w:tcW w:w="2893" w:type="dxa"/>
          </w:tcPr>
          <w:p w14:paraId="277BD8EB" w14:textId="77777777" w:rsidR="00C21071" w:rsidRPr="00973525" w:rsidRDefault="00C21071" w:rsidP="00C21071">
            <w:pPr>
              <w:rPr>
                <w:sz w:val="18"/>
                <w:szCs w:val="18"/>
                <w:lang w:val="en-GB"/>
              </w:rPr>
            </w:pPr>
            <w:r w:rsidRPr="00973525">
              <w:rPr>
                <w:sz w:val="18"/>
                <w:szCs w:val="18"/>
                <w:lang w:val="en-GB"/>
              </w:rPr>
              <w:lastRenderedPageBreak/>
              <w:t>Please explain your answer to question 9.28:</w:t>
            </w:r>
          </w:p>
          <w:p w14:paraId="1EFC2C04" w14:textId="77777777" w:rsidR="00C21071" w:rsidRPr="00973525" w:rsidRDefault="00C21071" w:rsidP="00C21071">
            <w:pPr>
              <w:rPr>
                <w:sz w:val="18"/>
                <w:szCs w:val="18"/>
                <w:lang w:val="en-GB"/>
              </w:rPr>
            </w:pPr>
          </w:p>
        </w:tc>
        <w:tc>
          <w:tcPr>
            <w:tcW w:w="7740" w:type="dxa"/>
          </w:tcPr>
          <w:p w14:paraId="60194719" w14:textId="27508BD9" w:rsidR="00C21071" w:rsidRPr="00973525" w:rsidRDefault="00C21071" w:rsidP="00C21071">
            <w:pPr>
              <w:rPr>
                <w:sz w:val="18"/>
                <w:szCs w:val="18"/>
                <w:lang w:val="en-US"/>
              </w:rPr>
            </w:pPr>
            <w:r w:rsidRPr="00973525">
              <w:rPr>
                <w:b/>
                <w:bCs/>
                <w:sz w:val="18"/>
                <w:szCs w:val="18"/>
                <w:lang w:val="en-US"/>
              </w:rPr>
              <w:t xml:space="preserve">Even if we would be much more supportive of a reduction of p-Factor as suggested in Question 9.23, </w:t>
            </w:r>
            <w:r w:rsidRPr="00973525">
              <w:rPr>
                <w:sz w:val="18"/>
                <w:szCs w:val="18"/>
                <w:lang w:val="en-US"/>
              </w:rPr>
              <w:t xml:space="preserve">the </w:t>
            </w:r>
            <w:r w:rsidRPr="00973525">
              <w:rPr>
                <w:b/>
                <w:bCs/>
                <w:sz w:val="18"/>
                <w:szCs w:val="18"/>
                <w:u w:val="single"/>
                <w:lang w:val="en-US"/>
              </w:rPr>
              <w:t xml:space="preserve">introduction of the scaling parameter on KA (and </w:t>
            </w:r>
            <w:proofErr w:type="spellStart"/>
            <w:r w:rsidRPr="00973525">
              <w:rPr>
                <w:b/>
                <w:bCs/>
                <w:sz w:val="18"/>
                <w:szCs w:val="18"/>
                <w:u w:val="single"/>
                <w:lang w:val="en-US"/>
              </w:rPr>
              <w:t>Kirb</w:t>
            </w:r>
            <w:proofErr w:type="spellEnd"/>
            <w:r w:rsidRPr="00973525">
              <w:rPr>
                <w:b/>
                <w:bCs/>
                <w:sz w:val="18"/>
                <w:szCs w:val="18"/>
                <w:u w:val="single"/>
                <w:lang w:val="en-US"/>
              </w:rPr>
              <w:t xml:space="preserve">), </w:t>
            </w:r>
            <w:r w:rsidRPr="0018044B">
              <w:rPr>
                <w:b/>
                <w:bCs/>
                <w:sz w:val="18"/>
                <w:szCs w:val="18"/>
                <w:u w:val="single"/>
                <w:lang w:val="en-US"/>
              </w:rPr>
              <w:t xml:space="preserve">under the Standard </w:t>
            </w:r>
            <w:r w:rsidR="00985B38" w:rsidRPr="0018044B">
              <w:rPr>
                <w:b/>
                <w:bCs/>
                <w:sz w:val="18"/>
                <w:szCs w:val="18"/>
                <w:u w:val="single"/>
                <w:lang w:val="en-US"/>
              </w:rPr>
              <w:t>Approach</w:t>
            </w:r>
            <w:r w:rsidR="00985B38" w:rsidRPr="00985B38">
              <w:rPr>
                <w:b/>
                <w:bCs/>
                <w:sz w:val="18"/>
                <w:szCs w:val="18"/>
                <w:u w:val="single"/>
                <w:lang w:val="en-US"/>
              </w:rPr>
              <w:t>,</w:t>
            </w:r>
            <w:r w:rsidR="00985B38" w:rsidRPr="00973525">
              <w:rPr>
                <w:b/>
                <w:bCs/>
                <w:sz w:val="18"/>
                <w:szCs w:val="18"/>
                <w:u w:val="single"/>
                <w:lang w:val="en-US"/>
              </w:rPr>
              <w:t xml:space="preserve"> </w:t>
            </w:r>
            <w:r w:rsidR="00985B38" w:rsidRPr="00973525">
              <w:rPr>
                <w:sz w:val="18"/>
                <w:szCs w:val="18"/>
                <w:lang w:val="en-US"/>
              </w:rPr>
              <w:t>could</w:t>
            </w:r>
            <w:r w:rsidRPr="00973525">
              <w:rPr>
                <w:sz w:val="18"/>
                <w:szCs w:val="18"/>
                <w:lang w:val="en-US"/>
              </w:rPr>
              <w:t xml:space="preserve"> be an alternative solution to reduce this overstatement on mezzanine </w:t>
            </w:r>
            <w:proofErr w:type="gramStart"/>
            <w:r w:rsidRPr="00973525">
              <w:rPr>
                <w:sz w:val="18"/>
                <w:szCs w:val="18"/>
                <w:lang w:val="en-US"/>
              </w:rPr>
              <w:t>tranches</w:t>
            </w:r>
            <w:proofErr w:type="gramEnd"/>
            <w:r w:rsidRPr="00973525">
              <w:rPr>
                <w:sz w:val="18"/>
                <w:szCs w:val="18"/>
                <w:lang w:val="en-US"/>
              </w:rPr>
              <w:t xml:space="preserve"> and be closer to the inverted S-curve. </w:t>
            </w:r>
          </w:p>
          <w:p w14:paraId="49220A9C" w14:textId="77777777" w:rsidR="000D672E" w:rsidRPr="00973525" w:rsidRDefault="000D672E" w:rsidP="000D672E">
            <w:pPr>
              <w:rPr>
                <w:sz w:val="18"/>
                <w:szCs w:val="18"/>
                <w:lang w:val="en-US"/>
              </w:rPr>
            </w:pPr>
          </w:p>
          <w:p w14:paraId="39FDDE9C" w14:textId="77777777" w:rsidR="000D672E" w:rsidRPr="000D672E" w:rsidRDefault="000D672E" w:rsidP="000D672E">
            <w:pPr>
              <w:rPr>
                <w:sz w:val="18"/>
                <w:szCs w:val="18"/>
                <w:lang w:val="en-GB"/>
              </w:rPr>
            </w:pPr>
            <w:r w:rsidRPr="000D672E">
              <w:rPr>
                <w:sz w:val="18"/>
                <w:szCs w:val="18"/>
                <w:lang w:val="en-GB"/>
              </w:rPr>
              <w:t>We remind that</w:t>
            </w:r>
            <w:r w:rsidRPr="003C08FD">
              <w:rPr>
                <w:b/>
                <w:bCs/>
                <w:sz w:val="18"/>
                <w:szCs w:val="18"/>
                <w:lang w:val="en-GB"/>
              </w:rPr>
              <w:t xml:space="preserve"> </w:t>
            </w:r>
            <w:r w:rsidRPr="000D672E">
              <w:rPr>
                <w:sz w:val="18"/>
                <w:szCs w:val="18"/>
                <w:lang w:val="en-GB"/>
              </w:rPr>
              <w:t>French banks are more</w:t>
            </w:r>
            <w:r w:rsidRPr="003C08FD">
              <w:rPr>
                <w:b/>
                <w:bCs/>
                <w:sz w:val="18"/>
                <w:szCs w:val="18"/>
                <w:lang w:val="en-GB"/>
              </w:rPr>
              <w:t xml:space="preserve"> reserved about applying inverted S-Curve Method in full, </w:t>
            </w:r>
            <w:r w:rsidRPr="000D672E">
              <w:rPr>
                <w:sz w:val="18"/>
                <w:szCs w:val="18"/>
                <w:lang w:val="en-GB"/>
              </w:rPr>
              <w:t>but the comparison with this method remains a good measure of the degree of non-neutrality of capital.</w:t>
            </w:r>
          </w:p>
          <w:p w14:paraId="5B51DBA4" w14:textId="77777777" w:rsidR="000D672E" w:rsidRPr="000D672E" w:rsidRDefault="000D672E" w:rsidP="000D672E">
            <w:pPr>
              <w:rPr>
                <w:sz w:val="18"/>
                <w:szCs w:val="18"/>
                <w:lang w:val="en-GB"/>
              </w:rPr>
            </w:pPr>
            <w:r w:rsidRPr="000D672E">
              <w:rPr>
                <w:sz w:val="18"/>
                <w:szCs w:val="18"/>
                <w:lang w:val="en-US"/>
              </w:rPr>
              <w:t xml:space="preserve">Following the ESA’s comments, as a potential solution to be further explored in a </w:t>
            </w:r>
            <w:r w:rsidRPr="000D672E">
              <w:rPr>
                <w:b/>
                <w:bCs/>
                <w:sz w:val="18"/>
                <w:szCs w:val="18"/>
                <w:lang w:val="en-US"/>
              </w:rPr>
              <w:t>medium or long -term horizon</w:t>
            </w:r>
            <w:r w:rsidRPr="000D672E">
              <w:rPr>
                <w:sz w:val="18"/>
                <w:szCs w:val="18"/>
                <w:lang w:val="en-US"/>
              </w:rPr>
              <w:t>, the inverted S-curve is the most economic capital allocation.</w:t>
            </w:r>
          </w:p>
          <w:p w14:paraId="12D2D6DD" w14:textId="77777777" w:rsidR="000D672E" w:rsidRPr="005A6D81" w:rsidRDefault="000D672E" w:rsidP="00C21071">
            <w:pPr>
              <w:rPr>
                <w:sz w:val="18"/>
                <w:szCs w:val="18"/>
                <w:lang w:val="en-GB"/>
              </w:rPr>
            </w:pPr>
          </w:p>
          <w:p w14:paraId="6CFBC5BC" w14:textId="1B7596CD" w:rsidR="00C21071" w:rsidRPr="00973525" w:rsidRDefault="00C21071" w:rsidP="00C21071">
            <w:pPr>
              <w:rPr>
                <w:sz w:val="18"/>
                <w:szCs w:val="18"/>
                <w:lang w:val="en-US"/>
              </w:rPr>
            </w:pPr>
            <w:r w:rsidRPr="00973525">
              <w:rPr>
                <w:sz w:val="18"/>
                <w:szCs w:val="18"/>
                <w:lang w:val="en-US"/>
              </w:rPr>
              <w:t xml:space="preserve">Basically, it can be summarized as having a pivot around the attachment point equal to </w:t>
            </w:r>
            <w:proofErr w:type="spellStart"/>
            <w:r w:rsidRPr="00973525">
              <w:rPr>
                <w:sz w:val="18"/>
                <w:szCs w:val="18"/>
                <w:lang w:val="en-US"/>
              </w:rPr>
              <w:t>Kirb</w:t>
            </w:r>
            <w:proofErr w:type="spellEnd"/>
            <w:r w:rsidRPr="00973525">
              <w:rPr>
                <w:sz w:val="18"/>
                <w:szCs w:val="18"/>
                <w:lang w:val="en-US"/>
              </w:rPr>
              <w:t xml:space="preserve"> value, with 625% RWA, and reaching near-0% RWA when the attachment point is 2xKirb. The SEC ERBA table for mezzanine tranche with 1 Year maturity is relatively in line with this inverted S-curve, except for the upper part. </w:t>
            </w:r>
          </w:p>
          <w:p w14:paraId="11DDBB7B" w14:textId="3F8E5A5C" w:rsidR="00C21071" w:rsidRPr="00973525" w:rsidRDefault="00C21071" w:rsidP="00C21071">
            <w:pPr>
              <w:rPr>
                <w:sz w:val="18"/>
                <w:szCs w:val="18"/>
                <w:lang w:val="en-US"/>
              </w:rPr>
            </w:pPr>
            <w:r w:rsidRPr="00973525">
              <w:rPr>
                <w:sz w:val="18"/>
                <w:szCs w:val="18"/>
                <w:lang w:val="en-US"/>
              </w:rPr>
              <w:t xml:space="preserve">But the inverted S curve reaches near-0% value which understate the risk on the upper side and can be efficiently corrected by the floor we propose (7%x </w:t>
            </w:r>
            <w:proofErr w:type="spellStart"/>
            <w:r w:rsidRPr="00973525">
              <w:rPr>
                <w:sz w:val="18"/>
                <w:szCs w:val="18"/>
                <w:lang w:val="en-US"/>
              </w:rPr>
              <w:t>RWPool</w:t>
            </w:r>
            <w:proofErr w:type="spellEnd"/>
            <w:r w:rsidRPr="00973525">
              <w:rPr>
                <w:sz w:val="18"/>
                <w:szCs w:val="18"/>
                <w:lang w:val="en-US"/>
              </w:rPr>
              <w:t xml:space="preserve"> for STS or 12%xRWPoll for non-STS).</w:t>
            </w:r>
          </w:p>
          <w:p w14:paraId="026E0CAB" w14:textId="77777777" w:rsidR="00C21071" w:rsidRPr="00973525" w:rsidRDefault="00C21071" w:rsidP="00C21071">
            <w:pPr>
              <w:rPr>
                <w:sz w:val="18"/>
                <w:szCs w:val="18"/>
                <w:lang w:val="en-US"/>
              </w:rPr>
            </w:pPr>
            <w:r w:rsidRPr="00973525">
              <w:rPr>
                <w:sz w:val="18"/>
                <w:szCs w:val="18"/>
                <w:lang w:val="en-US"/>
              </w:rPr>
              <w:t>It is also important to remove discrepancies between regulatory methods, which could be addressed by mapping all methods to a single approach.</w:t>
            </w:r>
          </w:p>
          <w:p w14:paraId="52E8AB53" w14:textId="47CDA363" w:rsidR="00C21071" w:rsidRPr="00973525" w:rsidRDefault="00C21071" w:rsidP="00C21071">
            <w:pPr>
              <w:rPr>
                <w:sz w:val="18"/>
                <w:szCs w:val="18"/>
                <w:lang w:val="en-US"/>
              </w:rPr>
            </w:pPr>
            <w:proofErr w:type="gramStart"/>
            <w:r w:rsidRPr="00973525">
              <w:rPr>
                <w:sz w:val="18"/>
                <w:szCs w:val="18"/>
                <w:lang w:val="en-US"/>
              </w:rPr>
              <w:t>Taking into account</w:t>
            </w:r>
            <w:proofErr w:type="gramEnd"/>
            <w:r w:rsidRPr="00973525">
              <w:rPr>
                <w:sz w:val="18"/>
                <w:szCs w:val="18"/>
                <w:lang w:val="en-US"/>
              </w:rPr>
              <w:t xml:space="preserve"> those two modifications, the inverted S-curve </w:t>
            </w:r>
            <w:r w:rsidR="003E1E49" w:rsidRPr="00973525">
              <w:rPr>
                <w:sz w:val="18"/>
                <w:szCs w:val="18"/>
                <w:lang w:val="en-US"/>
              </w:rPr>
              <w:t>would</w:t>
            </w:r>
            <w:r w:rsidRPr="00973525">
              <w:rPr>
                <w:sz w:val="18"/>
                <w:szCs w:val="18"/>
                <w:lang w:val="en-US"/>
              </w:rPr>
              <w:t xml:space="preserve"> be appropriate for the calculation when the bank is originator (or ABCP sponsor), bearing in mind that every method should be </w:t>
            </w:r>
            <w:proofErr w:type="gramStart"/>
            <w:r w:rsidRPr="00973525">
              <w:rPr>
                <w:sz w:val="18"/>
                <w:szCs w:val="18"/>
                <w:lang w:val="en-US"/>
              </w:rPr>
              <w:t>adapted</w:t>
            </w:r>
            <w:proofErr w:type="gramEnd"/>
            <w:r w:rsidRPr="00973525">
              <w:rPr>
                <w:sz w:val="18"/>
                <w:szCs w:val="18"/>
                <w:lang w:val="en-US"/>
              </w:rPr>
              <w:t xml:space="preserve"> (IAA, SEC ERBA, SEC SA, SEC IRBA). It will be also useful to simplify the SRT transfer ratio.</w:t>
            </w:r>
          </w:p>
          <w:p w14:paraId="6C77CE53" w14:textId="77777777" w:rsidR="00C21071" w:rsidRPr="00973525" w:rsidRDefault="00C21071" w:rsidP="00C21071">
            <w:pPr>
              <w:rPr>
                <w:sz w:val="18"/>
                <w:szCs w:val="18"/>
                <w:lang w:val="en-US"/>
              </w:rPr>
            </w:pPr>
          </w:p>
          <w:p w14:paraId="4B334202" w14:textId="77777777" w:rsidR="00C21071" w:rsidRPr="00973525" w:rsidRDefault="00C21071" w:rsidP="00C21071">
            <w:pPr>
              <w:rPr>
                <w:sz w:val="18"/>
                <w:szCs w:val="18"/>
                <w:lang w:val="en-US"/>
              </w:rPr>
            </w:pPr>
            <w:r w:rsidRPr="00973525">
              <w:rPr>
                <w:sz w:val="18"/>
                <w:szCs w:val="18"/>
                <w:lang w:val="en-US"/>
              </w:rPr>
              <w:t>We would like to stress also that the inverted S curve design has been estimated for a pool of performing loans. The extension of this approach to a NPL portfolio or other non-loan category would require an adaptation.</w:t>
            </w:r>
          </w:p>
          <w:p w14:paraId="08782A4F" w14:textId="77777777" w:rsidR="00C21071" w:rsidRPr="00973525" w:rsidRDefault="00C21071" w:rsidP="00C21071">
            <w:pPr>
              <w:rPr>
                <w:sz w:val="18"/>
                <w:szCs w:val="18"/>
                <w:lang w:val="en-US"/>
              </w:rPr>
            </w:pPr>
          </w:p>
          <w:p w14:paraId="4B31470E" w14:textId="77777777" w:rsidR="00C21071" w:rsidRPr="00973525" w:rsidRDefault="00C21071" w:rsidP="00C21071">
            <w:pPr>
              <w:rPr>
                <w:sz w:val="18"/>
                <w:szCs w:val="18"/>
                <w:lang w:val="en-GB"/>
              </w:rPr>
            </w:pPr>
          </w:p>
        </w:tc>
        <w:tc>
          <w:tcPr>
            <w:tcW w:w="236" w:type="dxa"/>
          </w:tcPr>
          <w:p w14:paraId="3C7FC75E" w14:textId="197BDE9D" w:rsidR="00C21071" w:rsidRPr="007C79DF" w:rsidRDefault="00C21071" w:rsidP="0079353D">
            <w:pPr>
              <w:ind w:firstLine="1917"/>
              <w:rPr>
                <w:sz w:val="18"/>
                <w:szCs w:val="18"/>
                <w:lang w:val="en-GB"/>
              </w:rPr>
            </w:pPr>
          </w:p>
        </w:tc>
      </w:tr>
      <w:tr w:rsidR="00C21071" w:rsidRPr="0000602A" w14:paraId="7ABF4926" w14:textId="77777777" w:rsidTr="30964D0C">
        <w:trPr>
          <w:gridAfter w:val="1"/>
          <w:wAfter w:w="16" w:type="dxa"/>
        </w:trPr>
        <w:tc>
          <w:tcPr>
            <w:tcW w:w="2893" w:type="dxa"/>
          </w:tcPr>
          <w:p w14:paraId="71B0D330" w14:textId="77777777" w:rsidR="00C21071" w:rsidRPr="00973525" w:rsidRDefault="00C21071" w:rsidP="00C21071">
            <w:pPr>
              <w:rPr>
                <w:sz w:val="18"/>
                <w:szCs w:val="18"/>
                <w:lang w:val="en-GB"/>
              </w:rPr>
            </w:pPr>
            <w:r w:rsidRPr="00973525">
              <w:rPr>
                <w:sz w:val="18"/>
                <w:szCs w:val="18"/>
                <w:lang w:val="en-GB"/>
              </w:rPr>
              <w:t xml:space="preserve">Question 9.29. If you answered yes to question 9.28, please </w:t>
            </w:r>
            <w:r w:rsidRPr="00973525">
              <w:rPr>
                <w:b/>
                <w:bCs/>
                <w:sz w:val="18"/>
                <w:szCs w:val="18"/>
                <w:lang w:val="en-GB"/>
              </w:rPr>
              <w:t xml:space="preserve">specify the impact of such alternative design </w:t>
            </w:r>
            <w:r w:rsidRPr="00973525">
              <w:rPr>
                <w:sz w:val="18"/>
                <w:szCs w:val="18"/>
                <w:lang w:val="en-GB"/>
              </w:rPr>
              <w:t xml:space="preserve">compared to the existing risk weight functions and explain an </w:t>
            </w:r>
            <w:r w:rsidRPr="00973525">
              <w:rPr>
                <w:b/>
                <w:bCs/>
                <w:sz w:val="18"/>
                <w:szCs w:val="18"/>
                <w:lang w:val="en-GB"/>
              </w:rPr>
              <w:t>appropriate calibration</w:t>
            </w:r>
            <w:r w:rsidRPr="00973525">
              <w:rPr>
                <w:sz w:val="18"/>
                <w:szCs w:val="18"/>
                <w:lang w:val="en-GB"/>
              </w:rPr>
              <w:t xml:space="preserve"> of such alternative designs and possible safeguards for the measures to achieve prudential objectives.</w:t>
            </w:r>
          </w:p>
          <w:p w14:paraId="1583C3A1" w14:textId="77777777" w:rsidR="00C21071" w:rsidRPr="00973525" w:rsidRDefault="00C21071" w:rsidP="00C21071">
            <w:pPr>
              <w:rPr>
                <w:sz w:val="18"/>
                <w:szCs w:val="18"/>
                <w:lang w:val="en-GB"/>
              </w:rPr>
            </w:pPr>
          </w:p>
        </w:tc>
        <w:tc>
          <w:tcPr>
            <w:tcW w:w="7740" w:type="dxa"/>
          </w:tcPr>
          <w:p w14:paraId="4F831CCC" w14:textId="77777777" w:rsidR="00DB6B1B" w:rsidRDefault="00C21071" w:rsidP="00C21071">
            <w:pPr>
              <w:rPr>
                <w:sz w:val="18"/>
                <w:szCs w:val="18"/>
                <w:lang w:val="en-US"/>
              </w:rPr>
            </w:pPr>
            <w:r w:rsidRPr="00973525">
              <w:rPr>
                <w:sz w:val="18"/>
                <w:szCs w:val="18"/>
                <w:lang w:val="en-US"/>
              </w:rPr>
              <w:t xml:space="preserve">Regarding the calibration of the p-factor, our preferred option </w:t>
            </w:r>
            <w:r w:rsidR="009F3B5A">
              <w:rPr>
                <w:sz w:val="18"/>
                <w:szCs w:val="18"/>
                <w:lang w:val="en-US"/>
              </w:rPr>
              <w:t>remains</w:t>
            </w:r>
            <w:r w:rsidR="00031271">
              <w:rPr>
                <w:sz w:val="18"/>
                <w:szCs w:val="18"/>
                <w:lang w:val="en-US"/>
              </w:rPr>
              <w:t xml:space="preserve"> </w:t>
            </w:r>
            <w:r w:rsidR="00031271" w:rsidRPr="00973525">
              <w:rPr>
                <w:sz w:val="18"/>
                <w:szCs w:val="18"/>
                <w:lang w:val="en-US"/>
              </w:rPr>
              <w:t xml:space="preserve">Q.23 </w:t>
            </w:r>
            <w:r w:rsidR="00DB6B1B">
              <w:rPr>
                <w:sz w:val="18"/>
                <w:szCs w:val="18"/>
                <w:lang w:val="en-US"/>
              </w:rPr>
              <w:t xml:space="preserve">as a first </w:t>
            </w:r>
            <w:proofErr w:type="gramStart"/>
            <w:r w:rsidR="00DB6B1B">
              <w:rPr>
                <w:sz w:val="18"/>
                <w:szCs w:val="18"/>
                <w:lang w:val="en-US"/>
              </w:rPr>
              <w:t>choice, (</w:t>
            </w:r>
            <w:proofErr w:type="gramEnd"/>
            <w:r w:rsidR="00DB6B1B">
              <w:rPr>
                <w:sz w:val="18"/>
                <w:szCs w:val="18"/>
                <w:lang w:val="en-US"/>
              </w:rPr>
              <w:t xml:space="preserve">even if </w:t>
            </w:r>
            <w:r w:rsidR="00DB6B1B" w:rsidRPr="00973525">
              <w:rPr>
                <w:sz w:val="18"/>
                <w:szCs w:val="18"/>
                <w:lang w:val="en-US"/>
              </w:rPr>
              <w:t xml:space="preserve">the </w:t>
            </w:r>
            <w:proofErr w:type="gramStart"/>
            <w:r w:rsidR="00DB6B1B" w:rsidRPr="00973525">
              <w:rPr>
                <w:sz w:val="18"/>
                <w:szCs w:val="18"/>
                <w:lang w:val="en-US"/>
              </w:rPr>
              <w:t>two  alternatives</w:t>
            </w:r>
            <w:proofErr w:type="gramEnd"/>
            <w:r w:rsidR="00DB6B1B" w:rsidRPr="00973525">
              <w:rPr>
                <w:sz w:val="18"/>
                <w:szCs w:val="18"/>
                <w:lang w:val="en-US"/>
              </w:rPr>
              <w:t xml:space="preserve"> in Q.28  will </w:t>
            </w:r>
            <w:r w:rsidR="00DB6B1B">
              <w:rPr>
                <w:sz w:val="18"/>
                <w:szCs w:val="18"/>
                <w:lang w:val="en-US"/>
              </w:rPr>
              <w:t xml:space="preserve">also </w:t>
            </w:r>
            <w:r w:rsidR="00DB6B1B" w:rsidRPr="00973525">
              <w:rPr>
                <w:sz w:val="18"/>
                <w:szCs w:val="18"/>
                <w:lang w:val="en-US"/>
              </w:rPr>
              <w:t>allow much more assets to be securitized</w:t>
            </w:r>
            <w:r w:rsidR="00DB6B1B">
              <w:rPr>
                <w:sz w:val="18"/>
                <w:szCs w:val="18"/>
                <w:lang w:val="en-US"/>
              </w:rPr>
              <w:t>)</w:t>
            </w:r>
            <w:r w:rsidR="00DB6B1B" w:rsidRPr="00973525">
              <w:rPr>
                <w:sz w:val="18"/>
                <w:szCs w:val="18"/>
                <w:lang w:val="en-US"/>
              </w:rPr>
              <w:t xml:space="preserve">. </w:t>
            </w:r>
          </w:p>
          <w:p w14:paraId="512C311F" w14:textId="66AB2A50" w:rsidR="00C21071" w:rsidRPr="00973525" w:rsidRDefault="00C21071" w:rsidP="00C21071">
            <w:pPr>
              <w:rPr>
                <w:sz w:val="18"/>
                <w:szCs w:val="18"/>
                <w:lang w:val="en-US"/>
              </w:rPr>
            </w:pPr>
            <w:r w:rsidRPr="00973525">
              <w:rPr>
                <w:sz w:val="18"/>
                <w:szCs w:val="18"/>
                <w:lang w:val="en-US"/>
              </w:rPr>
              <w:t>The reduction of the mezzanine Risk Weight will reduce the costs of insurance for SRT trades.</w:t>
            </w:r>
          </w:p>
          <w:p w14:paraId="27656102" w14:textId="6E6C4F0E" w:rsidR="00C21071" w:rsidRPr="00973525" w:rsidRDefault="00C21071" w:rsidP="00C21071">
            <w:pPr>
              <w:rPr>
                <w:sz w:val="18"/>
                <w:szCs w:val="18"/>
                <w:lang w:val="en-US"/>
              </w:rPr>
            </w:pPr>
            <w:r w:rsidRPr="00B970E9">
              <w:rPr>
                <w:sz w:val="18"/>
                <w:szCs w:val="18"/>
                <w:lang w:val="en-US"/>
              </w:rPr>
              <w:t>Combined with a risk sensitive risk weight floor</w:t>
            </w:r>
            <w:r w:rsidRPr="58454719">
              <w:rPr>
                <w:sz w:val="18"/>
                <w:szCs w:val="18"/>
                <w:lang w:val="en-US"/>
              </w:rPr>
              <w:t xml:space="preserve">, it is expected that the volume of issuance will grow for low-risk assets. This will be </w:t>
            </w:r>
            <w:r w:rsidR="00031271" w:rsidRPr="58454719">
              <w:rPr>
                <w:sz w:val="18"/>
                <w:szCs w:val="18"/>
                <w:lang w:val="en-US"/>
              </w:rPr>
              <w:t>even more</w:t>
            </w:r>
            <w:r w:rsidRPr="58454719">
              <w:rPr>
                <w:sz w:val="18"/>
                <w:szCs w:val="18"/>
                <w:lang w:val="en-US"/>
              </w:rPr>
              <w:t xml:space="preserve"> necessary that CRR</w:t>
            </w:r>
            <w:r w:rsidR="00031271">
              <w:rPr>
                <w:sz w:val="18"/>
                <w:szCs w:val="18"/>
                <w:lang w:val="en-US"/>
              </w:rPr>
              <w:t>3</w:t>
            </w:r>
            <w:r w:rsidRPr="58454719">
              <w:rPr>
                <w:sz w:val="18"/>
                <w:szCs w:val="18"/>
                <w:lang w:val="en-US"/>
              </w:rPr>
              <w:t xml:space="preserve"> significantly increases the RWA on those assets. </w:t>
            </w:r>
          </w:p>
          <w:p w14:paraId="77474F08" w14:textId="31D0B44D" w:rsidR="00C21071" w:rsidRPr="00973525" w:rsidRDefault="00DB6B1B" w:rsidP="00C21071">
            <w:pPr>
              <w:rPr>
                <w:color w:val="FF0000"/>
                <w:sz w:val="18"/>
                <w:szCs w:val="18"/>
                <w:lang w:val="en-US"/>
              </w:rPr>
            </w:pPr>
            <w:r w:rsidRPr="00973525">
              <w:rPr>
                <w:sz w:val="18"/>
                <w:szCs w:val="18"/>
                <w:lang w:val="en-US"/>
              </w:rPr>
              <w:t>However,</w:t>
            </w:r>
            <w:r w:rsidR="00C21071" w:rsidRPr="00973525">
              <w:rPr>
                <w:sz w:val="18"/>
                <w:szCs w:val="18"/>
                <w:lang w:val="en-US"/>
              </w:rPr>
              <w:t xml:space="preserve"> a large part of the expected potential i</w:t>
            </w:r>
            <w:r w:rsidR="00C21071" w:rsidRPr="00282D47">
              <w:rPr>
                <w:sz w:val="18"/>
                <w:szCs w:val="18"/>
                <w:lang w:val="en-US"/>
              </w:rPr>
              <w:t>ncrease</w:t>
            </w:r>
            <w:r w:rsidR="00C21071" w:rsidRPr="00973525">
              <w:rPr>
                <w:sz w:val="18"/>
                <w:szCs w:val="18"/>
                <w:lang w:val="en-US"/>
              </w:rPr>
              <w:t xml:space="preserve"> can be obtained with just the evolution of the RW floor.</w:t>
            </w:r>
            <w:r w:rsidR="00C21071" w:rsidRPr="00973525">
              <w:rPr>
                <w:color w:val="FF0000"/>
                <w:sz w:val="18"/>
                <w:szCs w:val="18"/>
                <w:lang w:val="en-US"/>
              </w:rPr>
              <w:t xml:space="preserve"> </w:t>
            </w:r>
          </w:p>
          <w:p w14:paraId="7AF4B7D9" w14:textId="77777777" w:rsidR="00C21071" w:rsidRPr="00973525" w:rsidRDefault="00C21071" w:rsidP="00C21071">
            <w:pPr>
              <w:rPr>
                <w:sz w:val="18"/>
                <w:szCs w:val="18"/>
                <w:lang w:val="en-US"/>
              </w:rPr>
            </w:pPr>
          </w:p>
        </w:tc>
        <w:tc>
          <w:tcPr>
            <w:tcW w:w="236" w:type="dxa"/>
          </w:tcPr>
          <w:p w14:paraId="193E0129" w14:textId="18A27992" w:rsidR="00C21071" w:rsidRPr="00973525" w:rsidRDefault="00C21071" w:rsidP="0079353D">
            <w:pPr>
              <w:ind w:firstLine="1917"/>
              <w:rPr>
                <w:sz w:val="18"/>
                <w:szCs w:val="18"/>
                <w:lang w:val="en-GB"/>
              </w:rPr>
            </w:pPr>
          </w:p>
        </w:tc>
      </w:tr>
      <w:tr w:rsidR="00C21071" w:rsidRPr="0000602A" w14:paraId="3D48E7DD" w14:textId="4BC47067" w:rsidTr="30964D0C">
        <w:tc>
          <w:tcPr>
            <w:tcW w:w="10885" w:type="dxa"/>
            <w:gridSpan w:val="4"/>
            <w:shd w:val="clear" w:color="auto" w:fill="E8E8E8" w:themeFill="background2"/>
          </w:tcPr>
          <w:p w14:paraId="19431352" w14:textId="42930B22" w:rsidR="00C21071" w:rsidRPr="00973525" w:rsidRDefault="00C21071" w:rsidP="0079353D">
            <w:pPr>
              <w:ind w:firstLine="1917"/>
              <w:rPr>
                <w:sz w:val="18"/>
                <w:szCs w:val="18"/>
                <w:lang w:val="en-GB"/>
              </w:rPr>
            </w:pPr>
          </w:p>
        </w:tc>
      </w:tr>
      <w:tr w:rsidR="00C21071" w:rsidRPr="0000602A" w14:paraId="3AB30774" w14:textId="11CD4DE4" w:rsidTr="30964D0C">
        <w:tc>
          <w:tcPr>
            <w:tcW w:w="10885" w:type="dxa"/>
            <w:gridSpan w:val="4"/>
          </w:tcPr>
          <w:p w14:paraId="3F9B7A0A" w14:textId="77777777" w:rsidR="00C21071" w:rsidRPr="00973525" w:rsidRDefault="00C21071" w:rsidP="00265131">
            <w:pPr>
              <w:ind w:firstLine="39"/>
              <w:jc w:val="both"/>
              <w:rPr>
                <w:b/>
                <w:bCs/>
                <w:i/>
                <w:iCs/>
                <w:sz w:val="18"/>
                <w:szCs w:val="18"/>
                <w:lang w:val="en-GB"/>
              </w:rPr>
            </w:pPr>
            <w:r w:rsidRPr="00973525">
              <w:rPr>
                <w:b/>
                <w:bCs/>
                <w:i/>
                <w:iCs/>
                <w:sz w:val="18"/>
                <w:szCs w:val="18"/>
                <w:lang w:val="en-GB"/>
              </w:rPr>
              <w:t>Significant risk transfer (SRT)</w:t>
            </w:r>
          </w:p>
          <w:p w14:paraId="4AA5BA28" w14:textId="77777777" w:rsidR="00C21071" w:rsidRPr="00973525" w:rsidRDefault="00C21071" w:rsidP="00265131">
            <w:pPr>
              <w:ind w:firstLine="39"/>
              <w:jc w:val="both"/>
              <w:rPr>
                <w:sz w:val="18"/>
                <w:szCs w:val="18"/>
                <w:lang w:val="en-GB"/>
              </w:rPr>
            </w:pPr>
            <w:r w:rsidRPr="00973525">
              <w:rPr>
                <w:sz w:val="18"/>
                <w:szCs w:val="18"/>
                <w:lang w:val="en-GB"/>
              </w:rPr>
              <w:t>The concept of significant risk transfer (‘SRT’), i.e. transfer of a sufficient quantum of credit risk from the bank’s balance sheet to a third party, is a crucial regulatory and supervisory concept in the EU securitisation framework. It is a precondition for a bank originator to benefit from capital relief from securitisation, and therefore one of the critical considerations for a bank originator when structuring a securitisation transaction. Achieving SRT requires complying with various quantitative and qualitative tests that are defined in high level terms in the CRR. The current framework provides for two ‘mechanical’ tests (the ‘mezzanine’ and ‘first loss’ tests), which the competent authority supplements with a case</w:t>
            </w:r>
            <w:r w:rsidRPr="00973525">
              <w:rPr>
                <w:sz w:val="18"/>
                <w:szCs w:val="18"/>
                <w:lang w:val="en-GB"/>
              </w:rPr>
              <w:noBreakHyphen/>
              <w:t>by</w:t>
            </w:r>
            <w:r w:rsidRPr="00973525">
              <w:rPr>
                <w:sz w:val="18"/>
                <w:szCs w:val="18"/>
                <w:lang w:val="en-GB"/>
              </w:rPr>
              <w:noBreakHyphen/>
              <w:t>case assessment, as to whether the originator has transferred an amount of credit risk which is ‘commensurate’ to the capital relief. The ‘permission</w:t>
            </w:r>
            <w:r w:rsidRPr="00973525">
              <w:rPr>
                <w:sz w:val="18"/>
                <w:szCs w:val="18"/>
                <w:lang w:val="en-GB"/>
              </w:rPr>
              <w:noBreakHyphen/>
              <w:t>based’ approach is an alternative to the existing mechanical tests and may ensure that a commensurate transfer of risks is achieved. The originator has an interest in receiving the assessment of compliance with those tests by the Competent Authorities for reasons of legal certainty, and the Competent Authorities’ decision on SRT is consequential for the economic viability and ultimate structure of a securitisation executed with a capital relief intent.</w:t>
            </w:r>
          </w:p>
          <w:p w14:paraId="52E37948" w14:textId="77777777" w:rsidR="00C21071" w:rsidRPr="00973525" w:rsidRDefault="00C21071" w:rsidP="00265131">
            <w:pPr>
              <w:ind w:firstLine="39"/>
              <w:jc w:val="both"/>
              <w:rPr>
                <w:sz w:val="18"/>
                <w:szCs w:val="18"/>
                <w:lang w:val="en-GB"/>
              </w:rPr>
            </w:pPr>
            <w:r w:rsidRPr="00973525">
              <w:rPr>
                <w:sz w:val="18"/>
                <w:szCs w:val="18"/>
                <w:lang w:val="en-GB"/>
              </w:rPr>
              <w:t>In its </w:t>
            </w:r>
            <w:r>
              <w:fldChar w:fldCharType="begin"/>
            </w:r>
            <w:r w:rsidRPr="0000602A">
              <w:rPr>
                <w:lang w:val="en-GB"/>
              </w:rPr>
              <w:instrText>HYPERLINK "https://www.eba.europa.eu/eba-calls-european-commission-harmonise-significant-risk-transfer-assessment-securitisation" \t "_blank"</w:instrText>
            </w:r>
            <w:r>
              <w:fldChar w:fldCharType="separate"/>
            </w:r>
            <w:r w:rsidRPr="00973525">
              <w:rPr>
                <w:rStyle w:val="Lienhypertexte"/>
                <w:sz w:val="18"/>
                <w:szCs w:val="18"/>
                <w:lang w:val="en-GB"/>
              </w:rPr>
              <w:t>report published in 2020, the EBA</w:t>
            </w:r>
            <w:r>
              <w:rPr>
                <w:rStyle w:val="Lienhypertexte"/>
                <w:sz w:val="18"/>
                <w:szCs w:val="18"/>
                <w:lang w:val="en-GB"/>
              </w:rPr>
              <w:fldChar w:fldCharType="end"/>
            </w:r>
            <w:r w:rsidRPr="00973525">
              <w:rPr>
                <w:sz w:val="18"/>
                <w:szCs w:val="18"/>
                <w:lang w:val="en-GB"/>
              </w:rPr>
              <w:t> identified a series of structural limitations of the existing SRT regulatory framework in the CRR and it proposed a set of recommendations to enhance the efficiency and robustness of the SRT framework and strengthen the consistency in the SRT outcomes (in particular in three areas: in relation to the SRT tests, the process applied by the competent authorities to assess the SRT, and the structural features of securitisation transactions which may affect the effectiveness of the risk transfer).</w:t>
            </w:r>
          </w:p>
          <w:p w14:paraId="7BB09672" w14:textId="77777777" w:rsidR="00C21071" w:rsidRPr="00973525" w:rsidRDefault="00C21071" w:rsidP="00265131">
            <w:pPr>
              <w:ind w:firstLine="39"/>
              <w:jc w:val="both"/>
              <w:rPr>
                <w:sz w:val="18"/>
                <w:szCs w:val="18"/>
                <w:lang w:val="en-GB"/>
              </w:rPr>
            </w:pPr>
            <w:r w:rsidRPr="00973525">
              <w:rPr>
                <w:sz w:val="18"/>
                <w:szCs w:val="18"/>
                <w:lang w:val="en-GB"/>
              </w:rPr>
              <w:t>As one of the recommendations, the EBA recommends replacing the mechanical tests with a single comprehensive test based on the principle</w:t>
            </w:r>
            <w:r w:rsidRPr="00973525">
              <w:rPr>
                <w:sz w:val="18"/>
                <w:szCs w:val="18"/>
                <w:lang w:val="en-GB"/>
              </w:rPr>
              <w:noBreakHyphen/>
              <w:t xml:space="preserve">based approach (PBA) test which aims to make the SRT framework less complex and more flexible. Under the PBA test, the SRT can be achieved in case at least 50% of the unexpected losses (UL) are transferred to third parties. The EBA also provides recommendations with respect to the allocation of the lifetime expected losses (LTEL) and unexpected losses to the tranches for the purposes of the PBA test. </w:t>
            </w:r>
            <w:r w:rsidRPr="00973525">
              <w:rPr>
                <w:sz w:val="18"/>
                <w:szCs w:val="18"/>
                <w:lang w:val="en-GB"/>
              </w:rPr>
              <w:lastRenderedPageBreak/>
              <w:t>Those recommendations have received only limited support from stakeholders, given the alleged conservativeness of the proposals as regards the suggested back</w:t>
            </w:r>
            <w:r w:rsidRPr="00973525">
              <w:rPr>
                <w:sz w:val="18"/>
                <w:szCs w:val="18"/>
                <w:lang w:val="en-GB"/>
              </w:rPr>
              <w:noBreakHyphen/>
              <w:t>loading of UL in a stressed scenario.</w:t>
            </w:r>
          </w:p>
          <w:p w14:paraId="408884B5" w14:textId="77777777" w:rsidR="00C21071" w:rsidRPr="00973525" w:rsidRDefault="00C21071" w:rsidP="00265131">
            <w:pPr>
              <w:ind w:firstLine="39"/>
              <w:jc w:val="both"/>
              <w:rPr>
                <w:sz w:val="18"/>
                <w:szCs w:val="18"/>
                <w:lang w:val="en-GB"/>
              </w:rPr>
            </w:pPr>
            <w:r w:rsidRPr="00973525">
              <w:rPr>
                <w:sz w:val="18"/>
                <w:szCs w:val="18"/>
                <w:lang w:val="en-GB"/>
              </w:rPr>
              <w:t>Recently, improvements have been achieved in both the convergence of assessment and the process of the SRT assessments. The recent market data confirm a considerable increase of SRT securitisation transactions. Generally, the SRT market continues to grow as these transactions allow banks, that operate in an environment with capital pressure, to benefit from a capital relief. Synthetic transactions continue to dominate the SRT segment, with a share of more than 85% in the overall notional.</w:t>
            </w:r>
          </w:p>
          <w:p w14:paraId="75A0F3B9" w14:textId="77777777" w:rsidR="00C21071" w:rsidRPr="00973525" w:rsidRDefault="00C21071" w:rsidP="00265131">
            <w:pPr>
              <w:ind w:firstLine="39"/>
              <w:jc w:val="both"/>
              <w:rPr>
                <w:sz w:val="18"/>
                <w:szCs w:val="18"/>
                <w:lang w:val="en-GB"/>
              </w:rPr>
            </w:pPr>
          </w:p>
        </w:tc>
      </w:tr>
      <w:tr w:rsidR="00C21071" w:rsidRPr="0000602A" w14:paraId="774A6B5F" w14:textId="77777777" w:rsidTr="30964D0C">
        <w:trPr>
          <w:gridAfter w:val="1"/>
          <w:wAfter w:w="16" w:type="dxa"/>
        </w:trPr>
        <w:tc>
          <w:tcPr>
            <w:tcW w:w="2893" w:type="dxa"/>
          </w:tcPr>
          <w:p w14:paraId="1D9D53ED" w14:textId="181D2DC2" w:rsidR="00C21071" w:rsidRPr="00973525" w:rsidRDefault="00C21071" w:rsidP="00C21071">
            <w:pPr>
              <w:rPr>
                <w:sz w:val="18"/>
                <w:szCs w:val="18"/>
                <w:lang w:val="en-GB"/>
              </w:rPr>
            </w:pPr>
            <w:r w:rsidRPr="00973525">
              <w:rPr>
                <w:sz w:val="18"/>
                <w:szCs w:val="18"/>
                <w:lang w:val="en-GB"/>
              </w:rPr>
              <w:lastRenderedPageBreak/>
              <w:t>Question 9.30. Do you agree with the conditions to be met for SRT tests as framed in the CRR (i.e. the mechanical tests - first loss and mezzanine tests, and the supervisory competence to assess the commensurateness of the risk transfer, as set out in Articles 244 and 245 of the CRR)?</w:t>
            </w:r>
            <w:r w:rsidRPr="00973525">
              <w:rPr>
                <w:sz w:val="18"/>
                <w:szCs w:val="18"/>
                <w:lang w:val="en-GB"/>
              </w:rPr>
              <w:br/>
            </w:r>
          </w:p>
        </w:tc>
        <w:tc>
          <w:tcPr>
            <w:tcW w:w="7740" w:type="dxa"/>
          </w:tcPr>
          <w:p w14:paraId="5AA1CD65" w14:textId="77777777" w:rsidR="00C56266" w:rsidRDefault="00C56266" w:rsidP="00C21071">
            <w:pPr>
              <w:rPr>
                <w:sz w:val="18"/>
                <w:szCs w:val="18"/>
                <w:lang w:val="en-US"/>
              </w:rPr>
            </w:pPr>
          </w:p>
          <w:p w14:paraId="6B00627F" w14:textId="3ADD4E15" w:rsidR="00C56266" w:rsidRPr="005A6D81" w:rsidRDefault="1C2E82FA" w:rsidP="00C21071">
            <w:pPr>
              <w:rPr>
                <w:sz w:val="18"/>
                <w:szCs w:val="18"/>
              </w:rPr>
            </w:pPr>
            <w:r w:rsidRPr="30964D0C">
              <w:rPr>
                <w:sz w:val="18"/>
                <w:szCs w:val="18"/>
                <w:highlight w:val="cyan"/>
              </w:rPr>
              <w:t>C</w:t>
            </w:r>
            <w:r w:rsidR="1ACEF3AB" w:rsidRPr="30964D0C">
              <w:rPr>
                <w:sz w:val="18"/>
                <w:szCs w:val="18"/>
                <w:highlight w:val="cyan"/>
              </w:rPr>
              <w:t>ette q</w:t>
            </w:r>
            <w:r w:rsidRPr="30964D0C">
              <w:rPr>
                <w:sz w:val="18"/>
                <w:szCs w:val="18"/>
                <w:highlight w:val="cyan"/>
              </w:rPr>
              <w:t>uestion n’</w:t>
            </w:r>
            <w:proofErr w:type="spellStart"/>
            <w:r w:rsidRPr="30964D0C">
              <w:rPr>
                <w:sz w:val="18"/>
                <w:szCs w:val="18"/>
                <w:highlight w:val="cyan"/>
              </w:rPr>
              <w:t>apprait</w:t>
            </w:r>
            <w:proofErr w:type="spellEnd"/>
            <w:r w:rsidRPr="30964D0C">
              <w:rPr>
                <w:sz w:val="18"/>
                <w:szCs w:val="18"/>
                <w:highlight w:val="cyan"/>
              </w:rPr>
              <w:t xml:space="preserve"> pas dans la </w:t>
            </w:r>
            <w:proofErr w:type="spellStart"/>
            <w:r w:rsidRPr="30964D0C">
              <w:rPr>
                <w:sz w:val="18"/>
                <w:szCs w:val="18"/>
                <w:highlight w:val="cyan"/>
              </w:rPr>
              <w:t>reponse</w:t>
            </w:r>
            <w:proofErr w:type="spellEnd"/>
            <w:r w:rsidRPr="30964D0C">
              <w:rPr>
                <w:sz w:val="18"/>
                <w:szCs w:val="18"/>
                <w:highlight w:val="cyan"/>
              </w:rPr>
              <w:t xml:space="preserve"> en ligne </w:t>
            </w:r>
            <w:r w:rsidR="0C9BDB1D" w:rsidRPr="30964D0C">
              <w:rPr>
                <w:sz w:val="18"/>
                <w:szCs w:val="18"/>
                <w:highlight w:val="cyan"/>
              </w:rPr>
              <w:t>=</w:t>
            </w:r>
            <w:proofErr w:type="gramStart"/>
            <w:r w:rsidR="0C9BDB1D" w:rsidRPr="30964D0C">
              <w:rPr>
                <w:sz w:val="18"/>
                <w:szCs w:val="18"/>
                <w:highlight w:val="cyan"/>
              </w:rPr>
              <w:t>&gt;</w:t>
            </w:r>
            <w:r w:rsidRPr="30964D0C">
              <w:rPr>
                <w:sz w:val="18"/>
                <w:szCs w:val="18"/>
                <w:highlight w:val="cyan"/>
              </w:rPr>
              <w:t xml:space="preserve"> </w:t>
            </w:r>
            <w:r w:rsidR="0C9BDB1D" w:rsidRPr="30964D0C">
              <w:rPr>
                <w:sz w:val="18"/>
                <w:szCs w:val="18"/>
                <w:highlight w:val="cyan"/>
              </w:rPr>
              <w:t xml:space="preserve"> </w:t>
            </w:r>
            <w:r w:rsidRPr="30964D0C">
              <w:rPr>
                <w:sz w:val="18"/>
                <w:szCs w:val="18"/>
                <w:highlight w:val="cyan"/>
              </w:rPr>
              <w:t>A</w:t>
            </w:r>
            <w:proofErr w:type="gramEnd"/>
            <w:r w:rsidRPr="30964D0C">
              <w:rPr>
                <w:sz w:val="18"/>
                <w:szCs w:val="18"/>
                <w:highlight w:val="cyan"/>
              </w:rPr>
              <w:t xml:space="preserve"> fusionner avec </w:t>
            </w:r>
            <w:r w:rsidR="27BCDFA3" w:rsidRPr="30964D0C">
              <w:rPr>
                <w:sz w:val="18"/>
                <w:szCs w:val="18"/>
                <w:highlight w:val="cyan"/>
              </w:rPr>
              <w:t xml:space="preserve">la suivante (le </w:t>
            </w:r>
            <w:proofErr w:type="spellStart"/>
            <w:r w:rsidR="27BCDFA3" w:rsidRPr="30964D0C">
              <w:rPr>
                <w:sz w:val="18"/>
                <w:szCs w:val="18"/>
                <w:highlight w:val="cyan"/>
              </w:rPr>
              <w:t>please</w:t>
            </w:r>
            <w:proofErr w:type="spellEnd"/>
            <w:r w:rsidR="27BCDFA3" w:rsidRPr="30964D0C">
              <w:rPr>
                <w:sz w:val="18"/>
                <w:szCs w:val="18"/>
                <w:highlight w:val="cyan"/>
              </w:rPr>
              <w:t xml:space="preserve"> </w:t>
            </w:r>
            <w:proofErr w:type="spellStart"/>
            <w:r w:rsidR="27BCDFA3" w:rsidRPr="30964D0C">
              <w:rPr>
                <w:sz w:val="18"/>
                <w:szCs w:val="18"/>
                <w:highlight w:val="cyan"/>
              </w:rPr>
              <w:t>explain</w:t>
            </w:r>
            <w:proofErr w:type="spellEnd"/>
            <w:r w:rsidR="27BCDFA3" w:rsidRPr="30964D0C">
              <w:rPr>
                <w:sz w:val="18"/>
                <w:szCs w:val="18"/>
                <w:highlight w:val="cyan"/>
              </w:rPr>
              <w:t>)</w:t>
            </w:r>
          </w:p>
          <w:p w14:paraId="363E7E99" w14:textId="78C2FA11" w:rsidR="00C21071" w:rsidRPr="00973525" w:rsidRDefault="00C21071" w:rsidP="00C21071">
            <w:pPr>
              <w:rPr>
                <w:sz w:val="18"/>
                <w:szCs w:val="18"/>
                <w:lang w:val="en-US"/>
              </w:rPr>
            </w:pPr>
            <w:r w:rsidRPr="00973525">
              <w:rPr>
                <w:sz w:val="18"/>
                <w:szCs w:val="18"/>
                <w:lang w:val="en-US"/>
              </w:rPr>
              <w:t xml:space="preserve">We agree with those tests (mechanical, first loss, mezzanine) as described in article 244 and 245. </w:t>
            </w:r>
          </w:p>
          <w:p w14:paraId="168B8C26" w14:textId="333A4768" w:rsidR="00C21071" w:rsidRPr="00973525" w:rsidRDefault="00C21071" w:rsidP="00C21071">
            <w:pPr>
              <w:rPr>
                <w:sz w:val="18"/>
                <w:szCs w:val="18"/>
                <w:lang w:val="en-US"/>
              </w:rPr>
            </w:pPr>
            <w:r w:rsidRPr="00973525">
              <w:rPr>
                <w:sz w:val="18"/>
                <w:szCs w:val="18"/>
                <w:lang w:val="en-US"/>
              </w:rPr>
              <w:t xml:space="preserve">Concerning the commensurateness of the risk transfer, the level 1 text leaves the decision to the competent authority. We would like to stress that we agree with this approach, but we disagree with the EBA guidelines that have been issued which are too restrictive and go beyond the level 1 text. </w:t>
            </w:r>
          </w:p>
          <w:p w14:paraId="028C5C1C" w14:textId="2C4CC482" w:rsidR="00C21071" w:rsidRPr="00973525" w:rsidRDefault="00C21071" w:rsidP="00C21071">
            <w:pPr>
              <w:rPr>
                <w:sz w:val="18"/>
                <w:szCs w:val="18"/>
                <w:lang w:val="en-US"/>
              </w:rPr>
            </w:pPr>
            <w:r w:rsidRPr="00973525">
              <w:rPr>
                <w:sz w:val="18"/>
                <w:szCs w:val="18"/>
                <w:lang w:val="en-US"/>
              </w:rPr>
              <w:t xml:space="preserve">Our experience on this matter shows that the competent authority is willing to see the behavior of the transaction under a loss scenario coherent with the ICAAP stress, </w:t>
            </w:r>
            <w:proofErr w:type="gramStart"/>
            <w:r w:rsidRPr="00973525">
              <w:rPr>
                <w:sz w:val="18"/>
                <w:szCs w:val="18"/>
                <w:lang w:val="en-US"/>
              </w:rPr>
              <w:t>in order to</w:t>
            </w:r>
            <w:proofErr w:type="gramEnd"/>
            <w:r w:rsidRPr="00973525">
              <w:rPr>
                <w:sz w:val="18"/>
                <w:szCs w:val="18"/>
                <w:lang w:val="en-US"/>
              </w:rPr>
              <w:t xml:space="preserve"> check that the loss is adequately transferred to a third party (i.e. &gt; 50%). This approach is fine, and significantly differs from the approach described in the EBA Guideline (for which the CRT test does not fit any definition in the level 1 text).</w:t>
            </w:r>
          </w:p>
          <w:p w14:paraId="1008B507" w14:textId="77777777" w:rsidR="00C21071" w:rsidRDefault="00C21071" w:rsidP="00C21071">
            <w:pPr>
              <w:rPr>
                <w:sz w:val="18"/>
                <w:szCs w:val="18"/>
                <w:lang w:val="en-GB"/>
              </w:rPr>
            </w:pPr>
          </w:p>
          <w:p w14:paraId="377764A1" w14:textId="70D0C9A8" w:rsidR="0012444B" w:rsidRPr="000E0A64" w:rsidRDefault="0012444B" w:rsidP="0012444B">
            <w:pPr>
              <w:rPr>
                <w:sz w:val="18"/>
                <w:szCs w:val="18"/>
                <w:lang w:val="en-GB"/>
              </w:rPr>
            </w:pPr>
            <w:r w:rsidRPr="0012444B">
              <w:rPr>
                <w:sz w:val="18"/>
                <w:szCs w:val="18"/>
                <w:lang w:val="en-US"/>
              </w:rPr>
              <w:t xml:space="preserve"> Articles 244 and 245 paragraph 2 in CRR require banks to perform two mechanical tests to check whether (a) the risk-weighted exposure amounts of the mezzanine securitisation positions held by the originator do not exceed 50 % of the risk-weighted exposure amounts of all mezzanine securitisation positions existing in this securitisation and (b) the originator does not hold more than 20 % of the exposure value of the first loss tranche.  Where the possible reduction in risk-weighted exposure amounts, which the originator would achieve by the securitisation under points (a) or (b), is not justified by a commensurate transfer of credit risk to third parties, competent authorities may decide on a case-by-case basis that significant credit risk shall not be considered as transferred to third parties. </w:t>
            </w:r>
          </w:p>
          <w:p w14:paraId="7A5C4DE0" w14:textId="12B9B853" w:rsidR="0012444B" w:rsidRPr="000E0A64" w:rsidRDefault="0012444B" w:rsidP="0012444B">
            <w:pPr>
              <w:rPr>
                <w:sz w:val="18"/>
                <w:szCs w:val="18"/>
                <w:lang w:val="en-GB"/>
              </w:rPr>
            </w:pPr>
            <w:r w:rsidRPr="0012444B">
              <w:rPr>
                <w:sz w:val="18"/>
                <w:szCs w:val="18"/>
                <w:lang w:val="en-US"/>
              </w:rPr>
              <w:t xml:space="preserve">Articles 244 and 245 paragraph 3 in CRR propose an alternative to the mechanical tests. By way of derogation from paragraph 2, competent authorities may allow originator institutions to </w:t>
            </w:r>
            <w:r w:rsidR="00992CFB" w:rsidRPr="0012444B">
              <w:rPr>
                <w:sz w:val="18"/>
                <w:szCs w:val="18"/>
                <w:lang w:val="en-US"/>
              </w:rPr>
              <w:t>recognize</w:t>
            </w:r>
            <w:r w:rsidRPr="0012444B">
              <w:rPr>
                <w:sz w:val="18"/>
                <w:szCs w:val="18"/>
                <w:lang w:val="en-US"/>
              </w:rPr>
              <w:t xml:space="preserve"> significant credit risk transfer in relation to a securitisation where the originator institution demonstrates in each case that the reduction in own funds requirements which the originator achieves by the securitisation is justified by a commensurate transfer of credit risk to third parties. Permission may only be granted where the institution meets predefined conditions. </w:t>
            </w:r>
          </w:p>
          <w:p w14:paraId="42247EF7" w14:textId="77777777" w:rsidR="0012444B" w:rsidRPr="000E0A64" w:rsidRDefault="0012444B" w:rsidP="0012444B">
            <w:pPr>
              <w:rPr>
                <w:sz w:val="18"/>
                <w:szCs w:val="18"/>
                <w:lang w:val="en-GB"/>
              </w:rPr>
            </w:pPr>
            <w:r w:rsidRPr="0012444B">
              <w:rPr>
                <w:sz w:val="18"/>
                <w:szCs w:val="18"/>
                <w:lang w:val="en-US"/>
              </w:rPr>
              <w:t>We agree with the conditions to be met for SRT tests as framed in the CRR (i.e. the mechanical tests - first loss and mezzanine tests. However, “commensurate risk transfer” is not defined and leaves to much room to interpretation and supervisory discretion at national level. In practice, the ECB currently systematically requires banks to provide the burden of proof regarding the commensurate transfer of credit risk to third parties (both §2 and § 3 requirements) and uses the EBA 2020 Report on SRT as guidelines-alike, which introduces uncertainty and administrative burden.”</w:t>
            </w:r>
          </w:p>
          <w:p w14:paraId="37A966BE" w14:textId="77777777" w:rsidR="0012444B" w:rsidRPr="00973525" w:rsidRDefault="0012444B" w:rsidP="00C21071">
            <w:pPr>
              <w:rPr>
                <w:sz w:val="18"/>
                <w:szCs w:val="18"/>
                <w:lang w:val="en-GB"/>
              </w:rPr>
            </w:pPr>
          </w:p>
        </w:tc>
        <w:tc>
          <w:tcPr>
            <w:tcW w:w="236" w:type="dxa"/>
          </w:tcPr>
          <w:p w14:paraId="78D750F9" w14:textId="5B62FB61" w:rsidR="00C21071" w:rsidRPr="00973525" w:rsidRDefault="00C21071" w:rsidP="0079353D">
            <w:pPr>
              <w:ind w:firstLine="1917"/>
              <w:rPr>
                <w:sz w:val="18"/>
                <w:szCs w:val="18"/>
                <w:lang w:val="en-GB"/>
              </w:rPr>
            </w:pPr>
          </w:p>
        </w:tc>
      </w:tr>
      <w:tr w:rsidR="00C21071" w:rsidRPr="0000602A" w14:paraId="5B4B6FAD" w14:textId="77777777" w:rsidTr="30964D0C">
        <w:trPr>
          <w:gridAfter w:val="1"/>
          <w:wAfter w:w="16" w:type="dxa"/>
        </w:trPr>
        <w:tc>
          <w:tcPr>
            <w:tcW w:w="2893" w:type="dxa"/>
          </w:tcPr>
          <w:p w14:paraId="7D0612B8" w14:textId="63C8751D" w:rsidR="00C21071" w:rsidRPr="00973525" w:rsidRDefault="00C21071" w:rsidP="00C21071">
            <w:pPr>
              <w:rPr>
                <w:sz w:val="18"/>
                <w:szCs w:val="18"/>
                <w:lang w:val="en-GB"/>
              </w:rPr>
            </w:pPr>
            <w:r w:rsidRPr="00973525">
              <w:rPr>
                <w:sz w:val="18"/>
                <w:szCs w:val="18"/>
                <w:lang w:val="en-GB"/>
              </w:rPr>
              <w:t>Are the SRT conditions effective in ensuring a robustness and consistency of the ‘significant risk transfer’ from an economic perspective?</w:t>
            </w:r>
          </w:p>
        </w:tc>
        <w:tc>
          <w:tcPr>
            <w:tcW w:w="7740" w:type="dxa"/>
          </w:tcPr>
          <w:p w14:paraId="5DB64A87" w14:textId="77777777" w:rsidR="00C21071" w:rsidRPr="00973525" w:rsidRDefault="00C21071" w:rsidP="00C21071">
            <w:pPr>
              <w:rPr>
                <w:sz w:val="18"/>
                <w:szCs w:val="18"/>
                <w:lang w:val="en-GB"/>
              </w:rPr>
            </w:pPr>
            <w:r w:rsidRPr="00973525">
              <w:rPr>
                <w:sz w:val="18"/>
                <w:szCs w:val="18"/>
                <w:lang w:val="en-GB"/>
              </w:rPr>
              <w:t>Answer</w:t>
            </w:r>
          </w:p>
          <w:p w14:paraId="35560B44" w14:textId="512B17F4" w:rsidR="00C21071" w:rsidRPr="00973525" w:rsidRDefault="00000000" w:rsidP="00C21071">
            <w:pPr>
              <w:rPr>
                <w:b/>
                <w:bCs/>
                <w:sz w:val="18"/>
                <w:szCs w:val="18"/>
                <w:lang w:val="en-GB"/>
              </w:rPr>
            </w:pPr>
            <w:sdt>
              <w:sdtPr>
                <w:rPr>
                  <w:b/>
                  <w:bCs/>
                  <w:sz w:val="18"/>
                  <w:szCs w:val="18"/>
                  <w:lang w:val="en-GB"/>
                </w:rPr>
                <w:id w:val="-292373892"/>
                <w14:checkbox>
                  <w14:checked w14:val="0"/>
                  <w14:checkedState w14:val="2612" w14:font="MS Gothic"/>
                  <w14:uncheckedState w14:val="2610" w14:font="MS Gothic"/>
                </w14:checkbox>
              </w:sdtPr>
              <w:sdtContent>
                <w:r w:rsidR="00C21071" w:rsidRPr="00973525">
                  <w:rPr>
                    <w:rFonts w:ascii="MS Gothic" w:eastAsia="MS Gothic" w:hAnsi="MS Gothic" w:cs="Segoe UI Symbol" w:hint="eastAsia"/>
                    <w:b/>
                    <w:bCs/>
                    <w:sz w:val="18"/>
                    <w:szCs w:val="18"/>
                    <w:lang w:val="en-GB"/>
                  </w:rPr>
                  <w:t>☐</w:t>
                </w:r>
              </w:sdtContent>
            </w:sdt>
            <w:r w:rsidR="00C21071" w:rsidRPr="00973525">
              <w:rPr>
                <w:b/>
                <w:bCs/>
                <w:sz w:val="18"/>
                <w:szCs w:val="18"/>
                <w:lang w:val="en-GB"/>
              </w:rPr>
              <w:t>Yes</w:t>
            </w:r>
          </w:p>
          <w:p w14:paraId="40FB019A" w14:textId="1FE6EF1C" w:rsidR="00C21071" w:rsidRPr="00973525" w:rsidRDefault="00000000" w:rsidP="00C21071">
            <w:pPr>
              <w:rPr>
                <w:b/>
                <w:bCs/>
                <w:sz w:val="18"/>
                <w:szCs w:val="18"/>
                <w:lang w:val="en-GB"/>
              </w:rPr>
            </w:pPr>
            <w:sdt>
              <w:sdtPr>
                <w:rPr>
                  <w:b/>
                  <w:bCs/>
                  <w:sz w:val="18"/>
                  <w:szCs w:val="18"/>
                  <w:lang w:val="en-GB"/>
                </w:rPr>
                <w:id w:val="-1662467255"/>
                <w14:checkbox>
                  <w14:checked w14:val="1"/>
                  <w14:checkedState w14:val="2612" w14:font="MS Gothic"/>
                  <w14:uncheckedState w14:val="2610" w14:font="MS Gothic"/>
                </w14:checkbox>
              </w:sdtPr>
              <w:sdtContent>
                <w:r w:rsidR="00C21071" w:rsidRPr="00973525">
                  <w:rPr>
                    <w:rFonts w:ascii="MS Gothic" w:eastAsia="MS Gothic" w:hAnsi="MS Gothic"/>
                    <w:b/>
                    <w:bCs/>
                    <w:sz w:val="18"/>
                    <w:szCs w:val="18"/>
                    <w:lang w:val="en-GB"/>
                  </w:rPr>
                  <w:t>☒</w:t>
                </w:r>
              </w:sdtContent>
            </w:sdt>
            <w:r w:rsidR="00C21071" w:rsidRPr="00973525">
              <w:rPr>
                <w:b/>
                <w:bCs/>
                <w:sz w:val="18"/>
                <w:szCs w:val="18"/>
                <w:lang w:val="en-GB"/>
              </w:rPr>
              <w:t>No</w:t>
            </w:r>
          </w:p>
          <w:p w14:paraId="787938E0" w14:textId="77777777" w:rsidR="00C21071" w:rsidRPr="00973525" w:rsidRDefault="00000000" w:rsidP="00C21071">
            <w:pPr>
              <w:rPr>
                <w:sz w:val="18"/>
                <w:szCs w:val="18"/>
                <w:lang w:val="en-GB"/>
              </w:rPr>
            </w:pPr>
            <w:sdt>
              <w:sdtPr>
                <w:rPr>
                  <w:sz w:val="18"/>
                  <w:szCs w:val="18"/>
                  <w:lang w:val="en-GB"/>
                </w:rPr>
                <w:id w:val="751548732"/>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p>
          <w:p w14:paraId="5D87D199" w14:textId="77777777" w:rsidR="00C21071" w:rsidRPr="00973525" w:rsidRDefault="00C21071" w:rsidP="00C21071">
            <w:pPr>
              <w:rPr>
                <w:sz w:val="18"/>
                <w:szCs w:val="18"/>
                <w:lang w:val="en-US"/>
              </w:rPr>
            </w:pPr>
          </w:p>
          <w:p w14:paraId="6D091CBE" w14:textId="3183E3FB" w:rsidR="00C21071" w:rsidRPr="00973525" w:rsidRDefault="00C21071" w:rsidP="00C21071">
            <w:pPr>
              <w:rPr>
                <w:sz w:val="18"/>
                <w:szCs w:val="18"/>
                <w:lang w:val="en-GB"/>
              </w:rPr>
            </w:pPr>
          </w:p>
        </w:tc>
        <w:tc>
          <w:tcPr>
            <w:tcW w:w="236" w:type="dxa"/>
          </w:tcPr>
          <w:p w14:paraId="11A0A7A0" w14:textId="7DCB6286" w:rsidR="00C21071" w:rsidRPr="00973525" w:rsidRDefault="00C21071" w:rsidP="0079353D">
            <w:pPr>
              <w:ind w:firstLine="1917"/>
              <w:rPr>
                <w:sz w:val="18"/>
                <w:szCs w:val="18"/>
                <w:lang w:val="en-GB"/>
              </w:rPr>
            </w:pPr>
          </w:p>
        </w:tc>
      </w:tr>
      <w:tr w:rsidR="00C21071" w:rsidRPr="00C72B68" w14:paraId="673F2BED" w14:textId="77777777" w:rsidTr="30964D0C">
        <w:trPr>
          <w:gridAfter w:val="1"/>
          <w:wAfter w:w="16" w:type="dxa"/>
        </w:trPr>
        <w:tc>
          <w:tcPr>
            <w:tcW w:w="2893" w:type="dxa"/>
          </w:tcPr>
          <w:p w14:paraId="71D44C1F" w14:textId="77777777" w:rsidR="00C21071" w:rsidRPr="00973525" w:rsidRDefault="00C21071" w:rsidP="00C21071">
            <w:pPr>
              <w:rPr>
                <w:sz w:val="18"/>
                <w:szCs w:val="18"/>
                <w:lang w:val="en-GB"/>
              </w:rPr>
            </w:pPr>
            <w:r w:rsidRPr="00973525">
              <w:rPr>
                <w:sz w:val="18"/>
                <w:szCs w:val="18"/>
                <w:lang w:val="en-GB"/>
              </w:rPr>
              <w:t>Please explain your answer to question 9.30:</w:t>
            </w:r>
          </w:p>
          <w:p w14:paraId="43439805" w14:textId="77777777" w:rsidR="00C21071" w:rsidRPr="00973525" w:rsidRDefault="00C21071" w:rsidP="00C21071">
            <w:pPr>
              <w:rPr>
                <w:sz w:val="18"/>
                <w:szCs w:val="18"/>
                <w:lang w:val="en-GB"/>
              </w:rPr>
            </w:pPr>
          </w:p>
        </w:tc>
        <w:tc>
          <w:tcPr>
            <w:tcW w:w="7740" w:type="dxa"/>
          </w:tcPr>
          <w:p w14:paraId="79A35D90" w14:textId="121DE610" w:rsidR="00C21071" w:rsidRPr="00973525" w:rsidRDefault="00C21071" w:rsidP="00C21071">
            <w:pPr>
              <w:rPr>
                <w:sz w:val="18"/>
                <w:szCs w:val="18"/>
                <w:lang w:val="en-US"/>
              </w:rPr>
            </w:pPr>
            <w:r w:rsidRPr="00973525">
              <w:rPr>
                <w:sz w:val="18"/>
                <w:szCs w:val="18"/>
                <w:lang w:val="en-US"/>
              </w:rPr>
              <w:t>NO</w:t>
            </w:r>
          </w:p>
          <w:p w14:paraId="0B495B7F" w14:textId="704E501E" w:rsidR="00C21071" w:rsidRPr="00973525" w:rsidRDefault="00C21071" w:rsidP="00C21071">
            <w:pPr>
              <w:rPr>
                <w:sz w:val="18"/>
                <w:szCs w:val="18"/>
                <w:lang w:val="en-US"/>
              </w:rPr>
            </w:pPr>
            <w:r w:rsidRPr="00973525">
              <w:rPr>
                <w:sz w:val="18"/>
                <w:szCs w:val="18"/>
                <w:lang w:val="en-US"/>
              </w:rPr>
              <w:t>In all the approaches, the SRT conditions guarantee that at least 50% of the risks are transferred to third party, which is more than enough to have a transfer of risk (at this level we can say that the transfer is significant).</w:t>
            </w:r>
          </w:p>
          <w:p w14:paraId="3CCF60DF" w14:textId="67AEEB9E" w:rsidR="00C21071" w:rsidRPr="00973525" w:rsidRDefault="00C21071" w:rsidP="00C21071">
            <w:pPr>
              <w:rPr>
                <w:sz w:val="18"/>
                <w:szCs w:val="18"/>
                <w:lang w:val="en-US"/>
              </w:rPr>
            </w:pPr>
            <w:r w:rsidRPr="00973525">
              <w:rPr>
                <w:sz w:val="18"/>
                <w:szCs w:val="18"/>
                <w:lang w:val="en-US"/>
              </w:rPr>
              <w:t xml:space="preserve">The conditions are more restrictive on the bottom of the capital structure </w:t>
            </w:r>
            <w:r w:rsidR="00C958F3" w:rsidRPr="00973525">
              <w:rPr>
                <w:sz w:val="18"/>
                <w:szCs w:val="18"/>
                <w:lang w:val="en-US"/>
              </w:rPr>
              <w:t>to</w:t>
            </w:r>
            <w:r w:rsidRPr="00973525">
              <w:rPr>
                <w:sz w:val="18"/>
                <w:szCs w:val="18"/>
                <w:lang w:val="en-US"/>
              </w:rPr>
              <w:t xml:space="preserve"> be sure to cover the more unexpected scenarios, but the threshold proposed is not too restrictive.</w:t>
            </w:r>
          </w:p>
          <w:p w14:paraId="64A1C0AE" w14:textId="77777777" w:rsidR="00C21071" w:rsidRPr="00973525" w:rsidRDefault="00C21071" w:rsidP="00C21071">
            <w:pPr>
              <w:rPr>
                <w:sz w:val="18"/>
                <w:szCs w:val="18"/>
                <w:lang w:val="en-US"/>
              </w:rPr>
            </w:pPr>
          </w:p>
          <w:p w14:paraId="7AA58956" w14:textId="5CBAAA66" w:rsidR="00C21071" w:rsidRPr="00973525" w:rsidRDefault="00C21071" w:rsidP="00C21071">
            <w:pPr>
              <w:rPr>
                <w:sz w:val="18"/>
                <w:szCs w:val="18"/>
                <w:lang w:val="en-US"/>
              </w:rPr>
            </w:pPr>
            <w:r w:rsidRPr="00973525">
              <w:rPr>
                <w:sz w:val="18"/>
                <w:szCs w:val="18"/>
                <w:lang w:val="en-US"/>
              </w:rPr>
              <w:t>Note that PBA &amp; CRT tests described in EBA guidelines are not efficient and are largely replaced by ECB tests (</w:t>
            </w:r>
            <w:proofErr w:type="spellStart"/>
            <w:r w:rsidRPr="00973525">
              <w:rPr>
                <w:sz w:val="18"/>
                <w:szCs w:val="18"/>
                <w:lang w:val="en-US"/>
              </w:rPr>
              <w:t>cf</w:t>
            </w:r>
            <w:proofErr w:type="spellEnd"/>
            <w:r w:rsidRPr="00973525">
              <w:rPr>
                <w:sz w:val="18"/>
                <w:szCs w:val="18"/>
                <w:lang w:val="en-US"/>
              </w:rPr>
              <w:t xml:space="preserve"> fast track SRT workshops Pillar 1 / Pillar2 based on ICAAP Stress) </w:t>
            </w:r>
          </w:p>
          <w:p w14:paraId="132BDC86" w14:textId="0AF46EB9" w:rsidR="00C21071" w:rsidRPr="00973525" w:rsidRDefault="00C21071" w:rsidP="00C21071">
            <w:pPr>
              <w:rPr>
                <w:sz w:val="18"/>
                <w:szCs w:val="18"/>
                <w:lang w:val="en-GB"/>
              </w:rPr>
            </w:pPr>
            <w:r w:rsidRPr="00973525">
              <w:rPr>
                <w:sz w:val="18"/>
                <w:szCs w:val="18"/>
                <w:lang w:val="en-US"/>
              </w:rPr>
              <w:t xml:space="preserve">However, </w:t>
            </w:r>
            <w:proofErr w:type="gramStart"/>
            <w:r w:rsidRPr="00973525">
              <w:rPr>
                <w:sz w:val="18"/>
                <w:szCs w:val="18"/>
                <w:lang w:val="en-US"/>
              </w:rPr>
              <w:t>PBA</w:t>
            </w:r>
            <w:proofErr w:type="gramEnd"/>
            <w:r w:rsidRPr="00973525">
              <w:rPr>
                <w:sz w:val="18"/>
                <w:szCs w:val="18"/>
                <w:lang w:val="en-US"/>
              </w:rPr>
              <w:t xml:space="preserve"> test seems to be already requested by ECB for some set-up.</w:t>
            </w:r>
          </w:p>
        </w:tc>
        <w:tc>
          <w:tcPr>
            <w:tcW w:w="236" w:type="dxa"/>
          </w:tcPr>
          <w:p w14:paraId="14B7B8F4" w14:textId="74D7A461" w:rsidR="00C21071" w:rsidRPr="007C79DF" w:rsidRDefault="00C21071" w:rsidP="0079353D">
            <w:pPr>
              <w:ind w:firstLine="1917"/>
              <w:rPr>
                <w:sz w:val="18"/>
                <w:szCs w:val="18"/>
                <w:lang w:val="en-GB"/>
              </w:rPr>
            </w:pPr>
          </w:p>
        </w:tc>
      </w:tr>
      <w:tr w:rsidR="00C21071" w:rsidRPr="003D4FEE" w14:paraId="287BD820" w14:textId="77777777" w:rsidTr="30964D0C">
        <w:trPr>
          <w:gridAfter w:val="1"/>
          <w:wAfter w:w="16" w:type="dxa"/>
        </w:trPr>
        <w:tc>
          <w:tcPr>
            <w:tcW w:w="2893" w:type="dxa"/>
          </w:tcPr>
          <w:p w14:paraId="1F1AB1B5" w14:textId="77777777" w:rsidR="00C21071" w:rsidRPr="00973525" w:rsidRDefault="00C21071" w:rsidP="00C21071">
            <w:pPr>
              <w:rPr>
                <w:sz w:val="18"/>
                <w:szCs w:val="18"/>
                <w:lang w:val="en-GB"/>
              </w:rPr>
            </w:pPr>
            <w:r w:rsidRPr="00973525">
              <w:rPr>
                <w:sz w:val="18"/>
                <w:szCs w:val="18"/>
                <w:lang w:val="en-GB"/>
              </w:rPr>
              <w:lastRenderedPageBreak/>
              <w:t>Question 9.31. If you answered no to question 9.30, do you consider that the robustness and efficiency of the SRT framework could be enhanced by replacing the current mechanical tests with the PBA test?</w:t>
            </w:r>
            <w:r w:rsidRPr="00973525">
              <w:rPr>
                <w:sz w:val="18"/>
                <w:szCs w:val="18"/>
                <w:lang w:val="en-GB"/>
              </w:rPr>
              <w:br/>
            </w:r>
            <w:r w:rsidRPr="00973525">
              <w:rPr>
                <w:sz w:val="18"/>
                <w:szCs w:val="18"/>
                <w:lang w:val="en-GB"/>
              </w:rPr>
              <w:br/>
              <w:t>The PBA test could be based on the recommendations in the EBA Report, while the recommendations on the allocation of losses to the tranches could be reconsidered.</w:t>
            </w:r>
          </w:p>
          <w:p w14:paraId="7D850147" w14:textId="77777777" w:rsidR="00C21071" w:rsidRPr="00973525" w:rsidRDefault="00C21071" w:rsidP="00C21071">
            <w:pPr>
              <w:rPr>
                <w:sz w:val="18"/>
                <w:szCs w:val="18"/>
                <w:lang w:val="en-GB"/>
              </w:rPr>
            </w:pPr>
          </w:p>
        </w:tc>
        <w:tc>
          <w:tcPr>
            <w:tcW w:w="7740" w:type="dxa"/>
          </w:tcPr>
          <w:p w14:paraId="14884278" w14:textId="77777777" w:rsidR="00C21071" w:rsidRPr="00973525" w:rsidRDefault="00C21071" w:rsidP="00C21071">
            <w:pPr>
              <w:rPr>
                <w:sz w:val="18"/>
                <w:szCs w:val="18"/>
                <w:lang w:val="en-US"/>
              </w:rPr>
            </w:pPr>
            <w:r w:rsidRPr="00973525">
              <w:rPr>
                <w:sz w:val="18"/>
                <w:szCs w:val="18"/>
                <w:lang w:val="en-US"/>
              </w:rPr>
              <w:t xml:space="preserve">The PBA test from the EBA rapport is unnecessarily complicated but it is a livable indicator. </w:t>
            </w:r>
          </w:p>
          <w:p w14:paraId="4A6AB9B4" w14:textId="77777777" w:rsidR="00C21071" w:rsidRDefault="00C21071" w:rsidP="00C21071">
            <w:pPr>
              <w:rPr>
                <w:sz w:val="18"/>
                <w:szCs w:val="18"/>
                <w:lang w:val="en-US"/>
              </w:rPr>
            </w:pPr>
            <w:r w:rsidRPr="00973525">
              <w:rPr>
                <w:sz w:val="18"/>
                <w:szCs w:val="18"/>
                <w:lang w:val="en-US"/>
              </w:rPr>
              <w:t xml:space="preserve">It should be noticed that with a capital neutral formula, this test is simply the ratio of regulatory capital that is transferred (hence very similar to condition 244.2.a and 245.2.a), so the practical use of this test is debatable. </w:t>
            </w:r>
          </w:p>
          <w:p w14:paraId="40A85EFE" w14:textId="77777777" w:rsidR="00947F5B" w:rsidRDefault="00947F5B" w:rsidP="00C21071">
            <w:pPr>
              <w:rPr>
                <w:sz w:val="18"/>
                <w:szCs w:val="18"/>
                <w:lang w:val="en-US"/>
              </w:rPr>
            </w:pPr>
          </w:p>
          <w:p w14:paraId="5EE12CD2" w14:textId="77777777" w:rsidR="00947F5B" w:rsidRPr="000E0A64" w:rsidRDefault="00947F5B" w:rsidP="00947F5B">
            <w:pPr>
              <w:rPr>
                <w:sz w:val="18"/>
                <w:szCs w:val="18"/>
                <w:lang w:val="en-GB"/>
              </w:rPr>
            </w:pPr>
            <w:r w:rsidRPr="00947F5B">
              <w:rPr>
                <w:sz w:val="18"/>
                <w:szCs w:val="18"/>
                <w:lang w:val="en-US"/>
              </w:rPr>
              <w:t xml:space="preserve">One can reasonably contend that the current CRR “mechanical tests” are sufficient to ensure commensurate risk transfer. </w:t>
            </w:r>
          </w:p>
          <w:p w14:paraId="7F816A13" w14:textId="77777777" w:rsidR="00947F5B" w:rsidRPr="000E0A64" w:rsidRDefault="00947F5B" w:rsidP="003D4FEE">
            <w:pPr>
              <w:rPr>
                <w:sz w:val="18"/>
                <w:szCs w:val="18"/>
                <w:lang w:val="en-GB"/>
              </w:rPr>
            </w:pPr>
            <w:r w:rsidRPr="00947F5B">
              <w:rPr>
                <w:b/>
                <w:bCs/>
                <w:sz w:val="18"/>
                <w:szCs w:val="18"/>
                <w:lang w:val="en-US"/>
              </w:rPr>
              <w:t xml:space="preserve">If the SRT framework were to be enhanced by replacing the current CRR mechanical tests with the PBA test as proposed by the EBA, we believe </w:t>
            </w:r>
            <w:proofErr w:type="gramStart"/>
            <w:r w:rsidRPr="00947F5B">
              <w:rPr>
                <w:b/>
                <w:bCs/>
                <w:sz w:val="18"/>
                <w:szCs w:val="18"/>
                <w:lang w:val="en-US"/>
              </w:rPr>
              <w:t>it  would</w:t>
            </w:r>
            <w:proofErr w:type="gramEnd"/>
            <w:r w:rsidRPr="00947F5B">
              <w:rPr>
                <w:b/>
                <w:bCs/>
                <w:sz w:val="18"/>
                <w:szCs w:val="18"/>
                <w:lang w:val="en-US"/>
              </w:rPr>
              <w:t xml:space="preserve"> be all the more unnecessary that JST adds more requirements, such as imposing CRT test. </w:t>
            </w:r>
          </w:p>
          <w:p w14:paraId="22CF496C" w14:textId="77777777" w:rsidR="00947F5B" w:rsidRPr="000E0A64" w:rsidRDefault="00947F5B" w:rsidP="00947F5B">
            <w:pPr>
              <w:rPr>
                <w:sz w:val="18"/>
                <w:szCs w:val="18"/>
                <w:lang w:val="en-GB"/>
              </w:rPr>
            </w:pPr>
            <w:r w:rsidRPr="00947F5B">
              <w:rPr>
                <w:sz w:val="18"/>
                <w:szCs w:val="18"/>
                <w:lang w:val="en-US"/>
              </w:rPr>
              <w:t>Indeed, in its 2020 SRT report, paragraph 214, the EBA states that “</w:t>
            </w:r>
            <w:r w:rsidRPr="00947F5B">
              <w:rPr>
                <w:i/>
                <w:iCs/>
                <w:sz w:val="18"/>
                <w:szCs w:val="18"/>
                <w:lang w:val="en-US"/>
              </w:rPr>
              <w:t>consideration should be given to whether the CRT test would still be needed after the eventual implementation of the PBA test in the CRR. The commensurateness of the risk transfer relies on the principle that a capital relief not justified by a commensurate risk transfer would result in a weakening of the capital position of the institution with respect to the non</w:t>
            </w:r>
            <w:r w:rsidRPr="000E0A64">
              <w:rPr>
                <w:rFonts w:ascii="Cambria Math" w:hAnsi="Cambria Math" w:cs="Cambria Math"/>
                <w:i/>
                <w:iCs/>
                <w:sz w:val="18"/>
                <w:szCs w:val="18"/>
                <w:lang w:val="en-GB"/>
              </w:rPr>
              <w:t>‐</w:t>
            </w:r>
            <w:r w:rsidRPr="000E0A64">
              <w:rPr>
                <w:i/>
                <w:iCs/>
                <w:sz w:val="18"/>
                <w:szCs w:val="18"/>
                <w:lang w:val="en-GB"/>
              </w:rPr>
              <w:t xml:space="preserve"> </w:t>
            </w:r>
            <w:proofErr w:type="spellStart"/>
            <w:r w:rsidRPr="00947F5B">
              <w:rPr>
                <w:i/>
                <w:iCs/>
                <w:sz w:val="18"/>
                <w:szCs w:val="18"/>
                <w:lang w:val="en-US"/>
              </w:rPr>
              <w:t>securitised</w:t>
            </w:r>
            <w:proofErr w:type="spellEnd"/>
            <w:r w:rsidRPr="00947F5B">
              <w:rPr>
                <w:i/>
                <w:iCs/>
                <w:sz w:val="18"/>
                <w:szCs w:val="18"/>
                <w:lang w:val="en-US"/>
              </w:rPr>
              <w:t xml:space="preserve"> exposures. Whether this principle remained valid after the PBA was enshrined in Level 1 could be </w:t>
            </w:r>
            <w:proofErr w:type="gramStart"/>
            <w:r w:rsidRPr="00947F5B">
              <w:rPr>
                <w:i/>
                <w:iCs/>
                <w:sz w:val="18"/>
                <w:szCs w:val="18"/>
                <w:lang w:val="en-US"/>
              </w:rPr>
              <w:t>reassessed.”</w:t>
            </w:r>
            <w:proofErr w:type="gramEnd"/>
          </w:p>
          <w:p w14:paraId="5CF1A5DE" w14:textId="77777777" w:rsidR="00303929" w:rsidRDefault="00303929" w:rsidP="00947F5B">
            <w:pPr>
              <w:rPr>
                <w:sz w:val="18"/>
                <w:szCs w:val="18"/>
                <w:lang w:val="en-US"/>
              </w:rPr>
            </w:pPr>
          </w:p>
          <w:p w14:paraId="05408B15" w14:textId="2AB42B66" w:rsidR="00947F5B" w:rsidRPr="000E0A64" w:rsidRDefault="00947F5B" w:rsidP="00947F5B">
            <w:pPr>
              <w:rPr>
                <w:sz w:val="18"/>
                <w:szCs w:val="18"/>
                <w:lang w:val="en-GB"/>
              </w:rPr>
            </w:pPr>
            <w:r w:rsidRPr="00947F5B">
              <w:rPr>
                <w:sz w:val="18"/>
                <w:szCs w:val="18"/>
                <w:lang w:val="en-US"/>
              </w:rPr>
              <w:t xml:space="preserve">We propose to amend articles 244-245 §3 of CRR as the </w:t>
            </w:r>
            <w:proofErr w:type="gramStart"/>
            <w:r w:rsidRPr="00947F5B">
              <w:rPr>
                <w:sz w:val="18"/>
                <w:szCs w:val="18"/>
                <w:lang w:val="en-US"/>
              </w:rPr>
              <w:t>following</w:t>
            </w:r>
            <w:proofErr w:type="gramEnd"/>
            <w:r w:rsidRPr="00947F5B">
              <w:rPr>
                <w:sz w:val="18"/>
                <w:szCs w:val="18"/>
                <w:lang w:val="en-US"/>
              </w:rPr>
              <w:t>:</w:t>
            </w:r>
          </w:p>
          <w:p w14:paraId="182445C0" w14:textId="7C5DFAFA" w:rsidR="00947F5B" w:rsidRPr="000E0A64" w:rsidRDefault="00947F5B" w:rsidP="000E0A64">
            <w:pPr>
              <w:pStyle w:val="Paragraphedeliste"/>
              <w:numPr>
                <w:ilvl w:val="0"/>
                <w:numId w:val="47"/>
              </w:numPr>
              <w:rPr>
                <w:sz w:val="18"/>
                <w:szCs w:val="18"/>
                <w:lang w:val="en-GB"/>
              </w:rPr>
            </w:pPr>
            <w:r w:rsidRPr="000E0A64">
              <w:rPr>
                <w:i/>
                <w:iCs/>
                <w:sz w:val="18"/>
                <w:szCs w:val="18"/>
                <w:lang w:val="en-US"/>
              </w:rPr>
              <w:t>“Significant credit risk shall be considered as transferred in either of the following cases:</w:t>
            </w:r>
          </w:p>
          <w:p w14:paraId="3C7B892F" w14:textId="77777777" w:rsidR="008048C5" w:rsidRPr="000E0A64" w:rsidRDefault="00947F5B" w:rsidP="008048C5">
            <w:pPr>
              <w:pStyle w:val="Paragraphedeliste"/>
              <w:numPr>
                <w:ilvl w:val="1"/>
                <w:numId w:val="48"/>
              </w:numPr>
              <w:rPr>
                <w:sz w:val="18"/>
                <w:szCs w:val="18"/>
                <w:lang w:val="en-GB"/>
              </w:rPr>
            </w:pPr>
            <w:r w:rsidRPr="000E0A64">
              <w:rPr>
                <w:b/>
                <w:bCs/>
                <w:i/>
                <w:iCs/>
                <w:sz w:val="18"/>
                <w:szCs w:val="18"/>
                <w:lang w:val="en-US"/>
              </w:rPr>
              <w:t>the risk-weighted exposure amounts of the mezzanine</w:t>
            </w:r>
            <w:r w:rsidRPr="000E0A64">
              <w:rPr>
                <w:i/>
                <w:iCs/>
                <w:sz w:val="18"/>
                <w:szCs w:val="18"/>
                <w:lang w:val="en-US"/>
              </w:rPr>
              <w:t xml:space="preserve"> securitisation positions held by the originator institution in the securitisation </w:t>
            </w:r>
            <w:r w:rsidRPr="000E0A64">
              <w:rPr>
                <w:b/>
                <w:bCs/>
                <w:i/>
                <w:iCs/>
                <w:sz w:val="18"/>
                <w:szCs w:val="18"/>
                <w:lang w:val="en-US"/>
              </w:rPr>
              <w:t>do not exceed 50 %</w:t>
            </w:r>
            <w:r w:rsidRPr="000E0A64">
              <w:rPr>
                <w:i/>
                <w:iCs/>
                <w:sz w:val="18"/>
                <w:szCs w:val="18"/>
                <w:lang w:val="en-US"/>
              </w:rPr>
              <w:t xml:space="preserve"> of the risk-weighted exposure amounts of all mezzanine securitisation positions existing in this </w:t>
            </w:r>
            <w:proofErr w:type="gramStart"/>
            <w:r w:rsidRPr="000E0A64">
              <w:rPr>
                <w:i/>
                <w:iCs/>
                <w:sz w:val="18"/>
                <w:szCs w:val="18"/>
                <w:lang w:val="en-US"/>
              </w:rPr>
              <w:t>securitisation;</w:t>
            </w:r>
            <w:proofErr w:type="gramEnd"/>
          </w:p>
          <w:p w14:paraId="3BDA93F4" w14:textId="77777777" w:rsidR="00A14FD2" w:rsidRPr="000E0A64" w:rsidRDefault="00947F5B" w:rsidP="00A14FD2">
            <w:pPr>
              <w:pStyle w:val="Paragraphedeliste"/>
              <w:numPr>
                <w:ilvl w:val="1"/>
                <w:numId w:val="48"/>
              </w:numPr>
              <w:rPr>
                <w:sz w:val="18"/>
                <w:szCs w:val="18"/>
                <w:lang w:val="en-GB"/>
              </w:rPr>
            </w:pPr>
            <w:proofErr w:type="gramStart"/>
            <w:r w:rsidRPr="000E0A64">
              <w:rPr>
                <w:i/>
                <w:iCs/>
                <w:sz w:val="18"/>
                <w:szCs w:val="18"/>
                <w:lang w:val="en-US"/>
              </w:rPr>
              <w:t>the</w:t>
            </w:r>
            <w:proofErr w:type="gramEnd"/>
            <w:r w:rsidRPr="000E0A64">
              <w:rPr>
                <w:i/>
                <w:iCs/>
                <w:sz w:val="18"/>
                <w:szCs w:val="18"/>
                <w:lang w:val="en-US"/>
              </w:rPr>
              <w:t xml:space="preserve"> </w:t>
            </w:r>
            <w:r w:rsidRPr="000E0A64">
              <w:rPr>
                <w:b/>
                <w:bCs/>
                <w:i/>
                <w:iCs/>
                <w:sz w:val="18"/>
                <w:szCs w:val="18"/>
                <w:lang w:val="en-US"/>
              </w:rPr>
              <w:t xml:space="preserve">originator </w:t>
            </w:r>
            <w:r w:rsidRPr="000E0A64">
              <w:rPr>
                <w:i/>
                <w:iCs/>
                <w:sz w:val="18"/>
                <w:szCs w:val="18"/>
                <w:lang w:val="en-US"/>
              </w:rPr>
              <w:t xml:space="preserve">institution does not hold more than 20 % of the exposure value of the </w:t>
            </w:r>
            <w:r w:rsidRPr="000E0A64">
              <w:rPr>
                <w:b/>
                <w:bCs/>
                <w:i/>
                <w:iCs/>
                <w:sz w:val="18"/>
                <w:szCs w:val="18"/>
                <w:lang w:val="en-US"/>
              </w:rPr>
              <w:t>first loss tranche</w:t>
            </w:r>
            <w:r w:rsidRPr="000E0A64">
              <w:rPr>
                <w:i/>
                <w:iCs/>
                <w:sz w:val="18"/>
                <w:szCs w:val="18"/>
                <w:lang w:val="en-US"/>
              </w:rPr>
              <w:t xml:space="preserve"> in the securitisation, </w:t>
            </w:r>
            <w:proofErr w:type="gramStart"/>
            <w:r w:rsidRPr="000E0A64">
              <w:rPr>
                <w:i/>
                <w:iCs/>
                <w:sz w:val="18"/>
                <w:szCs w:val="18"/>
                <w:lang w:val="en-US"/>
              </w:rPr>
              <w:t>provided that</w:t>
            </w:r>
            <w:proofErr w:type="gramEnd"/>
            <w:r w:rsidRPr="000E0A64">
              <w:rPr>
                <w:i/>
                <w:iCs/>
                <w:sz w:val="18"/>
                <w:szCs w:val="18"/>
                <w:lang w:val="en-US"/>
              </w:rPr>
              <w:t xml:space="preserve"> both of the following conditions are met:</w:t>
            </w:r>
          </w:p>
          <w:p w14:paraId="2AE5ED81" w14:textId="77777777" w:rsidR="00303929" w:rsidRPr="000E0A64" w:rsidRDefault="00947F5B" w:rsidP="000E0A64">
            <w:pPr>
              <w:pStyle w:val="Paragraphedeliste"/>
              <w:numPr>
                <w:ilvl w:val="2"/>
                <w:numId w:val="48"/>
              </w:numPr>
              <w:rPr>
                <w:sz w:val="18"/>
                <w:szCs w:val="18"/>
                <w:lang w:val="en-GB"/>
              </w:rPr>
            </w:pPr>
            <w:r w:rsidRPr="000E0A64">
              <w:rPr>
                <w:i/>
                <w:iCs/>
                <w:sz w:val="18"/>
                <w:szCs w:val="18"/>
                <w:lang w:val="en-US"/>
              </w:rPr>
              <w:t>(</w:t>
            </w:r>
            <w:proofErr w:type="spellStart"/>
            <w:r w:rsidRPr="000E0A64">
              <w:rPr>
                <w:i/>
                <w:iCs/>
                <w:sz w:val="18"/>
                <w:szCs w:val="18"/>
                <w:lang w:val="en-US"/>
              </w:rPr>
              <w:t>i</w:t>
            </w:r>
            <w:proofErr w:type="spellEnd"/>
            <w:r w:rsidRPr="000E0A64">
              <w:rPr>
                <w:i/>
                <w:iCs/>
                <w:sz w:val="18"/>
                <w:szCs w:val="18"/>
                <w:lang w:val="en-US"/>
              </w:rPr>
              <w:t xml:space="preserve">) the originator can demonstrate that the exposure value of the first loss tranche exceeds a reasoned estimate of the expected loss on the underlying exposures by a substantial </w:t>
            </w:r>
            <w:proofErr w:type="gramStart"/>
            <w:r w:rsidRPr="000E0A64">
              <w:rPr>
                <w:i/>
                <w:iCs/>
                <w:sz w:val="18"/>
                <w:szCs w:val="18"/>
                <w:lang w:val="en-US"/>
              </w:rPr>
              <w:t>margin;</w:t>
            </w:r>
            <w:proofErr w:type="gramEnd"/>
          </w:p>
          <w:p w14:paraId="3664FC56" w14:textId="256B92A8" w:rsidR="00947F5B" w:rsidRPr="000E0A64" w:rsidRDefault="00947F5B" w:rsidP="000E0A64">
            <w:pPr>
              <w:pStyle w:val="Paragraphedeliste"/>
              <w:numPr>
                <w:ilvl w:val="2"/>
                <w:numId w:val="48"/>
              </w:numPr>
              <w:rPr>
                <w:sz w:val="18"/>
                <w:szCs w:val="18"/>
                <w:lang w:val="en-GB"/>
              </w:rPr>
            </w:pPr>
            <w:r w:rsidRPr="00303929">
              <w:rPr>
                <w:i/>
                <w:iCs/>
                <w:sz w:val="18"/>
                <w:szCs w:val="18"/>
                <w:lang w:val="en-US"/>
              </w:rPr>
              <w:t>(ii) there are no mezzanine securitisation positions. [held by the originator?].</w:t>
            </w:r>
          </w:p>
          <w:p w14:paraId="0E266CC9" w14:textId="477C0EE7" w:rsidR="00947F5B" w:rsidRPr="000E0A64" w:rsidRDefault="00947F5B" w:rsidP="000E0A64">
            <w:pPr>
              <w:ind w:left="708"/>
              <w:rPr>
                <w:sz w:val="18"/>
                <w:szCs w:val="18"/>
                <w:lang w:val="en-GB"/>
              </w:rPr>
            </w:pPr>
            <w:r w:rsidRPr="00947F5B">
              <w:rPr>
                <w:sz w:val="18"/>
                <w:szCs w:val="18"/>
                <w:lang w:val="en-US"/>
              </w:rPr>
              <w:t> </w:t>
            </w:r>
          </w:p>
          <w:p w14:paraId="0E1CAA68" w14:textId="77777777" w:rsidR="00947F5B" w:rsidRPr="00973525" w:rsidRDefault="00947F5B" w:rsidP="00C21071">
            <w:pPr>
              <w:rPr>
                <w:sz w:val="18"/>
                <w:szCs w:val="18"/>
                <w:lang w:val="en-US"/>
              </w:rPr>
            </w:pPr>
          </w:p>
          <w:p w14:paraId="728F0D5B" w14:textId="7B630C7F" w:rsidR="00C21071" w:rsidRPr="00973525" w:rsidRDefault="00C21071" w:rsidP="00C21071">
            <w:pPr>
              <w:rPr>
                <w:sz w:val="18"/>
                <w:szCs w:val="18"/>
                <w:lang w:val="en-GB"/>
              </w:rPr>
            </w:pPr>
            <w:r w:rsidRPr="00973525">
              <w:rPr>
                <w:sz w:val="18"/>
                <w:szCs w:val="18"/>
                <w:lang w:val="en-US"/>
              </w:rPr>
              <w:t xml:space="preserve">  </w:t>
            </w:r>
          </w:p>
        </w:tc>
        <w:tc>
          <w:tcPr>
            <w:tcW w:w="236" w:type="dxa"/>
          </w:tcPr>
          <w:p w14:paraId="750052F8" w14:textId="3D9B8025" w:rsidR="00C21071" w:rsidRPr="00973525" w:rsidRDefault="00C21071" w:rsidP="0079353D">
            <w:pPr>
              <w:ind w:firstLine="1917"/>
              <w:rPr>
                <w:sz w:val="18"/>
                <w:szCs w:val="18"/>
                <w:lang w:val="en-GB"/>
              </w:rPr>
            </w:pPr>
          </w:p>
        </w:tc>
      </w:tr>
      <w:tr w:rsidR="00C21071" w:rsidRPr="0000602A" w14:paraId="6C202ACD" w14:textId="77777777" w:rsidTr="30964D0C">
        <w:trPr>
          <w:gridAfter w:val="1"/>
          <w:wAfter w:w="16" w:type="dxa"/>
        </w:trPr>
        <w:tc>
          <w:tcPr>
            <w:tcW w:w="2893" w:type="dxa"/>
          </w:tcPr>
          <w:p w14:paraId="347DAD63" w14:textId="77777777" w:rsidR="00C21071" w:rsidRPr="00973525" w:rsidRDefault="00C21071" w:rsidP="00C21071">
            <w:pPr>
              <w:rPr>
                <w:sz w:val="18"/>
                <w:szCs w:val="18"/>
                <w:lang w:val="en-GB"/>
              </w:rPr>
            </w:pPr>
            <w:r w:rsidRPr="00973525">
              <w:rPr>
                <w:sz w:val="18"/>
                <w:szCs w:val="18"/>
                <w:lang w:val="en-GB"/>
              </w:rPr>
              <w:t>Question 9.32. Do you consider the process of the SRT supervisory assessments to be efficient and adequate?</w:t>
            </w:r>
          </w:p>
          <w:p w14:paraId="23615248" w14:textId="77777777" w:rsidR="00C21071" w:rsidRPr="00973525" w:rsidRDefault="00C21071" w:rsidP="00C21071">
            <w:pPr>
              <w:rPr>
                <w:sz w:val="18"/>
                <w:szCs w:val="18"/>
                <w:lang w:val="en-GB"/>
              </w:rPr>
            </w:pPr>
          </w:p>
        </w:tc>
        <w:tc>
          <w:tcPr>
            <w:tcW w:w="7740" w:type="dxa"/>
          </w:tcPr>
          <w:p w14:paraId="2C5C260B" w14:textId="77777777" w:rsidR="00C21071" w:rsidRPr="00973525" w:rsidRDefault="00C21071" w:rsidP="00C21071">
            <w:pPr>
              <w:rPr>
                <w:sz w:val="18"/>
                <w:szCs w:val="18"/>
                <w:lang w:val="en-GB"/>
              </w:rPr>
            </w:pPr>
            <w:r w:rsidRPr="00973525">
              <w:rPr>
                <w:sz w:val="18"/>
                <w:szCs w:val="18"/>
                <w:lang w:val="en-GB"/>
              </w:rPr>
              <w:t>Answer</w:t>
            </w:r>
          </w:p>
          <w:p w14:paraId="662C382E" w14:textId="77777777" w:rsidR="00C21071" w:rsidRPr="00973525" w:rsidRDefault="00000000" w:rsidP="00C21071">
            <w:pPr>
              <w:rPr>
                <w:sz w:val="18"/>
                <w:szCs w:val="18"/>
                <w:lang w:val="en-GB"/>
              </w:rPr>
            </w:pPr>
            <w:sdt>
              <w:sdtPr>
                <w:rPr>
                  <w:sz w:val="18"/>
                  <w:szCs w:val="18"/>
                  <w:lang w:val="en-GB"/>
                </w:rPr>
                <w:id w:val="762881489"/>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497421CA" w14:textId="77777777" w:rsidR="00C21071" w:rsidRPr="00973525" w:rsidRDefault="00000000" w:rsidP="00C21071">
            <w:pPr>
              <w:rPr>
                <w:b/>
                <w:bCs/>
                <w:sz w:val="18"/>
                <w:szCs w:val="18"/>
                <w:lang w:val="en-GB"/>
              </w:rPr>
            </w:pPr>
            <w:sdt>
              <w:sdtPr>
                <w:rPr>
                  <w:b/>
                  <w:bCs/>
                  <w:sz w:val="18"/>
                  <w:szCs w:val="18"/>
                  <w:lang w:val="en-GB"/>
                </w:rPr>
                <w:id w:val="-1547678107"/>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18"/>
                    <w:szCs w:val="18"/>
                    <w:lang w:val="en-GB"/>
                  </w:rPr>
                  <w:t>☒</w:t>
                </w:r>
              </w:sdtContent>
            </w:sdt>
            <w:r w:rsidR="00C21071" w:rsidRPr="00973525">
              <w:rPr>
                <w:b/>
                <w:bCs/>
                <w:sz w:val="18"/>
                <w:szCs w:val="18"/>
                <w:lang w:val="en-GB"/>
              </w:rPr>
              <w:t>No</w:t>
            </w:r>
          </w:p>
          <w:p w14:paraId="07411D80" w14:textId="77777777" w:rsidR="00C21071" w:rsidRPr="00973525" w:rsidRDefault="00000000" w:rsidP="00C21071">
            <w:pPr>
              <w:rPr>
                <w:sz w:val="18"/>
                <w:szCs w:val="18"/>
                <w:lang w:val="en-US"/>
              </w:rPr>
            </w:pPr>
            <w:sdt>
              <w:sdtPr>
                <w:rPr>
                  <w:sz w:val="18"/>
                  <w:szCs w:val="18"/>
                  <w:lang w:val="en-GB"/>
                </w:rPr>
                <w:id w:val="-702326851"/>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6815662E" w14:textId="77777777" w:rsidR="00C21071" w:rsidRPr="00973525" w:rsidRDefault="00C21071" w:rsidP="00C21071">
            <w:pPr>
              <w:rPr>
                <w:sz w:val="18"/>
                <w:szCs w:val="18"/>
                <w:lang w:val="en-US"/>
              </w:rPr>
            </w:pPr>
          </w:p>
          <w:p w14:paraId="679E61DB" w14:textId="21E369BC" w:rsidR="00C21071" w:rsidRPr="00973525" w:rsidRDefault="00C21071" w:rsidP="00C21071">
            <w:pPr>
              <w:rPr>
                <w:sz w:val="18"/>
                <w:szCs w:val="18"/>
                <w:lang w:val="en-GB"/>
              </w:rPr>
            </w:pPr>
          </w:p>
        </w:tc>
        <w:tc>
          <w:tcPr>
            <w:tcW w:w="236" w:type="dxa"/>
          </w:tcPr>
          <w:p w14:paraId="421CF642" w14:textId="0349C7FA" w:rsidR="00C21071" w:rsidRPr="00973525" w:rsidRDefault="00C21071" w:rsidP="0079353D">
            <w:pPr>
              <w:ind w:firstLine="1917"/>
              <w:rPr>
                <w:sz w:val="18"/>
                <w:szCs w:val="18"/>
                <w:lang w:val="en-GB"/>
              </w:rPr>
            </w:pPr>
          </w:p>
        </w:tc>
      </w:tr>
      <w:tr w:rsidR="00C21071" w:rsidRPr="00C72B68" w14:paraId="5691310E" w14:textId="77777777" w:rsidTr="30964D0C">
        <w:trPr>
          <w:gridAfter w:val="1"/>
          <w:wAfter w:w="16" w:type="dxa"/>
        </w:trPr>
        <w:tc>
          <w:tcPr>
            <w:tcW w:w="2893" w:type="dxa"/>
          </w:tcPr>
          <w:p w14:paraId="7922469F" w14:textId="77777777" w:rsidR="00C21071" w:rsidRPr="00973525" w:rsidRDefault="00C21071" w:rsidP="00C21071">
            <w:pPr>
              <w:rPr>
                <w:sz w:val="18"/>
                <w:szCs w:val="18"/>
                <w:lang w:val="en-GB"/>
              </w:rPr>
            </w:pPr>
            <w:r w:rsidRPr="00973525">
              <w:rPr>
                <w:sz w:val="18"/>
                <w:szCs w:val="18"/>
                <w:lang w:val="en-GB"/>
              </w:rPr>
              <w:t>Please explain your answer to question 9.32:</w:t>
            </w:r>
          </w:p>
          <w:p w14:paraId="2916D8BC" w14:textId="77777777" w:rsidR="00C21071" w:rsidRPr="00973525" w:rsidRDefault="00C21071" w:rsidP="00C21071">
            <w:pPr>
              <w:rPr>
                <w:sz w:val="18"/>
                <w:szCs w:val="18"/>
                <w:lang w:val="en-GB"/>
              </w:rPr>
            </w:pPr>
          </w:p>
        </w:tc>
        <w:tc>
          <w:tcPr>
            <w:tcW w:w="7740" w:type="dxa"/>
          </w:tcPr>
          <w:p w14:paraId="4C689542" w14:textId="033C4B5B" w:rsidR="00C21071" w:rsidRPr="00973525" w:rsidRDefault="00C21071" w:rsidP="00C21071">
            <w:pPr>
              <w:rPr>
                <w:sz w:val="18"/>
                <w:szCs w:val="18"/>
                <w:lang w:val="en-US"/>
              </w:rPr>
            </w:pPr>
            <w:r w:rsidRPr="00973525">
              <w:rPr>
                <w:sz w:val="18"/>
                <w:szCs w:val="18"/>
                <w:lang w:val="en-US"/>
              </w:rPr>
              <w:t xml:space="preserve">There is no clear supervisory assessment since the 2020 guidelines from the EBA were never put </w:t>
            </w:r>
            <w:proofErr w:type="gramStart"/>
            <w:r w:rsidRPr="00973525">
              <w:rPr>
                <w:sz w:val="18"/>
                <w:szCs w:val="18"/>
                <w:lang w:val="en-US"/>
              </w:rPr>
              <w:t>in</w:t>
            </w:r>
            <w:proofErr w:type="gramEnd"/>
            <w:r w:rsidRPr="00973525">
              <w:rPr>
                <w:sz w:val="18"/>
                <w:szCs w:val="18"/>
                <w:lang w:val="en-US"/>
              </w:rPr>
              <w:t xml:space="preserve"> practice. </w:t>
            </w:r>
          </w:p>
          <w:p w14:paraId="2836CEC1" w14:textId="77777777" w:rsidR="00C21071" w:rsidRPr="00973525" w:rsidRDefault="00C21071" w:rsidP="00C21071">
            <w:pPr>
              <w:rPr>
                <w:sz w:val="18"/>
                <w:szCs w:val="18"/>
                <w:lang w:val="en-US"/>
              </w:rPr>
            </w:pPr>
            <w:r w:rsidRPr="00973525">
              <w:rPr>
                <w:sz w:val="18"/>
                <w:szCs w:val="18"/>
                <w:lang w:val="en-US"/>
              </w:rPr>
              <w:t xml:space="preserve">Each bank refers to the relationship with its competent regulatory authority. </w:t>
            </w:r>
          </w:p>
          <w:p w14:paraId="09AE9ED5" w14:textId="77777777" w:rsidR="004B4727" w:rsidRDefault="00C21071" w:rsidP="00C21071">
            <w:pPr>
              <w:rPr>
                <w:sz w:val="18"/>
                <w:szCs w:val="18"/>
                <w:lang w:val="en-US"/>
              </w:rPr>
            </w:pPr>
            <w:r w:rsidRPr="00973525">
              <w:rPr>
                <w:sz w:val="18"/>
                <w:szCs w:val="18"/>
                <w:lang w:val="en-US"/>
              </w:rPr>
              <w:t xml:space="preserve">We cannot say, however, that the process is “efficient and adequate” (Burdensome templates to exchange with JST, with still grey zone concerning the mandatory area), especially for repeat deals. </w:t>
            </w:r>
          </w:p>
          <w:p w14:paraId="4ACA8B47" w14:textId="77777777" w:rsidR="004B4727" w:rsidRDefault="004B4727" w:rsidP="00C21071">
            <w:pPr>
              <w:rPr>
                <w:sz w:val="18"/>
                <w:szCs w:val="18"/>
                <w:lang w:val="en-US"/>
              </w:rPr>
            </w:pPr>
          </w:p>
          <w:p w14:paraId="3FEBE310" w14:textId="49A240F9" w:rsidR="00BB4BD6" w:rsidRPr="000D672E" w:rsidRDefault="004B4727" w:rsidP="00C21071">
            <w:pPr>
              <w:spacing w:after="240"/>
              <w:rPr>
                <w:sz w:val="18"/>
                <w:szCs w:val="18"/>
                <w:lang w:val="en-GB"/>
              </w:rPr>
            </w:pPr>
            <w:r w:rsidRPr="004B4727">
              <w:rPr>
                <w:sz w:val="18"/>
                <w:szCs w:val="18"/>
                <w:lang w:val="en-US"/>
              </w:rPr>
              <w:t>EBA recommendations set out in the EBA Report beyond the CRT and PBA tests (as finetuned with the JST) should neither be implemented in a Delegated Regulation nor become binding/imposed by JSTs.</w:t>
            </w:r>
            <w:r w:rsidR="00BB4BD6">
              <w:rPr>
                <w:sz w:val="18"/>
                <w:szCs w:val="18"/>
                <w:lang w:val="en-US"/>
              </w:rPr>
              <w:t xml:space="preserve"> As such, </w:t>
            </w:r>
            <w:r w:rsidR="004A0B35">
              <w:rPr>
                <w:sz w:val="18"/>
                <w:szCs w:val="18"/>
                <w:lang w:val="en-US"/>
              </w:rPr>
              <w:t>w</w:t>
            </w:r>
            <w:proofErr w:type="spellStart"/>
            <w:r w:rsidR="00BB4BD6" w:rsidRPr="004B7E68">
              <w:rPr>
                <w:sz w:val="18"/>
                <w:szCs w:val="18"/>
                <w:lang w:val="en-GB"/>
              </w:rPr>
              <w:t>e</w:t>
            </w:r>
            <w:proofErr w:type="spellEnd"/>
            <w:r w:rsidR="00BB4BD6" w:rsidRPr="004B7E68">
              <w:rPr>
                <w:sz w:val="18"/>
                <w:szCs w:val="18"/>
                <w:lang w:val="en-GB"/>
              </w:rPr>
              <w:t xml:space="preserve"> do not agree that in the November 2024 </w:t>
            </w:r>
            <w:r w:rsidR="00BB4BD6" w:rsidRPr="00862112">
              <w:rPr>
                <w:sz w:val="18"/>
                <w:szCs w:val="18"/>
                <w:lang w:val="en-GB"/>
              </w:rPr>
              <w:t>“consultation</w:t>
            </w:r>
            <w:r w:rsidR="00BB4BD6" w:rsidRPr="004B7E68">
              <w:rPr>
                <w:sz w:val="18"/>
                <w:szCs w:val="18"/>
                <w:lang w:val="en-GB"/>
              </w:rPr>
              <w:t xml:space="preserve"> on its approach to options and discretions available in EU law”, the ECB includes the recommendations proposed by the 2020 EBA report. The proposal related to the CRT has not been tested and, in practice, banks experience that its methodology is flawed</w:t>
            </w:r>
          </w:p>
          <w:p w14:paraId="6C856B40" w14:textId="591929F2" w:rsidR="00C21071" w:rsidRPr="00973525" w:rsidRDefault="00C21071" w:rsidP="00C21071">
            <w:pPr>
              <w:spacing w:after="240"/>
              <w:rPr>
                <w:sz w:val="18"/>
                <w:szCs w:val="18"/>
                <w:lang w:val="en-US"/>
              </w:rPr>
            </w:pPr>
            <w:r w:rsidRPr="00973525">
              <w:rPr>
                <w:sz w:val="18"/>
                <w:szCs w:val="18"/>
                <w:lang w:val="en-US"/>
              </w:rPr>
              <w:t xml:space="preserve">From our experience, for SRT securitisations with new or unusual features or underlying assets, the 3-month scrutiny period may significantly be exceeded, so we believe that it would be useful to streamline the supervisory process for these non-repeat transactions. It is essential for originators of such transactions to have more visibility </w:t>
            </w:r>
            <w:proofErr w:type="gramStart"/>
            <w:r w:rsidRPr="00973525">
              <w:rPr>
                <w:sz w:val="18"/>
                <w:szCs w:val="18"/>
                <w:lang w:val="en-US"/>
              </w:rPr>
              <w:t>on</w:t>
            </w:r>
            <w:proofErr w:type="gramEnd"/>
            <w:r w:rsidRPr="00973525">
              <w:rPr>
                <w:sz w:val="18"/>
                <w:szCs w:val="18"/>
                <w:lang w:val="en-US"/>
              </w:rPr>
              <w:t xml:space="preserve"> the scrutiny timeline after pre-notification has been sent.</w:t>
            </w:r>
          </w:p>
        </w:tc>
        <w:tc>
          <w:tcPr>
            <w:tcW w:w="236" w:type="dxa"/>
          </w:tcPr>
          <w:p w14:paraId="557076FA" w14:textId="12FD312A" w:rsidR="00C23F78" w:rsidRPr="0085090A" w:rsidRDefault="00C23F78" w:rsidP="0079353D">
            <w:pPr>
              <w:ind w:firstLine="1917"/>
              <w:rPr>
                <w:sz w:val="18"/>
                <w:szCs w:val="18"/>
                <w:lang w:val="en-US"/>
              </w:rPr>
            </w:pPr>
          </w:p>
        </w:tc>
      </w:tr>
      <w:tr w:rsidR="00C21071" w:rsidRPr="0000602A" w14:paraId="08B4C5D0" w14:textId="77777777" w:rsidTr="30964D0C">
        <w:trPr>
          <w:gridAfter w:val="1"/>
          <w:wAfter w:w="16" w:type="dxa"/>
        </w:trPr>
        <w:tc>
          <w:tcPr>
            <w:tcW w:w="2893" w:type="dxa"/>
          </w:tcPr>
          <w:p w14:paraId="57311F1E" w14:textId="77777777" w:rsidR="00C21071" w:rsidRPr="00973525" w:rsidRDefault="00C21071" w:rsidP="00C21071">
            <w:pPr>
              <w:rPr>
                <w:sz w:val="18"/>
                <w:szCs w:val="18"/>
                <w:lang w:val="en-GB"/>
              </w:rPr>
            </w:pPr>
            <w:r w:rsidRPr="00973525">
              <w:rPr>
                <w:sz w:val="18"/>
                <w:szCs w:val="18"/>
                <w:lang w:val="en-GB"/>
              </w:rPr>
              <w:lastRenderedPageBreak/>
              <w:t>Question 9.33. If you answered no to question 9.32., please provide justifications and suggestions how the SRT assessment process could be improved further.</w:t>
            </w:r>
          </w:p>
          <w:p w14:paraId="0C5C517B" w14:textId="77777777" w:rsidR="00C21071" w:rsidRPr="00973525" w:rsidRDefault="00C21071" w:rsidP="00C21071">
            <w:pPr>
              <w:rPr>
                <w:sz w:val="18"/>
                <w:szCs w:val="18"/>
                <w:lang w:val="en-GB"/>
              </w:rPr>
            </w:pPr>
          </w:p>
        </w:tc>
        <w:tc>
          <w:tcPr>
            <w:tcW w:w="7740" w:type="dxa"/>
          </w:tcPr>
          <w:p w14:paraId="1DF67FEB" w14:textId="58798F63" w:rsidR="00C21071" w:rsidRPr="00973525" w:rsidRDefault="00C21071" w:rsidP="00C21071">
            <w:pPr>
              <w:rPr>
                <w:sz w:val="18"/>
                <w:szCs w:val="18"/>
                <w:lang w:val="en-US"/>
              </w:rPr>
            </w:pPr>
            <w:r w:rsidRPr="00973525">
              <w:rPr>
                <w:sz w:val="18"/>
                <w:szCs w:val="18"/>
                <w:lang w:val="en-US"/>
              </w:rPr>
              <w:t>We welcome the fast track SRT working group to normalize the basis of this relationship.</w:t>
            </w:r>
          </w:p>
          <w:p w14:paraId="14960D07" w14:textId="77777777" w:rsidR="00C21071" w:rsidRPr="00973525" w:rsidRDefault="00C21071" w:rsidP="00C21071">
            <w:pPr>
              <w:rPr>
                <w:sz w:val="18"/>
                <w:szCs w:val="18"/>
                <w:lang w:val="en-US"/>
              </w:rPr>
            </w:pPr>
            <w:r w:rsidRPr="00973525">
              <w:rPr>
                <w:sz w:val="18"/>
                <w:szCs w:val="18"/>
                <w:lang w:val="en-US"/>
              </w:rPr>
              <w:t>SRT assessment should be done</w:t>
            </w:r>
          </w:p>
          <w:p w14:paraId="5B7E70ED" w14:textId="77777777" w:rsidR="00C21071" w:rsidRPr="00973525" w:rsidRDefault="00C21071" w:rsidP="00C21071">
            <w:pPr>
              <w:pStyle w:val="Paragraphedeliste"/>
              <w:numPr>
                <w:ilvl w:val="0"/>
                <w:numId w:val="9"/>
              </w:numPr>
              <w:rPr>
                <w:sz w:val="18"/>
                <w:szCs w:val="18"/>
                <w:lang w:val="en-US"/>
              </w:rPr>
            </w:pPr>
            <w:r w:rsidRPr="00973525">
              <w:rPr>
                <w:sz w:val="18"/>
                <w:szCs w:val="18"/>
                <w:lang w:val="en-US"/>
              </w:rPr>
              <w:t>At origination only</w:t>
            </w:r>
          </w:p>
          <w:p w14:paraId="1CBF1475" w14:textId="6D8B2351" w:rsidR="00C21071" w:rsidRPr="00973525" w:rsidRDefault="00C21071" w:rsidP="00C21071">
            <w:pPr>
              <w:pStyle w:val="Paragraphedeliste"/>
              <w:numPr>
                <w:ilvl w:val="0"/>
                <w:numId w:val="9"/>
              </w:numPr>
              <w:rPr>
                <w:sz w:val="18"/>
                <w:szCs w:val="18"/>
                <w:lang w:val="en-US"/>
              </w:rPr>
            </w:pPr>
            <w:r w:rsidRPr="00973525">
              <w:rPr>
                <w:sz w:val="18"/>
                <w:szCs w:val="18"/>
                <w:lang w:val="en-US"/>
              </w:rPr>
              <w:t xml:space="preserve">Based on level 1 test, with a commensurate risk transfer estimated using </w:t>
            </w:r>
            <w:r w:rsidR="00C23F78" w:rsidRPr="00973525">
              <w:rPr>
                <w:sz w:val="18"/>
                <w:szCs w:val="18"/>
                <w:lang w:val="en-US"/>
              </w:rPr>
              <w:t>an ICAAP</w:t>
            </w:r>
            <w:r w:rsidRPr="00973525">
              <w:rPr>
                <w:sz w:val="18"/>
                <w:szCs w:val="18"/>
                <w:lang w:val="en-US"/>
              </w:rPr>
              <w:t xml:space="preserve"> stress run by the bank on the transaction</w:t>
            </w:r>
          </w:p>
          <w:p w14:paraId="78A0B224" w14:textId="77777777" w:rsidR="00C21071" w:rsidRDefault="00C21071" w:rsidP="00C21071">
            <w:pPr>
              <w:rPr>
                <w:sz w:val="18"/>
                <w:szCs w:val="18"/>
                <w:lang w:val="en-US"/>
              </w:rPr>
            </w:pPr>
            <w:r w:rsidRPr="00973525">
              <w:rPr>
                <w:sz w:val="18"/>
                <w:szCs w:val="18"/>
                <w:lang w:val="en-US"/>
              </w:rPr>
              <w:t xml:space="preserve">As a simple “tick the box” report based on the requirements of level 1 article 244 &amp; 245 and with estimation of one ratio of transfer under the ICAAP stress estimated by the bank. All that should allow for a quick validation with the competent authority (other indications such as the profitability indicator for the transaction are also of importance in this regard, but do not </w:t>
            </w:r>
            <w:r w:rsidR="00C23F78" w:rsidRPr="00973525">
              <w:rPr>
                <w:sz w:val="18"/>
                <w:szCs w:val="18"/>
                <w:lang w:val="en-US"/>
              </w:rPr>
              <w:t>qualify for</w:t>
            </w:r>
            <w:r w:rsidRPr="00973525">
              <w:rPr>
                <w:sz w:val="18"/>
                <w:szCs w:val="18"/>
                <w:lang w:val="en-US"/>
              </w:rPr>
              <w:t xml:space="preserve"> the transfer of risk)</w:t>
            </w:r>
          </w:p>
          <w:p w14:paraId="3DDC1B96" w14:textId="77777777" w:rsidR="00BE5F93" w:rsidRPr="004B7E68" w:rsidRDefault="00BE5F93" w:rsidP="00BE5F93">
            <w:pPr>
              <w:pStyle w:val="Corpsdetexte"/>
              <w:spacing w:before="21" w:line="259" w:lineRule="auto"/>
              <w:jc w:val="both"/>
              <w:rPr>
                <w:rFonts w:asciiTheme="minorHAnsi" w:eastAsiaTheme="minorHAnsi" w:hAnsiTheme="minorHAnsi" w:cstheme="minorBidi"/>
                <w:kern w:val="2"/>
                <w:sz w:val="18"/>
                <w:szCs w:val="18"/>
                <w:lang w:val="en-GB"/>
                <w14:ligatures w14:val="standardContextual"/>
              </w:rPr>
            </w:pPr>
            <w:r w:rsidRPr="004B7E68">
              <w:rPr>
                <w:rFonts w:asciiTheme="minorHAnsi" w:eastAsiaTheme="minorHAnsi" w:hAnsiTheme="minorHAnsi" w:cstheme="minorBidi"/>
                <w:kern w:val="2"/>
                <w:sz w:val="18"/>
                <w:szCs w:val="18"/>
                <w:lang w:val="en-GB"/>
                <w14:ligatures w14:val="standardContextual"/>
              </w:rPr>
              <w:t xml:space="preserve">We do not agree that in the November 2024 </w:t>
            </w:r>
            <w:r w:rsidRPr="00862112">
              <w:rPr>
                <w:rFonts w:asciiTheme="minorHAnsi" w:eastAsiaTheme="minorHAnsi" w:hAnsiTheme="minorHAnsi" w:cstheme="minorBidi"/>
                <w:kern w:val="2"/>
                <w:sz w:val="18"/>
                <w:szCs w:val="18"/>
                <w:lang w:val="en-GB"/>
                <w14:ligatures w14:val="standardContextual"/>
              </w:rPr>
              <w:t>“consultation</w:t>
            </w:r>
            <w:r w:rsidRPr="004B7E68">
              <w:rPr>
                <w:rFonts w:asciiTheme="minorHAnsi" w:eastAsiaTheme="minorHAnsi" w:hAnsiTheme="minorHAnsi" w:cstheme="minorBidi"/>
                <w:kern w:val="2"/>
                <w:sz w:val="18"/>
                <w:szCs w:val="18"/>
                <w:lang w:val="en-GB"/>
                <w14:ligatures w14:val="standardContextual"/>
              </w:rPr>
              <w:t xml:space="preserve"> on its approach to options and discretions available in EU law”, the ECB includes the recommendations proposed by the 2020 EBA report. The proposal related to the CRT has not been tested and, in practice, banks experience that its methodology is flawed</w:t>
            </w:r>
          </w:p>
          <w:p w14:paraId="4CAEA078" w14:textId="17F0AF7D" w:rsidR="00BE5F93" w:rsidRPr="00973525" w:rsidRDefault="00BE5F93" w:rsidP="00C21071">
            <w:pPr>
              <w:rPr>
                <w:sz w:val="18"/>
                <w:szCs w:val="18"/>
                <w:lang w:val="en-GB"/>
              </w:rPr>
            </w:pPr>
          </w:p>
        </w:tc>
        <w:tc>
          <w:tcPr>
            <w:tcW w:w="236" w:type="dxa"/>
          </w:tcPr>
          <w:p w14:paraId="624EEBB1" w14:textId="4FF30454" w:rsidR="00C23F78" w:rsidRPr="007C79DF" w:rsidRDefault="00C23F78" w:rsidP="0079353D">
            <w:pPr>
              <w:ind w:firstLine="1917"/>
              <w:rPr>
                <w:sz w:val="18"/>
                <w:szCs w:val="18"/>
                <w:lang w:val="en-GB"/>
              </w:rPr>
            </w:pPr>
          </w:p>
        </w:tc>
      </w:tr>
      <w:tr w:rsidR="00C21071" w:rsidRPr="0000602A" w14:paraId="1936B6EF" w14:textId="77777777" w:rsidTr="30964D0C">
        <w:trPr>
          <w:gridAfter w:val="1"/>
          <w:wAfter w:w="16" w:type="dxa"/>
        </w:trPr>
        <w:tc>
          <w:tcPr>
            <w:tcW w:w="2893" w:type="dxa"/>
          </w:tcPr>
          <w:p w14:paraId="74A02CD8" w14:textId="77777777" w:rsidR="00C21071" w:rsidRPr="00973525" w:rsidRDefault="00C21071" w:rsidP="00C21071">
            <w:pPr>
              <w:rPr>
                <w:sz w:val="18"/>
                <w:szCs w:val="18"/>
                <w:lang w:val="en-GB"/>
              </w:rPr>
            </w:pPr>
            <w:r w:rsidRPr="00973525">
              <w:rPr>
                <w:sz w:val="18"/>
                <w:szCs w:val="18"/>
                <w:lang w:val="en-GB"/>
              </w:rPr>
              <w:t>Question 9.34. Should the process of the SRT supervisory assessments be further specified at the EU level (e.g., in Guidelines, based on a clear mandate in Level 1), or should it be rather left entirely to the competent authorities to set out their own process?</w:t>
            </w:r>
          </w:p>
          <w:p w14:paraId="1A156E3E" w14:textId="77777777" w:rsidR="00C21071" w:rsidRPr="00973525" w:rsidRDefault="00C21071" w:rsidP="00C21071">
            <w:pPr>
              <w:rPr>
                <w:sz w:val="18"/>
                <w:szCs w:val="18"/>
                <w:lang w:val="en-GB"/>
              </w:rPr>
            </w:pPr>
          </w:p>
        </w:tc>
        <w:tc>
          <w:tcPr>
            <w:tcW w:w="7740" w:type="dxa"/>
          </w:tcPr>
          <w:p w14:paraId="051EAACE" w14:textId="77777777" w:rsidR="00C21071" w:rsidRPr="00973525" w:rsidRDefault="00C21071" w:rsidP="00C21071">
            <w:pPr>
              <w:rPr>
                <w:sz w:val="18"/>
                <w:szCs w:val="18"/>
                <w:lang w:val="en-GB"/>
              </w:rPr>
            </w:pPr>
            <w:r w:rsidRPr="00973525">
              <w:rPr>
                <w:sz w:val="18"/>
                <w:szCs w:val="18"/>
                <w:lang w:val="en-GB"/>
              </w:rPr>
              <w:t>Answer</w:t>
            </w:r>
          </w:p>
          <w:p w14:paraId="048B42EF" w14:textId="77777777" w:rsidR="00C21071" w:rsidRPr="00973525" w:rsidRDefault="00000000" w:rsidP="00C21071">
            <w:pPr>
              <w:rPr>
                <w:sz w:val="18"/>
                <w:szCs w:val="18"/>
                <w:lang w:val="en-GB"/>
              </w:rPr>
            </w:pPr>
            <w:sdt>
              <w:sdtPr>
                <w:rPr>
                  <w:sz w:val="18"/>
                  <w:szCs w:val="18"/>
                  <w:lang w:val="en-GB"/>
                </w:rPr>
                <w:id w:val="-796450527"/>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Yes</w:t>
            </w:r>
          </w:p>
          <w:p w14:paraId="6D9370BC" w14:textId="77777777" w:rsidR="00C21071" w:rsidRPr="00973525" w:rsidRDefault="00000000" w:rsidP="00C21071">
            <w:pPr>
              <w:rPr>
                <w:sz w:val="18"/>
                <w:szCs w:val="18"/>
                <w:lang w:val="en-GB"/>
              </w:rPr>
            </w:pPr>
            <w:sdt>
              <w:sdtPr>
                <w:rPr>
                  <w:sz w:val="18"/>
                  <w:szCs w:val="18"/>
                  <w:lang w:val="en-GB"/>
                </w:rPr>
                <w:id w:val="860319684"/>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sz w:val="18"/>
                    <w:szCs w:val="18"/>
                    <w:lang w:val="en-GB"/>
                  </w:rPr>
                  <w:t>☒</w:t>
                </w:r>
              </w:sdtContent>
            </w:sdt>
            <w:r w:rsidR="00C21071" w:rsidRPr="00973525">
              <w:rPr>
                <w:sz w:val="18"/>
                <w:szCs w:val="18"/>
                <w:lang w:val="en-GB"/>
              </w:rPr>
              <w:t>No</w:t>
            </w:r>
          </w:p>
          <w:p w14:paraId="4C58D90D" w14:textId="77777777" w:rsidR="00C21071" w:rsidRPr="00973525" w:rsidRDefault="00000000" w:rsidP="00C21071">
            <w:pPr>
              <w:rPr>
                <w:sz w:val="18"/>
                <w:szCs w:val="18"/>
                <w:lang w:val="en-US"/>
              </w:rPr>
            </w:pPr>
            <w:sdt>
              <w:sdtPr>
                <w:rPr>
                  <w:sz w:val="18"/>
                  <w:szCs w:val="18"/>
                  <w:lang w:val="en-GB"/>
                </w:rPr>
                <w:id w:val="401498297"/>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43330469" w14:textId="05C29812" w:rsidR="00C21071" w:rsidRPr="00973525" w:rsidRDefault="00C21071" w:rsidP="00C21071">
            <w:pPr>
              <w:rPr>
                <w:sz w:val="18"/>
                <w:szCs w:val="18"/>
                <w:lang w:val="en-GB"/>
              </w:rPr>
            </w:pPr>
          </w:p>
        </w:tc>
        <w:tc>
          <w:tcPr>
            <w:tcW w:w="236" w:type="dxa"/>
          </w:tcPr>
          <w:p w14:paraId="173CF95A" w14:textId="2384FBF4" w:rsidR="00C21071" w:rsidRPr="007C79DF" w:rsidRDefault="00C21071" w:rsidP="0079353D">
            <w:pPr>
              <w:ind w:firstLine="1917"/>
              <w:rPr>
                <w:sz w:val="18"/>
                <w:szCs w:val="18"/>
                <w:lang w:val="en-GB"/>
              </w:rPr>
            </w:pPr>
          </w:p>
        </w:tc>
      </w:tr>
      <w:tr w:rsidR="00C21071" w:rsidRPr="00C72B68" w14:paraId="67E764CA" w14:textId="77777777" w:rsidTr="30964D0C">
        <w:trPr>
          <w:gridAfter w:val="1"/>
          <w:wAfter w:w="16" w:type="dxa"/>
        </w:trPr>
        <w:tc>
          <w:tcPr>
            <w:tcW w:w="2893" w:type="dxa"/>
          </w:tcPr>
          <w:p w14:paraId="37DC1D3A" w14:textId="77777777" w:rsidR="00C21071" w:rsidRPr="00973525" w:rsidRDefault="00C21071" w:rsidP="00C21071">
            <w:pPr>
              <w:rPr>
                <w:sz w:val="18"/>
                <w:szCs w:val="18"/>
                <w:lang w:val="en-GB"/>
              </w:rPr>
            </w:pPr>
            <w:r w:rsidRPr="00973525">
              <w:rPr>
                <w:sz w:val="18"/>
                <w:szCs w:val="18"/>
                <w:lang w:val="en-GB"/>
              </w:rPr>
              <w:t>Please explain your answer to question 9.34:</w:t>
            </w:r>
          </w:p>
          <w:p w14:paraId="30CD3E13" w14:textId="77777777" w:rsidR="00C21071" w:rsidRPr="00973525" w:rsidRDefault="00C21071" w:rsidP="00C21071">
            <w:pPr>
              <w:rPr>
                <w:sz w:val="18"/>
                <w:szCs w:val="18"/>
                <w:lang w:val="en-GB"/>
              </w:rPr>
            </w:pPr>
          </w:p>
        </w:tc>
        <w:tc>
          <w:tcPr>
            <w:tcW w:w="7740" w:type="dxa"/>
          </w:tcPr>
          <w:p w14:paraId="210F0907" w14:textId="77777777" w:rsidR="00967736" w:rsidRDefault="00967736" w:rsidP="00C21071">
            <w:pPr>
              <w:rPr>
                <w:sz w:val="18"/>
                <w:szCs w:val="18"/>
                <w:lang w:val="en-US"/>
              </w:rPr>
            </w:pPr>
          </w:p>
          <w:p w14:paraId="66A5A0F0" w14:textId="77777777" w:rsidR="00967736" w:rsidRPr="00973525" w:rsidRDefault="00967736" w:rsidP="00967736">
            <w:pPr>
              <w:pStyle w:val="Corpsdetexte"/>
              <w:spacing w:before="21" w:line="259" w:lineRule="auto"/>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JSTs should have a coordinated approach to the PBA/CRT tests and clearly state that the other EBA recommendations are not, and will not become, mandatory (or “non-binding but strongly encouraged”).</w:t>
            </w:r>
          </w:p>
          <w:p w14:paraId="20920E2B" w14:textId="77777777" w:rsidR="00967736" w:rsidRDefault="00967736" w:rsidP="00C21071">
            <w:pPr>
              <w:rPr>
                <w:sz w:val="18"/>
                <w:szCs w:val="18"/>
                <w:lang w:val="en-US"/>
              </w:rPr>
            </w:pPr>
          </w:p>
          <w:p w14:paraId="34ACE856" w14:textId="53773DFE" w:rsidR="00C21071" w:rsidRPr="00973525" w:rsidRDefault="00C21071" w:rsidP="00C21071">
            <w:pPr>
              <w:rPr>
                <w:sz w:val="18"/>
                <w:szCs w:val="18"/>
                <w:lang w:val="en-US"/>
              </w:rPr>
            </w:pPr>
            <w:r w:rsidRPr="00973525">
              <w:rPr>
                <w:sz w:val="18"/>
                <w:szCs w:val="18"/>
                <w:lang w:val="en-US"/>
              </w:rPr>
              <w:t xml:space="preserve">The EBA guidelines are two prescriptive, and they introduce unnecessary restrictive conditions. </w:t>
            </w:r>
          </w:p>
          <w:p w14:paraId="62593392" w14:textId="77777777" w:rsidR="00C23F78" w:rsidRDefault="00C23F78" w:rsidP="00C21071">
            <w:pPr>
              <w:rPr>
                <w:sz w:val="18"/>
                <w:szCs w:val="18"/>
                <w:lang w:val="en-US"/>
              </w:rPr>
            </w:pPr>
          </w:p>
          <w:p w14:paraId="3BDDFF0A" w14:textId="65C8C5CD" w:rsidR="00C21071" w:rsidRPr="00973525" w:rsidRDefault="00C21071" w:rsidP="00C21071">
            <w:pPr>
              <w:rPr>
                <w:sz w:val="18"/>
                <w:szCs w:val="18"/>
                <w:lang w:val="en-US"/>
              </w:rPr>
            </w:pPr>
            <w:r w:rsidRPr="00973525">
              <w:rPr>
                <w:sz w:val="18"/>
                <w:szCs w:val="18"/>
                <w:lang w:val="en-US"/>
              </w:rPr>
              <w:t>The CRT test defined in those guidelines does not measure the transfer of risk and introduces an uncertainty in the structuration of a transaction.</w:t>
            </w:r>
          </w:p>
          <w:p w14:paraId="4E8E011E" w14:textId="1E1A8B61" w:rsidR="00C21071" w:rsidRPr="00973525" w:rsidRDefault="00C21071" w:rsidP="00C21071">
            <w:pPr>
              <w:rPr>
                <w:sz w:val="18"/>
                <w:szCs w:val="18"/>
                <w:lang w:val="en-US"/>
              </w:rPr>
            </w:pPr>
            <w:r w:rsidRPr="00973525">
              <w:rPr>
                <w:sz w:val="18"/>
                <w:szCs w:val="18"/>
                <w:lang w:val="en-US"/>
              </w:rPr>
              <w:t xml:space="preserve">The use of excess spread as a new tranche with 1250% RW after securitisation does not </w:t>
            </w:r>
            <w:proofErr w:type="gramStart"/>
            <w:r w:rsidRPr="00973525">
              <w:rPr>
                <w:sz w:val="18"/>
                <w:szCs w:val="18"/>
                <w:lang w:val="en-US"/>
              </w:rPr>
              <w:t>take into account</w:t>
            </w:r>
            <w:proofErr w:type="gramEnd"/>
            <w:r w:rsidRPr="00973525">
              <w:rPr>
                <w:sz w:val="18"/>
                <w:szCs w:val="18"/>
                <w:lang w:val="en-US"/>
              </w:rPr>
              <w:t xml:space="preserve"> the fact that in the banking regulation, on the </w:t>
            </w:r>
            <w:proofErr w:type="spellStart"/>
            <w:r w:rsidRPr="00973525">
              <w:rPr>
                <w:sz w:val="18"/>
                <w:szCs w:val="18"/>
                <w:lang w:val="en-US"/>
              </w:rPr>
              <w:t>securised</w:t>
            </w:r>
            <w:proofErr w:type="spellEnd"/>
            <w:r w:rsidRPr="00973525">
              <w:rPr>
                <w:sz w:val="18"/>
                <w:szCs w:val="18"/>
                <w:lang w:val="en-US"/>
              </w:rPr>
              <w:t xml:space="preserve"> pool, </w:t>
            </w:r>
            <w:r w:rsidRPr="00973525">
              <w:rPr>
                <w:sz w:val="18"/>
                <w:szCs w:val="18"/>
                <w:u w:val="single"/>
                <w:lang w:val="en-US"/>
              </w:rPr>
              <w:t>future revenues</w:t>
            </w:r>
            <w:r w:rsidRPr="00973525">
              <w:rPr>
                <w:sz w:val="18"/>
                <w:szCs w:val="18"/>
                <w:lang w:val="en-US"/>
              </w:rPr>
              <w:t xml:space="preserve"> are excluded from own funds as well (which is similar to being 1250% Risk Weighted).</w:t>
            </w:r>
          </w:p>
          <w:p w14:paraId="4CD31F91" w14:textId="38CDB79D" w:rsidR="00C21071" w:rsidRPr="00973525" w:rsidRDefault="00C21071" w:rsidP="00C21071">
            <w:pPr>
              <w:rPr>
                <w:sz w:val="18"/>
                <w:szCs w:val="18"/>
                <w:lang w:val="en-GB"/>
              </w:rPr>
            </w:pPr>
            <w:r w:rsidRPr="00973525">
              <w:rPr>
                <w:sz w:val="18"/>
                <w:szCs w:val="18"/>
                <w:u w:val="single"/>
                <w:lang w:val="en-US"/>
              </w:rPr>
              <w:t>Running a loss scenario</w:t>
            </w:r>
            <w:r w:rsidRPr="00973525">
              <w:rPr>
                <w:sz w:val="18"/>
                <w:szCs w:val="18"/>
                <w:lang w:val="en-US"/>
              </w:rPr>
              <w:t xml:space="preserve"> (under a stress consistent with ICAAP) is much more efficient and accurate </w:t>
            </w:r>
            <w:proofErr w:type="gramStart"/>
            <w:r w:rsidRPr="00973525">
              <w:rPr>
                <w:sz w:val="18"/>
                <w:szCs w:val="18"/>
                <w:lang w:val="en-US"/>
              </w:rPr>
              <w:t>in order to</w:t>
            </w:r>
            <w:proofErr w:type="gramEnd"/>
            <w:r w:rsidRPr="00973525">
              <w:rPr>
                <w:sz w:val="18"/>
                <w:szCs w:val="18"/>
                <w:lang w:val="en-US"/>
              </w:rPr>
              <w:t xml:space="preserve"> qualify the transfer of risk. It will be also less </w:t>
            </w:r>
            <w:proofErr w:type="gramStart"/>
            <w:r w:rsidRPr="00973525">
              <w:rPr>
                <w:sz w:val="18"/>
                <w:szCs w:val="18"/>
                <w:lang w:val="en-US"/>
              </w:rPr>
              <w:t>time consuming</w:t>
            </w:r>
            <w:proofErr w:type="gramEnd"/>
            <w:r w:rsidRPr="00973525">
              <w:rPr>
                <w:sz w:val="18"/>
                <w:szCs w:val="18"/>
                <w:lang w:val="en-US"/>
              </w:rPr>
              <w:t xml:space="preserve"> for banks and it will reduce the execution risk compared to the guidelines.</w:t>
            </w:r>
          </w:p>
        </w:tc>
        <w:tc>
          <w:tcPr>
            <w:tcW w:w="236" w:type="dxa"/>
          </w:tcPr>
          <w:p w14:paraId="5A6ECE26" w14:textId="1DE5D1C3" w:rsidR="00C21071" w:rsidRPr="00973525" w:rsidRDefault="00C21071" w:rsidP="0079353D">
            <w:pPr>
              <w:ind w:firstLine="1917"/>
              <w:rPr>
                <w:sz w:val="18"/>
                <w:szCs w:val="18"/>
                <w:lang w:val="en-GB"/>
              </w:rPr>
            </w:pPr>
          </w:p>
        </w:tc>
      </w:tr>
      <w:tr w:rsidR="00C21071" w:rsidRPr="00973525" w14:paraId="2207BEE8" w14:textId="77777777" w:rsidTr="30964D0C">
        <w:trPr>
          <w:gridAfter w:val="1"/>
          <w:wAfter w:w="16" w:type="dxa"/>
        </w:trPr>
        <w:tc>
          <w:tcPr>
            <w:tcW w:w="2893" w:type="dxa"/>
          </w:tcPr>
          <w:p w14:paraId="6EE25775" w14:textId="77777777" w:rsidR="00C21071" w:rsidRPr="00973525" w:rsidRDefault="00C21071" w:rsidP="00C21071">
            <w:pPr>
              <w:rPr>
                <w:sz w:val="18"/>
                <w:szCs w:val="18"/>
                <w:lang w:val="en-GB"/>
              </w:rPr>
            </w:pPr>
            <w:r w:rsidRPr="00973525">
              <w:rPr>
                <w:sz w:val="18"/>
                <w:szCs w:val="18"/>
                <w:lang w:val="en-GB"/>
              </w:rPr>
              <w:t>Question 9.35. If you answered yes to question 9.34., please provide suggestions:</w:t>
            </w:r>
          </w:p>
          <w:p w14:paraId="3312832F" w14:textId="77777777" w:rsidR="00C21071" w:rsidRPr="00973525" w:rsidRDefault="00C21071" w:rsidP="00C21071">
            <w:pPr>
              <w:rPr>
                <w:sz w:val="18"/>
                <w:szCs w:val="18"/>
                <w:lang w:val="en-GB"/>
              </w:rPr>
            </w:pPr>
          </w:p>
        </w:tc>
        <w:tc>
          <w:tcPr>
            <w:tcW w:w="7740" w:type="dxa"/>
          </w:tcPr>
          <w:p w14:paraId="683F67D5" w14:textId="08E5E1EA" w:rsidR="00C21071" w:rsidRPr="00973525" w:rsidRDefault="00C21071" w:rsidP="00C21071">
            <w:pPr>
              <w:rPr>
                <w:sz w:val="18"/>
                <w:szCs w:val="18"/>
                <w:lang w:val="en-GB"/>
              </w:rPr>
            </w:pPr>
            <w:r w:rsidRPr="00973525">
              <w:rPr>
                <w:sz w:val="18"/>
                <w:szCs w:val="18"/>
                <w:lang w:val="en-GB"/>
              </w:rPr>
              <w:t>N/A</w:t>
            </w:r>
          </w:p>
        </w:tc>
        <w:tc>
          <w:tcPr>
            <w:tcW w:w="236" w:type="dxa"/>
          </w:tcPr>
          <w:p w14:paraId="637F3456" w14:textId="77777777" w:rsidR="00C21071" w:rsidRPr="00973525" w:rsidRDefault="00C21071" w:rsidP="0079353D">
            <w:pPr>
              <w:ind w:firstLine="1917"/>
              <w:rPr>
                <w:sz w:val="18"/>
                <w:szCs w:val="18"/>
                <w:lang w:val="en-GB"/>
              </w:rPr>
            </w:pPr>
          </w:p>
        </w:tc>
      </w:tr>
      <w:tr w:rsidR="00C21071" w:rsidRPr="0000602A" w14:paraId="1924B687" w14:textId="77777777" w:rsidTr="30964D0C">
        <w:trPr>
          <w:gridAfter w:val="1"/>
          <w:wAfter w:w="16" w:type="dxa"/>
        </w:trPr>
        <w:tc>
          <w:tcPr>
            <w:tcW w:w="2893" w:type="dxa"/>
          </w:tcPr>
          <w:p w14:paraId="6A0452E6" w14:textId="77777777" w:rsidR="00C21071" w:rsidRPr="00973525" w:rsidRDefault="00C21071" w:rsidP="00C21071">
            <w:pPr>
              <w:rPr>
                <w:sz w:val="18"/>
                <w:szCs w:val="18"/>
                <w:lang w:val="en-GB"/>
              </w:rPr>
            </w:pPr>
            <w:r w:rsidRPr="00973525">
              <w:rPr>
                <w:sz w:val="18"/>
                <w:szCs w:val="18"/>
                <w:lang w:val="en-GB"/>
              </w:rPr>
              <w:t>Question 9.36. If you are a supervisor, how would a change in the SRT regulatory framework (</w:t>
            </w:r>
            <w:proofErr w:type="gramStart"/>
            <w:r w:rsidRPr="00973525">
              <w:rPr>
                <w:sz w:val="18"/>
                <w:szCs w:val="18"/>
                <w:lang w:val="en-GB"/>
              </w:rPr>
              <w:t>in particular on</w:t>
            </w:r>
            <w:proofErr w:type="gramEnd"/>
            <w:r w:rsidRPr="00973525">
              <w:rPr>
                <w:sz w:val="18"/>
                <w:szCs w:val="18"/>
                <w:lang w:val="en-GB"/>
              </w:rPr>
              <w:t xml:space="preserve"> the SRT tests and the process of SRT supervisory assessments) impact your supervisory costs?</w:t>
            </w:r>
          </w:p>
          <w:p w14:paraId="6D8D18B3" w14:textId="77777777" w:rsidR="00C21071" w:rsidRPr="00973525" w:rsidRDefault="00C21071" w:rsidP="00C21071">
            <w:pPr>
              <w:rPr>
                <w:sz w:val="18"/>
                <w:szCs w:val="18"/>
                <w:lang w:val="en-GB"/>
              </w:rPr>
            </w:pPr>
          </w:p>
        </w:tc>
        <w:tc>
          <w:tcPr>
            <w:tcW w:w="7740" w:type="dxa"/>
          </w:tcPr>
          <w:p w14:paraId="24D610F0" w14:textId="77777777" w:rsidR="00C21071" w:rsidRDefault="00C21071" w:rsidP="00C21071">
            <w:pPr>
              <w:pStyle w:val="Corpsdetexte"/>
              <w:spacing w:before="21" w:line="259" w:lineRule="auto"/>
              <w:jc w:val="both"/>
              <w:rPr>
                <w:rFonts w:asciiTheme="minorHAnsi" w:eastAsiaTheme="minorHAnsi" w:hAnsiTheme="minorHAnsi" w:cstheme="minorBidi"/>
                <w:kern w:val="2"/>
                <w:sz w:val="18"/>
                <w:szCs w:val="18"/>
                <w14:ligatures w14:val="standardContextual"/>
              </w:rPr>
            </w:pPr>
            <w:r w:rsidRPr="00973525">
              <w:rPr>
                <w:rFonts w:asciiTheme="minorHAnsi" w:eastAsiaTheme="minorHAnsi" w:hAnsiTheme="minorHAnsi" w:cstheme="minorBidi"/>
                <w:kern w:val="2"/>
                <w:sz w:val="18"/>
                <w:szCs w:val="18"/>
                <w14:ligatures w14:val="standardContextual"/>
              </w:rPr>
              <w:t>JSTs should have a coordinated approach to the PBA/CRT tests and clearly state that the other EBA recommendations are not, and will not become, mandatory (or “non-binding but strongly encouraged”).</w:t>
            </w:r>
          </w:p>
          <w:p w14:paraId="3432CFC9" w14:textId="4F44A7DB" w:rsidR="004F28C9" w:rsidRPr="004B7E68" w:rsidRDefault="004F28C9" w:rsidP="00C21071">
            <w:pPr>
              <w:pStyle w:val="Corpsdetexte"/>
              <w:spacing w:before="21" w:line="259" w:lineRule="auto"/>
              <w:jc w:val="both"/>
              <w:rPr>
                <w:rFonts w:asciiTheme="minorHAnsi" w:eastAsiaTheme="minorHAnsi" w:hAnsiTheme="minorHAnsi" w:cstheme="minorBidi"/>
                <w:kern w:val="2"/>
                <w:sz w:val="18"/>
                <w:szCs w:val="18"/>
                <w:lang w:val="en-GB"/>
                <w14:ligatures w14:val="standardContextual"/>
              </w:rPr>
            </w:pPr>
            <w:r w:rsidRPr="004B7E68">
              <w:rPr>
                <w:rFonts w:asciiTheme="minorHAnsi" w:eastAsiaTheme="minorHAnsi" w:hAnsiTheme="minorHAnsi" w:cstheme="minorBidi"/>
                <w:kern w:val="2"/>
                <w:sz w:val="18"/>
                <w:szCs w:val="18"/>
                <w:lang w:val="en-GB"/>
                <w14:ligatures w14:val="standardContextual"/>
              </w:rPr>
              <w:t xml:space="preserve">We do not agree that in the November 2024 </w:t>
            </w:r>
            <w:r w:rsidR="00862112" w:rsidRPr="00862112">
              <w:rPr>
                <w:rFonts w:asciiTheme="minorHAnsi" w:eastAsiaTheme="minorHAnsi" w:hAnsiTheme="minorHAnsi" w:cstheme="minorBidi"/>
                <w:kern w:val="2"/>
                <w:sz w:val="18"/>
                <w:szCs w:val="18"/>
                <w:lang w:val="en-GB"/>
                <w14:ligatures w14:val="standardContextual"/>
              </w:rPr>
              <w:t>“consultation</w:t>
            </w:r>
            <w:r w:rsidRPr="004B7E68">
              <w:rPr>
                <w:rFonts w:asciiTheme="minorHAnsi" w:eastAsiaTheme="minorHAnsi" w:hAnsiTheme="minorHAnsi" w:cstheme="minorBidi"/>
                <w:kern w:val="2"/>
                <w:sz w:val="18"/>
                <w:szCs w:val="18"/>
                <w:lang w:val="en-GB"/>
                <w14:ligatures w14:val="standardContextual"/>
              </w:rPr>
              <w:t xml:space="preserve"> on its approach to options and discretions available in EU law”, the ECB includes the recommendations proposed by the 2020 EBA report. The proposal related to the CRT has not been tested and, in practice, banks experience that its methodology is flawed</w:t>
            </w:r>
          </w:p>
          <w:p w14:paraId="65513902" w14:textId="77777777" w:rsidR="00C21071" w:rsidRPr="00973525" w:rsidRDefault="00C21071" w:rsidP="00C21071">
            <w:pPr>
              <w:rPr>
                <w:sz w:val="18"/>
                <w:szCs w:val="18"/>
                <w:lang w:val="en-US"/>
              </w:rPr>
            </w:pPr>
          </w:p>
          <w:p w14:paraId="58F98635" w14:textId="79681958" w:rsidR="00C21071" w:rsidRPr="004B7E68" w:rsidRDefault="00C21071" w:rsidP="00967736">
            <w:pPr>
              <w:rPr>
                <w:sz w:val="18"/>
                <w:szCs w:val="18"/>
                <w:lang w:val="en-GB"/>
              </w:rPr>
            </w:pPr>
          </w:p>
        </w:tc>
        <w:tc>
          <w:tcPr>
            <w:tcW w:w="236" w:type="dxa"/>
          </w:tcPr>
          <w:p w14:paraId="779E90C4" w14:textId="4CDA1B8D" w:rsidR="00967736" w:rsidRPr="0085090A" w:rsidRDefault="00967736" w:rsidP="0079353D">
            <w:pPr>
              <w:ind w:firstLine="1917"/>
              <w:rPr>
                <w:sz w:val="18"/>
                <w:szCs w:val="18"/>
                <w:lang w:val="en-US"/>
              </w:rPr>
            </w:pPr>
          </w:p>
        </w:tc>
      </w:tr>
      <w:tr w:rsidR="00C21071" w:rsidRPr="0000602A" w14:paraId="4722E724" w14:textId="3C137FA8" w:rsidTr="30964D0C">
        <w:tc>
          <w:tcPr>
            <w:tcW w:w="10885" w:type="dxa"/>
            <w:gridSpan w:val="4"/>
          </w:tcPr>
          <w:p w14:paraId="1FAB835A" w14:textId="77777777" w:rsidR="00C21071" w:rsidRPr="00973525" w:rsidRDefault="00C21071" w:rsidP="000A4C25">
            <w:pPr>
              <w:rPr>
                <w:b/>
                <w:bCs/>
                <w:i/>
                <w:iCs/>
                <w:sz w:val="18"/>
                <w:szCs w:val="18"/>
                <w:lang w:val="en-GB"/>
              </w:rPr>
            </w:pPr>
            <w:r w:rsidRPr="00973525">
              <w:rPr>
                <w:b/>
                <w:bCs/>
                <w:i/>
                <w:iCs/>
                <w:sz w:val="18"/>
                <w:szCs w:val="18"/>
                <w:lang w:val="en-GB"/>
              </w:rPr>
              <w:t>Transitional measure in Article 465(13) of the CRR</w:t>
            </w:r>
          </w:p>
          <w:p w14:paraId="11DAD722" w14:textId="77777777" w:rsidR="00C21071" w:rsidRPr="00973525" w:rsidRDefault="00C21071" w:rsidP="00265131">
            <w:pPr>
              <w:jc w:val="both"/>
              <w:rPr>
                <w:sz w:val="18"/>
                <w:szCs w:val="18"/>
                <w:lang w:val="en-GB"/>
              </w:rPr>
            </w:pPr>
            <w:r w:rsidRPr="00973525">
              <w:rPr>
                <w:sz w:val="18"/>
                <w:szCs w:val="18"/>
                <w:lang w:val="en-GB"/>
              </w:rPr>
              <w:t>The transitional measure in Article 465(13) of the CRR as amended by </w:t>
            </w:r>
            <w:r>
              <w:fldChar w:fldCharType="begin"/>
            </w:r>
            <w:r w:rsidRPr="0000602A">
              <w:rPr>
                <w:lang w:val="en-GB"/>
              </w:rPr>
              <w:instrText>HYPERLINK "https://eur-lex.europa.eu/legal-content/EN/TXT/?uri=CELEX:32024R1623" \t "_blank"</w:instrText>
            </w:r>
            <w:r>
              <w:fldChar w:fldCharType="separate"/>
            </w:r>
            <w:r w:rsidRPr="00973525">
              <w:rPr>
                <w:rStyle w:val="Lienhypertexte"/>
                <w:sz w:val="18"/>
                <w:szCs w:val="18"/>
                <w:lang w:val="en-GB"/>
              </w:rPr>
              <w:t>Regulation (EU) 2024/1623</w:t>
            </w:r>
            <w:r>
              <w:rPr>
                <w:rStyle w:val="Lienhypertexte"/>
                <w:sz w:val="18"/>
                <w:szCs w:val="18"/>
                <w:lang w:val="en-GB"/>
              </w:rPr>
              <w:fldChar w:fldCharType="end"/>
            </w:r>
            <w:r w:rsidRPr="00973525">
              <w:rPr>
                <w:sz w:val="18"/>
                <w:szCs w:val="18"/>
                <w:lang w:val="en-GB"/>
              </w:rPr>
              <w:t> aims to mitigate possible unintended consequences of the introduction of the output floor on the calculation of capital requirements for securitisation exposures. It introduces a targeted relief for exposures risk</w:t>
            </w:r>
            <w:r w:rsidRPr="00973525">
              <w:rPr>
                <w:sz w:val="18"/>
                <w:szCs w:val="18"/>
                <w:lang w:val="en-GB"/>
              </w:rPr>
              <w:noBreakHyphen/>
              <w:t>weighted under the SEC</w:t>
            </w:r>
            <w:r w:rsidRPr="00973525">
              <w:rPr>
                <w:sz w:val="18"/>
                <w:szCs w:val="18"/>
                <w:lang w:val="en-GB"/>
              </w:rPr>
              <w:noBreakHyphen/>
              <w:t>IRBA and internal assessment approach (IAA) by halving the (p) factor in the calculation of the output floor for those IRB securitisation positions (i.e. the (p) factor is halved to 0.25 for the STS securitisation positions eligible for the preferential capital treatment under the CRR, and to 0.5 for all other securitisation positions). The introduction of this targeted relief acknowledges the fact that the (p) factor levels embedded in the securitisation standardised approach formula (SEC</w:t>
            </w:r>
            <w:r w:rsidRPr="00973525">
              <w:rPr>
                <w:sz w:val="18"/>
                <w:szCs w:val="18"/>
                <w:lang w:val="en-GB"/>
              </w:rPr>
              <w:noBreakHyphen/>
              <w:t xml:space="preserve">SA) when used </w:t>
            </w:r>
            <w:r w:rsidRPr="00973525">
              <w:rPr>
                <w:sz w:val="18"/>
                <w:szCs w:val="18"/>
                <w:lang w:val="en-GB"/>
              </w:rPr>
              <w:lastRenderedPageBreak/>
              <w:t>in the context of the output floor would produce unduly punitive results for securitisations structured based on the SEC</w:t>
            </w:r>
            <w:r w:rsidRPr="00973525">
              <w:rPr>
                <w:sz w:val="18"/>
                <w:szCs w:val="18"/>
                <w:lang w:val="en-GB"/>
              </w:rPr>
              <w:noBreakHyphen/>
              <w:t>IRBA by banks using internal models. The transitional measure will be in application from 1 January 2025 until 31 December 2032.</w:t>
            </w:r>
          </w:p>
          <w:p w14:paraId="602C3449" w14:textId="77777777" w:rsidR="00C21071" w:rsidRPr="00973525" w:rsidRDefault="00C21071" w:rsidP="0079353D">
            <w:pPr>
              <w:ind w:firstLine="1917"/>
              <w:rPr>
                <w:sz w:val="18"/>
                <w:szCs w:val="18"/>
                <w:lang w:val="en-GB"/>
              </w:rPr>
            </w:pPr>
          </w:p>
          <w:p w14:paraId="1ADECF2E" w14:textId="77777777" w:rsidR="00C21071" w:rsidRPr="00973525" w:rsidRDefault="00C21071" w:rsidP="0079353D">
            <w:pPr>
              <w:ind w:firstLine="1917"/>
              <w:rPr>
                <w:sz w:val="18"/>
                <w:szCs w:val="18"/>
                <w:lang w:val="en-GB"/>
              </w:rPr>
            </w:pPr>
          </w:p>
          <w:p w14:paraId="05847FAE" w14:textId="77777777" w:rsidR="00C21071" w:rsidRPr="00973525" w:rsidRDefault="00C21071" w:rsidP="0079353D">
            <w:pPr>
              <w:ind w:firstLine="1917"/>
              <w:rPr>
                <w:sz w:val="18"/>
                <w:szCs w:val="18"/>
                <w:lang w:val="en-GB"/>
              </w:rPr>
            </w:pPr>
          </w:p>
        </w:tc>
      </w:tr>
      <w:tr w:rsidR="00C21071" w:rsidRPr="00973525" w14:paraId="594664AA" w14:textId="77777777" w:rsidTr="30964D0C">
        <w:trPr>
          <w:gridAfter w:val="1"/>
          <w:wAfter w:w="16" w:type="dxa"/>
        </w:trPr>
        <w:tc>
          <w:tcPr>
            <w:tcW w:w="2893" w:type="dxa"/>
            <w:shd w:val="clear" w:color="auto" w:fill="DAE9F7" w:themeFill="text2" w:themeFillTint="1A"/>
          </w:tcPr>
          <w:p w14:paraId="34D95D4D" w14:textId="77777777" w:rsidR="00C21071" w:rsidRPr="00973525" w:rsidRDefault="00C21071" w:rsidP="00C21071">
            <w:pPr>
              <w:rPr>
                <w:b/>
                <w:bCs/>
                <w:i/>
                <w:iCs/>
                <w:sz w:val="18"/>
                <w:szCs w:val="18"/>
                <w:lang w:val="en-GB"/>
              </w:rPr>
            </w:pPr>
            <w:r w:rsidRPr="00973525">
              <w:rPr>
                <w:b/>
                <w:bCs/>
                <w:i/>
                <w:iCs/>
                <w:sz w:val="18"/>
                <w:szCs w:val="18"/>
                <w:lang w:val="en-GB"/>
              </w:rPr>
              <w:lastRenderedPageBreak/>
              <w:t>Questions</w:t>
            </w:r>
          </w:p>
        </w:tc>
        <w:tc>
          <w:tcPr>
            <w:tcW w:w="7740" w:type="dxa"/>
            <w:shd w:val="clear" w:color="auto" w:fill="DAE9F7" w:themeFill="text2" w:themeFillTint="1A"/>
          </w:tcPr>
          <w:p w14:paraId="11DD2027" w14:textId="5CCABC8A" w:rsidR="00C21071" w:rsidRPr="00973525" w:rsidRDefault="1F129864" w:rsidP="30964D0C">
            <w:pPr>
              <w:rPr>
                <w:b/>
                <w:bCs/>
                <w:i/>
                <w:iCs/>
                <w:sz w:val="18"/>
                <w:szCs w:val="18"/>
                <w:lang w:val="en-GB"/>
              </w:rPr>
            </w:pPr>
            <w:r w:rsidRPr="30964D0C">
              <w:rPr>
                <w:b/>
                <w:bCs/>
                <w:i/>
                <w:iCs/>
                <w:sz w:val="18"/>
                <w:szCs w:val="18"/>
                <w:lang w:val="en-GB"/>
              </w:rPr>
              <w:t>FBF Answers</w:t>
            </w:r>
          </w:p>
        </w:tc>
        <w:tc>
          <w:tcPr>
            <w:tcW w:w="236" w:type="dxa"/>
            <w:shd w:val="clear" w:color="auto" w:fill="DAE9F7" w:themeFill="text2" w:themeFillTint="1A"/>
          </w:tcPr>
          <w:p w14:paraId="6B272F17" w14:textId="33B856D6" w:rsidR="00C21071" w:rsidRPr="00973525" w:rsidRDefault="00C21071" w:rsidP="0079353D">
            <w:pPr>
              <w:pStyle w:val="Paragraphedeliste"/>
              <w:ind w:left="0" w:firstLine="1917"/>
              <w:rPr>
                <w:b/>
                <w:bCs/>
                <w:i/>
                <w:iCs/>
                <w:sz w:val="18"/>
                <w:szCs w:val="18"/>
                <w:lang w:val="en-GB"/>
              </w:rPr>
            </w:pPr>
          </w:p>
        </w:tc>
      </w:tr>
      <w:tr w:rsidR="00C21071" w:rsidRPr="0000602A" w14:paraId="741EFB37" w14:textId="77777777" w:rsidTr="30964D0C">
        <w:trPr>
          <w:gridAfter w:val="1"/>
          <w:wAfter w:w="16" w:type="dxa"/>
        </w:trPr>
        <w:tc>
          <w:tcPr>
            <w:tcW w:w="2893" w:type="dxa"/>
          </w:tcPr>
          <w:p w14:paraId="02662B7E" w14:textId="77777777" w:rsidR="00C21071" w:rsidRPr="00973525" w:rsidRDefault="00C21071" w:rsidP="00C21071">
            <w:pPr>
              <w:rPr>
                <w:sz w:val="18"/>
                <w:szCs w:val="18"/>
                <w:lang w:val="en-GB"/>
              </w:rPr>
            </w:pPr>
            <w:r w:rsidRPr="00973525">
              <w:rPr>
                <w:sz w:val="18"/>
                <w:szCs w:val="18"/>
                <w:lang w:val="en-GB"/>
              </w:rPr>
              <w:t>Question 9.37. Do you consider that the transitional measure will remain necessary and should be maintained, in case of introduction of other changes to the prudential framework?</w:t>
            </w:r>
          </w:p>
          <w:p w14:paraId="6C7E4CD6" w14:textId="77777777" w:rsidR="00C21071" w:rsidRPr="00973525" w:rsidRDefault="00C21071" w:rsidP="00C21071">
            <w:pPr>
              <w:rPr>
                <w:sz w:val="18"/>
                <w:szCs w:val="18"/>
                <w:lang w:val="en-GB"/>
              </w:rPr>
            </w:pPr>
          </w:p>
        </w:tc>
        <w:tc>
          <w:tcPr>
            <w:tcW w:w="7740" w:type="dxa"/>
          </w:tcPr>
          <w:p w14:paraId="034F6409" w14:textId="77777777" w:rsidR="00C21071" w:rsidRPr="00973525" w:rsidRDefault="00C21071" w:rsidP="00C21071">
            <w:pPr>
              <w:rPr>
                <w:sz w:val="18"/>
                <w:szCs w:val="18"/>
                <w:lang w:val="en-GB"/>
              </w:rPr>
            </w:pPr>
            <w:r w:rsidRPr="00973525">
              <w:rPr>
                <w:sz w:val="18"/>
                <w:szCs w:val="18"/>
                <w:lang w:val="en-GB"/>
              </w:rPr>
              <w:t>Answer</w:t>
            </w:r>
          </w:p>
          <w:p w14:paraId="17BD6E63" w14:textId="247629F5" w:rsidR="00C21071" w:rsidRPr="00973525" w:rsidRDefault="00000000" w:rsidP="00C21071">
            <w:pPr>
              <w:rPr>
                <w:sz w:val="18"/>
                <w:szCs w:val="18"/>
                <w:lang w:val="en-GB"/>
              </w:rPr>
            </w:pPr>
            <w:sdt>
              <w:sdtPr>
                <w:rPr>
                  <w:sz w:val="18"/>
                  <w:szCs w:val="18"/>
                  <w:lang w:val="en-GB"/>
                </w:rPr>
                <w:id w:val="1820927527"/>
                <w14:checkbox>
                  <w14:checked w14:val="1"/>
                  <w14:checkedState w14:val="2612" w14:font="MS Gothic"/>
                  <w14:uncheckedState w14:val="2610" w14:font="MS Gothic"/>
                </w14:checkbox>
              </w:sdtPr>
              <w:sdtContent>
                <w:r w:rsidR="00C21071" w:rsidRPr="00973525">
                  <w:rPr>
                    <w:rFonts w:ascii="MS Gothic" w:eastAsia="MS Gothic" w:hAnsi="MS Gothic"/>
                    <w:sz w:val="18"/>
                    <w:szCs w:val="18"/>
                    <w:lang w:val="en-GB"/>
                  </w:rPr>
                  <w:t>☒</w:t>
                </w:r>
              </w:sdtContent>
            </w:sdt>
            <w:r w:rsidR="00C21071" w:rsidRPr="00973525">
              <w:rPr>
                <w:sz w:val="18"/>
                <w:szCs w:val="18"/>
                <w:lang w:val="en-GB"/>
              </w:rPr>
              <w:t>Yes</w:t>
            </w:r>
          </w:p>
          <w:p w14:paraId="59407986" w14:textId="26F06908" w:rsidR="00C21071" w:rsidRPr="00973525" w:rsidRDefault="00000000" w:rsidP="00C21071">
            <w:pPr>
              <w:rPr>
                <w:b/>
                <w:bCs/>
                <w:sz w:val="18"/>
                <w:szCs w:val="18"/>
                <w:lang w:val="en-GB"/>
              </w:rPr>
            </w:pPr>
            <w:sdt>
              <w:sdtPr>
                <w:rPr>
                  <w:b/>
                  <w:bCs/>
                  <w:sz w:val="18"/>
                  <w:szCs w:val="18"/>
                  <w:lang w:val="en-GB"/>
                </w:rPr>
                <w:id w:val="-224684207"/>
                <w14:checkbox>
                  <w14:checked w14:val="0"/>
                  <w14:checkedState w14:val="2612" w14:font="MS Gothic"/>
                  <w14:uncheckedState w14:val="2610" w14:font="MS Gothic"/>
                </w14:checkbox>
              </w:sdtPr>
              <w:sdtContent>
                <w:r w:rsidR="00C21071" w:rsidRPr="00973525">
                  <w:rPr>
                    <w:rFonts w:ascii="MS Gothic" w:eastAsia="MS Gothic" w:hAnsi="MS Gothic" w:hint="eastAsia"/>
                    <w:b/>
                    <w:bCs/>
                    <w:sz w:val="18"/>
                    <w:szCs w:val="18"/>
                    <w:lang w:val="en-GB"/>
                  </w:rPr>
                  <w:t>☐</w:t>
                </w:r>
              </w:sdtContent>
            </w:sdt>
            <w:r w:rsidR="00C21071" w:rsidRPr="00973525">
              <w:rPr>
                <w:b/>
                <w:bCs/>
                <w:sz w:val="18"/>
                <w:szCs w:val="18"/>
                <w:lang w:val="en-GB"/>
              </w:rPr>
              <w:t>No</w:t>
            </w:r>
          </w:p>
          <w:p w14:paraId="1982E4F2" w14:textId="77777777" w:rsidR="00C21071" w:rsidRPr="00973525" w:rsidRDefault="00000000" w:rsidP="00C21071">
            <w:pPr>
              <w:rPr>
                <w:sz w:val="18"/>
                <w:szCs w:val="18"/>
                <w:lang w:val="en-US"/>
              </w:rPr>
            </w:pPr>
            <w:sdt>
              <w:sdtPr>
                <w:rPr>
                  <w:sz w:val="18"/>
                  <w:szCs w:val="18"/>
                  <w:lang w:val="en-GB"/>
                </w:rPr>
                <w:id w:val="1360240973"/>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4456AA33" w14:textId="77777777" w:rsidR="00C21071" w:rsidRPr="00973525" w:rsidRDefault="00C21071" w:rsidP="00C21071">
            <w:pPr>
              <w:rPr>
                <w:sz w:val="18"/>
                <w:szCs w:val="18"/>
                <w:lang w:val="en-US"/>
              </w:rPr>
            </w:pPr>
          </w:p>
        </w:tc>
        <w:tc>
          <w:tcPr>
            <w:tcW w:w="236" w:type="dxa"/>
          </w:tcPr>
          <w:p w14:paraId="4BCC3520" w14:textId="55C666C3" w:rsidR="00C21071" w:rsidRPr="00973525" w:rsidRDefault="00C21071" w:rsidP="0079353D">
            <w:pPr>
              <w:ind w:firstLine="1917"/>
              <w:rPr>
                <w:sz w:val="18"/>
                <w:szCs w:val="18"/>
                <w:lang w:val="en-GB"/>
              </w:rPr>
            </w:pPr>
          </w:p>
        </w:tc>
      </w:tr>
      <w:tr w:rsidR="00C21071" w:rsidRPr="0000602A" w14:paraId="28F7C9F4" w14:textId="77777777" w:rsidTr="30964D0C">
        <w:trPr>
          <w:gridAfter w:val="1"/>
          <w:wAfter w:w="16" w:type="dxa"/>
        </w:trPr>
        <w:tc>
          <w:tcPr>
            <w:tcW w:w="2893" w:type="dxa"/>
          </w:tcPr>
          <w:p w14:paraId="5DE14FD7" w14:textId="7A243D84" w:rsidR="00C21071" w:rsidRPr="00973525" w:rsidRDefault="00C21071" w:rsidP="00C21071">
            <w:pPr>
              <w:rPr>
                <w:sz w:val="18"/>
                <w:szCs w:val="18"/>
                <w:lang w:val="en-GB"/>
              </w:rPr>
            </w:pPr>
            <w:r w:rsidRPr="00973525">
              <w:rPr>
                <w:sz w:val="18"/>
                <w:szCs w:val="18"/>
                <w:lang w:val="en-GB"/>
              </w:rPr>
              <w:t>Question 9.38. If you answered YES to question 9.37., please explain why and whether there are any alternative measures that could be more appropriate to achieve the original objective of the transitional measure.</w:t>
            </w:r>
          </w:p>
          <w:p w14:paraId="63987114" w14:textId="77777777" w:rsidR="00C21071" w:rsidRPr="00973525" w:rsidRDefault="00C21071" w:rsidP="00C21071">
            <w:pPr>
              <w:rPr>
                <w:sz w:val="18"/>
                <w:szCs w:val="18"/>
                <w:lang w:val="en-GB"/>
              </w:rPr>
            </w:pPr>
          </w:p>
        </w:tc>
        <w:tc>
          <w:tcPr>
            <w:tcW w:w="7740" w:type="dxa"/>
          </w:tcPr>
          <w:p w14:paraId="5B8ACF4A" w14:textId="77777777" w:rsidR="007258C6" w:rsidRDefault="00034E7B" w:rsidP="007258C6">
            <w:pPr>
              <w:rPr>
                <w:sz w:val="18"/>
                <w:szCs w:val="18"/>
                <w:lang w:val="en-US"/>
              </w:rPr>
            </w:pPr>
            <w:r w:rsidRPr="00973525">
              <w:rPr>
                <w:sz w:val="18"/>
                <w:szCs w:val="18"/>
                <w:lang w:val="en-US"/>
              </w:rPr>
              <w:t>YES -</w:t>
            </w:r>
            <w:r w:rsidR="00C21071" w:rsidRPr="00973525">
              <w:rPr>
                <w:sz w:val="18"/>
                <w:szCs w:val="18"/>
                <w:lang w:val="en-US"/>
              </w:rPr>
              <w:t xml:space="preserve"> Transitional measures are needed with the introduction of CRR</w:t>
            </w:r>
            <w:r w:rsidR="00425FBC">
              <w:rPr>
                <w:sz w:val="18"/>
                <w:szCs w:val="18"/>
                <w:lang w:val="en-US"/>
              </w:rPr>
              <w:t>3</w:t>
            </w:r>
            <w:r w:rsidR="00C21071" w:rsidRPr="00973525">
              <w:rPr>
                <w:sz w:val="18"/>
                <w:szCs w:val="18"/>
                <w:lang w:val="en-US"/>
              </w:rPr>
              <w:t xml:space="preserve"> since there is a sudden increase in requirements, and we would welcome the extension of article 465 on the calculation of the floor </w:t>
            </w:r>
            <w:r w:rsidR="007258C6" w:rsidRPr="007258C6">
              <w:rPr>
                <w:sz w:val="18"/>
                <w:szCs w:val="18"/>
                <w:lang w:val="en-US"/>
              </w:rPr>
              <w:t xml:space="preserve">for the transactions under SEC-SA (beyond the output floor). </w:t>
            </w:r>
          </w:p>
          <w:p w14:paraId="4854609C" w14:textId="77777777" w:rsidR="00325FA4" w:rsidRPr="007258C6" w:rsidRDefault="00325FA4" w:rsidP="007258C6">
            <w:pPr>
              <w:rPr>
                <w:sz w:val="18"/>
                <w:szCs w:val="18"/>
                <w:lang w:val="en-US"/>
              </w:rPr>
            </w:pPr>
          </w:p>
          <w:p w14:paraId="773F4270" w14:textId="77777777" w:rsidR="007258C6" w:rsidRPr="007258C6" w:rsidRDefault="007258C6" w:rsidP="007258C6">
            <w:pPr>
              <w:rPr>
                <w:sz w:val="18"/>
                <w:szCs w:val="18"/>
                <w:lang w:val="en-US"/>
              </w:rPr>
            </w:pPr>
            <w:r w:rsidRPr="007258C6">
              <w:rPr>
                <w:sz w:val="18"/>
                <w:szCs w:val="18"/>
                <w:lang w:val="en-US"/>
              </w:rPr>
              <w:t xml:space="preserve">Our proposal as a targeted and limited reduction of the p-factor is to expand the transitional measure (which halves the p-factor values) beyond the output floor for securitisation transactions under SEC-SA (cf. question Q9.23). </w:t>
            </w:r>
          </w:p>
          <w:p w14:paraId="6A36EF18" w14:textId="50E4CCDB" w:rsidR="00C21071" w:rsidRPr="007258C6" w:rsidRDefault="007258C6" w:rsidP="007258C6">
            <w:pPr>
              <w:rPr>
                <w:sz w:val="18"/>
                <w:szCs w:val="18"/>
                <w:lang w:val="en-US"/>
              </w:rPr>
            </w:pPr>
            <w:r w:rsidRPr="007258C6">
              <w:rPr>
                <w:sz w:val="18"/>
                <w:szCs w:val="18"/>
                <w:lang w:val="en-US"/>
              </w:rPr>
              <w:t>By construction, transitional measures for the output floor and permanent calibration under SEC-SA will be fully aligned. Transitional measures will remain to apply to SEC-IRBA transactions for the output floor calculation.</w:t>
            </w:r>
          </w:p>
        </w:tc>
        <w:tc>
          <w:tcPr>
            <w:tcW w:w="236" w:type="dxa"/>
          </w:tcPr>
          <w:p w14:paraId="587F5BF6" w14:textId="77777777" w:rsidR="00C21071" w:rsidRPr="00973525" w:rsidRDefault="00C21071" w:rsidP="0079353D">
            <w:pPr>
              <w:ind w:firstLine="1917"/>
              <w:rPr>
                <w:sz w:val="18"/>
                <w:szCs w:val="18"/>
                <w:lang w:val="en-GB"/>
              </w:rPr>
            </w:pPr>
          </w:p>
        </w:tc>
      </w:tr>
      <w:tr w:rsidR="00C21071" w:rsidRPr="0000602A" w14:paraId="6CFD90E8" w14:textId="77777777" w:rsidTr="30964D0C">
        <w:trPr>
          <w:gridAfter w:val="1"/>
          <w:wAfter w:w="16" w:type="dxa"/>
        </w:trPr>
        <w:tc>
          <w:tcPr>
            <w:tcW w:w="2893" w:type="dxa"/>
          </w:tcPr>
          <w:p w14:paraId="1E7C6A28" w14:textId="77777777" w:rsidR="00C21071" w:rsidRPr="00973525" w:rsidRDefault="00C21071" w:rsidP="00C21071">
            <w:pPr>
              <w:rPr>
                <w:sz w:val="18"/>
                <w:szCs w:val="18"/>
                <w:lang w:val="en-GB"/>
              </w:rPr>
            </w:pPr>
            <w:r w:rsidRPr="00973525">
              <w:rPr>
                <w:sz w:val="18"/>
                <w:szCs w:val="18"/>
                <w:lang w:val="en-GB"/>
              </w:rPr>
              <w:t>Question 9.39. If you answered yes to question 9.37, do you consider that a potential targeted and limited reduction of the p</w:t>
            </w:r>
            <w:r w:rsidRPr="00973525">
              <w:rPr>
                <w:sz w:val="18"/>
                <w:szCs w:val="18"/>
                <w:lang w:val="en-GB"/>
              </w:rPr>
              <w:noBreakHyphen/>
              <w:t>factor might affect the effectiveness of the transitional measure under the output floor?</w:t>
            </w:r>
          </w:p>
          <w:p w14:paraId="67E6836A" w14:textId="77777777" w:rsidR="00C21071" w:rsidRPr="00973525" w:rsidRDefault="00C21071" w:rsidP="00C21071">
            <w:pPr>
              <w:rPr>
                <w:sz w:val="18"/>
                <w:szCs w:val="18"/>
                <w:lang w:val="en-GB"/>
              </w:rPr>
            </w:pPr>
          </w:p>
        </w:tc>
        <w:tc>
          <w:tcPr>
            <w:tcW w:w="7740" w:type="dxa"/>
          </w:tcPr>
          <w:p w14:paraId="48BC631F" w14:textId="77777777" w:rsidR="00C21071" w:rsidRPr="00973525" w:rsidRDefault="00C21071" w:rsidP="00C21071">
            <w:pPr>
              <w:rPr>
                <w:sz w:val="18"/>
                <w:szCs w:val="18"/>
                <w:lang w:val="en-GB"/>
              </w:rPr>
            </w:pPr>
            <w:r w:rsidRPr="00973525">
              <w:rPr>
                <w:sz w:val="18"/>
                <w:szCs w:val="18"/>
                <w:lang w:val="en-GB"/>
              </w:rPr>
              <w:t>Answer</w:t>
            </w:r>
          </w:p>
          <w:p w14:paraId="7E3371AD" w14:textId="0CFF99F5" w:rsidR="00C21071" w:rsidRPr="00973525" w:rsidRDefault="00000000" w:rsidP="00C21071">
            <w:pPr>
              <w:rPr>
                <w:sz w:val="18"/>
                <w:szCs w:val="18"/>
                <w:lang w:val="en-GB"/>
              </w:rPr>
            </w:pPr>
            <w:sdt>
              <w:sdtPr>
                <w:rPr>
                  <w:sz w:val="18"/>
                  <w:szCs w:val="18"/>
                  <w:lang w:val="en-GB"/>
                </w:rPr>
                <w:id w:val="-1995094539"/>
                <w14:checkbox>
                  <w14:checked w14:val="1"/>
                  <w14:checkedState w14:val="2612" w14:font="MS Gothic"/>
                  <w14:uncheckedState w14:val="2610" w14:font="MS Gothic"/>
                </w14:checkbox>
              </w:sdtPr>
              <w:sdtContent>
                <w:r w:rsidR="00C21071" w:rsidRPr="00973525">
                  <w:rPr>
                    <w:rFonts w:ascii="MS Gothic" w:eastAsia="MS Gothic" w:hAnsi="MS Gothic"/>
                    <w:sz w:val="18"/>
                    <w:szCs w:val="18"/>
                    <w:lang w:val="en-GB"/>
                  </w:rPr>
                  <w:t>☒</w:t>
                </w:r>
              </w:sdtContent>
            </w:sdt>
            <w:r w:rsidR="00C21071" w:rsidRPr="00973525">
              <w:rPr>
                <w:sz w:val="18"/>
                <w:szCs w:val="18"/>
                <w:lang w:val="en-GB"/>
              </w:rPr>
              <w:t>Yes</w:t>
            </w:r>
          </w:p>
          <w:p w14:paraId="169CFCC0" w14:textId="4167297B" w:rsidR="00C21071" w:rsidRPr="00973525" w:rsidRDefault="00000000" w:rsidP="00C21071">
            <w:pPr>
              <w:rPr>
                <w:b/>
                <w:bCs/>
                <w:sz w:val="18"/>
                <w:szCs w:val="18"/>
                <w:lang w:val="en-GB"/>
              </w:rPr>
            </w:pPr>
            <w:sdt>
              <w:sdtPr>
                <w:rPr>
                  <w:b/>
                  <w:bCs/>
                  <w:sz w:val="18"/>
                  <w:szCs w:val="18"/>
                  <w:lang w:val="en-GB"/>
                </w:rPr>
                <w:id w:val="510346021"/>
                <w14:checkbox>
                  <w14:checked w14:val="0"/>
                  <w14:checkedState w14:val="2612" w14:font="MS Gothic"/>
                  <w14:uncheckedState w14:val="2610" w14:font="MS Gothic"/>
                </w14:checkbox>
              </w:sdtPr>
              <w:sdtContent>
                <w:r w:rsidR="00C21071" w:rsidRPr="00973525">
                  <w:rPr>
                    <w:rFonts w:ascii="MS Gothic" w:eastAsia="MS Gothic" w:hAnsi="MS Gothic" w:hint="eastAsia"/>
                    <w:b/>
                    <w:bCs/>
                    <w:sz w:val="18"/>
                    <w:szCs w:val="18"/>
                    <w:lang w:val="en-GB"/>
                  </w:rPr>
                  <w:t>☐</w:t>
                </w:r>
              </w:sdtContent>
            </w:sdt>
            <w:r w:rsidR="00C21071" w:rsidRPr="00973525">
              <w:rPr>
                <w:b/>
                <w:bCs/>
                <w:sz w:val="18"/>
                <w:szCs w:val="18"/>
                <w:lang w:val="en-GB"/>
              </w:rPr>
              <w:t>No</w:t>
            </w:r>
          </w:p>
          <w:p w14:paraId="1F9911D1" w14:textId="77777777" w:rsidR="00C21071" w:rsidRPr="00973525" w:rsidRDefault="00000000" w:rsidP="00C21071">
            <w:pPr>
              <w:rPr>
                <w:sz w:val="18"/>
                <w:szCs w:val="18"/>
                <w:lang w:val="en-US"/>
              </w:rPr>
            </w:pPr>
            <w:sdt>
              <w:sdtPr>
                <w:rPr>
                  <w:sz w:val="18"/>
                  <w:szCs w:val="18"/>
                  <w:lang w:val="en-GB"/>
                </w:rPr>
                <w:id w:val="691730379"/>
                <w14:checkbox>
                  <w14:checked w14:val="0"/>
                  <w14:checkedState w14:val="2612" w14:font="MS Gothic"/>
                  <w14:uncheckedState w14:val="2610" w14:font="MS Gothic"/>
                </w14:checkbox>
              </w:sdtPr>
              <w:sdtContent>
                <w:r w:rsidR="00C21071" w:rsidRPr="00973525">
                  <w:rPr>
                    <w:rFonts w:eastAsia="MS Gothic"/>
                    <w:sz w:val="18"/>
                    <w:szCs w:val="18"/>
                    <w:lang w:val="en-GB"/>
                  </w:rPr>
                  <w:t>☐</w:t>
                </w:r>
              </w:sdtContent>
            </w:sdt>
            <w:r w:rsidR="00C21071" w:rsidRPr="00973525">
              <w:rPr>
                <w:sz w:val="18"/>
                <w:szCs w:val="18"/>
                <w:lang w:val="en-GB"/>
              </w:rPr>
              <w:t>Don’t know / no opinion / not applicable</w:t>
            </w:r>
            <w:r w:rsidR="00C21071" w:rsidRPr="00973525">
              <w:rPr>
                <w:sz w:val="18"/>
                <w:szCs w:val="18"/>
                <w:lang w:val="en-US"/>
              </w:rPr>
              <w:t xml:space="preserve"> </w:t>
            </w:r>
          </w:p>
          <w:p w14:paraId="114C7165" w14:textId="388C8B62" w:rsidR="00C21071" w:rsidRPr="00973525" w:rsidRDefault="00C21071" w:rsidP="00C21071">
            <w:pPr>
              <w:rPr>
                <w:sz w:val="18"/>
                <w:szCs w:val="18"/>
                <w:lang w:val="en-GB"/>
              </w:rPr>
            </w:pPr>
          </w:p>
        </w:tc>
        <w:tc>
          <w:tcPr>
            <w:tcW w:w="236" w:type="dxa"/>
          </w:tcPr>
          <w:p w14:paraId="3CA6FB25" w14:textId="5FAC5151" w:rsidR="00C21071" w:rsidRPr="001D57E2" w:rsidRDefault="00C21071" w:rsidP="0079353D">
            <w:pPr>
              <w:ind w:firstLine="1917"/>
              <w:rPr>
                <w:sz w:val="18"/>
                <w:szCs w:val="18"/>
                <w:lang w:val="en-US"/>
              </w:rPr>
            </w:pPr>
          </w:p>
        </w:tc>
      </w:tr>
      <w:tr w:rsidR="00C21071" w:rsidRPr="0000602A" w14:paraId="5303E3C4" w14:textId="77777777" w:rsidTr="30964D0C">
        <w:trPr>
          <w:gridAfter w:val="1"/>
          <w:wAfter w:w="16" w:type="dxa"/>
        </w:trPr>
        <w:tc>
          <w:tcPr>
            <w:tcW w:w="2893" w:type="dxa"/>
          </w:tcPr>
          <w:p w14:paraId="17E91966" w14:textId="77777777" w:rsidR="00C21071" w:rsidRPr="00973525" w:rsidRDefault="00C21071" w:rsidP="00C21071">
            <w:pPr>
              <w:rPr>
                <w:sz w:val="18"/>
                <w:szCs w:val="18"/>
                <w:lang w:val="en-GB"/>
              </w:rPr>
            </w:pPr>
            <w:r w:rsidRPr="00973525">
              <w:rPr>
                <w:sz w:val="18"/>
                <w:szCs w:val="18"/>
                <w:lang w:val="en-GB"/>
              </w:rPr>
              <w:t>Please explain your answer to question 9.39:</w:t>
            </w:r>
          </w:p>
          <w:p w14:paraId="56AD05A6" w14:textId="77777777" w:rsidR="00C21071" w:rsidRPr="00973525" w:rsidRDefault="00C21071" w:rsidP="00C21071">
            <w:pPr>
              <w:rPr>
                <w:sz w:val="18"/>
                <w:szCs w:val="18"/>
                <w:lang w:val="en-GB"/>
              </w:rPr>
            </w:pPr>
          </w:p>
        </w:tc>
        <w:tc>
          <w:tcPr>
            <w:tcW w:w="7740" w:type="dxa"/>
          </w:tcPr>
          <w:p w14:paraId="23DDFF95" w14:textId="77777777" w:rsidR="00C21071" w:rsidRPr="00973525" w:rsidRDefault="00C21071" w:rsidP="00C21071">
            <w:pPr>
              <w:rPr>
                <w:sz w:val="18"/>
                <w:szCs w:val="18"/>
                <w:lang w:val="en-US"/>
              </w:rPr>
            </w:pPr>
            <w:r w:rsidRPr="00973525">
              <w:rPr>
                <w:sz w:val="18"/>
                <w:szCs w:val="18"/>
                <w:lang w:val="en-US"/>
              </w:rPr>
              <w:t>The reduction of the p factor is already effective for the calculation of the output floor (article 465).</w:t>
            </w:r>
          </w:p>
          <w:p w14:paraId="6C946EB2" w14:textId="77777777" w:rsidR="00C21071" w:rsidRDefault="00C21071" w:rsidP="00C21071">
            <w:pPr>
              <w:rPr>
                <w:sz w:val="18"/>
                <w:szCs w:val="18"/>
                <w:lang w:val="en-GB"/>
              </w:rPr>
            </w:pPr>
          </w:p>
          <w:p w14:paraId="68129D2F" w14:textId="77777777" w:rsidR="0067404F" w:rsidRPr="0067404F" w:rsidRDefault="0067404F" w:rsidP="0067404F">
            <w:pPr>
              <w:rPr>
                <w:sz w:val="18"/>
                <w:szCs w:val="18"/>
                <w:lang w:val="en-GB"/>
              </w:rPr>
            </w:pPr>
            <w:r w:rsidRPr="0067404F">
              <w:rPr>
                <w:sz w:val="18"/>
                <w:szCs w:val="18"/>
                <w:lang w:val="en-GB"/>
              </w:rPr>
              <w:t xml:space="preserve">Our proposal as a potential targeted and limited reduction of the p-factor is to expand the transitional measure (which halves the p-factor values) beyond the output floor for securitisation transactions under SEC-SA (cf. question Q9.23). </w:t>
            </w:r>
          </w:p>
          <w:p w14:paraId="46BE8466" w14:textId="2D25018C" w:rsidR="0067404F" w:rsidRPr="00973525" w:rsidRDefault="0067404F" w:rsidP="0067404F">
            <w:pPr>
              <w:rPr>
                <w:sz w:val="18"/>
                <w:szCs w:val="18"/>
                <w:lang w:val="en-GB"/>
              </w:rPr>
            </w:pPr>
            <w:r w:rsidRPr="0067404F">
              <w:rPr>
                <w:sz w:val="18"/>
                <w:szCs w:val="18"/>
                <w:lang w:val="en-GB"/>
              </w:rPr>
              <w:t>By construction, transitional measures for the output floor and permanent calibration under SEC-SA will be fully aligned. Transitional measures will remain to apply to SEC-IRBA transactions for the output floor calculation.</w:t>
            </w:r>
          </w:p>
        </w:tc>
        <w:tc>
          <w:tcPr>
            <w:tcW w:w="236" w:type="dxa"/>
          </w:tcPr>
          <w:p w14:paraId="15EA27C1" w14:textId="77777777" w:rsidR="00C21071" w:rsidRPr="00973525" w:rsidRDefault="00C21071" w:rsidP="0079353D">
            <w:pPr>
              <w:ind w:firstLine="1917"/>
              <w:rPr>
                <w:sz w:val="18"/>
                <w:szCs w:val="18"/>
                <w:lang w:val="en-GB"/>
              </w:rPr>
            </w:pPr>
          </w:p>
        </w:tc>
      </w:tr>
      <w:tr w:rsidR="0068515C" w:rsidRPr="0000602A" w14:paraId="4C0406D4" w14:textId="77777777" w:rsidTr="30964D0C">
        <w:tc>
          <w:tcPr>
            <w:tcW w:w="10885" w:type="dxa"/>
            <w:gridSpan w:val="4"/>
            <w:shd w:val="clear" w:color="auto" w:fill="E8E8E8" w:themeFill="background2"/>
          </w:tcPr>
          <w:p w14:paraId="1B69FC62" w14:textId="77777777" w:rsidR="0068515C" w:rsidRPr="00973525" w:rsidRDefault="0068515C" w:rsidP="00ED554B">
            <w:pPr>
              <w:ind w:firstLine="1917"/>
              <w:rPr>
                <w:sz w:val="18"/>
                <w:szCs w:val="18"/>
                <w:lang w:val="en-GB"/>
              </w:rPr>
            </w:pPr>
          </w:p>
        </w:tc>
      </w:tr>
      <w:tr w:rsidR="00C21071" w:rsidRPr="0000602A" w14:paraId="0C227756" w14:textId="77777777" w:rsidTr="30964D0C">
        <w:tc>
          <w:tcPr>
            <w:tcW w:w="10885" w:type="dxa"/>
            <w:gridSpan w:val="4"/>
          </w:tcPr>
          <w:p w14:paraId="0A0526A7" w14:textId="77777777" w:rsidR="00C21071" w:rsidRPr="0079353D" w:rsidRDefault="00C21071" w:rsidP="00265131">
            <w:pPr>
              <w:jc w:val="both"/>
              <w:rPr>
                <w:b/>
                <w:bCs/>
                <w:sz w:val="22"/>
                <w:szCs w:val="22"/>
                <w:lang w:val="en-GB"/>
              </w:rPr>
            </w:pPr>
            <w:r w:rsidRPr="0079353D">
              <w:rPr>
                <w:b/>
                <w:bCs/>
                <w:sz w:val="22"/>
                <w:szCs w:val="22"/>
                <w:lang w:val="en-GB"/>
              </w:rPr>
              <w:t>Liquidity risk treatment in the LCR Delegated Regulation</w:t>
            </w:r>
          </w:p>
          <w:p w14:paraId="02A8847A" w14:textId="77777777" w:rsidR="00C21071" w:rsidRPr="0079353D" w:rsidRDefault="00C21071" w:rsidP="00265131">
            <w:pPr>
              <w:jc w:val="both"/>
              <w:rPr>
                <w:sz w:val="18"/>
                <w:szCs w:val="18"/>
                <w:lang w:val="en-GB"/>
              </w:rPr>
            </w:pPr>
            <w:r w:rsidRPr="0079353D">
              <w:rPr>
                <w:sz w:val="18"/>
                <w:szCs w:val="18"/>
                <w:lang w:val="en-GB"/>
              </w:rPr>
              <w:t>The liquidity coverage ratio (LCR), transposed in the </w:t>
            </w:r>
            <w:r>
              <w:fldChar w:fldCharType="begin"/>
            </w:r>
            <w:r w:rsidRPr="0000602A">
              <w:rPr>
                <w:lang w:val="en-GB"/>
              </w:rPr>
              <w:instrText>HYPERLINK "https://eur-lex.europa.eu/legal-content/EN/TXT/?uri=CELEX%3A02015R0061-20220708" \t "_blank"</w:instrText>
            </w:r>
            <w:r>
              <w:fldChar w:fldCharType="separate"/>
            </w:r>
            <w:r w:rsidRPr="0079353D">
              <w:rPr>
                <w:rStyle w:val="Lienhypertexte"/>
                <w:sz w:val="18"/>
                <w:szCs w:val="18"/>
                <w:lang w:val="en-GB"/>
              </w:rPr>
              <w:t>LCR Delegated Regulation (Delegated Regulation (EU) 2015/61 on liquidity coverage requirements for credit institutions)</w:t>
            </w:r>
            <w:r>
              <w:rPr>
                <w:rStyle w:val="Lienhypertexte"/>
                <w:sz w:val="18"/>
                <w:szCs w:val="18"/>
                <w:lang w:val="en-GB"/>
              </w:rPr>
              <w:fldChar w:fldCharType="end"/>
            </w:r>
            <w:r w:rsidRPr="0079353D">
              <w:rPr>
                <w:sz w:val="18"/>
                <w:szCs w:val="18"/>
                <w:lang w:val="en-GB"/>
              </w:rPr>
              <w:t>, seeks to ensure that banks maintain a liquidity buffer to meet net outflows under severe idiosyncratic and market wide stress conditions. The LCR Delegated Regulation allows senior tranches of STS traditional securitisations to be included as level 2B high quality liquid assets (HQLA), capped at 15% of the liquidity buffer. Non</w:t>
            </w:r>
            <w:r w:rsidRPr="0079353D">
              <w:rPr>
                <w:sz w:val="18"/>
                <w:szCs w:val="18"/>
                <w:lang w:val="en-GB"/>
              </w:rPr>
              <w:noBreakHyphen/>
              <w:t>senior tranches of STS traditional securitisation, non</w:t>
            </w:r>
            <w:r w:rsidRPr="0079353D">
              <w:rPr>
                <w:sz w:val="18"/>
                <w:szCs w:val="18"/>
                <w:lang w:val="en-GB"/>
              </w:rPr>
              <w:noBreakHyphen/>
              <w:t>STS traditional securitisations, synthetic securitisation and re-securitisations are ineligible for inclusion in the HQLA.</w:t>
            </w:r>
          </w:p>
          <w:p w14:paraId="15EEEB74" w14:textId="77777777" w:rsidR="00C21071" w:rsidRPr="0079353D" w:rsidRDefault="00C21071" w:rsidP="00265131">
            <w:pPr>
              <w:jc w:val="both"/>
              <w:rPr>
                <w:sz w:val="18"/>
                <w:szCs w:val="18"/>
                <w:lang w:val="en-GB"/>
              </w:rPr>
            </w:pPr>
            <w:r w:rsidRPr="0079353D">
              <w:rPr>
                <w:sz w:val="18"/>
                <w:szCs w:val="18"/>
                <w:lang w:val="en-GB"/>
              </w:rPr>
              <w:t>In terms of eligible asset classes, in addition to securitisations with underlying mortgages (RMBS) in line with the Basel Standards, the EU transposition allows inclusion of securitisations with underlying auto</w:t>
            </w:r>
            <w:r w:rsidRPr="0079353D">
              <w:rPr>
                <w:sz w:val="18"/>
                <w:szCs w:val="18"/>
                <w:lang w:val="en-GB"/>
              </w:rPr>
              <w:noBreakHyphen/>
              <w:t>loans, consumer</w:t>
            </w:r>
            <w:r w:rsidRPr="0079353D">
              <w:rPr>
                <w:sz w:val="18"/>
                <w:szCs w:val="18"/>
                <w:lang w:val="en-GB"/>
              </w:rPr>
              <w:noBreakHyphen/>
              <w:t>loans and SME</w:t>
            </w:r>
            <w:r w:rsidRPr="0079353D">
              <w:rPr>
                <w:sz w:val="18"/>
                <w:szCs w:val="18"/>
                <w:lang w:val="en-GB"/>
              </w:rPr>
              <w:noBreakHyphen/>
              <w:t>loans, subject to different haircuts, credit quality steps (CQSs) and other requirements (in addition, as clarified by </w:t>
            </w:r>
            <w:r>
              <w:fldChar w:fldCharType="begin"/>
            </w:r>
            <w:r w:rsidRPr="0000602A">
              <w:rPr>
                <w:lang w:val="en-GB"/>
              </w:rPr>
              <w:instrText>HYPERLINK "https://www.eba.europa.eu/single-rule-book-qa/qna/view/publicId/2019_4786" \t "_blank"</w:instrText>
            </w:r>
            <w:r>
              <w:fldChar w:fldCharType="separate"/>
            </w:r>
            <w:r w:rsidRPr="0079353D">
              <w:rPr>
                <w:rStyle w:val="Lienhypertexte"/>
                <w:sz w:val="18"/>
                <w:szCs w:val="18"/>
                <w:lang w:val="en-GB"/>
              </w:rPr>
              <w:t>Q&amp;A 2019_4786</w:t>
            </w:r>
            <w:r>
              <w:rPr>
                <w:rStyle w:val="Lienhypertexte"/>
                <w:sz w:val="18"/>
                <w:szCs w:val="18"/>
                <w:lang w:val="en-GB"/>
              </w:rPr>
              <w:fldChar w:fldCharType="end"/>
            </w:r>
            <w:r w:rsidRPr="0079353D">
              <w:rPr>
                <w:sz w:val="18"/>
                <w:szCs w:val="18"/>
                <w:lang w:val="en-GB"/>
              </w:rPr>
              <w:t>, securitisations, including NPL securitisations, that are explicitly guaranteed by the central government of a Member State can qualify as level 1 liquid assets in the LCR in accordance with Article 10(1)(c)(</w:t>
            </w:r>
            <w:proofErr w:type="spellStart"/>
            <w:r w:rsidRPr="0079353D">
              <w:rPr>
                <w:sz w:val="18"/>
                <w:szCs w:val="18"/>
                <w:lang w:val="en-GB"/>
              </w:rPr>
              <w:t>i</w:t>
            </w:r>
            <w:proofErr w:type="spellEnd"/>
            <w:r w:rsidRPr="0079353D">
              <w:rPr>
                <w:sz w:val="18"/>
                <w:szCs w:val="18"/>
                <w:lang w:val="en-GB"/>
              </w:rPr>
              <w:t>) of the LCR Delegated Regulation). This expansion of eligible securities in the EU was motivated by the expectation that it would increase diversification of banks’ liquid assets.</w:t>
            </w:r>
          </w:p>
          <w:p w14:paraId="09CB7E4A" w14:textId="77777777" w:rsidR="00C21071" w:rsidRPr="0079353D" w:rsidRDefault="00C21071" w:rsidP="00265131">
            <w:pPr>
              <w:jc w:val="both"/>
              <w:rPr>
                <w:sz w:val="18"/>
                <w:szCs w:val="18"/>
                <w:lang w:val="en-GB"/>
              </w:rPr>
            </w:pPr>
            <w:r w:rsidRPr="0079353D">
              <w:rPr>
                <w:sz w:val="18"/>
                <w:szCs w:val="18"/>
                <w:lang w:val="en-GB"/>
              </w:rPr>
              <w:t>Some consider that the liquidity treatment of securitisations in the LCR Delegated Regulation has a major impact on banks’ investments in STS securitisations and issuance thereof and have advocated for the relaxation of eligibility conditions for securitisations in the LCR.</w:t>
            </w:r>
          </w:p>
          <w:p w14:paraId="5EB88964" w14:textId="77777777" w:rsidR="00C21071" w:rsidRPr="0079353D" w:rsidRDefault="00C21071" w:rsidP="00265131">
            <w:pPr>
              <w:jc w:val="both"/>
              <w:rPr>
                <w:sz w:val="18"/>
                <w:szCs w:val="18"/>
                <w:lang w:val="en-GB"/>
              </w:rPr>
            </w:pPr>
            <w:r w:rsidRPr="0079353D">
              <w:rPr>
                <w:sz w:val="18"/>
                <w:szCs w:val="18"/>
                <w:lang w:val="en-GB"/>
              </w:rPr>
              <w:t xml:space="preserve">Currently, banks make only negligible use of the capacity of their liquidity buffers to invest in securitisations as level 2B HQLA, with the </w:t>
            </w:r>
            <w:r w:rsidRPr="0079353D">
              <w:rPr>
                <w:sz w:val="18"/>
                <w:szCs w:val="18"/>
                <w:highlight w:val="lightGray"/>
                <w:lang w:val="en-GB"/>
              </w:rPr>
              <w:t>share of securitisations in banks’ liquid assets ranging from 0.2% to 0.7%.</w:t>
            </w:r>
            <w:r w:rsidRPr="0079353D">
              <w:rPr>
                <w:sz w:val="18"/>
                <w:szCs w:val="18"/>
                <w:lang w:val="en-GB"/>
              </w:rPr>
              <w:t xml:space="preserve"> This may suggest that most banks do not consider securitisations to be effectively liquid and marketable during stress. It also shows a minimal impact of securitisations on the liquid assets’ diversification in the LCR buffers – the diversification being one of the primary motivations for the expansion of eligible securitisations in the EU beyond Basel.</w:t>
            </w:r>
          </w:p>
          <w:p w14:paraId="687B971E" w14:textId="77777777" w:rsidR="00C21071" w:rsidRPr="007C79DF" w:rsidRDefault="00C21071" w:rsidP="00265131">
            <w:pPr>
              <w:jc w:val="both"/>
              <w:rPr>
                <w:sz w:val="18"/>
                <w:szCs w:val="18"/>
                <w:lang w:val="en-GB"/>
              </w:rPr>
            </w:pPr>
            <w:r w:rsidRPr="007C79DF">
              <w:rPr>
                <w:sz w:val="18"/>
                <w:szCs w:val="18"/>
                <w:lang w:val="en-GB"/>
              </w:rPr>
              <w:t xml:space="preserve">On a more technical aspect, several stakeholders propose to introduce an amendment to the LCR Delegated Regulation, with the aim to reflect the </w:t>
            </w:r>
            <w:r w:rsidRPr="007C79DF">
              <w:rPr>
                <w:sz w:val="18"/>
                <w:szCs w:val="18"/>
                <w:highlight w:val="lightGray"/>
                <w:lang w:val="en-GB"/>
              </w:rPr>
              <w:t>increased granularity of CQSs</w:t>
            </w:r>
            <w:r w:rsidRPr="007C79DF">
              <w:rPr>
                <w:sz w:val="18"/>
                <w:szCs w:val="18"/>
                <w:lang w:val="en-GB"/>
              </w:rPr>
              <w:t xml:space="preserve"> under the amended CRR and the related amendment to the Implementing Regulation on the </w:t>
            </w:r>
            <w:r w:rsidRPr="007C79DF">
              <w:rPr>
                <w:sz w:val="18"/>
                <w:szCs w:val="18"/>
                <w:lang w:val="en-GB"/>
              </w:rPr>
              <w:lastRenderedPageBreak/>
              <w:t>mapping of credit assessments for securitisation positions by external credit assessment institutions’ (ECAIs) (</w:t>
            </w:r>
            <w:r>
              <w:fldChar w:fldCharType="begin"/>
            </w:r>
            <w:r w:rsidRPr="0000602A">
              <w:rPr>
                <w:lang w:val="en-GB"/>
              </w:rPr>
              <w:instrText>HYPERLINK "https://eur-lex.europa.eu/legal-content/EN/TXT/?uri=CELEX:32016R1801" \t "_blank"</w:instrText>
            </w:r>
            <w:r>
              <w:fldChar w:fldCharType="separate"/>
            </w:r>
            <w:r w:rsidRPr="007C79DF">
              <w:rPr>
                <w:rStyle w:val="Lienhypertexte"/>
                <w:sz w:val="18"/>
                <w:szCs w:val="18"/>
                <w:lang w:val="en-GB"/>
              </w:rPr>
              <w:t>Implementing Regulation (EU) 2016/1801</w:t>
            </w:r>
            <w:r>
              <w:rPr>
                <w:rStyle w:val="Lienhypertexte"/>
                <w:sz w:val="18"/>
                <w:szCs w:val="18"/>
                <w:lang w:val="en-GB"/>
              </w:rPr>
              <w:fldChar w:fldCharType="end"/>
            </w:r>
            <w:r w:rsidRPr="007C79DF">
              <w:rPr>
                <w:sz w:val="18"/>
                <w:szCs w:val="18"/>
                <w:lang w:val="en-GB"/>
              </w:rPr>
              <w:t> as per </w:t>
            </w:r>
            <w:r>
              <w:fldChar w:fldCharType="begin"/>
            </w:r>
            <w:r w:rsidRPr="0000602A">
              <w:rPr>
                <w:lang w:val="en-GB"/>
              </w:rPr>
              <w:instrText>HYPERLINK "https://eur-lex.europa.eu/legal-content/EN/TXT/?uri=CELEX:32022R2365" \t "_blank"</w:instrText>
            </w:r>
            <w:r>
              <w:fldChar w:fldCharType="separate"/>
            </w:r>
            <w:r w:rsidRPr="007C79DF">
              <w:rPr>
                <w:rStyle w:val="Lienhypertexte"/>
                <w:sz w:val="18"/>
                <w:szCs w:val="18"/>
                <w:lang w:val="en-GB"/>
              </w:rPr>
              <w:t>Commission Implementing Regulation (EU) 2022/2365</w:t>
            </w:r>
            <w:r>
              <w:rPr>
                <w:rStyle w:val="Lienhypertexte"/>
                <w:sz w:val="18"/>
                <w:szCs w:val="18"/>
                <w:lang w:val="en-GB"/>
              </w:rPr>
              <w:fldChar w:fldCharType="end"/>
            </w:r>
            <w:r w:rsidRPr="007C79DF">
              <w:rPr>
                <w:sz w:val="18"/>
                <w:szCs w:val="18"/>
                <w:lang w:val="en-GB"/>
              </w:rPr>
              <w:t xml:space="preserve">). They recommend </w:t>
            </w:r>
            <w:r w:rsidRPr="007C79DF">
              <w:rPr>
                <w:sz w:val="18"/>
                <w:szCs w:val="18"/>
                <w:highlight w:val="lightGray"/>
                <w:lang w:val="en-GB"/>
              </w:rPr>
              <w:t>modifying the reference from CQS 1, to CQS 1 to 4,</w:t>
            </w:r>
            <w:r w:rsidRPr="007C79DF">
              <w:rPr>
                <w:sz w:val="18"/>
                <w:szCs w:val="18"/>
                <w:lang w:val="en-GB"/>
              </w:rPr>
              <w:t xml:space="preserve"> in the Article 13(2) of the LCR Delegated Regulation regarding the long</w:t>
            </w:r>
            <w:r w:rsidRPr="007C79DF">
              <w:rPr>
                <w:sz w:val="18"/>
                <w:szCs w:val="18"/>
                <w:lang w:val="en-GB"/>
              </w:rPr>
              <w:noBreakHyphen/>
              <w:t>term rating. In the absence of the updated reference, the STS securitisation tranches with ratings between AA+ and Aa</w:t>
            </w:r>
            <w:r w:rsidRPr="007C79DF">
              <w:rPr>
                <w:sz w:val="18"/>
                <w:szCs w:val="18"/>
                <w:lang w:val="en-GB"/>
              </w:rPr>
              <w:noBreakHyphen/>
              <w:t xml:space="preserve"> would unintentionally not be eligible as Level 2B securitisations and the eligibility would be limited to tranches with AAA rating.</w:t>
            </w:r>
          </w:p>
          <w:p w14:paraId="5567D9FC" w14:textId="77777777" w:rsidR="00C21071" w:rsidRPr="00973525" w:rsidRDefault="00C21071" w:rsidP="00265131">
            <w:pPr>
              <w:ind w:firstLine="1917"/>
              <w:jc w:val="both"/>
              <w:rPr>
                <w:sz w:val="18"/>
                <w:szCs w:val="18"/>
                <w:lang w:val="en-GB"/>
              </w:rPr>
            </w:pPr>
          </w:p>
        </w:tc>
      </w:tr>
      <w:tr w:rsidR="00C21071" w:rsidRPr="00973525" w14:paraId="2D2DFECA" w14:textId="77777777" w:rsidTr="30964D0C">
        <w:trPr>
          <w:gridAfter w:val="1"/>
          <w:wAfter w:w="16" w:type="dxa"/>
        </w:trPr>
        <w:tc>
          <w:tcPr>
            <w:tcW w:w="2893" w:type="dxa"/>
            <w:shd w:val="clear" w:color="auto" w:fill="DAE9F7" w:themeFill="text2" w:themeFillTint="1A"/>
          </w:tcPr>
          <w:p w14:paraId="508867B9" w14:textId="725DB028" w:rsidR="30964D0C" w:rsidRDefault="30964D0C" w:rsidP="30964D0C">
            <w:pPr>
              <w:rPr>
                <w:b/>
                <w:bCs/>
                <w:i/>
                <w:iCs/>
                <w:sz w:val="18"/>
                <w:szCs w:val="18"/>
                <w:lang w:val="en-GB"/>
              </w:rPr>
            </w:pPr>
            <w:r w:rsidRPr="30964D0C">
              <w:rPr>
                <w:b/>
                <w:bCs/>
                <w:i/>
                <w:iCs/>
                <w:sz w:val="18"/>
                <w:szCs w:val="18"/>
                <w:lang w:val="en-GB"/>
              </w:rPr>
              <w:lastRenderedPageBreak/>
              <w:t>Questions</w:t>
            </w:r>
          </w:p>
        </w:tc>
        <w:tc>
          <w:tcPr>
            <w:tcW w:w="7740" w:type="dxa"/>
            <w:shd w:val="clear" w:color="auto" w:fill="DAE9F7" w:themeFill="text2" w:themeFillTint="1A"/>
          </w:tcPr>
          <w:p w14:paraId="6562EB4A" w14:textId="44C8A3ED" w:rsidR="30964D0C" w:rsidRDefault="30964D0C" w:rsidP="30964D0C">
            <w:r w:rsidRPr="30964D0C">
              <w:rPr>
                <w:b/>
                <w:bCs/>
                <w:i/>
                <w:iCs/>
                <w:sz w:val="18"/>
                <w:szCs w:val="18"/>
                <w:lang w:val="en-GB"/>
              </w:rPr>
              <w:t xml:space="preserve">FBF </w:t>
            </w:r>
            <w:proofErr w:type="spellStart"/>
            <w:r w:rsidRPr="30964D0C">
              <w:rPr>
                <w:b/>
                <w:bCs/>
                <w:i/>
                <w:iCs/>
                <w:sz w:val="18"/>
                <w:szCs w:val="18"/>
                <w:lang w:val="en-GB"/>
              </w:rPr>
              <w:t>Anwers</w:t>
            </w:r>
            <w:proofErr w:type="spellEnd"/>
          </w:p>
        </w:tc>
        <w:tc>
          <w:tcPr>
            <w:tcW w:w="236" w:type="dxa"/>
          </w:tcPr>
          <w:p w14:paraId="664CD902" w14:textId="56006167" w:rsidR="00C21071" w:rsidRPr="00973525" w:rsidRDefault="00C21071" w:rsidP="0079353D">
            <w:pPr>
              <w:ind w:firstLine="1917"/>
              <w:rPr>
                <w:sz w:val="18"/>
                <w:szCs w:val="18"/>
                <w:lang w:val="en-GB"/>
              </w:rPr>
            </w:pPr>
          </w:p>
        </w:tc>
      </w:tr>
      <w:tr w:rsidR="00C21071" w:rsidRPr="0000602A" w14:paraId="28437979" w14:textId="77777777" w:rsidTr="30964D0C">
        <w:trPr>
          <w:gridAfter w:val="1"/>
          <w:wAfter w:w="16" w:type="dxa"/>
        </w:trPr>
        <w:tc>
          <w:tcPr>
            <w:tcW w:w="2893" w:type="dxa"/>
          </w:tcPr>
          <w:p w14:paraId="611B0A63" w14:textId="4359B01E" w:rsidR="00C21071" w:rsidRPr="00973525" w:rsidRDefault="00C21071" w:rsidP="00C21071">
            <w:pPr>
              <w:rPr>
                <w:sz w:val="18"/>
                <w:szCs w:val="18"/>
                <w:lang w:val="en-GB"/>
              </w:rPr>
            </w:pPr>
            <w:r w:rsidRPr="00973525">
              <w:rPr>
                <w:sz w:val="20"/>
                <w:szCs w:val="20"/>
                <w:u w:val="single"/>
                <w:lang w:val="en-GB"/>
              </w:rPr>
              <w:t>Question 9.40.</w:t>
            </w:r>
            <w:r w:rsidRPr="00973525">
              <w:rPr>
                <w:sz w:val="20"/>
                <w:szCs w:val="20"/>
                <w:lang w:val="en-GB"/>
              </w:rPr>
              <w:t xml:space="preserve"> Does the liquidity risk treatment of the securitisation exposures under the LCR Delegated Regulation have a </w:t>
            </w:r>
            <w:r w:rsidRPr="00973525">
              <w:rPr>
                <w:b/>
                <w:bCs/>
                <w:sz w:val="20"/>
                <w:szCs w:val="20"/>
                <w:lang w:val="en-GB"/>
              </w:rPr>
              <w:t>significant impact</w:t>
            </w:r>
            <w:r w:rsidRPr="00973525">
              <w:rPr>
                <w:sz w:val="20"/>
                <w:szCs w:val="20"/>
                <w:lang w:val="en-GB"/>
              </w:rPr>
              <w:t xml:space="preserve"> on banks' securitisation i</w:t>
            </w:r>
            <w:r w:rsidRPr="00973525">
              <w:rPr>
                <w:b/>
                <w:bCs/>
                <w:sz w:val="20"/>
                <w:szCs w:val="20"/>
                <w:lang w:val="en-GB"/>
              </w:rPr>
              <w:t>ssuance</w:t>
            </w:r>
            <w:r w:rsidRPr="00973525">
              <w:rPr>
                <w:sz w:val="20"/>
                <w:szCs w:val="20"/>
                <w:lang w:val="en-GB"/>
              </w:rPr>
              <w:t xml:space="preserve"> and </w:t>
            </w:r>
            <w:r w:rsidRPr="00973525">
              <w:rPr>
                <w:b/>
                <w:bCs/>
                <w:sz w:val="20"/>
                <w:szCs w:val="20"/>
                <w:lang w:val="en-GB"/>
              </w:rPr>
              <w:t>investment</w:t>
            </w:r>
            <w:r w:rsidRPr="00973525">
              <w:rPr>
                <w:sz w:val="20"/>
                <w:szCs w:val="20"/>
                <w:lang w:val="en-GB"/>
              </w:rPr>
              <w:t xml:space="preserve"> activities and on the </w:t>
            </w:r>
            <w:r w:rsidRPr="00973525">
              <w:rPr>
                <w:b/>
                <w:bCs/>
                <w:sz w:val="20"/>
                <w:szCs w:val="20"/>
                <w:lang w:val="en-GB"/>
              </w:rPr>
              <w:t>liquidity</w:t>
            </w:r>
            <w:r w:rsidRPr="00973525">
              <w:rPr>
                <w:sz w:val="20"/>
                <w:szCs w:val="20"/>
                <w:lang w:val="en-GB"/>
              </w:rPr>
              <w:t xml:space="preserve"> of the securitisation market in the EU?</w:t>
            </w:r>
          </w:p>
        </w:tc>
        <w:tc>
          <w:tcPr>
            <w:tcW w:w="7740" w:type="dxa"/>
          </w:tcPr>
          <w:p w14:paraId="62C634CE" w14:textId="77777777" w:rsidR="00C21071" w:rsidRPr="003150AB" w:rsidRDefault="00C21071" w:rsidP="00C21071">
            <w:pPr>
              <w:rPr>
                <w:sz w:val="20"/>
                <w:szCs w:val="20"/>
                <w:lang w:val="en-GB"/>
              </w:rPr>
            </w:pPr>
            <w:r w:rsidRPr="003150AB">
              <w:rPr>
                <w:sz w:val="20"/>
                <w:szCs w:val="20"/>
                <w:lang w:val="en-GB"/>
              </w:rPr>
              <w:t>Answer</w:t>
            </w:r>
          </w:p>
          <w:p w14:paraId="68E4AEBB" w14:textId="77777777" w:rsidR="00C21071" w:rsidRPr="003150AB" w:rsidRDefault="00000000" w:rsidP="00C21071">
            <w:pPr>
              <w:rPr>
                <w:b/>
                <w:bCs/>
                <w:sz w:val="20"/>
                <w:szCs w:val="20"/>
                <w:lang w:val="en-GB"/>
              </w:rPr>
            </w:pPr>
            <w:sdt>
              <w:sdtPr>
                <w:rPr>
                  <w:b/>
                  <w:bCs/>
                  <w:sz w:val="20"/>
                  <w:szCs w:val="20"/>
                  <w:lang w:val="en-GB"/>
                </w:rPr>
                <w:id w:val="1314907789"/>
                <w14:checkbox>
                  <w14:checked w14:val="1"/>
                  <w14:checkedState w14:val="2612" w14:font="MS Gothic"/>
                  <w14:uncheckedState w14:val="2610" w14:font="MS Gothic"/>
                </w14:checkbox>
              </w:sdtPr>
              <w:sdtContent>
                <w:r w:rsidR="00C21071" w:rsidRPr="003150AB">
                  <w:rPr>
                    <w:rFonts w:ascii="Segoe UI Symbol" w:eastAsia="MS Gothic" w:hAnsi="Segoe UI Symbol" w:cs="Segoe UI Symbol"/>
                    <w:b/>
                    <w:bCs/>
                    <w:sz w:val="20"/>
                    <w:szCs w:val="20"/>
                    <w:lang w:val="en-GB"/>
                  </w:rPr>
                  <w:t>☒</w:t>
                </w:r>
              </w:sdtContent>
            </w:sdt>
            <w:r w:rsidR="00C21071" w:rsidRPr="003150AB">
              <w:rPr>
                <w:b/>
                <w:bCs/>
                <w:sz w:val="20"/>
                <w:szCs w:val="20"/>
                <w:lang w:val="en-GB"/>
              </w:rPr>
              <w:t>Yes</w:t>
            </w:r>
          </w:p>
          <w:p w14:paraId="28102B5B" w14:textId="77777777" w:rsidR="00C21071" w:rsidRPr="003150AB" w:rsidRDefault="00000000" w:rsidP="00C21071">
            <w:pPr>
              <w:rPr>
                <w:sz w:val="20"/>
                <w:szCs w:val="20"/>
                <w:lang w:val="en-GB"/>
              </w:rPr>
            </w:pPr>
            <w:sdt>
              <w:sdtPr>
                <w:rPr>
                  <w:sz w:val="20"/>
                  <w:szCs w:val="20"/>
                  <w:lang w:val="en-GB"/>
                </w:rPr>
                <w:id w:val="743773555"/>
                <w14:checkbox>
                  <w14:checked w14:val="0"/>
                  <w14:checkedState w14:val="2612" w14:font="MS Gothic"/>
                  <w14:uncheckedState w14:val="2610" w14:font="MS Gothic"/>
                </w14:checkbox>
              </w:sdtPr>
              <w:sdtContent>
                <w:r w:rsidR="00C21071" w:rsidRPr="003150AB">
                  <w:rPr>
                    <w:rFonts w:eastAsia="MS Gothic"/>
                    <w:sz w:val="20"/>
                    <w:szCs w:val="20"/>
                    <w:lang w:val="en-GB"/>
                  </w:rPr>
                  <w:t>☐</w:t>
                </w:r>
              </w:sdtContent>
            </w:sdt>
            <w:r w:rsidR="00C21071" w:rsidRPr="003150AB">
              <w:rPr>
                <w:sz w:val="20"/>
                <w:szCs w:val="20"/>
                <w:lang w:val="en-GB"/>
              </w:rPr>
              <w:t>No</w:t>
            </w:r>
          </w:p>
          <w:p w14:paraId="0F5BF95C" w14:textId="77777777" w:rsidR="00C21071" w:rsidRPr="003150AB" w:rsidRDefault="00000000" w:rsidP="00C21071">
            <w:pPr>
              <w:rPr>
                <w:sz w:val="20"/>
                <w:szCs w:val="20"/>
                <w:lang w:val="en-US"/>
              </w:rPr>
            </w:pPr>
            <w:sdt>
              <w:sdtPr>
                <w:rPr>
                  <w:sz w:val="20"/>
                  <w:szCs w:val="20"/>
                  <w:lang w:val="en-GB"/>
                </w:rPr>
                <w:id w:val="704990789"/>
                <w14:checkbox>
                  <w14:checked w14:val="0"/>
                  <w14:checkedState w14:val="2612" w14:font="MS Gothic"/>
                  <w14:uncheckedState w14:val="2610" w14:font="MS Gothic"/>
                </w14:checkbox>
              </w:sdtPr>
              <w:sdtContent>
                <w:r w:rsidR="00C21071" w:rsidRPr="003150AB">
                  <w:rPr>
                    <w:rFonts w:eastAsia="MS Gothic"/>
                    <w:sz w:val="20"/>
                    <w:szCs w:val="20"/>
                    <w:lang w:val="en-GB"/>
                  </w:rPr>
                  <w:t>☐</w:t>
                </w:r>
              </w:sdtContent>
            </w:sdt>
            <w:r w:rsidR="00C21071" w:rsidRPr="003150AB">
              <w:rPr>
                <w:sz w:val="20"/>
                <w:szCs w:val="20"/>
                <w:lang w:val="en-GB"/>
              </w:rPr>
              <w:t>Don’t know / no opinion / not applicable</w:t>
            </w:r>
            <w:r w:rsidR="00C21071" w:rsidRPr="003150AB">
              <w:rPr>
                <w:sz w:val="20"/>
                <w:szCs w:val="20"/>
                <w:lang w:val="en-US"/>
              </w:rPr>
              <w:t xml:space="preserve"> </w:t>
            </w:r>
          </w:p>
          <w:p w14:paraId="5679F3D8" w14:textId="77777777" w:rsidR="00C21071" w:rsidRPr="003150AB" w:rsidRDefault="00C21071" w:rsidP="00C21071">
            <w:pPr>
              <w:rPr>
                <w:sz w:val="20"/>
                <w:szCs w:val="20"/>
                <w:lang w:val="en-US"/>
              </w:rPr>
            </w:pPr>
          </w:p>
          <w:p w14:paraId="656A67D5" w14:textId="77777777" w:rsidR="00C21071" w:rsidRPr="003150AB" w:rsidRDefault="00C21071" w:rsidP="00C21071">
            <w:pPr>
              <w:rPr>
                <w:sz w:val="20"/>
                <w:szCs w:val="20"/>
                <w:lang w:val="en-US"/>
              </w:rPr>
            </w:pPr>
          </w:p>
        </w:tc>
        <w:tc>
          <w:tcPr>
            <w:tcW w:w="236" w:type="dxa"/>
          </w:tcPr>
          <w:p w14:paraId="3E1E377D" w14:textId="77777777" w:rsidR="00C21071" w:rsidRPr="00973525" w:rsidRDefault="00C21071" w:rsidP="0079353D">
            <w:pPr>
              <w:ind w:firstLine="1917"/>
              <w:rPr>
                <w:sz w:val="18"/>
                <w:szCs w:val="18"/>
                <w:lang w:val="en-GB"/>
              </w:rPr>
            </w:pPr>
          </w:p>
        </w:tc>
      </w:tr>
      <w:tr w:rsidR="00C21071" w:rsidRPr="0000602A" w14:paraId="49A356CE" w14:textId="77777777" w:rsidTr="30964D0C">
        <w:trPr>
          <w:gridAfter w:val="1"/>
          <w:wAfter w:w="16" w:type="dxa"/>
        </w:trPr>
        <w:tc>
          <w:tcPr>
            <w:tcW w:w="2893" w:type="dxa"/>
          </w:tcPr>
          <w:p w14:paraId="0F4E4FCD" w14:textId="1F8C92DE" w:rsidR="00C21071" w:rsidRPr="00973525" w:rsidRDefault="00C21071" w:rsidP="00C21071">
            <w:pPr>
              <w:rPr>
                <w:sz w:val="18"/>
                <w:szCs w:val="18"/>
                <w:lang w:val="en-GB"/>
              </w:rPr>
            </w:pPr>
            <w:r w:rsidRPr="00973525">
              <w:rPr>
                <w:sz w:val="20"/>
                <w:szCs w:val="20"/>
                <w:u w:val="single"/>
                <w:lang w:val="en-GB"/>
              </w:rPr>
              <w:t>Question 9.41</w:t>
            </w:r>
            <w:r w:rsidRPr="00973525">
              <w:rPr>
                <w:sz w:val="20"/>
                <w:szCs w:val="20"/>
                <w:lang w:val="en-GB"/>
              </w:rPr>
              <w:t xml:space="preserve">. As regard to your answer to 9.40., please </w:t>
            </w:r>
            <w:r w:rsidRPr="00973525">
              <w:rPr>
                <w:b/>
                <w:bCs/>
                <w:sz w:val="20"/>
                <w:szCs w:val="20"/>
                <w:lang w:val="en-GB"/>
              </w:rPr>
              <w:t>explain the impact</w:t>
            </w:r>
            <w:r w:rsidRPr="00973525">
              <w:rPr>
                <w:sz w:val="20"/>
                <w:szCs w:val="20"/>
                <w:lang w:val="en-GB"/>
              </w:rPr>
              <w:t xml:space="preserve"> on banks’ issuance of securitisation, investment in securitisation, and relative importance of the liquidity treatment under the LCR in the activity of the </w:t>
            </w:r>
            <w:r w:rsidRPr="00973525">
              <w:rPr>
                <w:b/>
                <w:bCs/>
                <w:sz w:val="20"/>
                <w:szCs w:val="20"/>
                <w:lang w:val="en-GB"/>
              </w:rPr>
              <w:t>primary and secondary securitisation markets</w:t>
            </w:r>
            <w:r w:rsidRPr="00973525">
              <w:rPr>
                <w:sz w:val="20"/>
                <w:szCs w:val="20"/>
                <w:lang w:val="en-GB"/>
              </w:rPr>
              <w:t>.</w:t>
            </w:r>
          </w:p>
        </w:tc>
        <w:tc>
          <w:tcPr>
            <w:tcW w:w="7740" w:type="dxa"/>
          </w:tcPr>
          <w:p w14:paraId="6EEB099D" w14:textId="77777777" w:rsidR="00C21071" w:rsidRPr="003150AB" w:rsidRDefault="00C21071" w:rsidP="00C21071">
            <w:pPr>
              <w:rPr>
                <w:sz w:val="18"/>
                <w:szCs w:val="18"/>
                <w:lang w:val="en-US"/>
              </w:rPr>
            </w:pPr>
            <w:r w:rsidRPr="003150AB">
              <w:rPr>
                <w:sz w:val="18"/>
                <w:szCs w:val="18"/>
                <w:lang w:val="en-US"/>
              </w:rPr>
              <w:t>The current LCR regulation impacts deeply on the market liquidity of those securities, and therefore it impacts on their price (and indirectly the cost of issuance) and issuance volumes.</w:t>
            </w:r>
          </w:p>
          <w:p w14:paraId="49DCCA5D" w14:textId="77777777" w:rsidR="00C21071" w:rsidRPr="003150AB" w:rsidRDefault="00C21071" w:rsidP="00C21071">
            <w:pPr>
              <w:rPr>
                <w:i/>
                <w:iCs/>
                <w:color w:val="FF0000"/>
                <w:sz w:val="18"/>
                <w:szCs w:val="18"/>
                <w:lang w:val="en-US"/>
              </w:rPr>
            </w:pPr>
          </w:p>
          <w:p w14:paraId="364C3537" w14:textId="77777777" w:rsidR="00C21071" w:rsidRPr="003150AB" w:rsidRDefault="00C21071" w:rsidP="00C21071">
            <w:pPr>
              <w:rPr>
                <w:sz w:val="18"/>
                <w:szCs w:val="18"/>
                <w:lang w:val="en-GB"/>
              </w:rPr>
            </w:pPr>
            <w:r w:rsidRPr="003150AB">
              <w:rPr>
                <w:sz w:val="18"/>
                <w:szCs w:val="18"/>
                <w:lang w:val="en-GB"/>
              </w:rPr>
              <w:t>Banking regulation has crowded the banks’ treasuries out of the distributed senior tranches.</w:t>
            </w:r>
          </w:p>
          <w:p w14:paraId="24A25A3F" w14:textId="77777777" w:rsidR="00C21071" w:rsidRPr="003150AB" w:rsidRDefault="00C21071" w:rsidP="00C21071">
            <w:pPr>
              <w:rPr>
                <w:sz w:val="18"/>
                <w:szCs w:val="18"/>
                <w:lang w:val="en-GB"/>
              </w:rPr>
            </w:pPr>
            <w:r w:rsidRPr="003150AB">
              <w:rPr>
                <w:sz w:val="18"/>
                <w:szCs w:val="18"/>
                <w:lang w:val="en-GB"/>
              </w:rPr>
              <w:t>N</w:t>
            </w:r>
            <w:r w:rsidRPr="003150AB">
              <w:rPr>
                <w:sz w:val="18"/>
                <w:szCs w:val="18"/>
                <w:lang w:val="en-US"/>
              </w:rPr>
              <w:t>on-EU investors</w:t>
            </w:r>
            <w:r w:rsidRPr="003150AB">
              <w:rPr>
                <w:sz w:val="18"/>
                <w:szCs w:val="18"/>
                <w:lang w:val="en-GB"/>
              </w:rPr>
              <w:t xml:space="preserve"> interest, via banking intermediation, has kept the market alive, on both outright trades and repos sides. </w:t>
            </w:r>
          </w:p>
          <w:p w14:paraId="036CDF82" w14:textId="77777777" w:rsidR="00C21071" w:rsidRPr="003150AB" w:rsidRDefault="00C21071" w:rsidP="00C21071">
            <w:pPr>
              <w:rPr>
                <w:sz w:val="18"/>
                <w:szCs w:val="18"/>
                <w:lang w:val="en-US"/>
              </w:rPr>
            </w:pPr>
          </w:p>
          <w:p w14:paraId="02C72FAF" w14:textId="46E6DF3A" w:rsidR="00C21071" w:rsidRPr="003150AB" w:rsidRDefault="00C21071" w:rsidP="00C21071">
            <w:pPr>
              <w:rPr>
                <w:sz w:val="18"/>
                <w:szCs w:val="18"/>
                <w:lang w:val="en-US"/>
              </w:rPr>
            </w:pPr>
            <w:r w:rsidRPr="003150AB">
              <w:rPr>
                <w:sz w:val="18"/>
                <w:szCs w:val="18"/>
                <w:lang w:val="en-US"/>
              </w:rPr>
              <w:t xml:space="preserve">Current regulation created a negative/vicious feedback loop that increased the liquidity premium and hence the cost for the originator, and that partially hampered the secondary market demand, which in turn lead to less issuances. </w:t>
            </w:r>
          </w:p>
          <w:p w14:paraId="4A516A98" w14:textId="77777777" w:rsidR="00FE50C8" w:rsidRPr="003150AB" w:rsidRDefault="00FE50C8" w:rsidP="00C21071">
            <w:pPr>
              <w:rPr>
                <w:sz w:val="18"/>
                <w:szCs w:val="18"/>
                <w:lang w:val="en-US"/>
              </w:rPr>
            </w:pPr>
          </w:p>
          <w:p w14:paraId="68624B34" w14:textId="7ABA4A42" w:rsidR="00FE50C8" w:rsidRPr="003150AB" w:rsidRDefault="00642961" w:rsidP="00C21071">
            <w:pPr>
              <w:rPr>
                <w:sz w:val="18"/>
                <w:szCs w:val="18"/>
                <w:lang w:val="en-US"/>
              </w:rPr>
            </w:pPr>
            <w:r w:rsidRPr="003150AB">
              <w:rPr>
                <w:sz w:val="18"/>
                <w:szCs w:val="18"/>
                <w:lang w:val="en-US"/>
              </w:rPr>
              <w:t xml:space="preserve">As </w:t>
            </w:r>
            <w:r w:rsidR="00581F75" w:rsidRPr="003150AB">
              <w:rPr>
                <w:sz w:val="18"/>
                <w:szCs w:val="18"/>
                <w:lang w:val="en-US"/>
              </w:rPr>
              <w:t xml:space="preserve">shown within EBA </w:t>
            </w:r>
            <w:proofErr w:type="spellStart"/>
            <w:r w:rsidR="00581F75" w:rsidRPr="003150AB">
              <w:rPr>
                <w:sz w:val="18"/>
                <w:szCs w:val="18"/>
                <w:lang w:val="en-US"/>
              </w:rPr>
              <w:t>Corep</w:t>
            </w:r>
            <w:proofErr w:type="spellEnd"/>
            <w:r w:rsidR="00581F75" w:rsidRPr="003150AB">
              <w:rPr>
                <w:sz w:val="18"/>
                <w:szCs w:val="18"/>
                <w:lang w:val="en-US"/>
              </w:rPr>
              <w:t xml:space="preserve"> </w:t>
            </w:r>
            <w:r w:rsidR="005A38E0" w:rsidRPr="003150AB">
              <w:rPr>
                <w:sz w:val="18"/>
                <w:szCs w:val="18"/>
                <w:lang w:val="en-US"/>
              </w:rPr>
              <w:t>synthetic figures</w:t>
            </w:r>
            <w:r w:rsidR="00581F75" w:rsidRPr="003150AB">
              <w:rPr>
                <w:sz w:val="18"/>
                <w:szCs w:val="18"/>
                <w:lang w:val="en-US"/>
              </w:rPr>
              <w:t xml:space="preserve"> (</w:t>
            </w:r>
            <w:r w:rsidR="00D34187" w:rsidRPr="003150AB">
              <w:rPr>
                <w:sz w:val="18"/>
                <w:szCs w:val="18"/>
                <w:lang w:val="en-US"/>
              </w:rPr>
              <w:t xml:space="preserve">from </w:t>
            </w:r>
            <w:r w:rsidR="00B8523C" w:rsidRPr="003150AB">
              <w:rPr>
                <w:sz w:val="18"/>
                <w:szCs w:val="18"/>
                <w:lang w:val="en-US"/>
              </w:rPr>
              <w:t xml:space="preserve">Figure </w:t>
            </w:r>
            <w:r w:rsidR="009D2310" w:rsidRPr="003150AB">
              <w:rPr>
                <w:sz w:val="18"/>
                <w:szCs w:val="18"/>
                <w:lang w:val="en-US"/>
              </w:rPr>
              <w:t xml:space="preserve">31 </w:t>
            </w:r>
            <w:r w:rsidR="00C37E6E" w:rsidRPr="003150AB">
              <w:rPr>
                <w:sz w:val="18"/>
                <w:szCs w:val="18"/>
                <w:lang w:val="en-US"/>
              </w:rPr>
              <w:t>within JC 2022</w:t>
            </w:r>
            <w:r w:rsidR="002B31DB" w:rsidRPr="003150AB">
              <w:rPr>
                <w:sz w:val="18"/>
                <w:szCs w:val="18"/>
                <w:lang w:val="en-US"/>
              </w:rPr>
              <w:t xml:space="preserve"> 66</w:t>
            </w:r>
            <w:r w:rsidR="00C75D0F" w:rsidRPr="003150AB">
              <w:rPr>
                <w:sz w:val="18"/>
                <w:szCs w:val="18"/>
                <w:lang w:val="en-US"/>
              </w:rPr>
              <w:t xml:space="preserve"> p</w:t>
            </w:r>
            <w:r w:rsidR="00D71BD9" w:rsidRPr="003150AB">
              <w:rPr>
                <w:sz w:val="18"/>
                <w:szCs w:val="18"/>
                <w:lang w:val="en-US"/>
              </w:rPr>
              <w:t xml:space="preserve">88, </w:t>
            </w:r>
            <w:r w:rsidR="00C143AE" w:rsidRPr="003150AB">
              <w:rPr>
                <w:sz w:val="18"/>
                <w:szCs w:val="18"/>
                <w:lang w:val="en-US"/>
              </w:rPr>
              <w:t>“HQLA</w:t>
            </w:r>
            <w:r w:rsidR="00E56476" w:rsidRPr="003150AB">
              <w:rPr>
                <w:sz w:val="18"/>
                <w:szCs w:val="18"/>
                <w:lang w:val="en-US"/>
              </w:rPr>
              <w:t xml:space="preserve"> by Asset</w:t>
            </w:r>
            <w:r w:rsidR="00DF1E52" w:rsidRPr="003150AB">
              <w:rPr>
                <w:sz w:val="18"/>
                <w:szCs w:val="18"/>
                <w:lang w:val="en-US"/>
              </w:rPr>
              <w:t xml:space="preserve"> classes</w:t>
            </w:r>
            <w:r w:rsidR="000C7048" w:rsidRPr="003150AB">
              <w:rPr>
                <w:sz w:val="18"/>
                <w:szCs w:val="18"/>
                <w:lang w:val="en-US"/>
              </w:rPr>
              <w:t>”</w:t>
            </w:r>
            <w:r w:rsidR="00E1274B" w:rsidRPr="003150AB">
              <w:rPr>
                <w:sz w:val="18"/>
                <w:szCs w:val="18"/>
                <w:lang w:val="en-US"/>
              </w:rPr>
              <w:t>)</w:t>
            </w:r>
            <w:r w:rsidR="00411ECE" w:rsidRPr="003150AB">
              <w:rPr>
                <w:sz w:val="18"/>
                <w:szCs w:val="18"/>
                <w:lang w:val="en-US"/>
              </w:rPr>
              <w:t xml:space="preserve">, </w:t>
            </w:r>
            <w:r w:rsidR="0064535B" w:rsidRPr="003150AB">
              <w:rPr>
                <w:sz w:val="18"/>
                <w:szCs w:val="18"/>
                <w:lang w:val="en-US"/>
              </w:rPr>
              <w:t xml:space="preserve">the </w:t>
            </w:r>
            <w:r w:rsidR="00F13227" w:rsidRPr="003150AB">
              <w:rPr>
                <w:sz w:val="18"/>
                <w:szCs w:val="18"/>
                <w:lang w:val="en-US"/>
              </w:rPr>
              <w:t xml:space="preserve">part of </w:t>
            </w:r>
            <w:r w:rsidR="00DD24AC" w:rsidRPr="003150AB">
              <w:rPr>
                <w:sz w:val="18"/>
                <w:szCs w:val="18"/>
                <w:lang w:val="en-US"/>
              </w:rPr>
              <w:t>Securitisation</w:t>
            </w:r>
            <w:r w:rsidR="004346E6" w:rsidRPr="003150AB">
              <w:rPr>
                <w:sz w:val="18"/>
                <w:szCs w:val="18"/>
                <w:lang w:val="en-US"/>
              </w:rPr>
              <w:t xml:space="preserve">s within </w:t>
            </w:r>
            <w:r w:rsidR="003A69C5" w:rsidRPr="003150AB">
              <w:rPr>
                <w:sz w:val="18"/>
                <w:szCs w:val="18"/>
                <w:lang w:val="en-US"/>
              </w:rPr>
              <w:t xml:space="preserve">EU banks buffer </w:t>
            </w:r>
            <w:r w:rsidR="0047543F" w:rsidRPr="003150AB">
              <w:rPr>
                <w:sz w:val="18"/>
                <w:szCs w:val="18"/>
                <w:lang w:val="en-US"/>
              </w:rPr>
              <w:t xml:space="preserve">has been divided by </w:t>
            </w:r>
            <w:r w:rsidR="00147463" w:rsidRPr="003150AB">
              <w:rPr>
                <w:sz w:val="18"/>
                <w:szCs w:val="18"/>
                <w:lang w:val="en-US"/>
              </w:rPr>
              <w:t>more than 3</w:t>
            </w:r>
            <w:r w:rsidR="00642356" w:rsidRPr="003150AB">
              <w:rPr>
                <w:sz w:val="18"/>
                <w:szCs w:val="18"/>
                <w:lang w:val="en-US"/>
              </w:rPr>
              <w:t xml:space="preserve"> (from 0.7 to 0.2%) </w:t>
            </w:r>
            <w:proofErr w:type="gramStart"/>
            <w:r w:rsidR="00642356" w:rsidRPr="003150AB">
              <w:rPr>
                <w:sz w:val="18"/>
                <w:szCs w:val="18"/>
                <w:lang w:val="en-US"/>
              </w:rPr>
              <w:t xml:space="preserve">following </w:t>
            </w:r>
            <w:r w:rsidR="00062252" w:rsidRPr="003150AB">
              <w:rPr>
                <w:sz w:val="18"/>
                <w:szCs w:val="18"/>
                <w:lang w:val="en-US"/>
              </w:rPr>
              <w:t xml:space="preserve"> </w:t>
            </w:r>
            <w:r w:rsidR="00626FD4" w:rsidRPr="003150AB">
              <w:rPr>
                <w:sz w:val="18"/>
                <w:szCs w:val="18"/>
                <w:lang w:val="en-US"/>
              </w:rPr>
              <w:t>the</w:t>
            </w:r>
            <w:proofErr w:type="gramEnd"/>
            <w:r w:rsidR="00626FD4" w:rsidRPr="003150AB">
              <w:rPr>
                <w:sz w:val="18"/>
                <w:szCs w:val="18"/>
                <w:lang w:val="en-US"/>
              </w:rPr>
              <w:t xml:space="preserve"> </w:t>
            </w:r>
            <w:r w:rsidR="009C614C" w:rsidRPr="003150AB">
              <w:rPr>
                <w:sz w:val="18"/>
                <w:szCs w:val="18"/>
                <w:lang w:val="en-US"/>
              </w:rPr>
              <w:t xml:space="preserve">strengthening of rating constraints </w:t>
            </w:r>
            <w:r w:rsidR="00C8155B" w:rsidRPr="003150AB">
              <w:rPr>
                <w:sz w:val="18"/>
                <w:szCs w:val="18"/>
                <w:lang w:val="en-US"/>
              </w:rPr>
              <w:t>for such asset within LCR buffer.</w:t>
            </w:r>
          </w:p>
          <w:p w14:paraId="2E7CFB8E" w14:textId="77777777" w:rsidR="00C21071" w:rsidRPr="004F0E99" w:rsidRDefault="00C21071" w:rsidP="00C21071">
            <w:pPr>
              <w:rPr>
                <w:sz w:val="20"/>
                <w:szCs w:val="20"/>
                <w:lang w:val="en-GB"/>
              </w:rPr>
            </w:pPr>
          </w:p>
          <w:p w14:paraId="0BCB4C29" w14:textId="77777777" w:rsidR="00C21071" w:rsidRPr="00973525" w:rsidRDefault="59EBA4D2" w:rsidP="00C21071">
            <w:pPr>
              <w:rPr>
                <w:sz w:val="22"/>
                <w:szCs w:val="22"/>
                <w:lang w:val="en-GB"/>
              </w:rPr>
            </w:pPr>
            <w:r>
              <w:rPr>
                <w:noProof/>
              </w:rPr>
              <w:drawing>
                <wp:inline distT="0" distB="0" distL="0" distR="0" wp14:anchorId="4AEF0FFC" wp14:editId="51ED992C">
                  <wp:extent cx="3932851" cy="1300537"/>
                  <wp:effectExtent l="0" t="0" r="0" b="0"/>
                  <wp:docPr id="16599127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4">
                            <a:extLst>
                              <a:ext uri="{28A0092B-C50C-407E-A947-70E740481C1C}">
                                <a14:useLocalDpi xmlns:a14="http://schemas.microsoft.com/office/drawing/2010/main" val="0"/>
                              </a:ext>
                            </a:extLst>
                          </a:blip>
                          <a:stretch>
                            <a:fillRect/>
                          </a:stretch>
                        </pic:blipFill>
                        <pic:spPr>
                          <a:xfrm>
                            <a:off x="0" y="0"/>
                            <a:ext cx="3932851" cy="1300537"/>
                          </a:xfrm>
                          <a:prstGeom prst="rect">
                            <a:avLst/>
                          </a:prstGeom>
                        </pic:spPr>
                      </pic:pic>
                    </a:graphicData>
                  </a:graphic>
                </wp:inline>
              </w:drawing>
            </w:r>
          </w:p>
          <w:p w14:paraId="613A5AEC" w14:textId="77777777" w:rsidR="00C21071" w:rsidRDefault="00C21071" w:rsidP="00C21071">
            <w:pPr>
              <w:rPr>
                <w:rStyle w:val="Lienhypertexte"/>
                <w:i/>
                <w:sz w:val="18"/>
                <w:szCs w:val="18"/>
                <w:lang w:val="en-GB"/>
              </w:rPr>
            </w:pPr>
            <w:r w:rsidRPr="00DE47C7">
              <w:rPr>
                <w:i/>
                <w:iCs/>
                <w:sz w:val="18"/>
                <w:szCs w:val="18"/>
                <w:lang w:val="en-GB"/>
              </w:rPr>
              <w:t xml:space="preserve">Extract from </w:t>
            </w:r>
            <w:r>
              <w:fldChar w:fldCharType="begin"/>
            </w:r>
            <w:r w:rsidRPr="0000602A">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w:instrText>
            </w:r>
            <w:r>
              <w:fldChar w:fldCharType="separate"/>
            </w:r>
            <w:r w:rsidRPr="000711A7">
              <w:rPr>
                <w:rStyle w:val="Lienhypertexte"/>
                <w:i/>
                <w:iCs/>
                <w:sz w:val="18"/>
                <w:szCs w:val="18"/>
                <w:lang w:val="en-GB"/>
              </w:rPr>
              <w:t>JC 2022 66  page 88 Figure 31: HQLA by asset classes- JC Advice on the review of the securitisation prudential framework - Banking.pdf</w:t>
            </w:r>
            <w:r>
              <w:rPr>
                <w:rStyle w:val="Lienhypertexte"/>
                <w:i/>
                <w:iCs/>
                <w:sz w:val="18"/>
                <w:szCs w:val="18"/>
                <w:lang w:val="en-GB"/>
              </w:rPr>
              <w:fldChar w:fldCharType="end"/>
            </w:r>
          </w:p>
          <w:p w14:paraId="4BE53F71" w14:textId="77777777" w:rsidR="00B35622" w:rsidRDefault="00B35622" w:rsidP="00C21071">
            <w:pPr>
              <w:rPr>
                <w:rStyle w:val="Lienhypertexte"/>
                <w:i/>
                <w:sz w:val="18"/>
                <w:szCs w:val="18"/>
                <w:lang w:val="en-GB"/>
              </w:rPr>
            </w:pPr>
          </w:p>
          <w:p w14:paraId="6D43BB7F" w14:textId="77777777" w:rsidR="00B35622" w:rsidRPr="000711A7" w:rsidRDefault="00B35622" w:rsidP="00B35622">
            <w:pPr>
              <w:rPr>
                <w:sz w:val="18"/>
                <w:szCs w:val="18"/>
                <w:lang w:val="en-GB"/>
              </w:rPr>
            </w:pPr>
            <w:r w:rsidRPr="000030CD">
              <w:rPr>
                <w:sz w:val="18"/>
                <w:szCs w:val="18"/>
                <w:lang w:val="en-GB"/>
              </w:rPr>
              <w:t>Considering that the 2014 LCR regulation was already highly restrictive due to an under-calibration of their eligibility compared to their relatively low risk and market liquidity, it significantly hindered the inclusion of securitization in the banks' liquidity buffers. Therefore, if adjusted as suggested here, we could expect an even stronger interest from bank treasurers.</w:t>
            </w:r>
          </w:p>
          <w:p w14:paraId="4A5816A2" w14:textId="113575A6" w:rsidR="00B35622" w:rsidRPr="00B35622" w:rsidRDefault="00B35622" w:rsidP="00C21071">
            <w:pPr>
              <w:rPr>
                <w:sz w:val="18"/>
                <w:szCs w:val="18"/>
                <w:lang w:val="en-GB"/>
              </w:rPr>
            </w:pPr>
          </w:p>
        </w:tc>
        <w:tc>
          <w:tcPr>
            <w:tcW w:w="236" w:type="dxa"/>
          </w:tcPr>
          <w:p w14:paraId="3069104E" w14:textId="00BB147B" w:rsidR="00C21071" w:rsidRPr="0079353D" w:rsidRDefault="00C21071" w:rsidP="0079353D">
            <w:pPr>
              <w:ind w:firstLine="1917"/>
              <w:rPr>
                <w:sz w:val="18"/>
                <w:szCs w:val="18"/>
                <w:lang w:val="en-GB"/>
              </w:rPr>
            </w:pPr>
          </w:p>
        </w:tc>
      </w:tr>
      <w:tr w:rsidR="00C21071" w:rsidRPr="0000602A" w14:paraId="55D50964" w14:textId="77777777" w:rsidTr="30964D0C">
        <w:trPr>
          <w:gridAfter w:val="1"/>
          <w:wAfter w:w="16" w:type="dxa"/>
        </w:trPr>
        <w:tc>
          <w:tcPr>
            <w:tcW w:w="2893" w:type="dxa"/>
          </w:tcPr>
          <w:p w14:paraId="36755F1F" w14:textId="7B3941D7" w:rsidR="00C21071" w:rsidRPr="00973525" w:rsidRDefault="00C21071" w:rsidP="00C21071">
            <w:pPr>
              <w:rPr>
                <w:sz w:val="18"/>
                <w:szCs w:val="18"/>
                <w:lang w:val="en-GB"/>
              </w:rPr>
            </w:pPr>
            <w:r w:rsidRPr="00973525">
              <w:rPr>
                <w:sz w:val="20"/>
                <w:szCs w:val="20"/>
                <w:u w:val="single"/>
                <w:lang w:val="en-GB"/>
              </w:rPr>
              <w:t>Question 9.42.</w:t>
            </w:r>
            <w:r w:rsidRPr="00973525">
              <w:rPr>
                <w:sz w:val="20"/>
                <w:szCs w:val="20"/>
                <w:lang w:val="en-GB"/>
              </w:rPr>
              <w:t xml:space="preserve"> Do you consider that the </w:t>
            </w:r>
            <w:r w:rsidRPr="00973525">
              <w:rPr>
                <w:b/>
                <w:bCs/>
                <w:sz w:val="20"/>
                <w:szCs w:val="20"/>
                <w:lang w:val="en-GB"/>
              </w:rPr>
              <w:t>existing liquidity risk treatment of securitisation</w:t>
            </w:r>
            <w:r w:rsidRPr="00973525">
              <w:rPr>
                <w:sz w:val="20"/>
                <w:szCs w:val="20"/>
                <w:lang w:val="en-GB"/>
              </w:rPr>
              <w:t xml:space="preserve">, </w:t>
            </w:r>
            <w:proofErr w:type="gramStart"/>
            <w:r w:rsidRPr="00973525">
              <w:rPr>
                <w:sz w:val="20"/>
                <w:szCs w:val="20"/>
                <w:lang w:val="en-GB"/>
              </w:rPr>
              <w:t>in particular in</w:t>
            </w:r>
            <w:proofErr w:type="gramEnd"/>
            <w:r w:rsidRPr="00973525">
              <w:rPr>
                <w:sz w:val="20"/>
                <w:szCs w:val="20"/>
                <w:lang w:val="en-GB"/>
              </w:rPr>
              <w:t xml:space="preserve"> terms of credit quality steps (</w:t>
            </w:r>
            <w:r w:rsidRPr="00973525">
              <w:rPr>
                <w:b/>
                <w:bCs/>
                <w:sz w:val="20"/>
                <w:szCs w:val="20"/>
                <w:lang w:val="en-GB"/>
              </w:rPr>
              <w:t>CQS</w:t>
            </w:r>
            <w:r w:rsidRPr="00973525">
              <w:rPr>
                <w:sz w:val="20"/>
                <w:szCs w:val="20"/>
                <w:lang w:val="en-GB"/>
              </w:rPr>
              <w:t xml:space="preserve">s) and </w:t>
            </w:r>
            <w:r w:rsidRPr="00973525">
              <w:rPr>
                <w:b/>
                <w:bCs/>
                <w:sz w:val="20"/>
                <w:szCs w:val="20"/>
                <w:lang w:val="en-GB"/>
              </w:rPr>
              <w:t>haircuts</w:t>
            </w:r>
            <w:r w:rsidRPr="00973525">
              <w:rPr>
                <w:sz w:val="20"/>
                <w:szCs w:val="20"/>
                <w:lang w:val="en-GB"/>
              </w:rPr>
              <w:t xml:space="preserve"> applied to securitisations eligible for Level 2B HQLA, are adequately </w:t>
            </w:r>
            <w:r w:rsidRPr="00973525">
              <w:rPr>
                <w:b/>
                <w:bCs/>
                <w:sz w:val="20"/>
                <w:szCs w:val="20"/>
                <w:lang w:val="en-GB"/>
              </w:rPr>
              <w:t xml:space="preserve">reflecting the liquidity and </w:t>
            </w:r>
            <w:r w:rsidRPr="00973525">
              <w:rPr>
                <w:b/>
                <w:bCs/>
                <w:sz w:val="20"/>
                <w:szCs w:val="20"/>
                <w:lang w:val="en-GB"/>
              </w:rPr>
              <w:lastRenderedPageBreak/>
              <w:t>stress performance</w:t>
            </w:r>
            <w:r w:rsidRPr="00973525">
              <w:rPr>
                <w:sz w:val="20"/>
                <w:szCs w:val="20"/>
                <w:lang w:val="en-GB"/>
              </w:rPr>
              <w:t xml:space="preserve"> of securitisations, across the full economic cycle, including in crisis conditions, and in comparison, with the treatment of other comparable financial instruments?</w:t>
            </w:r>
          </w:p>
        </w:tc>
        <w:tc>
          <w:tcPr>
            <w:tcW w:w="7740" w:type="dxa"/>
          </w:tcPr>
          <w:p w14:paraId="5E9FC832" w14:textId="77777777" w:rsidR="00C21071" w:rsidRPr="00973525" w:rsidRDefault="00C21071" w:rsidP="00C21071">
            <w:pPr>
              <w:rPr>
                <w:sz w:val="20"/>
                <w:szCs w:val="20"/>
                <w:lang w:val="en-GB"/>
              </w:rPr>
            </w:pPr>
            <w:r w:rsidRPr="00973525">
              <w:rPr>
                <w:sz w:val="20"/>
                <w:szCs w:val="20"/>
                <w:lang w:val="en-GB"/>
              </w:rPr>
              <w:lastRenderedPageBreak/>
              <w:t>Answer</w:t>
            </w:r>
          </w:p>
          <w:p w14:paraId="32D00001" w14:textId="77777777" w:rsidR="00C21071" w:rsidRPr="00973525" w:rsidRDefault="00000000" w:rsidP="00C21071">
            <w:pPr>
              <w:rPr>
                <w:sz w:val="20"/>
                <w:szCs w:val="20"/>
                <w:lang w:val="en-GB"/>
              </w:rPr>
            </w:pPr>
            <w:sdt>
              <w:sdtPr>
                <w:rPr>
                  <w:sz w:val="20"/>
                  <w:szCs w:val="20"/>
                  <w:lang w:val="en-GB"/>
                </w:rPr>
                <w:id w:val="-50083694"/>
                <w14:checkbox>
                  <w14:checked w14:val="0"/>
                  <w14:checkedState w14:val="2612" w14:font="MS Gothic"/>
                  <w14:uncheckedState w14:val="2610" w14:font="MS Gothic"/>
                </w14:checkbox>
              </w:sdtPr>
              <w:sdtContent>
                <w:r w:rsidR="00C21071" w:rsidRPr="00973525">
                  <w:rPr>
                    <w:rFonts w:eastAsia="MS Gothic"/>
                    <w:sz w:val="20"/>
                    <w:szCs w:val="20"/>
                    <w:lang w:val="en-GB"/>
                  </w:rPr>
                  <w:t>☐</w:t>
                </w:r>
              </w:sdtContent>
            </w:sdt>
            <w:r w:rsidR="00C21071" w:rsidRPr="00973525">
              <w:rPr>
                <w:sz w:val="20"/>
                <w:szCs w:val="20"/>
                <w:lang w:val="en-GB"/>
              </w:rPr>
              <w:t>Yes</w:t>
            </w:r>
          </w:p>
          <w:p w14:paraId="709CF808" w14:textId="77777777" w:rsidR="00C21071" w:rsidRPr="00973525" w:rsidRDefault="00000000" w:rsidP="00C21071">
            <w:pPr>
              <w:rPr>
                <w:b/>
                <w:bCs/>
                <w:sz w:val="20"/>
                <w:szCs w:val="20"/>
                <w:lang w:val="en-GB"/>
              </w:rPr>
            </w:pPr>
            <w:sdt>
              <w:sdtPr>
                <w:rPr>
                  <w:b/>
                  <w:bCs/>
                  <w:sz w:val="20"/>
                  <w:szCs w:val="20"/>
                  <w:lang w:val="en-GB"/>
                </w:rPr>
                <w:id w:val="-223150176"/>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20"/>
                    <w:szCs w:val="20"/>
                    <w:lang w:val="en-GB"/>
                  </w:rPr>
                  <w:t>☒</w:t>
                </w:r>
              </w:sdtContent>
            </w:sdt>
            <w:r w:rsidR="00C21071" w:rsidRPr="00973525">
              <w:rPr>
                <w:b/>
                <w:bCs/>
                <w:sz w:val="20"/>
                <w:szCs w:val="20"/>
                <w:lang w:val="en-GB"/>
              </w:rPr>
              <w:t>No</w:t>
            </w:r>
          </w:p>
          <w:p w14:paraId="50E44AA9" w14:textId="77777777" w:rsidR="00C21071" w:rsidRPr="00973525" w:rsidRDefault="00000000" w:rsidP="00C21071">
            <w:pPr>
              <w:rPr>
                <w:sz w:val="20"/>
                <w:szCs w:val="20"/>
                <w:lang w:val="en-GB"/>
              </w:rPr>
            </w:pPr>
            <w:sdt>
              <w:sdtPr>
                <w:rPr>
                  <w:sz w:val="20"/>
                  <w:szCs w:val="20"/>
                  <w:lang w:val="en-GB"/>
                </w:rPr>
                <w:id w:val="54130876"/>
                <w14:checkbox>
                  <w14:checked w14:val="0"/>
                  <w14:checkedState w14:val="2612" w14:font="MS Gothic"/>
                  <w14:uncheckedState w14:val="2610" w14:font="MS Gothic"/>
                </w14:checkbox>
              </w:sdtPr>
              <w:sdtContent>
                <w:r w:rsidR="00C21071" w:rsidRPr="00973525">
                  <w:rPr>
                    <w:rFonts w:eastAsia="MS Gothic"/>
                    <w:sz w:val="20"/>
                    <w:szCs w:val="20"/>
                    <w:lang w:val="en-GB"/>
                  </w:rPr>
                  <w:t>☐</w:t>
                </w:r>
              </w:sdtContent>
            </w:sdt>
            <w:r w:rsidR="00C21071" w:rsidRPr="00973525">
              <w:rPr>
                <w:sz w:val="20"/>
                <w:szCs w:val="20"/>
                <w:lang w:val="en-GB"/>
              </w:rPr>
              <w:t>Don’t know / no opinion / not applicable</w:t>
            </w:r>
          </w:p>
          <w:p w14:paraId="611103B1" w14:textId="77777777" w:rsidR="00C21071" w:rsidRPr="00973525" w:rsidRDefault="00C21071" w:rsidP="00C21071">
            <w:pPr>
              <w:rPr>
                <w:sz w:val="22"/>
                <w:szCs w:val="22"/>
                <w:lang w:val="en-US"/>
              </w:rPr>
            </w:pPr>
          </w:p>
          <w:p w14:paraId="4FCEF86F" w14:textId="77777777" w:rsidR="00C21071" w:rsidRPr="00973525" w:rsidRDefault="00C21071" w:rsidP="00C21071">
            <w:pPr>
              <w:rPr>
                <w:sz w:val="18"/>
                <w:szCs w:val="18"/>
                <w:lang w:val="en-US"/>
              </w:rPr>
            </w:pPr>
          </w:p>
        </w:tc>
        <w:tc>
          <w:tcPr>
            <w:tcW w:w="236" w:type="dxa"/>
          </w:tcPr>
          <w:p w14:paraId="521DA1CD" w14:textId="77777777" w:rsidR="00C21071" w:rsidRPr="00973525" w:rsidRDefault="00C21071" w:rsidP="0079353D">
            <w:pPr>
              <w:ind w:firstLine="1917"/>
              <w:rPr>
                <w:sz w:val="18"/>
                <w:szCs w:val="18"/>
                <w:lang w:val="en-GB"/>
              </w:rPr>
            </w:pPr>
          </w:p>
        </w:tc>
      </w:tr>
      <w:tr w:rsidR="00C21071" w:rsidRPr="0000602A" w14:paraId="759A123E" w14:textId="77777777" w:rsidTr="30964D0C">
        <w:trPr>
          <w:gridAfter w:val="1"/>
          <w:wAfter w:w="16" w:type="dxa"/>
        </w:trPr>
        <w:tc>
          <w:tcPr>
            <w:tcW w:w="2893" w:type="dxa"/>
          </w:tcPr>
          <w:p w14:paraId="72CC88EF" w14:textId="64C79662" w:rsidR="00C21071" w:rsidRPr="00973525" w:rsidRDefault="00C21071" w:rsidP="00C21071">
            <w:pPr>
              <w:rPr>
                <w:sz w:val="18"/>
                <w:szCs w:val="18"/>
                <w:lang w:val="en-GB"/>
              </w:rPr>
            </w:pPr>
            <w:r w:rsidRPr="00973525">
              <w:rPr>
                <w:sz w:val="20"/>
                <w:szCs w:val="20"/>
                <w:u w:val="single"/>
                <w:lang w:val="en-GB"/>
              </w:rPr>
              <w:t>Question 9.43</w:t>
            </w:r>
            <w:r w:rsidRPr="00973525">
              <w:rPr>
                <w:sz w:val="20"/>
                <w:szCs w:val="20"/>
                <w:lang w:val="en-GB"/>
              </w:rPr>
              <w:t xml:space="preserve">. If you answered no to question 9.42., please justify your </w:t>
            </w:r>
            <w:r w:rsidRPr="00973525">
              <w:rPr>
                <w:b/>
                <w:bCs/>
                <w:sz w:val="20"/>
                <w:szCs w:val="20"/>
                <w:lang w:val="en-GB"/>
              </w:rPr>
              <w:t>reasoning</w:t>
            </w:r>
            <w:r w:rsidRPr="00973525">
              <w:rPr>
                <w:sz w:val="20"/>
                <w:szCs w:val="20"/>
                <w:lang w:val="en-GB"/>
              </w:rPr>
              <w:t xml:space="preserve">, providing </w:t>
            </w:r>
            <w:r w:rsidRPr="00973525">
              <w:rPr>
                <w:b/>
                <w:bCs/>
                <w:sz w:val="20"/>
                <w:szCs w:val="20"/>
                <w:lang w:val="en-GB"/>
              </w:rPr>
              <w:t>quantitative and qualitative data</w:t>
            </w:r>
            <w:r w:rsidRPr="00973525">
              <w:rPr>
                <w:sz w:val="20"/>
                <w:szCs w:val="20"/>
                <w:lang w:val="en-GB"/>
              </w:rPr>
              <w:t xml:space="preserve"> on the impact, and provide </w:t>
            </w:r>
            <w:r w:rsidRPr="00973525">
              <w:rPr>
                <w:b/>
                <w:bCs/>
                <w:sz w:val="20"/>
                <w:szCs w:val="20"/>
                <w:lang w:val="en-GB"/>
              </w:rPr>
              <w:t>suggestions</w:t>
            </w:r>
            <w:r w:rsidRPr="00973525">
              <w:rPr>
                <w:sz w:val="20"/>
                <w:szCs w:val="20"/>
                <w:lang w:val="en-GB"/>
              </w:rPr>
              <w:t xml:space="preserve"> for what you would consider as appropriate and justified treatment in terms of </w:t>
            </w:r>
            <w:r w:rsidRPr="00973525">
              <w:rPr>
                <w:b/>
                <w:bCs/>
                <w:sz w:val="20"/>
                <w:szCs w:val="20"/>
                <w:lang w:val="en-GB"/>
              </w:rPr>
              <w:t>CQSs, haircuts</w:t>
            </w:r>
            <w:r w:rsidRPr="00973525">
              <w:rPr>
                <w:sz w:val="20"/>
                <w:szCs w:val="20"/>
                <w:lang w:val="en-GB"/>
              </w:rPr>
              <w:t xml:space="preserve"> and other relevant requirements, without endangering financial stability.</w:t>
            </w:r>
          </w:p>
        </w:tc>
        <w:tc>
          <w:tcPr>
            <w:tcW w:w="7740" w:type="dxa"/>
          </w:tcPr>
          <w:p w14:paraId="57E11BD2" w14:textId="42DE5708" w:rsidR="00C21071" w:rsidRPr="00973525" w:rsidRDefault="00C21071" w:rsidP="00C21071">
            <w:pPr>
              <w:rPr>
                <w:sz w:val="18"/>
                <w:szCs w:val="18"/>
                <w:lang w:val="en-US"/>
              </w:rPr>
            </w:pPr>
            <w:r w:rsidRPr="00973525">
              <w:rPr>
                <w:sz w:val="18"/>
                <w:szCs w:val="18"/>
                <w:lang w:val="en-US"/>
              </w:rPr>
              <w:t xml:space="preserve">It should be mentioned that liquidity is not a permanent situation. It depends on the number of institutions that are willing to buy a security </w:t>
            </w:r>
            <w:proofErr w:type="gramStart"/>
            <w:r w:rsidRPr="00973525">
              <w:rPr>
                <w:sz w:val="18"/>
                <w:szCs w:val="18"/>
                <w:lang w:val="en-US"/>
              </w:rPr>
              <w:t>at</w:t>
            </w:r>
            <w:proofErr w:type="gramEnd"/>
            <w:r w:rsidRPr="00973525">
              <w:rPr>
                <w:sz w:val="18"/>
                <w:szCs w:val="18"/>
                <w:lang w:val="en-US"/>
              </w:rPr>
              <w:t xml:space="preserve"> </w:t>
            </w:r>
            <w:proofErr w:type="gramStart"/>
            <w:r w:rsidRPr="00973525">
              <w:rPr>
                <w:sz w:val="18"/>
                <w:szCs w:val="18"/>
                <w:lang w:val="en-US"/>
              </w:rPr>
              <w:t>a period of time</w:t>
            </w:r>
            <w:proofErr w:type="gramEnd"/>
            <w:r w:rsidRPr="00973525">
              <w:rPr>
                <w:sz w:val="18"/>
                <w:szCs w:val="18"/>
                <w:lang w:val="en-US"/>
              </w:rPr>
              <w:t xml:space="preserve">. </w:t>
            </w:r>
            <w:r w:rsidR="000C07E1">
              <w:rPr>
                <w:sz w:val="18"/>
                <w:szCs w:val="18"/>
                <w:lang w:val="en-US"/>
              </w:rPr>
              <w:t xml:space="preserve">As a positive loop, </w:t>
            </w:r>
            <w:r w:rsidR="009B799C">
              <w:rPr>
                <w:sz w:val="18"/>
                <w:szCs w:val="18"/>
                <w:lang w:val="en-US"/>
              </w:rPr>
              <w:t>i</w:t>
            </w:r>
            <w:r w:rsidRPr="00973525">
              <w:rPr>
                <w:sz w:val="18"/>
                <w:szCs w:val="18"/>
                <w:lang w:val="en-US"/>
              </w:rPr>
              <w:t xml:space="preserve">ncreasing the number of potential buyers increases the liquidity of an asset and helps reduce the loss of liquidity during a stress (and the over way around). </w:t>
            </w:r>
          </w:p>
          <w:p w14:paraId="4A9AE009" w14:textId="2DA17114" w:rsidR="00C21071" w:rsidRPr="00973525" w:rsidRDefault="00C21071" w:rsidP="00C21071">
            <w:pPr>
              <w:rPr>
                <w:rFonts w:cstheme="minorHAnsi"/>
                <w:sz w:val="18"/>
                <w:szCs w:val="18"/>
                <w:lang w:val="en-GB"/>
              </w:rPr>
            </w:pPr>
            <w:r w:rsidRPr="000711A7">
              <w:rPr>
                <w:rFonts w:cstheme="minorHAnsi"/>
                <w:sz w:val="18"/>
                <w:szCs w:val="18"/>
                <w:lang w:val="en-GB"/>
              </w:rPr>
              <w:t xml:space="preserve">European market has </w:t>
            </w:r>
            <w:r w:rsidRPr="00973525">
              <w:rPr>
                <w:sz w:val="18"/>
                <w:szCs w:val="18"/>
                <w:lang w:val="en-US"/>
              </w:rPr>
              <w:t>felt</w:t>
            </w:r>
            <w:r w:rsidRPr="000711A7">
              <w:rPr>
                <w:rFonts w:cstheme="minorHAnsi"/>
                <w:sz w:val="18"/>
                <w:szCs w:val="18"/>
                <w:lang w:val="en-GB"/>
              </w:rPr>
              <w:t xml:space="preserve"> the impact of a </w:t>
            </w:r>
            <w:r w:rsidR="006B274F" w:rsidRPr="000711A7">
              <w:rPr>
                <w:rFonts w:cstheme="minorHAnsi"/>
                <w:sz w:val="18"/>
                <w:szCs w:val="18"/>
                <w:lang w:val="en-GB"/>
              </w:rPr>
              <w:t>technical misstep</w:t>
            </w:r>
            <w:r w:rsidRPr="000711A7">
              <w:rPr>
                <w:rFonts w:cstheme="minorHAnsi"/>
                <w:sz w:val="18"/>
                <w:szCs w:val="18"/>
                <w:lang w:val="en-GB"/>
              </w:rPr>
              <w:t xml:space="preserve"> with the update of securitisation eligibility within LCR buffer (following regulation 2018/1620, applied from January 2019), which has reduced the liquidity of the AA securitisations as unexpectedly excluded them from those buffers. </w:t>
            </w:r>
          </w:p>
          <w:p w14:paraId="32918D31" w14:textId="77777777" w:rsidR="00C21071" w:rsidRPr="00973525" w:rsidRDefault="00C21071" w:rsidP="00C21071">
            <w:pPr>
              <w:rPr>
                <w:sz w:val="18"/>
                <w:szCs w:val="18"/>
                <w:lang w:val="en-US"/>
              </w:rPr>
            </w:pPr>
            <w:r w:rsidRPr="00973525">
              <w:rPr>
                <w:rFonts w:cstheme="minorHAnsi"/>
                <w:sz w:val="18"/>
                <w:szCs w:val="18"/>
                <w:lang w:val="en-US"/>
              </w:rPr>
              <w:t>It also affects the investors’ perception of the European securitisation market. For example, a (re)insurer is interested in knowing the bank liquidity treatment of a senior tranche, as in the event it needs to liquefy a senior tranche, its price will depend on whether banks can buy it at a fair price, which itself depends on the banks’ LCR classification and haircut for that instrument, and potential ECB eligibility and repo-ability.</w:t>
            </w:r>
          </w:p>
          <w:p w14:paraId="14E25510" w14:textId="77777777" w:rsidR="00C21071" w:rsidRPr="00973525" w:rsidRDefault="00C21071" w:rsidP="00C21071">
            <w:pPr>
              <w:pBdr>
                <w:bottom w:val="single" w:sz="6" w:space="1" w:color="auto"/>
              </w:pBdr>
              <w:rPr>
                <w:sz w:val="18"/>
                <w:szCs w:val="18"/>
                <w:lang w:val="en-US"/>
              </w:rPr>
            </w:pPr>
          </w:p>
          <w:p w14:paraId="49E60C7F" w14:textId="77777777" w:rsidR="00C21071" w:rsidRPr="00973525" w:rsidRDefault="00C21071" w:rsidP="00C21071">
            <w:pPr>
              <w:rPr>
                <w:sz w:val="18"/>
                <w:szCs w:val="18"/>
                <w:lang w:val="en-US"/>
              </w:rPr>
            </w:pPr>
            <w:r w:rsidRPr="00973525">
              <w:rPr>
                <w:sz w:val="18"/>
                <w:szCs w:val="18"/>
                <w:lang w:val="en-US"/>
              </w:rPr>
              <w:t xml:space="preserve">The most needed feature is to widen the scope of bonds that are accepted. </w:t>
            </w:r>
          </w:p>
          <w:p w14:paraId="197A3B22" w14:textId="165F7B05" w:rsidR="00C21071" w:rsidRPr="00973525" w:rsidRDefault="00C21071" w:rsidP="00C21071">
            <w:pPr>
              <w:rPr>
                <w:sz w:val="18"/>
                <w:szCs w:val="18"/>
                <w:lang w:val="en-US"/>
              </w:rPr>
            </w:pPr>
            <w:r w:rsidRPr="00973525">
              <w:rPr>
                <w:sz w:val="18"/>
                <w:szCs w:val="18"/>
                <w:lang w:val="en-US"/>
              </w:rPr>
              <w:t>For this aim, we would propose reverting to the LCR eligibility criteria closer to those applying prior to 2017:</w:t>
            </w:r>
            <w:r w:rsidR="00F83602">
              <w:rPr>
                <w:sz w:val="18"/>
                <w:szCs w:val="18"/>
                <w:lang w:val="en-US"/>
              </w:rPr>
              <w:br/>
            </w:r>
          </w:p>
          <w:p w14:paraId="013B3669" w14:textId="2B395BEB" w:rsidR="00C21071" w:rsidRPr="00973525" w:rsidRDefault="00456B37" w:rsidP="00C21071">
            <w:pPr>
              <w:pStyle w:val="Paragraphedeliste"/>
              <w:numPr>
                <w:ilvl w:val="0"/>
                <w:numId w:val="9"/>
              </w:numPr>
              <w:rPr>
                <w:sz w:val="18"/>
                <w:szCs w:val="18"/>
                <w:lang w:val="en-US"/>
              </w:rPr>
            </w:pPr>
            <w:r>
              <w:rPr>
                <w:sz w:val="18"/>
                <w:szCs w:val="18"/>
                <w:u w:val="single"/>
                <w:lang w:val="en-US"/>
              </w:rPr>
              <w:t xml:space="preserve">A) </w:t>
            </w:r>
            <w:r w:rsidR="00C21071" w:rsidRPr="00973525">
              <w:rPr>
                <w:sz w:val="18"/>
                <w:szCs w:val="18"/>
                <w:u w:val="single"/>
                <w:lang w:val="en-US"/>
              </w:rPr>
              <w:t>Allowing AAA to AA- ratings for any senior tranche of ABS with STS certification in level 2A</w:t>
            </w:r>
            <w:r w:rsidR="00C21071" w:rsidRPr="00973525">
              <w:rPr>
                <w:sz w:val="18"/>
                <w:szCs w:val="18"/>
                <w:lang w:val="en-US"/>
              </w:rPr>
              <w:t xml:space="preserve">. </w:t>
            </w:r>
            <w:r w:rsidR="00F83602">
              <w:rPr>
                <w:sz w:val="18"/>
                <w:szCs w:val="18"/>
                <w:lang w:val="en-US"/>
              </w:rPr>
              <w:br/>
            </w:r>
            <w:r w:rsidR="00C21071" w:rsidRPr="00973525">
              <w:rPr>
                <w:sz w:val="18"/>
                <w:szCs w:val="18"/>
                <w:lang w:val="en-US"/>
              </w:rPr>
              <w:t xml:space="preserve">Note that in CRR3 the CQS 1 was mapped to AAA and that AA (from former CQS 1) bucket removal is an unintended consequence of the change in the mapping </w:t>
            </w:r>
            <w:r w:rsidR="00AF67C1">
              <w:rPr>
                <w:sz w:val="18"/>
                <w:szCs w:val="18"/>
                <w:lang w:val="en-US"/>
              </w:rPr>
              <w:t xml:space="preserve">of </w:t>
            </w:r>
            <w:proofErr w:type="spellStart"/>
            <w:r w:rsidR="00AF67C1">
              <w:rPr>
                <w:sz w:val="18"/>
                <w:szCs w:val="18"/>
                <w:lang w:val="en-US"/>
              </w:rPr>
              <w:t>ECAI</w:t>
            </w:r>
            <w:r w:rsidR="001E0FAE">
              <w:rPr>
                <w:sz w:val="18"/>
                <w:szCs w:val="18"/>
                <w:lang w:val="en-US"/>
              </w:rPr>
              <w:t>s</w:t>
            </w:r>
            <w:r w:rsidR="00C21071" w:rsidRPr="00973525">
              <w:rPr>
                <w:sz w:val="18"/>
                <w:szCs w:val="18"/>
                <w:lang w:val="en-US"/>
              </w:rPr>
              <w:t>in</w:t>
            </w:r>
            <w:proofErr w:type="spellEnd"/>
            <w:r w:rsidR="00C21071" w:rsidRPr="00973525">
              <w:rPr>
                <w:sz w:val="18"/>
                <w:szCs w:val="18"/>
                <w:lang w:val="en-US"/>
              </w:rPr>
              <w:t xml:space="preserve"> the </w:t>
            </w:r>
            <w:r w:rsidR="00C21071" w:rsidRPr="00EC1118">
              <w:rPr>
                <w:b/>
                <w:bCs/>
                <w:sz w:val="18"/>
                <w:szCs w:val="18"/>
                <w:lang w:val="en-US"/>
              </w:rPr>
              <w:t>2017/2401 text</w:t>
            </w:r>
            <w:r w:rsidR="00C21071" w:rsidRPr="00973525">
              <w:rPr>
                <w:sz w:val="18"/>
                <w:szCs w:val="18"/>
                <w:lang w:val="en-US"/>
              </w:rPr>
              <w:t>. As a matter of fact, this point is already recommended by the JC in recognition that earlier amendments to the LCR Delegated Regulation did not intend to limit the eligibility to AAA rating only.</w:t>
            </w:r>
          </w:p>
          <w:p w14:paraId="70D7FCF3" w14:textId="7816AC4C" w:rsidR="00341E92" w:rsidRPr="00341E92" w:rsidRDefault="00341E92" w:rsidP="00341E92">
            <w:pPr>
              <w:rPr>
                <w:sz w:val="18"/>
                <w:szCs w:val="18"/>
                <w:lang w:val="en-US"/>
              </w:rPr>
            </w:pPr>
          </w:p>
          <w:p w14:paraId="4C70913E" w14:textId="77777777" w:rsidR="00C21071" w:rsidRPr="00973525" w:rsidRDefault="00C21071" w:rsidP="00C21071">
            <w:pPr>
              <w:pStyle w:val="Paragraphedeliste"/>
              <w:rPr>
                <w:sz w:val="18"/>
                <w:szCs w:val="18"/>
                <w:lang w:val="en-US"/>
              </w:rPr>
            </w:pPr>
          </w:p>
          <w:p w14:paraId="1580CB39" w14:textId="16046693" w:rsidR="00C21071" w:rsidRPr="00973525" w:rsidRDefault="00456B37" w:rsidP="00C21071">
            <w:pPr>
              <w:pStyle w:val="Paragraphedeliste"/>
              <w:numPr>
                <w:ilvl w:val="0"/>
                <w:numId w:val="9"/>
              </w:numPr>
              <w:rPr>
                <w:sz w:val="18"/>
                <w:szCs w:val="18"/>
                <w:lang w:val="en-US"/>
              </w:rPr>
            </w:pPr>
            <w:r>
              <w:rPr>
                <w:sz w:val="18"/>
                <w:szCs w:val="18"/>
                <w:u w:val="single"/>
                <w:lang w:val="en-US"/>
              </w:rPr>
              <w:t xml:space="preserve">B) </w:t>
            </w:r>
            <w:r w:rsidR="00C21071" w:rsidRPr="00973525">
              <w:rPr>
                <w:sz w:val="18"/>
                <w:szCs w:val="18"/>
                <w:u w:val="single"/>
                <w:lang w:val="en-US"/>
              </w:rPr>
              <w:t xml:space="preserve">Allowing AAA to AA- non-STS senior tranches of securitisation to level 2B. </w:t>
            </w:r>
            <w:r w:rsidR="00C21071" w:rsidRPr="00973525">
              <w:rPr>
                <w:sz w:val="18"/>
                <w:szCs w:val="18"/>
                <w:lang w:val="en-US"/>
              </w:rPr>
              <w:t xml:space="preserve">This could </w:t>
            </w:r>
            <w:r w:rsidR="00C21071" w:rsidRPr="00973525">
              <w:rPr>
                <w:sz w:val="18"/>
                <w:szCs w:val="18"/>
                <w:u w:val="single"/>
                <w:lang w:val="en-US"/>
              </w:rPr>
              <w:t>also include ABCP</w:t>
            </w:r>
            <w:r w:rsidR="00C21071" w:rsidRPr="00973525">
              <w:rPr>
                <w:sz w:val="18"/>
                <w:szCs w:val="18"/>
                <w:lang w:val="en-US"/>
              </w:rPr>
              <w:t xml:space="preserve"> issued through multi-seller conduits </w:t>
            </w:r>
          </w:p>
          <w:p w14:paraId="26550F44" w14:textId="77777777" w:rsidR="00386422" w:rsidRDefault="00386422" w:rsidP="00C21071">
            <w:pPr>
              <w:rPr>
                <w:sz w:val="18"/>
                <w:szCs w:val="18"/>
                <w:lang w:val="en-US"/>
              </w:rPr>
            </w:pPr>
          </w:p>
          <w:tbl>
            <w:tblPr>
              <w:tblW w:w="4512" w:type="dxa"/>
              <w:jc w:val="center"/>
              <w:tblLayout w:type="fixed"/>
              <w:tblCellMar>
                <w:left w:w="70" w:type="dxa"/>
                <w:right w:w="70" w:type="dxa"/>
              </w:tblCellMar>
              <w:tblLook w:val="04A0" w:firstRow="1" w:lastRow="0" w:firstColumn="1" w:lastColumn="0" w:noHBand="0" w:noVBand="1"/>
            </w:tblPr>
            <w:tblGrid>
              <w:gridCol w:w="1330"/>
              <w:gridCol w:w="970"/>
              <w:gridCol w:w="1053"/>
              <w:gridCol w:w="1159"/>
            </w:tblGrid>
            <w:tr w:rsidR="00386422" w:rsidRPr="00386422" w14:paraId="118ABB2D" w14:textId="77777777" w:rsidTr="30964D0C">
              <w:trPr>
                <w:trHeight w:val="253"/>
                <w:jc w:val="center"/>
              </w:trPr>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573A1" w14:textId="77777777" w:rsidR="00386422" w:rsidRPr="00386422" w:rsidRDefault="00386422" w:rsidP="00386422">
                  <w:pPr>
                    <w:spacing w:after="0" w:line="240" w:lineRule="auto"/>
                    <w:rPr>
                      <w:rFonts w:ascii="Aptos Narrow" w:eastAsia="Times New Roman" w:hAnsi="Aptos Narrow" w:cs="Times New Roman"/>
                      <w:b/>
                      <w:bCs/>
                      <w:color w:val="000000"/>
                      <w:kern w:val="0"/>
                      <w:sz w:val="16"/>
                      <w:szCs w:val="16"/>
                      <w:lang w:eastAsia="fr-FR"/>
                      <w14:ligatures w14:val="none"/>
                    </w:rPr>
                  </w:pPr>
                  <w:proofErr w:type="spellStart"/>
                  <w:r w:rsidRPr="00386422">
                    <w:rPr>
                      <w:rFonts w:ascii="Aptos Narrow" w:eastAsia="Times New Roman" w:hAnsi="Aptos Narrow" w:cs="Times New Roman"/>
                      <w:b/>
                      <w:bCs/>
                      <w:color w:val="000000"/>
                      <w:kern w:val="0"/>
                      <w:sz w:val="16"/>
                      <w:szCs w:val="16"/>
                      <w:lang w:eastAsia="fr-FR"/>
                      <w14:ligatures w14:val="none"/>
                    </w:rPr>
                    <w:t>Eligibility</w:t>
                  </w:r>
                  <w:proofErr w:type="spellEnd"/>
                  <w:r w:rsidRPr="00386422">
                    <w:rPr>
                      <w:rFonts w:ascii="Aptos Narrow" w:eastAsia="Times New Roman" w:hAnsi="Aptos Narrow" w:cs="Times New Roman"/>
                      <w:b/>
                      <w:bCs/>
                      <w:color w:val="000000"/>
                      <w:kern w:val="0"/>
                      <w:sz w:val="16"/>
                      <w:szCs w:val="16"/>
                      <w:lang w:eastAsia="fr-FR"/>
                      <w14:ligatures w14:val="none"/>
                    </w:rPr>
                    <w:t xml:space="preserve"> to LCR</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0821D2B7" w14:textId="77777777" w:rsidR="00386422" w:rsidRPr="00386422" w:rsidRDefault="00386422" w:rsidP="00386422">
                  <w:pPr>
                    <w:spacing w:after="0" w:line="240" w:lineRule="auto"/>
                    <w:rPr>
                      <w:rFonts w:ascii="Aptos Narrow" w:eastAsia="Times New Roman" w:hAnsi="Aptos Narrow" w:cs="Times New Roman"/>
                      <w:b/>
                      <w:bCs/>
                      <w:color w:val="000000"/>
                      <w:kern w:val="0"/>
                      <w:sz w:val="16"/>
                      <w:szCs w:val="16"/>
                      <w:lang w:eastAsia="fr-FR"/>
                      <w14:ligatures w14:val="none"/>
                    </w:rPr>
                  </w:pPr>
                  <w:r w:rsidRPr="00386422">
                    <w:rPr>
                      <w:rFonts w:ascii="Aptos Narrow" w:eastAsia="Times New Roman" w:hAnsi="Aptos Narrow" w:cs="Times New Roman"/>
                      <w:b/>
                      <w:bCs/>
                      <w:color w:val="000000"/>
                      <w:kern w:val="0"/>
                      <w:sz w:val="16"/>
                      <w:szCs w:val="16"/>
                      <w:lang w:eastAsia="fr-FR"/>
                      <w14:ligatures w14:val="none"/>
                    </w:rPr>
                    <w:t> </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14:paraId="149D6743" w14:textId="77777777" w:rsidR="00386422" w:rsidRPr="00386422" w:rsidRDefault="00386422" w:rsidP="00386422">
                  <w:pPr>
                    <w:spacing w:after="0" w:line="240" w:lineRule="auto"/>
                    <w:jc w:val="center"/>
                    <w:rPr>
                      <w:rFonts w:ascii="Aptos Narrow" w:eastAsia="Times New Roman" w:hAnsi="Aptos Narrow" w:cs="Times New Roman"/>
                      <w:color w:val="000000"/>
                      <w:kern w:val="0"/>
                      <w:sz w:val="16"/>
                      <w:szCs w:val="16"/>
                      <w:lang w:eastAsia="fr-FR"/>
                      <w14:ligatures w14:val="none"/>
                    </w:rPr>
                  </w:pPr>
                  <w:proofErr w:type="spellStart"/>
                  <w:r w:rsidRPr="00386422">
                    <w:rPr>
                      <w:rFonts w:ascii="Aptos Narrow" w:eastAsia="Times New Roman" w:hAnsi="Aptos Narrow" w:cs="Times New Roman"/>
                      <w:color w:val="000000"/>
                      <w:kern w:val="0"/>
                      <w:sz w:val="16"/>
                      <w:szCs w:val="16"/>
                      <w:lang w:eastAsia="fr-FR"/>
                      <w14:ligatures w14:val="none"/>
                    </w:rPr>
                    <w:t>Current</w:t>
                  </w:r>
                  <w:proofErr w:type="spellEnd"/>
                </w:p>
              </w:tc>
              <w:tc>
                <w:tcPr>
                  <w:tcW w:w="1159" w:type="dxa"/>
                  <w:tcBorders>
                    <w:top w:val="single" w:sz="4" w:space="0" w:color="auto"/>
                    <w:left w:val="nil"/>
                    <w:bottom w:val="single" w:sz="4" w:space="0" w:color="auto"/>
                    <w:right w:val="single" w:sz="4" w:space="0" w:color="auto"/>
                  </w:tcBorders>
                  <w:shd w:val="clear" w:color="auto" w:fill="auto"/>
                  <w:noWrap/>
                  <w:vAlign w:val="center"/>
                  <w:hideMark/>
                </w:tcPr>
                <w:p w14:paraId="758F3254" w14:textId="77777777" w:rsidR="00386422" w:rsidRPr="00386422" w:rsidRDefault="00386422" w:rsidP="00386422">
                  <w:pPr>
                    <w:spacing w:after="0" w:line="240" w:lineRule="auto"/>
                    <w:jc w:val="center"/>
                    <w:rPr>
                      <w:rFonts w:ascii="Aptos Narrow" w:eastAsia="Times New Roman" w:hAnsi="Aptos Narrow" w:cs="Times New Roman"/>
                      <w:color w:val="000000"/>
                      <w:kern w:val="0"/>
                      <w:sz w:val="16"/>
                      <w:szCs w:val="16"/>
                      <w:lang w:eastAsia="fr-FR"/>
                      <w14:ligatures w14:val="none"/>
                    </w:rPr>
                  </w:pPr>
                  <w:r w:rsidRPr="00386422">
                    <w:rPr>
                      <w:rFonts w:ascii="Aptos Narrow" w:eastAsia="Times New Roman" w:hAnsi="Aptos Narrow" w:cs="Times New Roman"/>
                      <w:color w:val="000000"/>
                      <w:kern w:val="0"/>
                      <w:sz w:val="16"/>
                      <w:szCs w:val="16"/>
                      <w:lang w:eastAsia="fr-FR"/>
                      <w14:ligatures w14:val="none"/>
                    </w:rPr>
                    <w:t>Proposition</w:t>
                  </w:r>
                </w:p>
              </w:tc>
            </w:tr>
            <w:tr w:rsidR="00386422" w:rsidRPr="00386422" w14:paraId="4E78FFA4" w14:textId="77777777" w:rsidTr="00223249">
              <w:trPr>
                <w:trHeight w:val="253"/>
                <w:jc w:val="center"/>
              </w:trPr>
              <w:tc>
                <w:tcPr>
                  <w:tcW w:w="1330" w:type="dxa"/>
                  <w:vMerge w:val="restart"/>
                  <w:tcBorders>
                    <w:top w:val="single" w:sz="4" w:space="0" w:color="auto"/>
                    <w:left w:val="single" w:sz="4" w:space="0" w:color="auto"/>
                    <w:right w:val="single" w:sz="4" w:space="0" w:color="auto"/>
                  </w:tcBorders>
                  <w:shd w:val="clear" w:color="auto" w:fill="auto"/>
                  <w:vAlign w:val="bottom"/>
                  <w:hideMark/>
                </w:tcPr>
                <w:p w14:paraId="54909895" w14:textId="77777777" w:rsidR="00386422" w:rsidRPr="00386422" w:rsidRDefault="298E3474" w:rsidP="30964D0C">
                  <w:pPr>
                    <w:spacing w:after="0" w:line="240" w:lineRule="auto"/>
                    <w:rPr>
                      <w:rFonts w:ascii="Aptos Narrow" w:eastAsia="Times New Roman" w:hAnsi="Aptos Narrow" w:cs="Times New Roman"/>
                      <w:color w:val="000000" w:themeColor="text1"/>
                      <w:sz w:val="16"/>
                      <w:szCs w:val="16"/>
                      <w:lang w:eastAsia="fr-FR"/>
                    </w:rPr>
                  </w:pPr>
                  <w:r w:rsidRPr="00386422">
                    <w:rPr>
                      <w:rFonts w:ascii="Aptos Narrow" w:eastAsia="Times New Roman" w:hAnsi="Aptos Narrow" w:cs="Times New Roman"/>
                      <w:color w:val="000000"/>
                      <w:kern w:val="0"/>
                      <w:sz w:val="16"/>
                      <w:szCs w:val="16"/>
                      <w:lang w:eastAsia="fr-FR"/>
                      <w14:ligatures w14:val="none"/>
                    </w:rPr>
                    <w:t>Senior Tranches</w:t>
                  </w:r>
                </w:p>
                <w:p w14:paraId="123B6E2A" w14:textId="44287EEB" w:rsidR="00386422" w:rsidRPr="00386422" w:rsidRDefault="00386422" w:rsidP="00386422">
                  <w:pPr>
                    <w:spacing w:after="0" w:line="240" w:lineRule="auto"/>
                    <w:rPr>
                      <w:rFonts w:ascii="Aptos Narrow" w:eastAsia="Times New Roman" w:hAnsi="Aptos Narrow" w:cs="Times New Roman"/>
                      <w:color w:val="000000"/>
                      <w:kern w:val="0"/>
                      <w:sz w:val="16"/>
                      <w:szCs w:val="16"/>
                      <w:lang w:eastAsia="fr-FR"/>
                      <w14:ligatures w14:val="none"/>
                    </w:rPr>
                  </w:pPr>
                </w:p>
              </w:tc>
              <w:tc>
                <w:tcPr>
                  <w:tcW w:w="970" w:type="dxa"/>
                  <w:tcBorders>
                    <w:top w:val="single" w:sz="4" w:space="0" w:color="auto"/>
                    <w:left w:val="nil"/>
                    <w:right w:val="single" w:sz="4" w:space="0" w:color="auto"/>
                  </w:tcBorders>
                  <w:shd w:val="clear" w:color="auto" w:fill="auto"/>
                  <w:noWrap/>
                  <w:vAlign w:val="center"/>
                  <w:hideMark/>
                </w:tcPr>
                <w:p w14:paraId="0CFDF94F" w14:textId="77777777" w:rsidR="00386422" w:rsidRPr="00386422" w:rsidRDefault="00386422" w:rsidP="00386422">
                  <w:pPr>
                    <w:spacing w:after="0" w:line="240" w:lineRule="auto"/>
                    <w:rPr>
                      <w:rFonts w:ascii="Aptos Narrow" w:eastAsia="Times New Roman" w:hAnsi="Aptos Narrow" w:cs="Times New Roman"/>
                      <w:color w:val="000000"/>
                      <w:kern w:val="0"/>
                      <w:sz w:val="16"/>
                      <w:szCs w:val="16"/>
                      <w:lang w:eastAsia="fr-FR"/>
                      <w14:ligatures w14:val="none"/>
                    </w:rPr>
                  </w:pPr>
                  <w:r w:rsidRPr="00386422">
                    <w:rPr>
                      <w:rFonts w:ascii="Aptos Narrow" w:eastAsia="Times New Roman" w:hAnsi="Aptos Narrow" w:cs="Times New Roman"/>
                      <w:color w:val="000000"/>
                      <w:kern w:val="0"/>
                      <w:sz w:val="16"/>
                      <w:szCs w:val="16"/>
                      <w:lang w:eastAsia="fr-FR"/>
                      <w14:ligatures w14:val="none"/>
                    </w:rPr>
                    <w:t>STS</w:t>
                  </w:r>
                </w:p>
              </w:tc>
              <w:tc>
                <w:tcPr>
                  <w:tcW w:w="1053" w:type="dxa"/>
                  <w:tcBorders>
                    <w:top w:val="nil"/>
                    <w:left w:val="nil"/>
                    <w:bottom w:val="single" w:sz="4" w:space="0" w:color="auto"/>
                    <w:right w:val="single" w:sz="4" w:space="0" w:color="auto"/>
                  </w:tcBorders>
                  <w:shd w:val="clear" w:color="auto" w:fill="auto"/>
                  <w:noWrap/>
                  <w:vAlign w:val="center"/>
                  <w:hideMark/>
                </w:tcPr>
                <w:p w14:paraId="0651FA15" w14:textId="77777777" w:rsidR="00386422" w:rsidRPr="00386422" w:rsidRDefault="00386422" w:rsidP="00386422">
                  <w:pPr>
                    <w:spacing w:after="0" w:line="240" w:lineRule="auto"/>
                    <w:jc w:val="center"/>
                    <w:rPr>
                      <w:rFonts w:ascii="Courier New" w:eastAsia="Times New Roman" w:hAnsi="Courier New" w:cs="Courier New"/>
                      <w:color w:val="000000"/>
                      <w:kern w:val="0"/>
                      <w:sz w:val="16"/>
                      <w:szCs w:val="16"/>
                      <w:lang w:eastAsia="fr-FR"/>
                      <w14:ligatures w14:val="none"/>
                    </w:rPr>
                  </w:pPr>
                  <w:r w:rsidRPr="00386422">
                    <w:rPr>
                      <w:rFonts w:ascii="Courier New" w:eastAsia="Times New Roman" w:hAnsi="Courier New" w:cs="Courier New"/>
                      <w:color w:val="000000"/>
                      <w:kern w:val="0"/>
                      <w:sz w:val="16"/>
                      <w:szCs w:val="16"/>
                      <w:lang w:eastAsia="fr-FR"/>
                      <w14:ligatures w14:val="none"/>
                    </w:rPr>
                    <w:t>L2B</w:t>
                  </w:r>
                </w:p>
              </w:tc>
              <w:tc>
                <w:tcPr>
                  <w:tcW w:w="1159" w:type="dxa"/>
                  <w:tcBorders>
                    <w:top w:val="nil"/>
                    <w:left w:val="nil"/>
                    <w:bottom w:val="single" w:sz="4" w:space="0" w:color="auto"/>
                    <w:right w:val="single" w:sz="4" w:space="0" w:color="auto"/>
                  </w:tcBorders>
                  <w:shd w:val="clear" w:color="auto" w:fill="auto"/>
                  <w:noWrap/>
                  <w:vAlign w:val="center"/>
                  <w:hideMark/>
                </w:tcPr>
                <w:p w14:paraId="11F3BBD1" w14:textId="77777777" w:rsidR="00386422" w:rsidRPr="00386422" w:rsidRDefault="00386422" w:rsidP="00386422">
                  <w:pPr>
                    <w:spacing w:after="0" w:line="240" w:lineRule="auto"/>
                    <w:jc w:val="center"/>
                    <w:rPr>
                      <w:rFonts w:ascii="Aptos" w:eastAsia="Times New Roman" w:hAnsi="Aptos" w:cs="Times New Roman"/>
                      <w:b/>
                      <w:bCs/>
                      <w:color w:val="000000"/>
                      <w:kern w:val="0"/>
                      <w:sz w:val="16"/>
                      <w:szCs w:val="16"/>
                      <w:lang w:eastAsia="fr-FR"/>
                      <w14:ligatures w14:val="none"/>
                    </w:rPr>
                  </w:pPr>
                  <w:r w:rsidRPr="00386422">
                    <w:rPr>
                      <w:rFonts w:ascii="Aptos" w:eastAsia="Times New Roman" w:hAnsi="Aptos" w:cs="Times New Roman"/>
                      <w:b/>
                      <w:bCs/>
                      <w:color w:val="000000"/>
                      <w:kern w:val="0"/>
                      <w:sz w:val="16"/>
                      <w:szCs w:val="16"/>
                      <w:lang w:eastAsia="fr-FR"/>
                      <w14:ligatures w14:val="none"/>
                    </w:rPr>
                    <w:t>L2A</w:t>
                  </w:r>
                </w:p>
              </w:tc>
            </w:tr>
            <w:tr w:rsidR="00386422" w:rsidRPr="00386422" w14:paraId="07BF1054" w14:textId="77777777" w:rsidTr="00223249">
              <w:trPr>
                <w:trHeight w:val="253"/>
                <w:jc w:val="center"/>
              </w:trPr>
              <w:tc>
                <w:tcPr>
                  <w:tcW w:w="1330" w:type="dxa"/>
                  <w:vMerge/>
                  <w:vAlign w:val="center"/>
                  <w:hideMark/>
                </w:tcPr>
                <w:p w14:paraId="12F411B2" w14:textId="77777777" w:rsidR="00386422" w:rsidRPr="00386422" w:rsidRDefault="00386422" w:rsidP="00386422">
                  <w:pPr>
                    <w:spacing w:after="0" w:line="240" w:lineRule="auto"/>
                    <w:rPr>
                      <w:rFonts w:ascii="Aptos Narrow" w:eastAsia="Times New Roman" w:hAnsi="Aptos Narrow" w:cs="Times New Roman"/>
                      <w:color w:val="000000"/>
                      <w:kern w:val="0"/>
                      <w:sz w:val="16"/>
                      <w:szCs w:val="16"/>
                      <w:lang w:eastAsia="fr-FR"/>
                      <w14:ligatures w14:val="none"/>
                    </w:rPr>
                  </w:pPr>
                </w:p>
              </w:tc>
              <w:tc>
                <w:tcPr>
                  <w:tcW w:w="970" w:type="dxa"/>
                  <w:tcBorders>
                    <w:left w:val="nil"/>
                    <w:bottom w:val="single" w:sz="4" w:space="0" w:color="auto"/>
                    <w:right w:val="single" w:sz="4" w:space="0" w:color="auto"/>
                  </w:tcBorders>
                  <w:shd w:val="clear" w:color="auto" w:fill="auto"/>
                  <w:noWrap/>
                  <w:vAlign w:val="center"/>
                  <w:hideMark/>
                </w:tcPr>
                <w:p w14:paraId="38578858" w14:textId="77777777" w:rsidR="00386422" w:rsidRPr="00386422" w:rsidRDefault="00386422" w:rsidP="00386422">
                  <w:pPr>
                    <w:spacing w:after="0" w:line="240" w:lineRule="auto"/>
                    <w:rPr>
                      <w:rFonts w:ascii="Aptos Narrow" w:eastAsia="Times New Roman" w:hAnsi="Aptos Narrow" w:cs="Times New Roman"/>
                      <w:color w:val="000000"/>
                      <w:kern w:val="0"/>
                      <w:sz w:val="16"/>
                      <w:szCs w:val="16"/>
                      <w:lang w:eastAsia="fr-FR"/>
                      <w14:ligatures w14:val="none"/>
                    </w:rPr>
                  </w:pPr>
                  <w:proofErr w:type="gramStart"/>
                  <w:r w:rsidRPr="00386422">
                    <w:rPr>
                      <w:rFonts w:ascii="Aptos Narrow" w:eastAsia="Times New Roman" w:hAnsi="Aptos Narrow" w:cs="Times New Roman"/>
                      <w:color w:val="000000"/>
                      <w:kern w:val="0"/>
                      <w:sz w:val="16"/>
                      <w:szCs w:val="16"/>
                      <w:lang w:eastAsia="fr-FR"/>
                      <w14:ligatures w14:val="none"/>
                    </w:rPr>
                    <w:t>non</w:t>
                  </w:r>
                  <w:proofErr w:type="gramEnd"/>
                  <w:r w:rsidRPr="00386422">
                    <w:rPr>
                      <w:rFonts w:ascii="Aptos Narrow" w:eastAsia="Times New Roman" w:hAnsi="Aptos Narrow" w:cs="Times New Roman"/>
                      <w:color w:val="000000"/>
                      <w:kern w:val="0"/>
                      <w:sz w:val="16"/>
                      <w:szCs w:val="16"/>
                      <w:lang w:eastAsia="fr-FR"/>
                      <w14:ligatures w14:val="none"/>
                    </w:rPr>
                    <w:t>-STS</w:t>
                  </w:r>
                </w:p>
              </w:tc>
              <w:tc>
                <w:tcPr>
                  <w:tcW w:w="1053" w:type="dxa"/>
                  <w:tcBorders>
                    <w:top w:val="nil"/>
                    <w:left w:val="nil"/>
                    <w:bottom w:val="single" w:sz="4" w:space="0" w:color="auto"/>
                    <w:right w:val="single" w:sz="4" w:space="0" w:color="auto"/>
                  </w:tcBorders>
                  <w:shd w:val="clear" w:color="auto" w:fill="auto"/>
                  <w:noWrap/>
                  <w:vAlign w:val="center"/>
                  <w:hideMark/>
                </w:tcPr>
                <w:p w14:paraId="11167808" w14:textId="77777777" w:rsidR="00386422" w:rsidRPr="00386422" w:rsidRDefault="00386422" w:rsidP="00386422">
                  <w:pPr>
                    <w:spacing w:after="0" w:line="240" w:lineRule="auto"/>
                    <w:jc w:val="center"/>
                    <w:rPr>
                      <w:rFonts w:ascii="Courier New" w:eastAsia="Times New Roman" w:hAnsi="Courier New" w:cs="Courier New"/>
                      <w:color w:val="000000"/>
                      <w:kern w:val="0"/>
                      <w:sz w:val="16"/>
                      <w:szCs w:val="16"/>
                      <w:lang w:eastAsia="fr-FR"/>
                      <w14:ligatures w14:val="none"/>
                    </w:rPr>
                  </w:pPr>
                  <w:proofErr w:type="gramStart"/>
                  <w:r w:rsidRPr="00386422">
                    <w:rPr>
                      <w:rFonts w:ascii="Courier New" w:eastAsia="Times New Roman" w:hAnsi="Courier New" w:cs="Courier New"/>
                      <w:color w:val="000000"/>
                      <w:kern w:val="0"/>
                      <w:sz w:val="16"/>
                      <w:szCs w:val="16"/>
                      <w:lang w:eastAsia="fr-FR"/>
                      <w14:ligatures w14:val="none"/>
                    </w:rPr>
                    <w:t>n</w:t>
                  </w:r>
                  <w:proofErr w:type="gramEnd"/>
                  <w:r w:rsidRPr="00386422">
                    <w:rPr>
                      <w:rFonts w:ascii="Courier New" w:eastAsia="Times New Roman" w:hAnsi="Courier New" w:cs="Courier New"/>
                      <w:color w:val="000000"/>
                      <w:kern w:val="0"/>
                      <w:sz w:val="16"/>
                      <w:szCs w:val="16"/>
                      <w:lang w:eastAsia="fr-FR"/>
                      <w14:ligatures w14:val="none"/>
                    </w:rPr>
                    <w:t>/a</w:t>
                  </w:r>
                </w:p>
              </w:tc>
              <w:tc>
                <w:tcPr>
                  <w:tcW w:w="1159" w:type="dxa"/>
                  <w:tcBorders>
                    <w:top w:val="nil"/>
                    <w:left w:val="nil"/>
                    <w:bottom w:val="single" w:sz="4" w:space="0" w:color="auto"/>
                    <w:right w:val="single" w:sz="4" w:space="0" w:color="auto"/>
                  </w:tcBorders>
                  <w:shd w:val="clear" w:color="auto" w:fill="auto"/>
                  <w:noWrap/>
                  <w:vAlign w:val="center"/>
                  <w:hideMark/>
                </w:tcPr>
                <w:p w14:paraId="26077924" w14:textId="77777777" w:rsidR="00386422" w:rsidRPr="00386422" w:rsidRDefault="00386422" w:rsidP="00386422">
                  <w:pPr>
                    <w:spacing w:after="0" w:line="240" w:lineRule="auto"/>
                    <w:jc w:val="center"/>
                    <w:rPr>
                      <w:rFonts w:ascii="Aptos" w:eastAsia="Times New Roman" w:hAnsi="Aptos" w:cs="Times New Roman"/>
                      <w:b/>
                      <w:bCs/>
                      <w:color w:val="000000"/>
                      <w:kern w:val="0"/>
                      <w:sz w:val="16"/>
                      <w:szCs w:val="16"/>
                      <w:lang w:eastAsia="fr-FR"/>
                      <w14:ligatures w14:val="none"/>
                    </w:rPr>
                  </w:pPr>
                  <w:r w:rsidRPr="00386422">
                    <w:rPr>
                      <w:rFonts w:ascii="Aptos" w:eastAsia="Times New Roman" w:hAnsi="Aptos" w:cs="Times New Roman"/>
                      <w:b/>
                      <w:bCs/>
                      <w:color w:val="000000"/>
                      <w:kern w:val="0"/>
                      <w:sz w:val="16"/>
                      <w:szCs w:val="16"/>
                      <w:lang w:eastAsia="fr-FR"/>
                      <w14:ligatures w14:val="none"/>
                    </w:rPr>
                    <w:t>L2B</w:t>
                  </w:r>
                </w:p>
              </w:tc>
            </w:tr>
          </w:tbl>
          <w:p w14:paraId="7108164B" w14:textId="77777777" w:rsidR="00386422" w:rsidRPr="00973525" w:rsidRDefault="00386422" w:rsidP="00C21071">
            <w:pPr>
              <w:rPr>
                <w:sz w:val="18"/>
                <w:szCs w:val="18"/>
                <w:lang w:val="en-US"/>
              </w:rPr>
            </w:pPr>
          </w:p>
          <w:p w14:paraId="055FACDD" w14:textId="074F98B1" w:rsidR="00C21071" w:rsidRPr="00973525" w:rsidRDefault="00C21071" w:rsidP="00C21071">
            <w:pPr>
              <w:rPr>
                <w:sz w:val="18"/>
                <w:szCs w:val="18"/>
                <w:lang w:val="en-US"/>
              </w:rPr>
            </w:pPr>
            <w:r w:rsidRPr="00973525">
              <w:rPr>
                <w:sz w:val="18"/>
                <w:szCs w:val="18"/>
                <w:lang w:val="en-US"/>
              </w:rPr>
              <w:t xml:space="preserve">Further adjustment could extend to the scope of eligibility to any kind of ABS and remove the WAL limitation. </w:t>
            </w:r>
          </w:p>
          <w:p w14:paraId="427749CA" w14:textId="77777777" w:rsidR="00C21071" w:rsidRPr="00973525" w:rsidRDefault="00C21071" w:rsidP="00C21071">
            <w:pPr>
              <w:rPr>
                <w:sz w:val="18"/>
                <w:szCs w:val="18"/>
                <w:lang w:val="en-US"/>
              </w:rPr>
            </w:pPr>
          </w:p>
          <w:p w14:paraId="7556AA5D" w14:textId="77777777" w:rsidR="00C21071" w:rsidRPr="00973525" w:rsidRDefault="00C21071" w:rsidP="00C21071">
            <w:pPr>
              <w:rPr>
                <w:sz w:val="18"/>
                <w:szCs w:val="18"/>
                <w:lang w:val="en-US"/>
              </w:rPr>
            </w:pPr>
            <w:r w:rsidRPr="00973525">
              <w:rPr>
                <w:sz w:val="18"/>
                <w:szCs w:val="18"/>
                <w:lang w:val="en-US"/>
              </w:rPr>
              <w:t xml:space="preserve">As a matter of fact, we found it difficult to justify a current different treatment for different fixed income products, since we look here at very well rated seniors and there is no guaranty that one sector will always be more liquid than another sector. Buffer diversification is also the best protection against sudden change in liquidity affecting one sector, which is only possible if the scope of products is wide. </w:t>
            </w:r>
          </w:p>
          <w:p w14:paraId="18D2A5C7" w14:textId="56112093" w:rsidR="00C21071" w:rsidRPr="00973525" w:rsidRDefault="00C21071" w:rsidP="00C21071">
            <w:pPr>
              <w:rPr>
                <w:sz w:val="18"/>
                <w:szCs w:val="18"/>
                <w:lang w:val="en-US"/>
              </w:rPr>
            </w:pPr>
            <w:r w:rsidRPr="00973525">
              <w:rPr>
                <w:sz w:val="18"/>
                <w:szCs w:val="18"/>
                <w:lang w:val="en-US"/>
              </w:rPr>
              <w:t>This is also an underlying finding of the study from 25.02.2022 Risk Control research note “</w:t>
            </w:r>
            <w:r>
              <w:fldChar w:fldCharType="begin"/>
            </w:r>
            <w:r w:rsidRPr="0000602A">
              <w:rPr>
                <w:lang w:val="en-GB"/>
              </w:rPr>
              <w:instrText>HYPERLINK "https://www.riskcontrollimited.com/insights/comparing-cb-abs-and-corporate-bond-liquidity/"</w:instrText>
            </w:r>
            <w:r>
              <w:fldChar w:fldCharType="separate"/>
            </w:r>
            <w:r w:rsidRPr="00973525">
              <w:rPr>
                <w:rStyle w:val="Lienhypertexte"/>
                <w:sz w:val="18"/>
                <w:szCs w:val="18"/>
                <w:lang w:val="en-US"/>
              </w:rPr>
              <w:t>Comparing ABS and Covered Bond</w:t>
            </w:r>
            <w:r>
              <w:rPr>
                <w:rStyle w:val="Lienhypertexte"/>
                <w:sz w:val="18"/>
                <w:szCs w:val="18"/>
                <w:lang w:val="en-US"/>
              </w:rPr>
              <w:fldChar w:fldCharType="end"/>
            </w:r>
            <w:r w:rsidRPr="00973525">
              <w:rPr>
                <w:sz w:val="18"/>
                <w:szCs w:val="18"/>
                <w:lang w:val="en-US"/>
              </w:rPr>
              <w:t xml:space="preserve"> Liquidity”, whose key findings are that while Covered Bonds were generally more liquid in the early 2010s, since 2016, senior ABS have been consistently and </w:t>
            </w:r>
            <w:r w:rsidR="00562E85">
              <w:rPr>
                <w:sz w:val="18"/>
                <w:szCs w:val="18"/>
                <w:lang w:val="en-US"/>
              </w:rPr>
              <w:t xml:space="preserve">equally </w:t>
            </w:r>
            <w:r w:rsidRPr="00973525">
              <w:rPr>
                <w:sz w:val="18"/>
                <w:szCs w:val="18"/>
                <w:lang w:val="en-US"/>
              </w:rPr>
              <w:t xml:space="preserve"> liquid </w:t>
            </w:r>
            <w:r w:rsidR="00C5286D">
              <w:rPr>
                <w:sz w:val="18"/>
                <w:szCs w:val="18"/>
                <w:lang w:val="en-US"/>
              </w:rPr>
              <w:t>during</w:t>
            </w:r>
            <w:r w:rsidRPr="00973525">
              <w:rPr>
                <w:sz w:val="18"/>
                <w:szCs w:val="18"/>
                <w:lang w:val="en-US"/>
              </w:rPr>
              <w:t xml:space="preserve"> the 2020 Covid-19 crisis.</w:t>
            </w:r>
          </w:p>
          <w:p w14:paraId="642E7DA9" w14:textId="77777777" w:rsidR="00C21071" w:rsidRPr="00973525" w:rsidRDefault="00C21071" w:rsidP="00C21071">
            <w:pPr>
              <w:rPr>
                <w:sz w:val="18"/>
                <w:szCs w:val="18"/>
                <w:lang w:val="en-US"/>
              </w:rPr>
            </w:pPr>
          </w:p>
          <w:p w14:paraId="6697A957" w14:textId="77777777" w:rsidR="00C21071" w:rsidRPr="00973525" w:rsidRDefault="00C21071" w:rsidP="00C21071">
            <w:pPr>
              <w:rPr>
                <w:sz w:val="18"/>
                <w:szCs w:val="18"/>
                <w:lang w:val="en-US"/>
              </w:rPr>
            </w:pPr>
            <w:r w:rsidRPr="00973525">
              <w:rPr>
                <w:sz w:val="18"/>
                <w:szCs w:val="18"/>
                <w:lang w:val="en-US"/>
              </w:rPr>
              <w:t>Concerning the WAL limitation, we understand it as a protection against a change in market value due to an increase in the interest rates. However this is completely irrelevant for bonds with variable rates, which is very often the case for ABS. Hence, this limitation is not adequate.</w:t>
            </w:r>
          </w:p>
          <w:p w14:paraId="63484C7D" w14:textId="77777777" w:rsidR="00C21071" w:rsidRPr="00973525" w:rsidRDefault="00C21071" w:rsidP="00C21071">
            <w:pPr>
              <w:rPr>
                <w:sz w:val="18"/>
                <w:szCs w:val="18"/>
                <w:lang w:val="en-US"/>
              </w:rPr>
            </w:pPr>
          </w:p>
          <w:p w14:paraId="67AB481A" w14:textId="77777777" w:rsidR="00C21071" w:rsidRPr="00973525" w:rsidRDefault="00C21071" w:rsidP="00C21071">
            <w:pPr>
              <w:rPr>
                <w:sz w:val="18"/>
                <w:szCs w:val="18"/>
                <w:lang w:val="en-US"/>
              </w:rPr>
            </w:pPr>
            <w:r w:rsidRPr="00973525">
              <w:rPr>
                <w:b/>
                <w:bCs/>
                <w:sz w:val="18"/>
                <w:szCs w:val="18"/>
                <w:lang w:val="en-US"/>
              </w:rPr>
              <w:t>Haircuts</w:t>
            </w:r>
            <w:r w:rsidRPr="00973525">
              <w:rPr>
                <w:sz w:val="18"/>
                <w:szCs w:val="18"/>
                <w:lang w:val="en-US"/>
              </w:rPr>
              <w:t xml:space="preserve"> should be adapted as well (currently 15% for level 2A and 25%-35% depending on collateral for level 2B), in accordance with current levels by bucket.</w:t>
            </w:r>
          </w:p>
          <w:p w14:paraId="30F9EE7B" w14:textId="77777777" w:rsidR="00C21071" w:rsidRPr="00973525" w:rsidRDefault="00C21071" w:rsidP="00C21071">
            <w:pPr>
              <w:rPr>
                <w:sz w:val="18"/>
                <w:szCs w:val="18"/>
                <w:lang w:val="en-US"/>
              </w:rPr>
            </w:pPr>
          </w:p>
          <w:p w14:paraId="7F3EA0C6" w14:textId="77777777" w:rsidR="00C21071" w:rsidRPr="00973525" w:rsidRDefault="00C21071" w:rsidP="00C21071">
            <w:pPr>
              <w:rPr>
                <w:sz w:val="18"/>
                <w:szCs w:val="18"/>
                <w:lang w:val="en-US"/>
              </w:rPr>
            </w:pPr>
            <w:r w:rsidRPr="00973525">
              <w:rPr>
                <w:sz w:val="18"/>
                <w:szCs w:val="18"/>
                <w:lang w:val="en-US"/>
              </w:rPr>
              <w:t>Using a recent AFME survey (4 June 2024) on bank treasury function’s investment, 80% of responding banks’ treasuries invest in securitisation of which 80% for HQLA purposes. The main limitations mentioned with respect to securitisation are the limited market size, the LCR haircuts and the LCR eligibility criteria. Of course, considerations related to the risk of security (in RWA term but also linked to the interest rate risk) and its profitability come just after.</w:t>
            </w:r>
          </w:p>
          <w:p w14:paraId="20AABFB2" w14:textId="77777777" w:rsidR="00C21071" w:rsidRPr="00973525" w:rsidRDefault="00C21071" w:rsidP="00C21071">
            <w:pPr>
              <w:rPr>
                <w:sz w:val="18"/>
                <w:szCs w:val="18"/>
                <w:lang w:val="en-US"/>
              </w:rPr>
            </w:pPr>
            <w:r w:rsidRPr="00973525">
              <w:rPr>
                <w:sz w:val="18"/>
                <w:szCs w:val="18"/>
                <w:lang w:val="en-US"/>
              </w:rPr>
              <w:t>In this survey around half of respondents expressed an interest in investing in ABS from non-eligible sectors, such as Buy to let RMBS and CLO and to a smaller extent CMBS. Therefore, a widening of the LCR buffer should contribute to an increase of the HQLA portfolio invested in ABS,</w:t>
            </w:r>
            <w:r w:rsidRPr="00973525">
              <w:rPr>
                <w:color w:val="FF0000"/>
                <w:sz w:val="18"/>
                <w:szCs w:val="18"/>
                <w:lang w:val="en-US"/>
              </w:rPr>
              <w:t xml:space="preserve"> </w:t>
            </w:r>
            <w:r w:rsidRPr="00973525">
              <w:rPr>
                <w:sz w:val="18"/>
                <w:szCs w:val="18"/>
                <w:lang w:val="en-US"/>
              </w:rPr>
              <w:t xml:space="preserve">since it will be a </w:t>
            </w:r>
            <w:proofErr w:type="gramStart"/>
            <w:r w:rsidRPr="00973525">
              <w:rPr>
                <w:sz w:val="18"/>
                <w:szCs w:val="18"/>
                <w:lang w:val="en-US"/>
              </w:rPr>
              <w:t>welcomed</w:t>
            </w:r>
            <w:proofErr w:type="gramEnd"/>
            <w:r w:rsidRPr="00973525">
              <w:rPr>
                <w:sz w:val="18"/>
                <w:szCs w:val="18"/>
                <w:lang w:val="en-US"/>
              </w:rPr>
              <w:t xml:space="preserve"> opportunity to diversify its liquidity risk. </w:t>
            </w:r>
          </w:p>
          <w:p w14:paraId="5188DB91" w14:textId="77777777" w:rsidR="00C21071" w:rsidRPr="00973525" w:rsidRDefault="00C21071" w:rsidP="00C21071">
            <w:pPr>
              <w:rPr>
                <w:sz w:val="18"/>
                <w:szCs w:val="18"/>
                <w:lang w:val="en-US"/>
              </w:rPr>
            </w:pPr>
          </w:p>
          <w:p w14:paraId="2BAE1C55" w14:textId="77777777" w:rsidR="00C21071" w:rsidRPr="00973525" w:rsidRDefault="00C21071" w:rsidP="00C21071">
            <w:pPr>
              <w:rPr>
                <w:sz w:val="18"/>
                <w:szCs w:val="18"/>
                <w:lang w:val="en-US"/>
              </w:rPr>
            </w:pPr>
          </w:p>
        </w:tc>
        <w:tc>
          <w:tcPr>
            <w:tcW w:w="236" w:type="dxa"/>
          </w:tcPr>
          <w:p w14:paraId="5181A4BF" w14:textId="74B5CF95" w:rsidR="00C21071" w:rsidRPr="0079353D" w:rsidRDefault="00C21071" w:rsidP="0079353D">
            <w:pPr>
              <w:ind w:firstLine="1917"/>
              <w:rPr>
                <w:sz w:val="16"/>
                <w:szCs w:val="16"/>
                <w:lang w:val="en-GB"/>
              </w:rPr>
            </w:pPr>
          </w:p>
        </w:tc>
      </w:tr>
      <w:tr w:rsidR="00C21071" w:rsidRPr="0000602A" w14:paraId="4C71F7AE" w14:textId="77777777" w:rsidTr="30964D0C">
        <w:trPr>
          <w:gridAfter w:val="1"/>
          <w:wAfter w:w="16" w:type="dxa"/>
        </w:trPr>
        <w:tc>
          <w:tcPr>
            <w:tcW w:w="2893" w:type="dxa"/>
          </w:tcPr>
          <w:p w14:paraId="6C9FDEDC" w14:textId="77777777" w:rsidR="00C21071" w:rsidRPr="00973525" w:rsidRDefault="00C21071" w:rsidP="00C21071">
            <w:pPr>
              <w:rPr>
                <w:sz w:val="20"/>
                <w:szCs w:val="20"/>
                <w:lang w:val="en-GB"/>
              </w:rPr>
            </w:pPr>
            <w:r w:rsidRPr="00973525">
              <w:rPr>
                <w:sz w:val="20"/>
                <w:szCs w:val="20"/>
                <w:u w:val="single"/>
                <w:lang w:val="en-GB"/>
              </w:rPr>
              <w:t>Question 9.44</w:t>
            </w:r>
            <w:r w:rsidRPr="00973525">
              <w:rPr>
                <w:sz w:val="20"/>
                <w:szCs w:val="20"/>
                <w:lang w:val="en-GB"/>
              </w:rPr>
              <w:t xml:space="preserve">. With a change in the CQSs, haircuts and other relevant eligibility conditions to the Level 2B liquidity buffer, by </w:t>
            </w:r>
            <w:r w:rsidRPr="00973525">
              <w:rPr>
                <w:b/>
                <w:bCs/>
                <w:sz w:val="20"/>
                <w:szCs w:val="20"/>
                <w:lang w:val="en-GB"/>
              </w:rPr>
              <w:t>how much</w:t>
            </w:r>
            <w:r w:rsidRPr="00973525">
              <w:rPr>
                <w:sz w:val="20"/>
                <w:szCs w:val="20"/>
                <w:lang w:val="en-GB"/>
              </w:rPr>
              <w:t xml:space="preserve"> would the </w:t>
            </w:r>
            <w:r w:rsidRPr="00973525">
              <w:rPr>
                <w:b/>
                <w:bCs/>
                <w:sz w:val="20"/>
                <w:szCs w:val="20"/>
                <w:lang w:val="en-GB"/>
              </w:rPr>
              <w:t>volume</w:t>
            </w:r>
            <w:r w:rsidRPr="00973525">
              <w:rPr>
                <w:sz w:val="20"/>
                <w:szCs w:val="20"/>
                <w:lang w:val="en-GB"/>
              </w:rPr>
              <w:t xml:space="preserve"> of securitisations that you </w:t>
            </w:r>
            <w:r w:rsidRPr="00973525">
              <w:rPr>
                <w:b/>
                <w:bCs/>
                <w:sz w:val="20"/>
                <w:szCs w:val="20"/>
                <w:lang w:val="en-GB"/>
              </w:rPr>
              <w:t>invest in</w:t>
            </w:r>
            <w:r w:rsidRPr="00973525">
              <w:rPr>
                <w:sz w:val="20"/>
                <w:szCs w:val="20"/>
                <w:lang w:val="en-GB"/>
              </w:rPr>
              <w:t>, change?</w:t>
            </w:r>
          </w:p>
          <w:p w14:paraId="7D0A38A9" w14:textId="77777777" w:rsidR="00C21071" w:rsidRPr="00973525" w:rsidRDefault="00C21071" w:rsidP="00C21071">
            <w:pPr>
              <w:rPr>
                <w:sz w:val="18"/>
                <w:szCs w:val="18"/>
                <w:lang w:val="en-GB"/>
              </w:rPr>
            </w:pPr>
          </w:p>
        </w:tc>
        <w:tc>
          <w:tcPr>
            <w:tcW w:w="7740" w:type="dxa"/>
          </w:tcPr>
          <w:p w14:paraId="4C358ED7" w14:textId="77777777" w:rsidR="00C21071" w:rsidRPr="00973525" w:rsidRDefault="00C21071" w:rsidP="00C21071">
            <w:pPr>
              <w:rPr>
                <w:sz w:val="18"/>
                <w:szCs w:val="18"/>
                <w:lang w:val="en-US"/>
              </w:rPr>
            </w:pPr>
            <w:r w:rsidRPr="00973525">
              <w:rPr>
                <w:sz w:val="18"/>
                <w:szCs w:val="18"/>
                <w:lang w:val="en-US"/>
              </w:rPr>
              <w:t>Looking at the size of the bucket Level 2B and 2A, moving from the level 2B to level 2A with the corresponding change in haircuts we propose, and based on the AFME survey on bank treasury functions (4 June 2024), it should have the potential to increase significantly the HQLA portfolio.</w:t>
            </w:r>
          </w:p>
          <w:p w14:paraId="3DB59DC1" w14:textId="77777777" w:rsidR="00C21071" w:rsidRPr="00973525" w:rsidRDefault="00C21071" w:rsidP="00C21071">
            <w:pPr>
              <w:rPr>
                <w:sz w:val="18"/>
                <w:szCs w:val="18"/>
                <w:lang w:val="en-US"/>
              </w:rPr>
            </w:pPr>
          </w:p>
          <w:p w14:paraId="7B71D22C" w14:textId="77777777" w:rsidR="00C21071" w:rsidRPr="00973525" w:rsidRDefault="00C21071" w:rsidP="00C21071">
            <w:pPr>
              <w:rPr>
                <w:sz w:val="18"/>
                <w:szCs w:val="18"/>
                <w:lang w:val="en-US"/>
              </w:rPr>
            </w:pPr>
            <w:r w:rsidRPr="00973525">
              <w:rPr>
                <w:sz w:val="18"/>
                <w:szCs w:val="18"/>
                <w:lang w:val="en-US"/>
              </w:rPr>
              <w:t xml:space="preserve">Obviously, it is not completely independent from the change in RWA in senior </w:t>
            </w:r>
            <w:proofErr w:type="gramStart"/>
            <w:r w:rsidRPr="00973525">
              <w:rPr>
                <w:sz w:val="18"/>
                <w:szCs w:val="18"/>
                <w:lang w:val="en-US"/>
              </w:rPr>
              <w:t>tranches</w:t>
            </w:r>
            <w:proofErr w:type="gramEnd"/>
            <w:r w:rsidRPr="00973525">
              <w:rPr>
                <w:sz w:val="18"/>
                <w:szCs w:val="18"/>
                <w:lang w:val="en-US"/>
              </w:rPr>
              <w:t xml:space="preserve"> we propose (see Q.9.23), due to its impact on profitability measures, and the side effects should not be underestimated:</w:t>
            </w:r>
          </w:p>
          <w:p w14:paraId="5898D2C0" w14:textId="0BF84E33" w:rsidR="00C21071" w:rsidRPr="00973525" w:rsidRDefault="00C21071" w:rsidP="00C21071">
            <w:pPr>
              <w:rPr>
                <w:sz w:val="18"/>
                <w:szCs w:val="18"/>
                <w:lang w:val="en-US"/>
              </w:rPr>
            </w:pPr>
            <w:r w:rsidRPr="00973525">
              <w:rPr>
                <w:sz w:val="18"/>
                <w:szCs w:val="18"/>
                <w:lang w:val="en-US"/>
              </w:rPr>
              <w:t xml:space="preserve">Those treasury portfolios will be able to fill the function of liquidity provider that is usually the role of central banks, which is core to bring other investors to the market. A second-round effect is thus highly likely with impacts that are difficult to estimate. It will also depend on the evolution of </w:t>
            </w:r>
            <w:r w:rsidR="000030CD" w:rsidRPr="00973525">
              <w:rPr>
                <w:sz w:val="18"/>
                <w:szCs w:val="18"/>
                <w:lang w:val="en-US"/>
              </w:rPr>
              <w:t>constraints</w:t>
            </w:r>
            <w:r w:rsidRPr="00973525">
              <w:rPr>
                <w:sz w:val="18"/>
                <w:szCs w:val="18"/>
                <w:lang w:val="en-US"/>
              </w:rPr>
              <w:t xml:space="preserve"> for those other investors, especially </w:t>
            </w:r>
            <w:r w:rsidR="00E167CB" w:rsidRPr="00973525">
              <w:rPr>
                <w:sz w:val="18"/>
                <w:szCs w:val="18"/>
                <w:lang w:val="en-US"/>
              </w:rPr>
              <w:t>insurers</w:t>
            </w:r>
            <w:r w:rsidRPr="00973525">
              <w:rPr>
                <w:sz w:val="18"/>
                <w:szCs w:val="18"/>
                <w:lang w:val="en-US"/>
              </w:rPr>
              <w:t xml:space="preserve"> with Solvency 2 of Asset Managers.</w:t>
            </w:r>
          </w:p>
          <w:p w14:paraId="79D9F7D2" w14:textId="77777777" w:rsidR="00C21071" w:rsidRPr="00973525" w:rsidRDefault="00C21071" w:rsidP="00C21071">
            <w:pPr>
              <w:rPr>
                <w:sz w:val="18"/>
                <w:szCs w:val="18"/>
                <w:lang w:val="en-US"/>
              </w:rPr>
            </w:pPr>
          </w:p>
          <w:p w14:paraId="3A053EF5" w14:textId="1A5DF846" w:rsidR="00C21071" w:rsidRDefault="00C21071" w:rsidP="00C21071">
            <w:pPr>
              <w:rPr>
                <w:sz w:val="18"/>
                <w:szCs w:val="18"/>
                <w:lang w:val="en-GB"/>
              </w:rPr>
            </w:pPr>
            <w:r w:rsidRPr="00973525">
              <w:rPr>
                <w:sz w:val="18"/>
                <w:szCs w:val="18"/>
                <w:lang w:val="en-GB"/>
              </w:rPr>
              <w:t xml:space="preserve">If we simply rely on the fact that securitisation volumes within </w:t>
            </w:r>
            <w:proofErr w:type="spellStart"/>
            <w:r w:rsidRPr="00973525">
              <w:rPr>
                <w:sz w:val="18"/>
                <w:szCs w:val="18"/>
                <w:lang w:val="en-GB"/>
              </w:rPr>
              <w:t>banks’s</w:t>
            </w:r>
            <w:proofErr w:type="spellEnd"/>
            <w:r w:rsidRPr="00973525">
              <w:rPr>
                <w:sz w:val="18"/>
                <w:szCs w:val="18"/>
                <w:lang w:val="en-GB"/>
              </w:rPr>
              <w:t xml:space="preserve"> buffer has decreased by a factor 3 (from 0,</w:t>
            </w:r>
            <w:r w:rsidR="00DB5DD7">
              <w:rPr>
                <w:sz w:val="18"/>
                <w:szCs w:val="18"/>
                <w:lang w:val="en-GB"/>
              </w:rPr>
              <w:t>7</w:t>
            </w:r>
            <w:r w:rsidRPr="00973525">
              <w:rPr>
                <w:sz w:val="18"/>
                <w:szCs w:val="18"/>
                <w:lang w:val="en-GB"/>
              </w:rPr>
              <w:t>% to 0,2%) following the implementation in 20</w:t>
            </w:r>
            <w:r w:rsidR="00E800DF">
              <w:rPr>
                <w:sz w:val="18"/>
                <w:szCs w:val="18"/>
                <w:lang w:val="en-GB"/>
              </w:rPr>
              <w:t>1</w:t>
            </w:r>
            <w:r w:rsidRPr="00973525">
              <w:rPr>
                <w:sz w:val="18"/>
                <w:szCs w:val="18"/>
                <w:lang w:val="en-GB"/>
              </w:rPr>
              <w:t xml:space="preserve">9 of </w:t>
            </w:r>
            <w:r w:rsidRPr="00DE47C7">
              <w:rPr>
                <w:b/>
                <w:bCs/>
                <w:sz w:val="18"/>
                <w:szCs w:val="18"/>
                <w:lang w:val="en-GB"/>
              </w:rPr>
              <w:t>2018/1620</w:t>
            </w:r>
            <w:r w:rsidRPr="00973525">
              <w:rPr>
                <w:sz w:val="18"/>
                <w:szCs w:val="18"/>
                <w:lang w:val="en-GB"/>
              </w:rPr>
              <w:t xml:space="preserve"> regulation (as shown in below </w:t>
            </w:r>
            <w:r w:rsidRPr="00973525">
              <w:rPr>
                <w:i/>
                <w:iCs/>
                <w:sz w:val="18"/>
                <w:szCs w:val="18"/>
                <w:lang w:val="en-GB"/>
              </w:rPr>
              <w:t xml:space="preserve">Figure 31: HQLA by asset classes Extracted from </w:t>
            </w:r>
            <w:r>
              <w:fldChar w:fldCharType="begin"/>
            </w:r>
            <w:r w:rsidRPr="0000602A">
              <w:rPr>
                <w:lang w:val="en-GB"/>
              </w:rPr>
              <w:instrText>HYPERLINK "https://www.eba.europa.eu/sites/default/files/document_library/Publications/Other%20publications/2022/Joint%20advice%20to%20the%20EU%20Commission%20on%20the%20review%20of%20the%20securitisation%20prudential%20framework/1045321/JC%202022%2066%20-%20JC%20Advice%20on%20the%20review%20of%20the%20securitisation%20prudential%20framework%20%20-%20Banking.pdf" \t "_blank"</w:instrText>
            </w:r>
            <w:r>
              <w:fldChar w:fldCharType="separate"/>
            </w:r>
            <w:r w:rsidRPr="00973525">
              <w:rPr>
                <w:rStyle w:val="Lienhypertexte"/>
                <w:sz w:val="18"/>
                <w:szCs w:val="18"/>
                <w:lang w:val="en-GB"/>
              </w:rPr>
              <w:t>JC/2022/66</w:t>
            </w:r>
            <w:r>
              <w:rPr>
                <w:rStyle w:val="Lienhypertexte"/>
                <w:sz w:val="18"/>
                <w:szCs w:val="18"/>
                <w:lang w:val="en-GB"/>
              </w:rPr>
              <w:fldChar w:fldCharType="end"/>
            </w:r>
            <w:r w:rsidRPr="00973525">
              <w:rPr>
                <w:sz w:val="18"/>
                <w:szCs w:val="18"/>
                <w:lang w:val="en-GB"/>
              </w:rPr>
              <w:t xml:space="preserve">) </w:t>
            </w:r>
            <w:r w:rsidRPr="00973525">
              <w:rPr>
                <w:i/>
                <w:iCs/>
                <w:sz w:val="18"/>
                <w:szCs w:val="18"/>
                <w:lang w:val="en-GB"/>
              </w:rPr>
              <w:t>page 88 –( JC Advice on the review of the securitisation prudential framework - Banking.pdf)</w:t>
            </w:r>
            <w:r w:rsidRPr="00973525">
              <w:rPr>
                <w:sz w:val="18"/>
                <w:szCs w:val="18"/>
                <w:lang w:val="en-GB"/>
              </w:rPr>
              <w:t>, we can expect a threefold increase of such holdings within their buffer.</w:t>
            </w:r>
          </w:p>
          <w:p w14:paraId="11FAA85F" w14:textId="77777777" w:rsidR="000030CD" w:rsidRPr="00973525" w:rsidRDefault="000030CD" w:rsidP="00C21071">
            <w:pPr>
              <w:rPr>
                <w:sz w:val="18"/>
                <w:szCs w:val="18"/>
                <w:lang w:val="en-GB"/>
              </w:rPr>
            </w:pPr>
          </w:p>
          <w:p w14:paraId="764D06A8" w14:textId="77777777" w:rsidR="00C21071" w:rsidRPr="000711A7" w:rsidRDefault="00C21071" w:rsidP="00C21071">
            <w:pPr>
              <w:rPr>
                <w:sz w:val="18"/>
                <w:szCs w:val="18"/>
                <w:lang w:val="en-GB"/>
              </w:rPr>
            </w:pPr>
            <w:r w:rsidRPr="000030CD">
              <w:rPr>
                <w:sz w:val="18"/>
                <w:szCs w:val="18"/>
                <w:lang w:val="en-GB"/>
              </w:rPr>
              <w:t>Considering that the 2014 LCR regulation was already highly restrictive due to an under-calibration of their eligibility compared to their relatively low risk and market liquidity, it significantly hindered the inclusion of securitization in the banks' liquidity buffers. Therefore, if adjusted as suggested here, we could expect an even stronger interest from bank treasurers.</w:t>
            </w:r>
          </w:p>
          <w:p w14:paraId="04054A14" w14:textId="77777777" w:rsidR="00C21071" w:rsidRPr="00973525" w:rsidRDefault="00C21071" w:rsidP="00C21071">
            <w:pPr>
              <w:rPr>
                <w:sz w:val="18"/>
                <w:szCs w:val="18"/>
                <w:lang w:val="en-US"/>
              </w:rPr>
            </w:pPr>
            <w:r w:rsidRPr="00973525">
              <w:rPr>
                <w:noProof/>
                <w:sz w:val="18"/>
                <w:szCs w:val="18"/>
                <w14:ligatures w14:val="none"/>
              </w:rPr>
              <w:drawing>
                <wp:inline distT="0" distB="0" distL="0" distR="0" wp14:anchorId="4EA0E796" wp14:editId="0DE150B8">
                  <wp:extent cx="4784651" cy="1582215"/>
                  <wp:effectExtent l="0" t="0" r="0" b="0"/>
                  <wp:docPr id="77769614" name="Image 1"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926767" name="Image 1" descr="Une image contenant texte, capture d’écran, nombre, Police&#10;&#10;Description générée automatiquement"/>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825350" cy="1595674"/>
                          </a:xfrm>
                          <a:prstGeom prst="rect">
                            <a:avLst/>
                          </a:prstGeom>
                          <a:noFill/>
                          <a:ln>
                            <a:noFill/>
                          </a:ln>
                        </pic:spPr>
                      </pic:pic>
                    </a:graphicData>
                  </a:graphic>
                </wp:inline>
              </w:drawing>
            </w:r>
          </w:p>
          <w:p w14:paraId="59F79C3C" w14:textId="77777777" w:rsidR="00C21071" w:rsidRPr="00973525" w:rsidRDefault="00C21071" w:rsidP="00C21071">
            <w:pPr>
              <w:rPr>
                <w:sz w:val="18"/>
                <w:szCs w:val="18"/>
                <w:lang w:val="en-US"/>
              </w:rPr>
            </w:pPr>
            <w:proofErr w:type="gramStart"/>
            <w:r w:rsidRPr="00973525">
              <w:rPr>
                <w:sz w:val="18"/>
                <w:szCs w:val="18"/>
                <w:lang w:val="en-US"/>
              </w:rPr>
              <w:t>As  a</w:t>
            </w:r>
            <w:proofErr w:type="gramEnd"/>
            <w:r w:rsidRPr="00973525">
              <w:rPr>
                <w:sz w:val="18"/>
                <w:szCs w:val="18"/>
                <w:lang w:val="en-US"/>
              </w:rPr>
              <w:t xml:space="preserve"> consequence, Level 2 assets may not, in aggregate, account for more than 40% of a bank’s stock of HQLA. Level 2B assets may not account for more than 15% of a bank’s total stock of HQLA.</w:t>
            </w:r>
          </w:p>
          <w:p w14:paraId="0B3181C4" w14:textId="77777777" w:rsidR="00C21071" w:rsidRPr="00973525" w:rsidRDefault="00C21071" w:rsidP="00C21071">
            <w:pPr>
              <w:rPr>
                <w:sz w:val="18"/>
                <w:szCs w:val="18"/>
                <w:lang w:val="en-US"/>
              </w:rPr>
            </w:pPr>
          </w:p>
          <w:p w14:paraId="054BF920" w14:textId="77777777" w:rsidR="00C21071" w:rsidRPr="00973525" w:rsidRDefault="00C21071" w:rsidP="00C21071">
            <w:pPr>
              <w:rPr>
                <w:sz w:val="18"/>
                <w:szCs w:val="18"/>
                <w:lang w:val="en-GB"/>
              </w:rPr>
            </w:pPr>
            <w:r w:rsidRPr="00973525">
              <w:rPr>
                <w:sz w:val="18"/>
                <w:szCs w:val="18"/>
                <w:highlight w:val="lightGray"/>
                <w:lang w:val="en-GB"/>
              </w:rPr>
              <w:t>As such, it would also allow for diversification within the liquidity buffers, which is now known to limit hurdling impacts in case of turmoil.</w:t>
            </w:r>
          </w:p>
          <w:p w14:paraId="0C2C9EB6" w14:textId="77777777" w:rsidR="00C21071" w:rsidRPr="00973525" w:rsidRDefault="00C21071" w:rsidP="00C21071">
            <w:pPr>
              <w:rPr>
                <w:sz w:val="18"/>
                <w:szCs w:val="18"/>
                <w:lang w:val="en-US"/>
              </w:rPr>
            </w:pPr>
          </w:p>
        </w:tc>
        <w:tc>
          <w:tcPr>
            <w:tcW w:w="236" w:type="dxa"/>
          </w:tcPr>
          <w:p w14:paraId="26D17493" w14:textId="266955E1" w:rsidR="00C21071" w:rsidRPr="0079353D" w:rsidRDefault="00C21071" w:rsidP="0079353D">
            <w:pPr>
              <w:ind w:firstLine="1917"/>
              <w:rPr>
                <w:sz w:val="18"/>
                <w:szCs w:val="18"/>
                <w:lang w:val="en-GB"/>
              </w:rPr>
            </w:pPr>
          </w:p>
        </w:tc>
      </w:tr>
      <w:tr w:rsidR="00C21071" w:rsidRPr="0000602A" w14:paraId="49D37A69" w14:textId="77777777" w:rsidTr="30964D0C">
        <w:trPr>
          <w:gridAfter w:val="1"/>
          <w:wAfter w:w="16" w:type="dxa"/>
        </w:trPr>
        <w:tc>
          <w:tcPr>
            <w:tcW w:w="2893" w:type="dxa"/>
          </w:tcPr>
          <w:p w14:paraId="5F324276" w14:textId="77777777" w:rsidR="00C21071" w:rsidRPr="00973525" w:rsidRDefault="00C21071" w:rsidP="00C21071">
            <w:pPr>
              <w:rPr>
                <w:sz w:val="20"/>
                <w:szCs w:val="20"/>
                <w:lang w:val="en-GB"/>
              </w:rPr>
            </w:pPr>
            <w:r w:rsidRPr="00973525">
              <w:rPr>
                <w:sz w:val="20"/>
                <w:szCs w:val="20"/>
                <w:u w:val="single"/>
                <w:lang w:val="en-GB"/>
              </w:rPr>
              <w:t>Question 9.45.</w:t>
            </w:r>
            <w:r w:rsidRPr="00973525">
              <w:rPr>
                <w:sz w:val="20"/>
                <w:szCs w:val="20"/>
                <w:lang w:val="en-GB"/>
              </w:rPr>
              <w:t xml:space="preserve"> Have the senior tranches of the STS traditional securitisations reached a sufficient </w:t>
            </w:r>
            <w:r w:rsidRPr="00973525">
              <w:rPr>
                <w:b/>
                <w:bCs/>
                <w:sz w:val="20"/>
                <w:szCs w:val="20"/>
                <w:lang w:val="en-GB"/>
              </w:rPr>
              <w:t>level of market liquidity</w:t>
            </w:r>
            <w:r w:rsidRPr="00973525">
              <w:rPr>
                <w:sz w:val="20"/>
                <w:szCs w:val="20"/>
                <w:lang w:val="en-GB"/>
              </w:rPr>
              <w:t xml:space="preserve"> and stress </w:t>
            </w:r>
            <w:r w:rsidRPr="00973525">
              <w:rPr>
                <w:b/>
                <w:bCs/>
                <w:sz w:val="20"/>
                <w:szCs w:val="20"/>
                <w:lang w:val="en-GB"/>
              </w:rPr>
              <w:t>resilience</w:t>
            </w:r>
            <w:r w:rsidRPr="00973525">
              <w:rPr>
                <w:sz w:val="20"/>
                <w:szCs w:val="20"/>
                <w:lang w:val="en-GB"/>
              </w:rPr>
              <w:t xml:space="preserve"> based on historical data covering a full economic cycle, including crisis conditions, and </w:t>
            </w:r>
            <w:r w:rsidRPr="00973525">
              <w:rPr>
                <w:sz w:val="20"/>
                <w:szCs w:val="20"/>
                <w:lang w:val="en-GB"/>
              </w:rPr>
              <w:lastRenderedPageBreak/>
              <w:t xml:space="preserve">are there any additional solid </w:t>
            </w:r>
            <w:r w:rsidRPr="00973525">
              <w:rPr>
                <w:b/>
                <w:bCs/>
                <w:sz w:val="20"/>
                <w:szCs w:val="20"/>
                <w:lang w:val="en-GB"/>
              </w:rPr>
              <w:t>arguments</w:t>
            </w:r>
            <w:r w:rsidRPr="00973525">
              <w:rPr>
                <w:sz w:val="20"/>
                <w:szCs w:val="20"/>
                <w:lang w:val="en-GB"/>
              </w:rPr>
              <w:t xml:space="preserve"> that could justify their potential</w:t>
            </w:r>
            <w:r w:rsidRPr="00973525">
              <w:rPr>
                <w:b/>
                <w:bCs/>
                <w:sz w:val="20"/>
                <w:szCs w:val="20"/>
                <w:lang w:val="en-GB"/>
              </w:rPr>
              <w:t xml:space="preserve"> upgrade </w:t>
            </w:r>
            <w:r w:rsidRPr="00973525">
              <w:rPr>
                <w:sz w:val="20"/>
                <w:szCs w:val="20"/>
                <w:lang w:val="en-GB"/>
              </w:rPr>
              <w:t>from the Level 2B to Level 2A HQLA?</w:t>
            </w:r>
          </w:p>
          <w:p w14:paraId="262C9A03" w14:textId="77777777" w:rsidR="00C21071" w:rsidRPr="00973525" w:rsidRDefault="00C21071" w:rsidP="00C21071">
            <w:pPr>
              <w:rPr>
                <w:sz w:val="20"/>
                <w:szCs w:val="20"/>
                <w:u w:val="single"/>
                <w:lang w:val="en-GB"/>
              </w:rPr>
            </w:pPr>
          </w:p>
          <w:p w14:paraId="181D2335" w14:textId="77777777" w:rsidR="00C21071" w:rsidRPr="00973525" w:rsidRDefault="00C21071" w:rsidP="00C21071">
            <w:pPr>
              <w:rPr>
                <w:sz w:val="20"/>
                <w:szCs w:val="20"/>
                <w:u w:val="single"/>
                <w:lang w:val="en-GB"/>
              </w:rPr>
            </w:pPr>
          </w:p>
          <w:p w14:paraId="30DC71FC" w14:textId="77777777" w:rsidR="00C21071" w:rsidRPr="00973525" w:rsidRDefault="00C21071" w:rsidP="00C21071">
            <w:pPr>
              <w:rPr>
                <w:sz w:val="20"/>
                <w:szCs w:val="20"/>
                <w:u w:val="single"/>
                <w:lang w:val="en-GB"/>
              </w:rPr>
            </w:pPr>
          </w:p>
          <w:p w14:paraId="140DA033" w14:textId="77777777" w:rsidR="00C21071" w:rsidRPr="00973525" w:rsidRDefault="00C21071" w:rsidP="00C21071">
            <w:pPr>
              <w:rPr>
                <w:sz w:val="20"/>
                <w:szCs w:val="20"/>
                <w:u w:val="single"/>
                <w:lang w:val="en-GB"/>
              </w:rPr>
            </w:pPr>
          </w:p>
          <w:p w14:paraId="508E4287" w14:textId="69C77B39" w:rsidR="00C21071" w:rsidRPr="00973525" w:rsidRDefault="00C21071" w:rsidP="00C21071">
            <w:pPr>
              <w:rPr>
                <w:sz w:val="18"/>
                <w:szCs w:val="18"/>
                <w:lang w:val="en-GB"/>
              </w:rPr>
            </w:pPr>
            <w:r w:rsidRPr="00973525">
              <w:rPr>
                <w:sz w:val="20"/>
                <w:szCs w:val="20"/>
                <w:lang w:val="en-GB"/>
              </w:rPr>
              <w:t>Please explain your answer to question 9.45:</w:t>
            </w:r>
          </w:p>
        </w:tc>
        <w:tc>
          <w:tcPr>
            <w:tcW w:w="7740" w:type="dxa"/>
          </w:tcPr>
          <w:p w14:paraId="3A9D4BF5" w14:textId="77777777" w:rsidR="00C21071" w:rsidRPr="004F0E99" w:rsidRDefault="00C21071" w:rsidP="00C21071">
            <w:pPr>
              <w:rPr>
                <w:sz w:val="20"/>
                <w:szCs w:val="20"/>
                <w:lang w:val="en-US"/>
              </w:rPr>
            </w:pPr>
          </w:p>
          <w:p w14:paraId="3F77D457" w14:textId="77777777" w:rsidR="00C21071" w:rsidRPr="004F0E99" w:rsidRDefault="00C21071" w:rsidP="00C21071">
            <w:pPr>
              <w:rPr>
                <w:sz w:val="20"/>
                <w:szCs w:val="20"/>
                <w:lang w:val="en-GB"/>
              </w:rPr>
            </w:pPr>
            <w:r w:rsidRPr="004F0E99">
              <w:rPr>
                <w:sz w:val="20"/>
                <w:szCs w:val="20"/>
                <w:lang w:val="en-GB"/>
              </w:rPr>
              <w:t>Answer</w:t>
            </w:r>
          </w:p>
          <w:p w14:paraId="7319DB61" w14:textId="77777777" w:rsidR="00C21071" w:rsidRPr="004F0E99" w:rsidRDefault="00000000" w:rsidP="00C21071">
            <w:pPr>
              <w:rPr>
                <w:b/>
                <w:bCs/>
                <w:sz w:val="20"/>
                <w:szCs w:val="20"/>
                <w:lang w:val="en-GB"/>
              </w:rPr>
            </w:pPr>
            <w:sdt>
              <w:sdtPr>
                <w:rPr>
                  <w:b/>
                  <w:bCs/>
                  <w:sz w:val="20"/>
                  <w:szCs w:val="20"/>
                  <w:lang w:val="en-GB"/>
                </w:rPr>
                <w:id w:val="-1314482625"/>
                <w14:checkbox>
                  <w14:checked w14:val="1"/>
                  <w14:checkedState w14:val="2612" w14:font="MS Gothic"/>
                  <w14:uncheckedState w14:val="2610" w14:font="MS Gothic"/>
                </w14:checkbox>
              </w:sdtPr>
              <w:sdtContent>
                <w:r w:rsidR="00C21071" w:rsidRPr="004F0E99">
                  <w:rPr>
                    <w:rFonts w:ascii="Segoe UI Symbol" w:eastAsia="MS Gothic" w:hAnsi="Segoe UI Symbol" w:cs="Segoe UI Symbol"/>
                    <w:b/>
                    <w:bCs/>
                    <w:sz w:val="20"/>
                    <w:szCs w:val="20"/>
                    <w:lang w:val="en-GB"/>
                  </w:rPr>
                  <w:t>☒</w:t>
                </w:r>
              </w:sdtContent>
            </w:sdt>
            <w:r w:rsidR="00C21071" w:rsidRPr="004F0E99">
              <w:rPr>
                <w:b/>
                <w:bCs/>
                <w:sz w:val="20"/>
                <w:szCs w:val="20"/>
                <w:lang w:val="en-GB"/>
              </w:rPr>
              <w:t>Yes</w:t>
            </w:r>
          </w:p>
          <w:p w14:paraId="420206E8" w14:textId="77777777" w:rsidR="00C21071" w:rsidRPr="004F0E99" w:rsidRDefault="00000000" w:rsidP="00C21071">
            <w:pPr>
              <w:rPr>
                <w:sz w:val="20"/>
                <w:szCs w:val="20"/>
                <w:lang w:val="en-GB"/>
              </w:rPr>
            </w:pPr>
            <w:sdt>
              <w:sdtPr>
                <w:rPr>
                  <w:sz w:val="20"/>
                  <w:szCs w:val="20"/>
                  <w:lang w:val="en-GB"/>
                </w:rPr>
                <w:id w:val="1135914346"/>
                <w14:checkbox>
                  <w14:checked w14:val="0"/>
                  <w14:checkedState w14:val="2612" w14:font="MS Gothic"/>
                  <w14:uncheckedState w14:val="2610" w14:font="MS Gothic"/>
                </w14:checkbox>
              </w:sdtPr>
              <w:sdtContent>
                <w:r w:rsidR="00C21071" w:rsidRPr="004F0E99">
                  <w:rPr>
                    <w:rFonts w:eastAsia="MS Gothic"/>
                    <w:sz w:val="20"/>
                    <w:szCs w:val="20"/>
                    <w:lang w:val="en-GB"/>
                  </w:rPr>
                  <w:t>☐</w:t>
                </w:r>
              </w:sdtContent>
            </w:sdt>
            <w:r w:rsidR="00C21071" w:rsidRPr="004F0E99">
              <w:rPr>
                <w:sz w:val="20"/>
                <w:szCs w:val="20"/>
                <w:lang w:val="en-GB"/>
              </w:rPr>
              <w:t>No</w:t>
            </w:r>
          </w:p>
          <w:p w14:paraId="62CFD70F" w14:textId="77777777" w:rsidR="00C21071" w:rsidRPr="004F0E99" w:rsidRDefault="00000000" w:rsidP="00C21071">
            <w:pPr>
              <w:rPr>
                <w:sz w:val="20"/>
                <w:szCs w:val="20"/>
                <w:lang w:val="en-US"/>
              </w:rPr>
            </w:pPr>
            <w:sdt>
              <w:sdtPr>
                <w:rPr>
                  <w:sz w:val="20"/>
                  <w:szCs w:val="20"/>
                  <w:lang w:val="en-GB"/>
                </w:rPr>
                <w:id w:val="545881202"/>
                <w14:checkbox>
                  <w14:checked w14:val="0"/>
                  <w14:checkedState w14:val="2612" w14:font="MS Gothic"/>
                  <w14:uncheckedState w14:val="2610" w14:font="MS Gothic"/>
                </w14:checkbox>
              </w:sdtPr>
              <w:sdtContent>
                <w:r w:rsidR="00C21071" w:rsidRPr="004F0E99">
                  <w:rPr>
                    <w:rFonts w:eastAsia="MS Gothic"/>
                    <w:sz w:val="20"/>
                    <w:szCs w:val="20"/>
                    <w:lang w:val="en-GB"/>
                  </w:rPr>
                  <w:t>☐</w:t>
                </w:r>
              </w:sdtContent>
            </w:sdt>
            <w:r w:rsidR="00C21071" w:rsidRPr="004F0E99">
              <w:rPr>
                <w:sz w:val="20"/>
                <w:szCs w:val="20"/>
                <w:lang w:val="en-GB"/>
              </w:rPr>
              <w:t>Don’t know / no opinion / not applicable</w:t>
            </w:r>
          </w:p>
          <w:p w14:paraId="5A7A400D" w14:textId="77777777" w:rsidR="00C21071" w:rsidRPr="004F0E99" w:rsidRDefault="00C21071" w:rsidP="00C21071">
            <w:pPr>
              <w:rPr>
                <w:sz w:val="20"/>
                <w:szCs w:val="20"/>
                <w:lang w:val="en-US"/>
              </w:rPr>
            </w:pPr>
          </w:p>
          <w:p w14:paraId="1EF81841" w14:textId="77777777" w:rsidR="00C21071" w:rsidRPr="004F0E99" w:rsidRDefault="00C21071" w:rsidP="00C21071">
            <w:pPr>
              <w:rPr>
                <w:sz w:val="20"/>
                <w:szCs w:val="20"/>
                <w:lang w:val="en-US"/>
              </w:rPr>
            </w:pPr>
          </w:p>
          <w:p w14:paraId="2EC72DD0" w14:textId="77777777" w:rsidR="00C21071" w:rsidRPr="004F0E99" w:rsidRDefault="00C21071" w:rsidP="00C21071">
            <w:pPr>
              <w:rPr>
                <w:sz w:val="20"/>
                <w:szCs w:val="20"/>
                <w:lang w:val="en-US"/>
              </w:rPr>
            </w:pPr>
            <w:r w:rsidRPr="004F0E99">
              <w:rPr>
                <w:sz w:val="20"/>
                <w:szCs w:val="20"/>
                <w:lang w:val="en-US"/>
              </w:rPr>
              <w:lastRenderedPageBreak/>
              <w:t xml:space="preserve">The inclusion of an asset in a liquidity buffer (or the upgrade to an upper buffer) should have a positive effect on its liquidity. </w:t>
            </w:r>
            <w:proofErr w:type="gramStart"/>
            <w:r w:rsidRPr="004F0E99">
              <w:rPr>
                <w:sz w:val="20"/>
                <w:szCs w:val="20"/>
                <w:lang w:val="en-US"/>
              </w:rPr>
              <w:t>So</w:t>
            </w:r>
            <w:proofErr w:type="gramEnd"/>
            <w:r w:rsidRPr="004F0E99">
              <w:rPr>
                <w:sz w:val="20"/>
                <w:szCs w:val="20"/>
                <w:lang w:val="en-US"/>
              </w:rPr>
              <w:t xml:space="preserve"> the real question is whether a bank would have an interest in investing in such assets for liquidity purposes from a risk/return point of view. </w:t>
            </w:r>
          </w:p>
          <w:p w14:paraId="2A3540E2" w14:textId="77777777" w:rsidR="00C21071" w:rsidRPr="004F0E99" w:rsidRDefault="00C21071" w:rsidP="00C21071">
            <w:pPr>
              <w:rPr>
                <w:sz w:val="20"/>
                <w:szCs w:val="20"/>
                <w:lang w:val="en-US"/>
              </w:rPr>
            </w:pPr>
          </w:p>
          <w:p w14:paraId="5806DA0B" w14:textId="77777777" w:rsidR="00C21071" w:rsidRPr="004F0E99" w:rsidRDefault="00C21071" w:rsidP="00C21071">
            <w:pPr>
              <w:rPr>
                <w:sz w:val="20"/>
                <w:szCs w:val="20"/>
                <w:lang w:val="en-US"/>
              </w:rPr>
            </w:pPr>
            <w:r w:rsidRPr="004F0E99">
              <w:rPr>
                <w:sz w:val="20"/>
                <w:szCs w:val="20"/>
                <w:lang w:val="en-US"/>
              </w:rPr>
              <w:t xml:space="preserve">Considering senior tranches of securitisations with ratings AAA or AA, STS or not, those assets are quite safe and provide a </w:t>
            </w:r>
            <w:r w:rsidRPr="004F0E99">
              <w:rPr>
                <w:sz w:val="20"/>
                <w:szCs w:val="20"/>
                <w:u w:val="single"/>
                <w:lang w:val="en-US"/>
              </w:rPr>
              <w:t>proper diversification</w:t>
            </w:r>
            <w:r w:rsidRPr="004F0E99">
              <w:rPr>
                <w:sz w:val="20"/>
                <w:szCs w:val="20"/>
                <w:lang w:val="en-US"/>
              </w:rPr>
              <w:t xml:space="preserve"> in the liquidity portfolio. They also have a </w:t>
            </w:r>
            <w:r w:rsidRPr="004F0E99">
              <w:rPr>
                <w:sz w:val="20"/>
                <w:szCs w:val="20"/>
                <w:u w:val="single"/>
                <w:lang w:val="en-US"/>
              </w:rPr>
              <w:t>higher yield</w:t>
            </w:r>
            <w:r w:rsidRPr="004F0E99">
              <w:rPr>
                <w:sz w:val="20"/>
                <w:szCs w:val="20"/>
                <w:lang w:val="en-US"/>
              </w:rPr>
              <w:t xml:space="preserve"> than sovereign of similar rating and can thus be of some interest. They also offer more frequently a </w:t>
            </w:r>
            <w:r w:rsidRPr="004F0E99">
              <w:rPr>
                <w:sz w:val="20"/>
                <w:szCs w:val="20"/>
                <w:u w:val="single"/>
                <w:lang w:val="en-US"/>
              </w:rPr>
              <w:t>variable rate remuneration</w:t>
            </w:r>
            <w:r w:rsidRPr="004F0E99">
              <w:rPr>
                <w:sz w:val="20"/>
                <w:szCs w:val="20"/>
                <w:lang w:val="en-US"/>
              </w:rPr>
              <w:t xml:space="preserve">, which reduces the interest rate risk or valuation risk for the bank. The inclusion or the upgrade of such assets in the LCR buffer will thus have a positive impact on the management of risks linked to HQLA portfolio, especially the various risks of concentration (in credit, sectors, or </w:t>
            </w:r>
            <w:proofErr w:type="gramStart"/>
            <w:r w:rsidRPr="004F0E99">
              <w:rPr>
                <w:sz w:val="20"/>
                <w:szCs w:val="20"/>
                <w:lang w:val="en-US"/>
              </w:rPr>
              <w:t>with regard to</w:t>
            </w:r>
            <w:proofErr w:type="gramEnd"/>
            <w:r w:rsidRPr="004F0E99">
              <w:rPr>
                <w:sz w:val="20"/>
                <w:szCs w:val="20"/>
                <w:lang w:val="en-US"/>
              </w:rPr>
              <w:t xml:space="preserve"> interest rate risk). </w:t>
            </w:r>
          </w:p>
          <w:p w14:paraId="19E7BDD4" w14:textId="77777777" w:rsidR="00C21071" w:rsidRPr="004F0E99" w:rsidRDefault="00C21071" w:rsidP="00C21071">
            <w:pPr>
              <w:rPr>
                <w:sz w:val="20"/>
                <w:szCs w:val="20"/>
                <w:lang w:val="en-US"/>
              </w:rPr>
            </w:pPr>
            <w:r w:rsidRPr="004F0E99">
              <w:rPr>
                <w:sz w:val="20"/>
                <w:szCs w:val="20"/>
                <w:lang w:val="en-US"/>
              </w:rPr>
              <w:t xml:space="preserve">The amortization features of any Securitization </w:t>
            </w:r>
            <w:proofErr w:type="gramStart"/>
            <w:r w:rsidRPr="004F0E99">
              <w:rPr>
                <w:sz w:val="20"/>
                <w:szCs w:val="20"/>
                <w:lang w:val="en-US"/>
              </w:rPr>
              <w:t>is</w:t>
            </w:r>
            <w:proofErr w:type="gramEnd"/>
            <w:r w:rsidRPr="004F0E99">
              <w:rPr>
                <w:sz w:val="20"/>
                <w:szCs w:val="20"/>
                <w:lang w:val="en-US"/>
              </w:rPr>
              <w:t xml:space="preserve"> also an interesting point for a treasurer, as it implies partial inflows at each time the tranche is amortized.</w:t>
            </w:r>
          </w:p>
          <w:p w14:paraId="6A6A1BB8" w14:textId="77777777" w:rsidR="00C21071" w:rsidRPr="004F0E99" w:rsidRDefault="00C21071" w:rsidP="00C21071">
            <w:pPr>
              <w:rPr>
                <w:sz w:val="20"/>
                <w:szCs w:val="20"/>
                <w:lang w:val="en-US"/>
              </w:rPr>
            </w:pPr>
          </w:p>
          <w:p w14:paraId="03B65A68" w14:textId="77777777" w:rsidR="00C21071" w:rsidRPr="004F0E99" w:rsidRDefault="00C21071" w:rsidP="00C21071">
            <w:pPr>
              <w:rPr>
                <w:sz w:val="20"/>
                <w:szCs w:val="20"/>
                <w:lang w:val="en-US"/>
              </w:rPr>
            </w:pPr>
          </w:p>
          <w:p w14:paraId="05B7053A" w14:textId="5E771A48" w:rsidR="00C21071" w:rsidRPr="004F0E99" w:rsidRDefault="00C21071" w:rsidP="00C21071">
            <w:pPr>
              <w:rPr>
                <w:sz w:val="20"/>
                <w:szCs w:val="20"/>
                <w:lang w:val="en-US"/>
              </w:rPr>
            </w:pPr>
            <w:r w:rsidRPr="004F0E99">
              <w:rPr>
                <w:sz w:val="20"/>
                <w:szCs w:val="20"/>
                <w:lang w:val="en-US"/>
              </w:rPr>
              <w:t xml:space="preserve">A study from Risk Control (2022) finds that senior ABS have been </w:t>
            </w:r>
            <w:r w:rsidR="00A559BE">
              <w:rPr>
                <w:sz w:val="20"/>
                <w:szCs w:val="20"/>
                <w:lang w:val="en-US"/>
              </w:rPr>
              <w:t xml:space="preserve">as </w:t>
            </w:r>
            <w:proofErr w:type="spellStart"/>
            <w:r w:rsidRPr="004F0E99">
              <w:rPr>
                <w:sz w:val="20"/>
                <w:szCs w:val="20"/>
                <w:lang w:val="en-US"/>
              </w:rPr>
              <w:t>liquid</w:t>
            </w:r>
            <w:r w:rsidR="00A559BE">
              <w:rPr>
                <w:sz w:val="20"/>
                <w:szCs w:val="20"/>
                <w:lang w:val="en-US"/>
              </w:rPr>
              <w:t>as</w:t>
            </w:r>
            <w:proofErr w:type="spellEnd"/>
            <w:r w:rsidR="00A559BE">
              <w:rPr>
                <w:sz w:val="20"/>
                <w:szCs w:val="20"/>
                <w:lang w:val="en-US"/>
              </w:rPr>
              <w:t xml:space="preserve"> </w:t>
            </w:r>
            <w:r w:rsidRPr="004F0E99">
              <w:rPr>
                <w:sz w:val="20"/>
                <w:szCs w:val="20"/>
                <w:lang w:val="en-US"/>
              </w:rPr>
              <w:t xml:space="preserve">Covered bonds even in the 2020 Covid-19 crisis. </w:t>
            </w:r>
            <w:r w:rsidR="00DD7A15">
              <w:rPr>
                <w:sz w:val="20"/>
                <w:szCs w:val="20"/>
                <w:lang w:val="en-US"/>
              </w:rPr>
              <w:t>(</w:t>
            </w:r>
            <w:r w:rsidR="00DD7A15" w:rsidRPr="00973525">
              <w:rPr>
                <w:sz w:val="18"/>
                <w:szCs w:val="18"/>
                <w:lang w:val="en-US"/>
              </w:rPr>
              <w:t>study from 25.02.2022 Risk Control research note “</w:t>
            </w:r>
            <w:r w:rsidR="00DD7A15">
              <w:fldChar w:fldCharType="begin"/>
            </w:r>
            <w:r w:rsidR="00DD7A15" w:rsidRPr="0000602A">
              <w:rPr>
                <w:lang w:val="en-GB"/>
              </w:rPr>
              <w:instrText>HYPERLINK "https://www.riskcontrollimited.com/insights/comparing-cb-abs-and-corporate-bond-liquidity/"</w:instrText>
            </w:r>
            <w:r w:rsidR="00DD7A15">
              <w:fldChar w:fldCharType="separate"/>
            </w:r>
            <w:r w:rsidR="00DD7A15" w:rsidRPr="00973525">
              <w:rPr>
                <w:rStyle w:val="Lienhypertexte"/>
                <w:sz w:val="18"/>
                <w:szCs w:val="18"/>
                <w:lang w:val="en-US"/>
              </w:rPr>
              <w:t>Comparing ABS and Covered Bond</w:t>
            </w:r>
            <w:r w:rsidR="00DD7A15">
              <w:rPr>
                <w:rStyle w:val="Lienhypertexte"/>
                <w:sz w:val="18"/>
                <w:szCs w:val="18"/>
                <w:lang w:val="en-US"/>
              </w:rPr>
              <w:fldChar w:fldCharType="end"/>
            </w:r>
            <w:r w:rsidR="00DD7A15" w:rsidRPr="00973525">
              <w:rPr>
                <w:sz w:val="18"/>
                <w:szCs w:val="18"/>
                <w:lang w:val="en-US"/>
              </w:rPr>
              <w:t xml:space="preserve"> Liquidity”</w:t>
            </w:r>
            <w:r w:rsidR="00DD7A15">
              <w:rPr>
                <w:sz w:val="18"/>
                <w:szCs w:val="18"/>
                <w:lang w:val="en-US"/>
              </w:rPr>
              <w:t>)</w:t>
            </w:r>
            <w:r w:rsidR="00DD7A15" w:rsidRPr="00973525">
              <w:rPr>
                <w:sz w:val="18"/>
                <w:szCs w:val="18"/>
                <w:lang w:val="en-US"/>
              </w:rPr>
              <w:t xml:space="preserve">, </w:t>
            </w:r>
            <w:r w:rsidRPr="004F0E99">
              <w:rPr>
                <w:sz w:val="20"/>
                <w:szCs w:val="20"/>
                <w:lang w:val="en-US"/>
              </w:rPr>
              <w:t xml:space="preserve">One reason may be that Covered bonds primary risk is on banks, hence the RMBS format offers </w:t>
            </w:r>
            <w:r w:rsidR="00256106">
              <w:rPr>
                <w:sz w:val="20"/>
                <w:szCs w:val="20"/>
                <w:lang w:val="en-US"/>
              </w:rPr>
              <w:t xml:space="preserve">an additional </w:t>
            </w:r>
            <w:r w:rsidRPr="004F0E99">
              <w:rPr>
                <w:sz w:val="20"/>
                <w:szCs w:val="20"/>
                <w:lang w:val="en-US"/>
              </w:rPr>
              <w:t>diversification of risk.</w:t>
            </w:r>
          </w:p>
          <w:p w14:paraId="59503372" w14:textId="77777777" w:rsidR="00C21071" w:rsidRPr="004F0E99" w:rsidRDefault="00C21071" w:rsidP="00C21071">
            <w:pPr>
              <w:rPr>
                <w:sz w:val="20"/>
                <w:szCs w:val="20"/>
                <w:lang w:val="en-US"/>
              </w:rPr>
            </w:pPr>
          </w:p>
          <w:p w14:paraId="74D29126" w14:textId="77777777" w:rsidR="00C21071" w:rsidRPr="004F0E99" w:rsidRDefault="00C21071" w:rsidP="00C21071">
            <w:pPr>
              <w:rPr>
                <w:sz w:val="20"/>
                <w:szCs w:val="20"/>
                <w:lang w:val="en-US"/>
              </w:rPr>
            </w:pPr>
          </w:p>
          <w:p w14:paraId="4D175EDB" w14:textId="77777777" w:rsidR="00C21071" w:rsidRPr="004F0E99" w:rsidRDefault="00C21071" w:rsidP="00C21071">
            <w:pPr>
              <w:rPr>
                <w:sz w:val="20"/>
                <w:szCs w:val="20"/>
                <w:lang w:val="en-US"/>
              </w:rPr>
            </w:pPr>
            <w:r w:rsidRPr="004F0E99">
              <w:rPr>
                <w:sz w:val="20"/>
                <w:szCs w:val="20"/>
                <w:lang w:val="en-US"/>
              </w:rPr>
              <w:t xml:space="preserve">It has been recently illustrated during the </w:t>
            </w:r>
            <w:proofErr w:type="spellStart"/>
            <w:r w:rsidRPr="004F0E99">
              <w:rPr>
                <w:sz w:val="20"/>
                <w:szCs w:val="20"/>
                <w:lang w:val="en-US"/>
              </w:rPr>
              <w:t>MiniBudget</w:t>
            </w:r>
            <w:proofErr w:type="spellEnd"/>
            <w:r w:rsidRPr="004F0E99">
              <w:rPr>
                <w:sz w:val="20"/>
                <w:szCs w:val="20"/>
                <w:lang w:val="en-US"/>
              </w:rPr>
              <w:t xml:space="preserve"> crisis UK (sept 22)</w:t>
            </w:r>
          </w:p>
          <w:p w14:paraId="149EE1BC" w14:textId="77777777" w:rsidR="00C21071" w:rsidRPr="004F0E99" w:rsidRDefault="00C21071" w:rsidP="00C21071">
            <w:pPr>
              <w:rPr>
                <w:sz w:val="20"/>
                <w:szCs w:val="20"/>
                <w:lang w:val="en-US"/>
              </w:rPr>
            </w:pPr>
          </w:p>
          <w:p w14:paraId="2E46AB89" w14:textId="77777777" w:rsidR="00C21071" w:rsidRPr="004F0E99" w:rsidRDefault="00C21071" w:rsidP="00C21071">
            <w:pPr>
              <w:rPr>
                <w:sz w:val="20"/>
                <w:szCs w:val="20"/>
                <w:lang w:val="en-GB"/>
              </w:rPr>
            </w:pPr>
            <w:r w:rsidRPr="004F0E99">
              <w:rPr>
                <w:sz w:val="20"/>
                <w:szCs w:val="20"/>
                <w:lang w:val="en-GB"/>
              </w:rPr>
              <w:t>Recent market developments evidenced that securitisation did trade a lot with comparatively stable price in a context of massive surge of volatility during the UK Liability Driven Investment crisis in the pensions industry and wider economy in the wake of mini-Liz Truss’ budget announcements (September 2022) and the Guilt crisis. Indeed, securitisations use floating rates and hence less exposed to market value volatility.</w:t>
            </w:r>
          </w:p>
          <w:p w14:paraId="7C9B0955" w14:textId="77777777" w:rsidR="00C21071" w:rsidRPr="004F0E99" w:rsidRDefault="00C21071" w:rsidP="00C21071">
            <w:pPr>
              <w:rPr>
                <w:sz w:val="20"/>
                <w:szCs w:val="20"/>
                <w:lang w:val="en-US"/>
              </w:rPr>
            </w:pPr>
          </w:p>
        </w:tc>
        <w:tc>
          <w:tcPr>
            <w:tcW w:w="236" w:type="dxa"/>
          </w:tcPr>
          <w:p w14:paraId="62C20F57" w14:textId="29408BC9" w:rsidR="00C21071" w:rsidRPr="00973525" w:rsidRDefault="00C21071" w:rsidP="0079353D">
            <w:pPr>
              <w:ind w:firstLine="1917"/>
              <w:rPr>
                <w:sz w:val="18"/>
                <w:szCs w:val="18"/>
                <w:lang w:val="en-GB"/>
              </w:rPr>
            </w:pPr>
          </w:p>
        </w:tc>
      </w:tr>
      <w:tr w:rsidR="00C21071" w:rsidRPr="0000602A" w14:paraId="6563E12D" w14:textId="77777777" w:rsidTr="30964D0C">
        <w:trPr>
          <w:gridAfter w:val="1"/>
          <w:wAfter w:w="16" w:type="dxa"/>
        </w:trPr>
        <w:tc>
          <w:tcPr>
            <w:tcW w:w="2893" w:type="dxa"/>
          </w:tcPr>
          <w:p w14:paraId="3D9C5721" w14:textId="7F2A7ED8" w:rsidR="00C21071" w:rsidRPr="00973525" w:rsidRDefault="00C21071" w:rsidP="00C21071">
            <w:pPr>
              <w:rPr>
                <w:sz w:val="18"/>
                <w:szCs w:val="18"/>
                <w:lang w:val="en-GB"/>
              </w:rPr>
            </w:pPr>
            <w:r w:rsidRPr="00973525">
              <w:rPr>
                <w:sz w:val="20"/>
                <w:szCs w:val="20"/>
                <w:u w:val="single"/>
                <w:lang w:val="en-GB"/>
              </w:rPr>
              <w:t>Question 9.46.</w:t>
            </w:r>
            <w:r w:rsidRPr="00973525">
              <w:rPr>
                <w:sz w:val="20"/>
                <w:szCs w:val="20"/>
                <w:lang w:val="en-GB"/>
              </w:rPr>
              <w:t xml:space="preserve"> If you answered yes to question 9.45., please </w:t>
            </w:r>
            <w:r w:rsidRPr="00973525">
              <w:rPr>
                <w:b/>
                <w:bCs/>
                <w:sz w:val="20"/>
                <w:szCs w:val="20"/>
                <w:lang w:val="en-GB"/>
              </w:rPr>
              <w:t>provide arguments and data</w:t>
            </w:r>
            <w:r w:rsidRPr="00973525">
              <w:rPr>
                <w:sz w:val="20"/>
                <w:szCs w:val="20"/>
                <w:lang w:val="en-GB"/>
              </w:rPr>
              <w:t>, that could justify the potential upgrade from Level 2B to Level 2A HQLA.</w:t>
            </w:r>
          </w:p>
        </w:tc>
        <w:tc>
          <w:tcPr>
            <w:tcW w:w="7740" w:type="dxa"/>
          </w:tcPr>
          <w:p w14:paraId="1C511829" w14:textId="77777777" w:rsidR="00C21071" w:rsidRPr="00973525" w:rsidRDefault="00C21071" w:rsidP="00C21071">
            <w:pPr>
              <w:rPr>
                <w:sz w:val="20"/>
                <w:szCs w:val="20"/>
                <w:lang w:val="en-US"/>
              </w:rPr>
            </w:pPr>
          </w:p>
          <w:p w14:paraId="6E18A1C0" w14:textId="77777777" w:rsidR="00C21071" w:rsidRPr="00973525" w:rsidRDefault="00C21071" w:rsidP="00C21071">
            <w:pPr>
              <w:rPr>
                <w:sz w:val="20"/>
                <w:szCs w:val="20"/>
                <w:lang w:val="en-US"/>
              </w:rPr>
            </w:pPr>
            <w:r w:rsidRPr="00973525">
              <w:rPr>
                <w:sz w:val="20"/>
                <w:szCs w:val="20"/>
                <w:lang w:val="en-US"/>
              </w:rPr>
              <w:t xml:space="preserve">If we come back to the definition provided by the Basel Committee (Annex 1 Summary description of the LCR, 2013): </w:t>
            </w:r>
          </w:p>
          <w:p w14:paraId="4202402E" w14:textId="77777777" w:rsidR="00C21071" w:rsidRPr="00973525" w:rsidRDefault="00C21071" w:rsidP="00C21071">
            <w:pPr>
              <w:pStyle w:val="Paragraphedeliste"/>
              <w:numPr>
                <w:ilvl w:val="0"/>
                <w:numId w:val="9"/>
              </w:numPr>
              <w:rPr>
                <w:sz w:val="20"/>
                <w:szCs w:val="20"/>
                <w:lang w:val="en-US"/>
              </w:rPr>
            </w:pPr>
            <w:r w:rsidRPr="00973525">
              <w:rPr>
                <w:sz w:val="20"/>
                <w:szCs w:val="20"/>
                <w:lang w:val="en-US"/>
              </w:rPr>
              <w:t xml:space="preserve">Level 1 assets generally include cash, central bank reserves, and certain marketable securities backed by sovereigns and central banks, among others. These assets are typically of the highest quality and the most liquid, </w:t>
            </w:r>
          </w:p>
          <w:p w14:paraId="6B65013F" w14:textId="77777777" w:rsidR="00C21071" w:rsidRPr="00973525" w:rsidRDefault="00C21071" w:rsidP="00C21071">
            <w:pPr>
              <w:pStyle w:val="Paragraphedeliste"/>
              <w:numPr>
                <w:ilvl w:val="0"/>
                <w:numId w:val="9"/>
              </w:numPr>
              <w:rPr>
                <w:sz w:val="20"/>
                <w:szCs w:val="20"/>
                <w:lang w:val="en-US"/>
              </w:rPr>
            </w:pPr>
            <w:r w:rsidRPr="00973525">
              <w:rPr>
                <w:sz w:val="20"/>
                <w:szCs w:val="20"/>
                <w:lang w:val="en-US"/>
              </w:rPr>
              <w:t xml:space="preserve">Level 2 assets are comprised of Level 2A and Level 2B assets. Level 2A assets include, for example, certain government securities, covered bonds and corporate debt securities. Level 2B assets include lower rated corporate bonds, residential mortgage-backed securities and equities that meet certain conditions. </w:t>
            </w:r>
          </w:p>
          <w:p w14:paraId="1CEDB43E" w14:textId="77777777" w:rsidR="00C21071" w:rsidRPr="00973525" w:rsidRDefault="00C21071" w:rsidP="00C21071">
            <w:pPr>
              <w:rPr>
                <w:sz w:val="20"/>
                <w:szCs w:val="20"/>
                <w:lang w:val="en-US"/>
              </w:rPr>
            </w:pPr>
          </w:p>
          <w:p w14:paraId="662866CB" w14:textId="77777777" w:rsidR="00C21071" w:rsidRPr="00973525" w:rsidRDefault="00C21071" w:rsidP="00C21071">
            <w:pPr>
              <w:rPr>
                <w:sz w:val="20"/>
                <w:szCs w:val="20"/>
                <w:lang w:val="en-US"/>
              </w:rPr>
            </w:pPr>
            <w:r w:rsidRPr="00973525">
              <w:rPr>
                <w:sz w:val="20"/>
                <w:szCs w:val="20"/>
                <w:lang w:val="en-US"/>
              </w:rPr>
              <w:t xml:space="preserve">Consequently, Level 2 assets may </w:t>
            </w:r>
            <w:proofErr w:type="gramStart"/>
            <w:r w:rsidRPr="00973525">
              <w:rPr>
                <w:sz w:val="20"/>
                <w:szCs w:val="20"/>
                <w:lang w:val="en-US"/>
              </w:rPr>
              <w:t>not be</w:t>
            </w:r>
            <w:proofErr w:type="gramEnd"/>
            <w:r w:rsidRPr="00973525">
              <w:rPr>
                <w:sz w:val="20"/>
                <w:szCs w:val="20"/>
                <w:lang w:val="en-US"/>
              </w:rPr>
              <w:t xml:space="preserve"> account for more than 40% of a bank’s stock of HQLA. Level 2B assets may not account for more than 15% of a bank’s total stock of HQLA.</w:t>
            </w:r>
          </w:p>
          <w:p w14:paraId="36FC6365" w14:textId="77777777" w:rsidR="00C21071" w:rsidRPr="00973525" w:rsidRDefault="00C21071" w:rsidP="00C21071">
            <w:pPr>
              <w:rPr>
                <w:sz w:val="20"/>
                <w:szCs w:val="20"/>
                <w:lang w:val="en-US"/>
              </w:rPr>
            </w:pPr>
          </w:p>
          <w:p w14:paraId="0B7DF7E1" w14:textId="77777777" w:rsidR="00C21071" w:rsidRPr="00973525" w:rsidRDefault="00C21071" w:rsidP="00C21071">
            <w:pPr>
              <w:rPr>
                <w:sz w:val="20"/>
                <w:szCs w:val="20"/>
                <w:lang w:val="en-US"/>
              </w:rPr>
            </w:pPr>
            <w:r w:rsidRPr="00973525">
              <w:rPr>
                <w:sz w:val="20"/>
                <w:szCs w:val="20"/>
                <w:lang w:val="en-US"/>
              </w:rPr>
              <w:t xml:space="preserve">Therefore, the highest bucket of rating (AAA to AA-) for STS senior tranche of securitisation should be </w:t>
            </w:r>
            <w:proofErr w:type="gramStart"/>
            <w:r w:rsidRPr="00973525">
              <w:rPr>
                <w:sz w:val="20"/>
                <w:szCs w:val="20"/>
                <w:lang w:val="en-US"/>
              </w:rPr>
              <w:t>in</w:t>
            </w:r>
            <w:proofErr w:type="gramEnd"/>
            <w:r w:rsidRPr="00973525">
              <w:rPr>
                <w:sz w:val="20"/>
                <w:szCs w:val="20"/>
                <w:lang w:val="en-US"/>
              </w:rPr>
              <w:t xml:space="preserve"> level 2A, as is the case for L2A Covered bonds. The inclusion of those ABS assets in the level 2B bucket is not justified, it is merely a consequence of the distrust caused by the subprime crisis.</w:t>
            </w:r>
          </w:p>
          <w:p w14:paraId="7A9B3293" w14:textId="77777777" w:rsidR="00C21071" w:rsidRPr="00973525" w:rsidRDefault="00C21071" w:rsidP="00C21071">
            <w:pPr>
              <w:rPr>
                <w:sz w:val="20"/>
                <w:szCs w:val="20"/>
                <w:lang w:val="en-US"/>
              </w:rPr>
            </w:pPr>
          </w:p>
          <w:p w14:paraId="2EF02851" w14:textId="16C1F701" w:rsidR="00C21071" w:rsidRPr="00973525" w:rsidRDefault="00C21071" w:rsidP="00C21071">
            <w:pPr>
              <w:rPr>
                <w:sz w:val="20"/>
                <w:szCs w:val="20"/>
                <w:lang w:val="en-US"/>
              </w:rPr>
            </w:pPr>
            <w:r w:rsidRPr="00973525">
              <w:rPr>
                <w:sz w:val="20"/>
                <w:szCs w:val="20"/>
                <w:lang w:val="en-US"/>
              </w:rPr>
              <w:t xml:space="preserve">AAA senior securitisations exhibit a risk profile which is very similar to level 1 assets and should fall </w:t>
            </w:r>
            <w:proofErr w:type="gramStart"/>
            <w:r w:rsidRPr="00973525">
              <w:rPr>
                <w:sz w:val="20"/>
                <w:szCs w:val="20"/>
                <w:lang w:val="en-US"/>
              </w:rPr>
              <w:t>at</w:t>
            </w:r>
            <w:proofErr w:type="gramEnd"/>
            <w:r w:rsidRPr="00973525">
              <w:rPr>
                <w:sz w:val="20"/>
                <w:szCs w:val="20"/>
                <w:lang w:val="en-US"/>
              </w:rPr>
              <w:t xml:space="preserve"> a minimum in the Level 2A category. If we look at European AAA RMBS, like </w:t>
            </w:r>
            <w:r w:rsidRPr="00973525">
              <w:rPr>
                <w:sz w:val="20"/>
                <w:szCs w:val="20"/>
                <w:lang w:val="en-US"/>
              </w:rPr>
              <w:lastRenderedPageBreak/>
              <w:t xml:space="preserve">AAA covered </w:t>
            </w:r>
            <w:proofErr w:type="gramStart"/>
            <w:r w:rsidRPr="00973525">
              <w:rPr>
                <w:sz w:val="20"/>
                <w:szCs w:val="20"/>
                <w:lang w:val="en-US"/>
              </w:rPr>
              <w:t>bonds</w:t>
            </w:r>
            <w:proofErr w:type="gramEnd"/>
            <w:r w:rsidRPr="00973525">
              <w:rPr>
                <w:sz w:val="20"/>
                <w:szCs w:val="20"/>
                <w:lang w:val="en-US"/>
              </w:rPr>
              <w:t xml:space="preserve"> they have experienced a low default rate as measured by rating agency (for S&amp;P, the average cumulative defaults over 10year horizon for AAA European RMBS -from 1983 to 2022- is 0.12%) quite comparable to some sovereign risk in the EU. It should be noticed that European real estate assets exhibit a much lower default rate than US assets even before being securitized into RMBS or covered bonds, and EU RMBS have not suffered the kind of losses that were seen in the US during the subprime crisis.</w:t>
            </w:r>
          </w:p>
          <w:p w14:paraId="4E476917" w14:textId="77777777" w:rsidR="00C21071" w:rsidRPr="00973525" w:rsidRDefault="00C21071" w:rsidP="00C21071">
            <w:pPr>
              <w:rPr>
                <w:sz w:val="20"/>
                <w:szCs w:val="20"/>
                <w:lang w:val="en-US"/>
              </w:rPr>
            </w:pPr>
          </w:p>
          <w:p w14:paraId="24978401" w14:textId="77777777" w:rsidR="00C21071" w:rsidRPr="00973525" w:rsidRDefault="00C21071" w:rsidP="00C21071">
            <w:pPr>
              <w:rPr>
                <w:sz w:val="20"/>
                <w:szCs w:val="20"/>
                <w:lang w:val="en-US"/>
              </w:rPr>
            </w:pPr>
            <w:r w:rsidRPr="00973525">
              <w:rPr>
                <w:sz w:val="20"/>
                <w:szCs w:val="20"/>
                <w:lang w:val="en-US"/>
              </w:rPr>
              <w:t xml:space="preserve">The level 2B bucket seems to focus on slightly less liquid bonds, hence it could be fit for bonds having </w:t>
            </w:r>
            <w:proofErr w:type="gramStart"/>
            <w:r w:rsidRPr="00973525">
              <w:rPr>
                <w:sz w:val="20"/>
                <w:szCs w:val="20"/>
                <w:lang w:val="en-US"/>
              </w:rPr>
              <w:t>non STS</w:t>
            </w:r>
            <w:proofErr w:type="gramEnd"/>
            <w:r w:rsidRPr="00973525">
              <w:rPr>
                <w:sz w:val="20"/>
                <w:szCs w:val="20"/>
                <w:lang w:val="en-US"/>
              </w:rPr>
              <w:t xml:space="preserve"> validation and similar credit quality (AAA to AA-). </w:t>
            </w:r>
          </w:p>
          <w:p w14:paraId="63AFDC60" w14:textId="77777777" w:rsidR="00C21071" w:rsidRPr="00973525" w:rsidRDefault="00C21071" w:rsidP="00C21071">
            <w:pPr>
              <w:rPr>
                <w:sz w:val="20"/>
                <w:szCs w:val="20"/>
                <w:lang w:val="en-US"/>
              </w:rPr>
            </w:pPr>
          </w:p>
          <w:p w14:paraId="31C75260" w14:textId="77777777" w:rsidR="00C21071" w:rsidRPr="00973525" w:rsidRDefault="00C21071" w:rsidP="00C21071">
            <w:pPr>
              <w:rPr>
                <w:sz w:val="18"/>
                <w:szCs w:val="18"/>
                <w:lang w:val="en-US"/>
              </w:rPr>
            </w:pPr>
          </w:p>
        </w:tc>
        <w:tc>
          <w:tcPr>
            <w:tcW w:w="236" w:type="dxa"/>
          </w:tcPr>
          <w:p w14:paraId="46AFE7FE" w14:textId="1411E637" w:rsidR="00C21071" w:rsidRPr="0079353D" w:rsidRDefault="00C21071" w:rsidP="0079353D">
            <w:pPr>
              <w:ind w:firstLine="1917"/>
              <w:rPr>
                <w:sz w:val="18"/>
                <w:szCs w:val="18"/>
                <w:lang w:val="en-GB"/>
              </w:rPr>
            </w:pPr>
          </w:p>
        </w:tc>
      </w:tr>
      <w:tr w:rsidR="00C21071" w:rsidRPr="0000602A" w14:paraId="307BB759" w14:textId="77777777" w:rsidTr="30964D0C">
        <w:trPr>
          <w:gridAfter w:val="1"/>
          <w:wAfter w:w="16" w:type="dxa"/>
        </w:trPr>
        <w:tc>
          <w:tcPr>
            <w:tcW w:w="2893" w:type="dxa"/>
          </w:tcPr>
          <w:p w14:paraId="0FECC957" w14:textId="4CF5C069" w:rsidR="00C21071" w:rsidRPr="00973525" w:rsidRDefault="00C21071" w:rsidP="00C21071">
            <w:pPr>
              <w:rPr>
                <w:sz w:val="18"/>
                <w:szCs w:val="18"/>
                <w:lang w:val="en-GB"/>
              </w:rPr>
            </w:pPr>
            <w:r w:rsidRPr="00973525">
              <w:rPr>
                <w:sz w:val="20"/>
                <w:szCs w:val="20"/>
                <w:u w:val="single"/>
                <w:lang w:val="en-GB"/>
              </w:rPr>
              <w:t>Question 9.47</w:t>
            </w:r>
            <w:r w:rsidRPr="00973525">
              <w:rPr>
                <w:sz w:val="20"/>
                <w:szCs w:val="20"/>
                <w:lang w:val="en-GB"/>
              </w:rPr>
              <w:t xml:space="preserve">. Considering your answer to 9.46, with an upgrade of securitisations from Level 2B to Level 2A HQLA, </w:t>
            </w:r>
            <w:r w:rsidRPr="00973525">
              <w:rPr>
                <w:b/>
                <w:bCs/>
                <w:sz w:val="20"/>
                <w:szCs w:val="20"/>
                <w:lang w:val="en-GB"/>
              </w:rPr>
              <w:t>by how much</w:t>
            </w:r>
            <w:r w:rsidRPr="00973525">
              <w:rPr>
                <w:sz w:val="20"/>
                <w:szCs w:val="20"/>
                <w:lang w:val="en-GB"/>
              </w:rPr>
              <w:t xml:space="preserve"> would the </w:t>
            </w:r>
            <w:r w:rsidRPr="00973525">
              <w:rPr>
                <w:b/>
                <w:bCs/>
                <w:sz w:val="20"/>
                <w:szCs w:val="20"/>
                <w:lang w:val="en-GB"/>
              </w:rPr>
              <w:t>volume</w:t>
            </w:r>
            <w:r w:rsidRPr="00973525">
              <w:rPr>
                <w:sz w:val="20"/>
                <w:szCs w:val="20"/>
                <w:lang w:val="en-GB"/>
              </w:rPr>
              <w:t xml:space="preserve"> of securitisations that you </w:t>
            </w:r>
            <w:r w:rsidRPr="00973525">
              <w:rPr>
                <w:b/>
                <w:bCs/>
                <w:sz w:val="20"/>
                <w:szCs w:val="20"/>
                <w:lang w:val="en-GB"/>
              </w:rPr>
              <w:t>invest in</w:t>
            </w:r>
            <w:r w:rsidRPr="00973525">
              <w:rPr>
                <w:sz w:val="20"/>
                <w:szCs w:val="20"/>
                <w:lang w:val="en-GB"/>
              </w:rPr>
              <w:t>, change?</w:t>
            </w:r>
          </w:p>
        </w:tc>
        <w:tc>
          <w:tcPr>
            <w:tcW w:w="7740" w:type="dxa"/>
          </w:tcPr>
          <w:p w14:paraId="0AE34B7F" w14:textId="77777777" w:rsidR="00C21071" w:rsidRPr="00973525" w:rsidRDefault="00C21071" w:rsidP="00C21071">
            <w:pPr>
              <w:rPr>
                <w:sz w:val="20"/>
                <w:szCs w:val="20"/>
                <w:lang w:val="en-GB"/>
              </w:rPr>
            </w:pPr>
          </w:p>
          <w:p w14:paraId="4CD40853" w14:textId="77777777" w:rsidR="00C21071" w:rsidRPr="00973525" w:rsidRDefault="00C21071" w:rsidP="00C21071">
            <w:pPr>
              <w:rPr>
                <w:sz w:val="20"/>
                <w:szCs w:val="20"/>
                <w:lang w:val="en-GB"/>
              </w:rPr>
            </w:pPr>
            <w:r w:rsidRPr="00973525">
              <w:rPr>
                <w:sz w:val="20"/>
                <w:szCs w:val="20"/>
                <w:lang w:val="en-GB"/>
              </w:rPr>
              <w:t>As the sole modification of regulation in 2018 (</w:t>
            </w:r>
            <w:r w:rsidRPr="00591C29">
              <w:rPr>
                <w:b/>
                <w:bCs/>
                <w:sz w:val="20"/>
                <w:szCs w:val="20"/>
                <w:lang w:val="en-GB"/>
              </w:rPr>
              <w:t>2018/1620</w:t>
            </w:r>
            <w:r w:rsidRPr="00973525">
              <w:rPr>
                <w:sz w:val="20"/>
                <w:szCs w:val="20"/>
                <w:lang w:val="en-GB"/>
              </w:rPr>
              <w:t>) (bringing additional restrictions on Level 2B eligibility in 2019) has generated a disruption of /3 of the volumes held in LCR buffer, we could hope that a modification of eligibility would have a stronger potential impact on the securitisation’s detentions in Buffer.</w:t>
            </w:r>
          </w:p>
          <w:p w14:paraId="7D503309" w14:textId="77777777" w:rsidR="00C21071" w:rsidRPr="00973525" w:rsidRDefault="00C21071" w:rsidP="00C21071">
            <w:pPr>
              <w:rPr>
                <w:sz w:val="20"/>
                <w:szCs w:val="20"/>
                <w:lang w:val="en-GB"/>
              </w:rPr>
            </w:pPr>
            <w:r w:rsidRPr="00973525">
              <w:rPr>
                <w:noProof/>
                <w:sz w:val="20"/>
                <w:szCs w:val="20"/>
                <w14:ligatures w14:val="none"/>
              </w:rPr>
              <w:drawing>
                <wp:inline distT="0" distB="0" distL="0" distR="0" wp14:anchorId="338C6DD8" wp14:editId="2D5ECC37">
                  <wp:extent cx="4762500" cy="1574890"/>
                  <wp:effectExtent l="0" t="0" r="0" b="6350"/>
                  <wp:docPr id="624579255" name="Image 1"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926767" name="Image 1" descr="Une image contenant texte, capture d’écran, nombre, Police&#10;&#10;Description générée automatiquement"/>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797490" cy="1586461"/>
                          </a:xfrm>
                          <a:prstGeom prst="rect">
                            <a:avLst/>
                          </a:prstGeom>
                          <a:noFill/>
                          <a:ln>
                            <a:noFill/>
                          </a:ln>
                        </pic:spPr>
                      </pic:pic>
                    </a:graphicData>
                  </a:graphic>
                </wp:inline>
              </w:drawing>
            </w:r>
          </w:p>
          <w:p w14:paraId="08C2ED23" w14:textId="04FDBD53" w:rsidR="00C21071" w:rsidRPr="00973525" w:rsidRDefault="00C21071" w:rsidP="00C21071">
            <w:pPr>
              <w:rPr>
                <w:sz w:val="20"/>
                <w:szCs w:val="20"/>
                <w:lang w:val="en-US"/>
              </w:rPr>
            </w:pPr>
            <w:r w:rsidRPr="00973525">
              <w:rPr>
                <w:sz w:val="20"/>
                <w:szCs w:val="20"/>
                <w:lang w:val="en-US"/>
              </w:rPr>
              <w:t>In addition, the cap on Level 2A (40%) is much higher than on level 2B (15%), so we could</w:t>
            </w:r>
            <w:r w:rsidR="0080038F">
              <w:rPr>
                <w:sz w:val="20"/>
                <w:szCs w:val="20"/>
                <w:lang w:val="en-US"/>
              </w:rPr>
              <w:t xml:space="preserve"> logically</w:t>
            </w:r>
            <w:r w:rsidRPr="00973525">
              <w:rPr>
                <w:sz w:val="20"/>
                <w:szCs w:val="20"/>
                <w:lang w:val="en-US"/>
              </w:rPr>
              <w:t xml:space="preserve"> expect the volumes to increase</w:t>
            </w:r>
            <w:r w:rsidR="0080038F">
              <w:rPr>
                <w:sz w:val="20"/>
                <w:szCs w:val="20"/>
                <w:lang w:val="en-US"/>
              </w:rPr>
              <w:t>.</w:t>
            </w:r>
          </w:p>
          <w:p w14:paraId="39101DC6" w14:textId="77777777" w:rsidR="00C21071" w:rsidRPr="00973525" w:rsidRDefault="00C21071" w:rsidP="00C21071">
            <w:pPr>
              <w:rPr>
                <w:sz w:val="20"/>
                <w:szCs w:val="20"/>
                <w:lang w:val="en-US"/>
              </w:rPr>
            </w:pPr>
          </w:p>
          <w:p w14:paraId="3A530867" w14:textId="77777777" w:rsidR="00C21071" w:rsidRPr="00973525" w:rsidRDefault="00C21071" w:rsidP="00C21071">
            <w:pPr>
              <w:rPr>
                <w:sz w:val="20"/>
                <w:szCs w:val="20"/>
                <w:lang w:val="en-US"/>
              </w:rPr>
            </w:pPr>
          </w:p>
          <w:p w14:paraId="1E76183C" w14:textId="77777777" w:rsidR="00C21071" w:rsidRPr="00973525" w:rsidRDefault="00C21071" w:rsidP="00C21071">
            <w:pPr>
              <w:rPr>
                <w:sz w:val="20"/>
                <w:szCs w:val="20"/>
                <w:lang w:val="en-US"/>
              </w:rPr>
            </w:pPr>
          </w:p>
          <w:p w14:paraId="09F4C169" w14:textId="77777777" w:rsidR="00C21071" w:rsidRPr="00973525" w:rsidRDefault="00C21071" w:rsidP="00C21071">
            <w:pPr>
              <w:rPr>
                <w:sz w:val="18"/>
                <w:szCs w:val="18"/>
                <w:lang w:val="en-US"/>
              </w:rPr>
            </w:pPr>
          </w:p>
        </w:tc>
        <w:tc>
          <w:tcPr>
            <w:tcW w:w="236" w:type="dxa"/>
          </w:tcPr>
          <w:p w14:paraId="24AD9E76" w14:textId="2A1F5C79" w:rsidR="00C21071" w:rsidRPr="002021D8" w:rsidRDefault="00C21071" w:rsidP="0079353D">
            <w:pPr>
              <w:ind w:firstLine="1917"/>
              <w:rPr>
                <w:sz w:val="20"/>
                <w:szCs w:val="20"/>
                <w:lang w:val="en-GB"/>
              </w:rPr>
            </w:pPr>
            <w:r w:rsidRPr="00644579">
              <w:rPr>
                <w:sz w:val="20"/>
                <w:szCs w:val="20"/>
                <w:lang w:val="en-GB"/>
              </w:rPr>
              <w:t xml:space="preserve"> </w:t>
            </w:r>
          </w:p>
          <w:p w14:paraId="0DAC9278" w14:textId="77777777" w:rsidR="00C21071" w:rsidRPr="002021D8" w:rsidRDefault="00C21071" w:rsidP="0079353D">
            <w:pPr>
              <w:ind w:firstLine="1917"/>
              <w:rPr>
                <w:sz w:val="18"/>
                <w:szCs w:val="18"/>
                <w:lang w:val="en-GB"/>
              </w:rPr>
            </w:pPr>
          </w:p>
        </w:tc>
      </w:tr>
      <w:tr w:rsidR="00C21071" w:rsidRPr="0000602A" w14:paraId="5FBD0161" w14:textId="77777777" w:rsidTr="30964D0C">
        <w:trPr>
          <w:gridAfter w:val="1"/>
          <w:wAfter w:w="16" w:type="dxa"/>
        </w:trPr>
        <w:tc>
          <w:tcPr>
            <w:tcW w:w="2893" w:type="dxa"/>
          </w:tcPr>
          <w:p w14:paraId="509C8FB4" w14:textId="2BF41FEC" w:rsidR="00C21071" w:rsidRPr="00973525" w:rsidRDefault="00C21071" w:rsidP="00C21071">
            <w:pPr>
              <w:rPr>
                <w:sz w:val="18"/>
                <w:szCs w:val="18"/>
                <w:lang w:val="en-GB"/>
              </w:rPr>
            </w:pPr>
            <w:r w:rsidRPr="00973525">
              <w:rPr>
                <w:sz w:val="20"/>
                <w:szCs w:val="20"/>
                <w:u w:val="single"/>
                <w:lang w:val="en-GB"/>
              </w:rPr>
              <w:t>Question 9.48</w:t>
            </w:r>
            <w:r w:rsidRPr="00973525">
              <w:rPr>
                <w:sz w:val="20"/>
                <w:szCs w:val="20"/>
                <w:lang w:val="en-GB"/>
              </w:rPr>
              <w:t xml:space="preserve">. Are there any </w:t>
            </w:r>
            <w:r w:rsidRPr="00973525">
              <w:rPr>
                <w:b/>
                <w:bCs/>
                <w:sz w:val="20"/>
                <w:szCs w:val="20"/>
                <w:lang w:val="en-GB"/>
              </w:rPr>
              <w:t>impediments</w:t>
            </w:r>
            <w:r w:rsidRPr="00973525">
              <w:rPr>
                <w:sz w:val="20"/>
                <w:szCs w:val="20"/>
                <w:lang w:val="en-GB"/>
              </w:rPr>
              <w:t xml:space="preserve"> in the </w:t>
            </w:r>
            <w:r w:rsidRPr="00973525">
              <w:rPr>
                <w:b/>
                <w:bCs/>
                <w:sz w:val="20"/>
                <w:szCs w:val="20"/>
                <w:lang w:val="en-GB"/>
              </w:rPr>
              <w:t>current liquidity framework</w:t>
            </w:r>
            <w:r w:rsidRPr="00973525">
              <w:rPr>
                <w:sz w:val="20"/>
                <w:szCs w:val="20"/>
                <w:lang w:val="en-GB"/>
              </w:rPr>
              <w:t xml:space="preserve"> that prevent or discourage banks from making a better use of their </w:t>
            </w:r>
            <w:r w:rsidRPr="00973525">
              <w:rPr>
                <w:b/>
                <w:bCs/>
                <w:sz w:val="20"/>
                <w:szCs w:val="20"/>
                <w:lang w:val="en-GB"/>
              </w:rPr>
              <w:t>liquidity buffer</w:t>
            </w:r>
            <w:r w:rsidRPr="00973525">
              <w:rPr>
                <w:sz w:val="20"/>
                <w:szCs w:val="20"/>
                <w:lang w:val="en-GB"/>
              </w:rPr>
              <w:t xml:space="preserve"> capacity and from </w:t>
            </w:r>
            <w:r w:rsidRPr="00973525">
              <w:rPr>
                <w:b/>
                <w:bCs/>
                <w:sz w:val="20"/>
                <w:szCs w:val="20"/>
                <w:lang w:val="en-GB"/>
              </w:rPr>
              <w:t>increasing</w:t>
            </w:r>
            <w:r w:rsidRPr="00973525">
              <w:rPr>
                <w:sz w:val="20"/>
                <w:szCs w:val="20"/>
                <w:lang w:val="en-GB"/>
              </w:rPr>
              <w:t xml:space="preserve"> their investments in securitisation exposures?</w:t>
            </w:r>
          </w:p>
        </w:tc>
        <w:tc>
          <w:tcPr>
            <w:tcW w:w="7740" w:type="dxa"/>
          </w:tcPr>
          <w:p w14:paraId="4F797CD2" w14:textId="77777777" w:rsidR="00C21071" w:rsidRPr="00973525" w:rsidRDefault="00C21071" w:rsidP="00C21071">
            <w:pPr>
              <w:rPr>
                <w:sz w:val="20"/>
                <w:szCs w:val="20"/>
                <w:lang w:val="en-GB"/>
              </w:rPr>
            </w:pPr>
            <w:r w:rsidRPr="00973525">
              <w:rPr>
                <w:sz w:val="20"/>
                <w:szCs w:val="20"/>
                <w:lang w:val="en-GB"/>
              </w:rPr>
              <w:t>Answer</w:t>
            </w:r>
          </w:p>
          <w:p w14:paraId="02B66733" w14:textId="77777777" w:rsidR="00C21071" w:rsidRPr="00973525" w:rsidRDefault="00000000" w:rsidP="00C21071">
            <w:pPr>
              <w:rPr>
                <w:b/>
                <w:bCs/>
                <w:sz w:val="20"/>
                <w:szCs w:val="20"/>
                <w:lang w:val="en-GB"/>
              </w:rPr>
            </w:pPr>
            <w:sdt>
              <w:sdtPr>
                <w:rPr>
                  <w:b/>
                  <w:bCs/>
                  <w:sz w:val="20"/>
                  <w:szCs w:val="20"/>
                  <w:lang w:val="en-GB"/>
                </w:rPr>
                <w:id w:val="-2042587030"/>
                <w14:checkbox>
                  <w14:checked w14:val="1"/>
                  <w14:checkedState w14:val="2612" w14:font="MS Gothic"/>
                  <w14:uncheckedState w14:val="2610" w14:font="MS Gothic"/>
                </w14:checkbox>
              </w:sdtPr>
              <w:sdtContent>
                <w:r w:rsidR="00C21071" w:rsidRPr="00973525">
                  <w:rPr>
                    <w:rFonts w:ascii="Segoe UI Symbol" w:eastAsia="MS Gothic" w:hAnsi="Segoe UI Symbol" w:cs="Segoe UI Symbol"/>
                    <w:b/>
                    <w:bCs/>
                    <w:sz w:val="20"/>
                    <w:szCs w:val="20"/>
                    <w:lang w:val="en-GB"/>
                  </w:rPr>
                  <w:t>☒</w:t>
                </w:r>
              </w:sdtContent>
            </w:sdt>
            <w:r w:rsidR="00C21071" w:rsidRPr="00973525">
              <w:rPr>
                <w:b/>
                <w:bCs/>
                <w:sz w:val="20"/>
                <w:szCs w:val="20"/>
                <w:lang w:val="en-GB"/>
              </w:rPr>
              <w:t>Yes</w:t>
            </w:r>
          </w:p>
          <w:p w14:paraId="2AA1BA03" w14:textId="77777777" w:rsidR="00C21071" w:rsidRPr="00973525" w:rsidRDefault="00000000" w:rsidP="00C21071">
            <w:pPr>
              <w:rPr>
                <w:sz w:val="20"/>
                <w:szCs w:val="20"/>
                <w:lang w:val="en-GB"/>
              </w:rPr>
            </w:pPr>
            <w:sdt>
              <w:sdtPr>
                <w:rPr>
                  <w:sz w:val="20"/>
                  <w:szCs w:val="20"/>
                  <w:lang w:val="en-GB"/>
                </w:rPr>
                <w:id w:val="-2067249129"/>
                <w14:checkbox>
                  <w14:checked w14:val="0"/>
                  <w14:checkedState w14:val="2612" w14:font="MS Gothic"/>
                  <w14:uncheckedState w14:val="2610" w14:font="MS Gothic"/>
                </w14:checkbox>
              </w:sdtPr>
              <w:sdtContent>
                <w:r w:rsidR="00C21071" w:rsidRPr="00973525">
                  <w:rPr>
                    <w:rFonts w:eastAsia="MS Gothic"/>
                    <w:sz w:val="20"/>
                    <w:szCs w:val="20"/>
                    <w:lang w:val="en-GB"/>
                  </w:rPr>
                  <w:t>☐</w:t>
                </w:r>
              </w:sdtContent>
            </w:sdt>
            <w:r w:rsidR="00C21071" w:rsidRPr="00973525">
              <w:rPr>
                <w:sz w:val="20"/>
                <w:szCs w:val="20"/>
                <w:lang w:val="en-GB"/>
              </w:rPr>
              <w:t>No</w:t>
            </w:r>
          </w:p>
          <w:p w14:paraId="1969DE8F" w14:textId="77777777" w:rsidR="00C21071" w:rsidRPr="00973525" w:rsidRDefault="00000000" w:rsidP="00C21071">
            <w:pPr>
              <w:rPr>
                <w:sz w:val="20"/>
                <w:szCs w:val="20"/>
                <w:lang w:val="en-GB"/>
              </w:rPr>
            </w:pPr>
            <w:sdt>
              <w:sdtPr>
                <w:rPr>
                  <w:sz w:val="20"/>
                  <w:szCs w:val="20"/>
                  <w:lang w:val="en-GB"/>
                </w:rPr>
                <w:id w:val="-216748183"/>
                <w14:checkbox>
                  <w14:checked w14:val="0"/>
                  <w14:checkedState w14:val="2612" w14:font="MS Gothic"/>
                  <w14:uncheckedState w14:val="2610" w14:font="MS Gothic"/>
                </w14:checkbox>
              </w:sdtPr>
              <w:sdtContent>
                <w:r w:rsidR="00C21071" w:rsidRPr="00973525">
                  <w:rPr>
                    <w:rFonts w:eastAsia="MS Gothic"/>
                    <w:sz w:val="20"/>
                    <w:szCs w:val="20"/>
                    <w:lang w:val="en-GB"/>
                  </w:rPr>
                  <w:t>☐</w:t>
                </w:r>
              </w:sdtContent>
            </w:sdt>
            <w:r w:rsidR="00C21071" w:rsidRPr="00973525">
              <w:rPr>
                <w:sz w:val="20"/>
                <w:szCs w:val="20"/>
                <w:lang w:val="en-GB"/>
              </w:rPr>
              <w:t>Don’t know / no opinion / not applicable</w:t>
            </w:r>
          </w:p>
          <w:p w14:paraId="0D8BD9C9" w14:textId="77777777" w:rsidR="00C21071" w:rsidRPr="00973525" w:rsidRDefault="00C21071" w:rsidP="00C21071">
            <w:pPr>
              <w:rPr>
                <w:sz w:val="20"/>
                <w:szCs w:val="20"/>
                <w:lang w:val="en-US"/>
              </w:rPr>
            </w:pPr>
          </w:p>
          <w:p w14:paraId="492EB296" w14:textId="77777777" w:rsidR="00C21071" w:rsidRPr="00973525" w:rsidRDefault="00C21071" w:rsidP="00C21071">
            <w:pPr>
              <w:rPr>
                <w:sz w:val="20"/>
                <w:szCs w:val="20"/>
                <w:lang w:val="en-US"/>
              </w:rPr>
            </w:pPr>
          </w:p>
          <w:p w14:paraId="1F85F1AC" w14:textId="77777777" w:rsidR="00C21071" w:rsidRPr="00973525" w:rsidRDefault="00C21071" w:rsidP="00C21071">
            <w:pPr>
              <w:rPr>
                <w:sz w:val="20"/>
                <w:szCs w:val="20"/>
                <w:lang w:val="en-US"/>
              </w:rPr>
            </w:pPr>
          </w:p>
          <w:p w14:paraId="2141BFF0" w14:textId="77777777" w:rsidR="00C21071" w:rsidRPr="00973525" w:rsidRDefault="00C21071" w:rsidP="00C21071">
            <w:pPr>
              <w:rPr>
                <w:sz w:val="18"/>
                <w:szCs w:val="18"/>
                <w:lang w:val="en-US"/>
              </w:rPr>
            </w:pPr>
          </w:p>
        </w:tc>
        <w:tc>
          <w:tcPr>
            <w:tcW w:w="236" w:type="dxa"/>
          </w:tcPr>
          <w:p w14:paraId="726D21F7" w14:textId="77777777" w:rsidR="00C21071" w:rsidRPr="00973525" w:rsidRDefault="00C21071" w:rsidP="0079353D">
            <w:pPr>
              <w:ind w:firstLine="1917"/>
              <w:rPr>
                <w:sz w:val="18"/>
                <w:szCs w:val="18"/>
                <w:lang w:val="en-GB"/>
              </w:rPr>
            </w:pPr>
          </w:p>
        </w:tc>
      </w:tr>
      <w:tr w:rsidR="00C21071" w:rsidRPr="0000602A" w14:paraId="541FBA87" w14:textId="77777777" w:rsidTr="30964D0C">
        <w:trPr>
          <w:gridAfter w:val="1"/>
          <w:wAfter w:w="16" w:type="dxa"/>
        </w:trPr>
        <w:tc>
          <w:tcPr>
            <w:tcW w:w="2893" w:type="dxa"/>
          </w:tcPr>
          <w:p w14:paraId="70950A67" w14:textId="77777777" w:rsidR="00C21071" w:rsidRPr="00973525" w:rsidRDefault="00C21071" w:rsidP="00C21071">
            <w:pPr>
              <w:rPr>
                <w:sz w:val="20"/>
                <w:szCs w:val="20"/>
                <w:lang w:val="en-GB"/>
              </w:rPr>
            </w:pPr>
            <w:r w:rsidRPr="00973525">
              <w:rPr>
                <w:sz w:val="20"/>
                <w:szCs w:val="20"/>
                <w:u w:val="single"/>
                <w:lang w:val="en-GB"/>
              </w:rPr>
              <w:t>Question 9.49.</w:t>
            </w:r>
            <w:r w:rsidRPr="00973525">
              <w:rPr>
                <w:sz w:val="20"/>
                <w:szCs w:val="20"/>
                <w:lang w:val="en-GB"/>
              </w:rPr>
              <w:t xml:space="preserve"> If you answered yes to question 9.48, please specify what </w:t>
            </w:r>
            <w:proofErr w:type="gramStart"/>
            <w:r w:rsidRPr="00973525">
              <w:rPr>
                <w:sz w:val="20"/>
                <w:szCs w:val="20"/>
                <w:lang w:val="en-GB"/>
              </w:rPr>
              <w:t xml:space="preserve">are the </w:t>
            </w:r>
            <w:r w:rsidRPr="00973525">
              <w:rPr>
                <w:b/>
                <w:bCs/>
                <w:sz w:val="20"/>
                <w:szCs w:val="20"/>
                <w:lang w:val="en-GB"/>
              </w:rPr>
              <w:t>impediments</w:t>
            </w:r>
            <w:proofErr w:type="gramEnd"/>
            <w:r w:rsidRPr="00973525">
              <w:rPr>
                <w:sz w:val="20"/>
                <w:szCs w:val="20"/>
                <w:lang w:val="en-GB"/>
              </w:rPr>
              <w:t xml:space="preserve"> and provide </w:t>
            </w:r>
            <w:r w:rsidRPr="00973525">
              <w:rPr>
                <w:b/>
                <w:bCs/>
                <w:sz w:val="20"/>
                <w:szCs w:val="20"/>
                <w:lang w:val="en-GB"/>
              </w:rPr>
              <w:t>suggestions</w:t>
            </w:r>
            <w:r w:rsidRPr="00973525">
              <w:rPr>
                <w:sz w:val="20"/>
                <w:szCs w:val="20"/>
                <w:lang w:val="en-GB"/>
              </w:rPr>
              <w:t xml:space="preserve"> for targeted amendments to make the liquidity treatment more </w:t>
            </w:r>
            <w:r w:rsidRPr="00973525">
              <w:rPr>
                <w:b/>
                <w:bCs/>
                <w:sz w:val="20"/>
                <w:szCs w:val="20"/>
                <w:lang w:val="en-GB"/>
              </w:rPr>
              <w:t>proportionate</w:t>
            </w:r>
            <w:r w:rsidRPr="00973525">
              <w:rPr>
                <w:sz w:val="20"/>
                <w:szCs w:val="20"/>
                <w:lang w:val="en-GB"/>
              </w:rPr>
              <w:t>, without endangering financial stability.</w:t>
            </w:r>
            <w:r w:rsidRPr="00973525">
              <w:rPr>
                <w:sz w:val="20"/>
                <w:szCs w:val="20"/>
                <w:lang w:val="en-GB"/>
              </w:rPr>
              <w:br/>
            </w:r>
            <w:r w:rsidRPr="00973525">
              <w:rPr>
                <w:sz w:val="20"/>
                <w:szCs w:val="20"/>
                <w:lang w:val="en-GB"/>
              </w:rPr>
              <w:br/>
              <w:t xml:space="preserve">Provide </w:t>
            </w:r>
            <w:r w:rsidRPr="00973525">
              <w:rPr>
                <w:b/>
                <w:bCs/>
                <w:sz w:val="20"/>
                <w:szCs w:val="20"/>
                <w:lang w:val="en-GB"/>
              </w:rPr>
              <w:t>estimates</w:t>
            </w:r>
            <w:r w:rsidRPr="00973525">
              <w:rPr>
                <w:sz w:val="20"/>
                <w:szCs w:val="20"/>
                <w:lang w:val="en-GB"/>
              </w:rPr>
              <w:t xml:space="preserve"> of the potential </w:t>
            </w:r>
            <w:r w:rsidRPr="00973525">
              <w:rPr>
                <w:b/>
                <w:bCs/>
                <w:sz w:val="20"/>
                <w:szCs w:val="20"/>
                <w:lang w:val="en-GB"/>
              </w:rPr>
              <w:t>additional</w:t>
            </w:r>
            <w:r w:rsidRPr="00973525">
              <w:rPr>
                <w:sz w:val="20"/>
                <w:szCs w:val="20"/>
                <w:lang w:val="en-GB"/>
              </w:rPr>
              <w:t xml:space="preserve"> </w:t>
            </w:r>
            <w:r w:rsidRPr="00973525">
              <w:rPr>
                <w:b/>
                <w:bCs/>
                <w:sz w:val="20"/>
                <w:szCs w:val="20"/>
                <w:lang w:val="en-GB"/>
              </w:rPr>
              <w:t>volumes</w:t>
            </w:r>
            <w:r w:rsidRPr="00973525">
              <w:rPr>
                <w:sz w:val="20"/>
                <w:szCs w:val="20"/>
                <w:lang w:val="en-GB"/>
              </w:rPr>
              <w:t xml:space="preserve"> of securitisations that could be </w:t>
            </w:r>
            <w:r w:rsidRPr="00973525">
              <w:rPr>
                <w:sz w:val="20"/>
                <w:szCs w:val="20"/>
                <w:lang w:val="en-GB"/>
              </w:rPr>
              <w:lastRenderedPageBreak/>
              <w:t>included in banks’ liquidity buffers.</w:t>
            </w:r>
          </w:p>
          <w:p w14:paraId="0B199F67" w14:textId="77777777" w:rsidR="00C21071" w:rsidRPr="00973525" w:rsidRDefault="00C21071" w:rsidP="00C21071">
            <w:pPr>
              <w:rPr>
                <w:sz w:val="18"/>
                <w:szCs w:val="18"/>
                <w:lang w:val="en-GB"/>
              </w:rPr>
            </w:pPr>
          </w:p>
        </w:tc>
        <w:tc>
          <w:tcPr>
            <w:tcW w:w="7740" w:type="dxa"/>
          </w:tcPr>
          <w:p w14:paraId="20BD1718" w14:textId="1E98FB85" w:rsidR="00C21071" w:rsidRPr="00973525" w:rsidRDefault="00C21071" w:rsidP="00C21071">
            <w:pPr>
              <w:rPr>
                <w:sz w:val="20"/>
                <w:szCs w:val="20"/>
                <w:lang w:val="en-US"/>
              </w:rPr>
            </w:pPr>
            <w:r w:rsidRPr="00973525">
              <w:rPr>
                <w:sz w:val="20"/>
                <w:szCs w:val="20"/>
                <w:lang w:val="en-US"/>
              </w:rPr>
              <w:lastRenderedPageBreak/>
              <w:t xml:space="preserve">See above – we suggest reverting to level 2 </w:t>
            </w:r>
            <w:proofErr w:type="gramStart"/>
            <w:r w:rsidRPr="00973525">
              <w:rPr>
                <w:sz w:val="20"/>
                <w:szCs w:val="20"/>
                <w:lang w:val="en-US"/>
              </w:rPr>
              <w:t>A  for</w:t>
            </w:r>
            <w:proofErr w:type="gramEnd"/>
            <w:r w:rsidRPr="00973525">
              <w:rPr>
                <w:sz w:val="20"/>
                <w:szCs w:val="20"/>
                <w:lang w:val="en-US"/>
              </w:rPr>
              <w:t xml:space="preserve"> STS senior securitizations rated AA- to AAA and having non-STS senior securitizations rated AA- to AAA eligible to level 2B</w:t>
            </w:r>
          </w:p>
          <w:p w14:paraId="112BA8FF" w14:textId="77777777" w:rsidR="00C21071" w:rsidRPr="00973525" w:rsidRDefault="00C21071" w:rsidP="00C21071">
            <w:pPr>
              <w:rPr>
                <w:sz w:val="20"/>
                <w:szCs w:val="20"/>
                <w:lang w:val="en-US"/>
              </w:rPr>
            </w:pPr>
          </w:p>
          <w:p w14:paraId="52FEF7BB" w14:textId="77777777" w:rsidR="00C21071" w:rsidRPr="00973525" w:rsidRDefault="00C21071" w:rsidP="00C21071">
            <w:pPr>
              <w:rPr>
                <w:sz w:val="20"/>
                <w:szCs w:val="20"/>
                <w:lang w:val="en-US"/>
              </w:rPr>
            </w:pPr>
            <w:r w:rsidRPr="00973525">
              <w:rPr>
                <w:sz w:val="20"/>
                <w:szCs w:val="20"/>
                <w:lang w:val="en-US"/>
              </w:rPr>
              <w:t>Currently securitisation can be part of bucket 2B, which is the smallest bucket. It is very restrictive. This is a strong reduction compared to the usage of banks before the introduction of this limit.</w:t>
            </w:r>
          </w:p>
          <w:p w14:paraId="1A72AA83" w14:textId="77777777" w:rsidR="00C21071" w:rsidRPr="00973525" w:rsidRDefault="00C21071" w:rsidP="00C21071">
            <w:pPr>
              <w:rPr>
                <w:sz w:val="20"/>
                <w:szCs w:val="20"/>
                <w:lang w:val="en-US"/>
              </w:rPr>
            </w:pPr>
          </w:p>
          <w:p w14:paraId="3C041472" w14:textId="77777777" w:rsidR="00C21071" w:rsidRPr="00973525" w:rsidRDefault="00C21071" w:rsidP="00C21071">
            <w:pPr>
              <w:rPr>
                <w:sz w:val="20"/>
                <w:szCs w:val="20"/>
                <w:lang w:val="en-US"/>
              </w:rPr>
            </w:pPr>
            <w:r w:rsidRPr="00973525">
              <w:rPr>
                <w:sz w:val="20"/>
                <w:szCs w:val="20"/>
                <w:lang w:val="en-US"/>
              </w:rPr>
              <w:t xml:space="preserve">Another impediment is linked to the </w:t>
            </w:r>
            <w:r w:rsidRPr="00973525">
              <w:rPr>
                <w:sz w:val="20"/>
                <w:szCs w:val="20"/>
                <w:u w:val="single"/>
                <w:lang w:val="en-US"/>
              </w:rPr>
              <w:t>level of due diligence</w:t>
            </w:r>
            <w:r w:rsidRPr="00973525">
              <w:rPr>
                <w:sz w:val="20"/>
                <w:szCs w:val="20"/>
                <w:lang w:val="en-US"/>
              </w:rPr>
              <w:t xml:space="preserve"> that banks should put in place (even in the case of a repo transaction). Simplifications should be granted for senior tranches of high quality. It is doubtful that a </w:t>
            </w:r>
            <w:r w:rsidRPr="0080038F">
              <w:rPr>
                <w:sz w:val="20"/>
                <w:szCs w:val="20"/>
                <w:lang w:val="en-US"/>
              </w:rPr>
              <w:t>simple Short-Term repo</w:t>
            </w:r>
            <w:r w:rsidRPr="00973525">
              <w:rPr>
                <w:sz w:val="20"/>
                <w:szCs w:val="20"/>
                <w:lang w:val="en-US"/>
              </w:rPr>
              <w:t xml:space="preserve"> with an ABS senior tranche that is protected by an important first loss would require any due diligence at all. </w:t>
            </w:r>
          </w:p>
          <w:p w14:paraId="03911D61" w14:textId="77777777" w:rsidR="00C21071" w:rsidRPr="00973525" w:rsidRDefault="00C21071" w:rsidP="00C21071">
            <w:pPr>
              <w:rPr>
                <w:sz w:val="20"/>
                <w:szCs w:val="20"/>
                <w:lang w:val="en-US"/>
              </w:rPr>
            </w:pPr>
            <w:r w:rsidRPr="00973525">
              <w:rPr>
                <w:sz w:val="20"/>
                <w:szCs w:val="20"/>
                <w:lang w:val="en-US"/>
              </w:rPr>
              <w:lastRenderedPageBreak/>
              <w:t>Even some renowned major actors, such as some European regional central banks, have</w:t>
            </w:r>
            <w:r w:rsidRPr="00973525">
              <w:rPr>
                <w:sz w:val="20"/>
                <w:szCs w:val="20"/>
                <w:lang w:val="en-GB"/>
              </w:rPr>
              <w:t xml:space="preserve"> let it know that they used less than half of the disclosed data to be checked as per due diligence requirements. </w:t>
            </w:r>
          </w:p>
          <w:p w14:paraId="7120BC0C" w14:textId="77777777" w:rsidR="00C21071" w:rsidRPr="00973525" w:rsidRDefault="00C21071" w:rsidP="00C21071">
            <w:pPr>
              <w:rPr>
                <w:sz w:val="20"/>
                <w:szCs w:val="20"/>
                <w:lang w:val="en-US"/>
              </w:rPr>
            </w:pPr>
          </w:p>
          <w:p w14:paraId="0FDAFFD7" w14:textId="77777777" w:rsidR="00C21071" w:rsidRPr="00973525" w:rsidRDefault="00C21071" w:rsidP="00C21071">
            <w:pPr>
              <w:rPr>
                <w:sz w:val="20"/>
                <w:szCs w:val="20"/>
                <w:lang w:val="en-US"/>
              </w:rPr>
            </w:pPr>
            <w:r w:rsidRPr="00973525">
              <w:rPr>
                <w:sz w:val="20"/>
                <w:szCs w:val="20"/>
                <w:lang w:val="en-US"/>
              </w:rPr>
              <w:t>Here again, a strong simplification is needed.</w:t>
            </w:r>
          </w:p>
          <w:p w14:paraId="5F9588BC" w14:textId="77777777" w:rsidR="00C21071" w:rsidRPr="00973525" w:rsidRDefault="00C21071" w:rsidP="00C21071">
            <w:pPr>
              <w:rPr>
                <w:sz w:val="20"/>
                <w:szCs w:val="20"/>
                <w:lang w:val="en-US"/>
              </w:rPr>
            </w:pPr>
          </w:p>
          <w:p w14:paraId="7104FBEC" w14:textId="77777777" w:rsidR="00C21071" w:rsidRPr="00973525" w:rsidRDefault="00C21071" w:rsidP="00C21071">
            <w:pPr>
              <w:rPr>
                <w:sz w:val="18"/>
                <w:szCs w:val="18"/>
                <w:lang w:val="en-US"/>
              </w:rPr>
            </w:pPr>
          </w:p>
        </w:tc>
        <w:tc>
          <w:tcPr>
            <w:tcW w:w="236" w:type="dxa"/>
          </w:tcPr>
          <w:p w14:paraId="67416DD7" w14:textId="3A48D97F" w:rsidR="00C21071" w:rsidRPr="00FD2D3E" w:rsidRDefault="00C21071" w:rsidP="0079353D">
            <w:pPr>
              <w:ind w:firstLine="1917"/>
              <w:rPr>
                <w:sz w:val="18"/>
                <w:szCs w:val="18"/>
                <w:lang w:val="en-GB"/>
              </w:rPr>
            </w:pPr>
          </w:p>
        </w:tc>
      </w:tr>
      <w:tr w:rsidR="00C21071" w:rsidRPr="00973525" w14:paraId="38EE3AEC" w14:textId="77777777" w:rsidTr="30964D0C">
        <w:trPr>
          <w:gridAfter w:val="1"/>
          <w:wAfter w:w="16" w:type="dxa"/>
        </w:trPr>
        <w:tc>
          <w:tcPr>
            <w:tcW w:w="2893" w:type="dxa"/>
          </w:tcPr>
          <w:p w14:paraId="7D3C3D63" w14:textId="77777777" w:rsidR="00C21071" w:rsidRPr="00973525" w:rsidRDefault="00C21071" w:rsidP="00C21071">
            <w:pPr>
              <w:rPr>
                <w:sz w:val="20"/>
                <w:szCs w:val="20"/>
                <w:lang w:val="en-US"/>
              </w:rPr>
            </w:pPr>
            <w:r w:rsidRPr="00973525">
              <w:rPr>
                <w:sz w:val="20"/>
                <w:szCs w:val="20"/>
                <w:lang w:val="en-US"/>
              </w:rPr>
              <w:t>10.1.</w:t>
            </w:r>
            <w:r w:rsidRPr="00973525">
              <w:rPr>
                <w:sz w:val="20"/>
                <w:szCs w:val="20"/>
                <w:lang w:val="en-US"/>
              </w:rPr>
              <w:tab/>
              <w:t>Is there an interest from (re)insurance undertakings to increase their investments in securitisation (whether a senior tranche, mezzanine tranche, or a junior tranche)?</w:t>
            </w:r>
          </w:p>
          <w:p w14:paraId="0B0BFCB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65EA0AB5"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5EA9BDFC"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013484DB" w14:textId="77777777" w:rsidR="00C21071" w:rsidRPr="00973525" w:rsidRDefault="00C21071" w:rsidP="00C21071">
            <w:pPr>
              <w:rPr>
                <w:sz w:val="18"/>
                <w:szCs w:val="18"/>
                <w:lang w:val="en-GB"/>
              </w:rPr>
            </w:pPr>
          </w:p>
        </w:tc>
        <w:tc>
          <w:tcPr>
            <w:tcW w:w="7740" w:type="dxa"/>
          </w:tcPr>
          <w:p w14:paraId="56D97C1B" w14:textId="30EA4C88" w:rsidR="00C21071" w:rsidRPr="00973525" w:rsidRDefault="00C21071" w:rsidP="00C21071">
            <w:pPr>
              <w:rPr>
                <w:sz w:val="18"/>
                <w:szCs w:val="18"/>
                <w:lang w:val="en-US"/>
              </w:rPr>
            </w:pPr>
            <w:r w:rsidRPr="00973525">
              <w:rPr>
                <w:sz w:val="20"/>
                <w:szCs w:val="20"/>
                <w:lang w:val="en-US"/>
              </w:rPr>
              <w:t>Yes</w:t>
            </w:r>
          </w:p>
        </w:tc>
        <w:tc>
          <w:tcPr>
            <w:tcW w:w="236" w:type="dxa"/>
          </w:tcPr>
          <w:p w14:paraId="707AFAA3" w14:textId="77777777" w:rsidR="00C21071" w:rsidRPr="00973525" w:rsidRDefault="00C21071" w:rsidP="0079353D">
            <w:pPr>
              <w:ind w:firstLine="1917"/>
              <w:rPr>
                <w:sz w:val="18"/>
                <w:szCs w:val="18"/>
                <w:lang w:val="en-GB"/>
              </w:rPr>
            </w:pPr>
          </w:p>
        </w:tc>
      </w:tr>
      <w:tr w:rsidR="00C21071" w:rsidRPr="0000602A" w14:paraId="747C4883" w14:textId="77777777" w:rsidTr="30964D0C">
        <w:trPr>
          <w:gridAfter w:val="1"/>
          <w:wAfter w:w="16" w:type="dxa"/>
        </w:trPr>
        <w:tc>
          <w:tcPr>
            <w:tcW w:w="2893" w:type="dxa"/>
          </w:tcPr>
          <w:p w14:paraId="7E2CF67A" w14:textId="0A85B85D" w:rsidR="00C21071" w:rsidRPr="00973525" w:rsidRDefault="00C21071" w:rsidP="00C21071">
            <w:pPr>
              <w:rPr>
                <w:sz w:val="18"/>
                <w:szCs w:val="18"/>
                <w:lang w:val="en-GB"/>
              </w:rPr>
            </w:pPr>
            <w:r w:rsidRPr="00973525">
              <w:rPr>
                <w:sz w:val="20"/>
                <w:szCs w:val="20"/>
                <w:lang w:val="en-US"/>
              </w:rPr>
              <w:t>10.2.</w:t>
            </w:r>
            <w:r w:rsidRPr="00973525">
              <w:rPr>
                <w:sz w:val="20"/>
                <w:szCs w:val="20"/>
                <w:lang w:val="en-US"/>
              </w:rPr>
              <w:tab/>
              <w:t xml:space="preserve">If you answered yes to question 10.1., please specify the segments of securitisations in which (re)insurers would be willing to invest more (in terms of seniority, true </w:t>
            </w:r>
            <w:proofErr w:type="gramStart"/>
            <w:r w:rsidRPr="00973525">
              <w:rPr>
                <w:sz w:val="20"/>
                <w:szCs w:val="20"/>
                <w:lang w:val="en-US"/>
              </w:rPr>
              <w:t>sale  or</w:t>
            </w:r>
            <w:proofErr w:type="gramEnd"/>
            <w:r w:rsidRPr="00973525">
              <w:rPr>
                <w:sz w:val="20"/>
                <w:szCs w:val="20"/>
                <w:lang w:val="en-US"/>
              </w:rPr>
              <w:t xml:space="preserve"> synthetic nature, type of underlying assets, etc.) and describe the potential for increase in the share of securitisation investments in (re)insurers’ balance sheet.</w:t>
            </w:r>
          </w:p>
        </w:tc>
        <w:tc>
          <w:tcPr>
            <w:tcW w:w="7740" w:type="dxa"/>
          </w:tcPr>
          <w:p w14:paraId="46FE84A0" w14:textId="77777777" w:rsidR="00C21071" w:rsidRPr="00973525" w:rsidRDefault="00C21071" w:rsidP="00C21071">
            <w:pPr>
              <w:rPr>
                <w:sz w:val="20"/>
                <w:szCs w:val="20"/>
                <w:lang w:val="en-US"/>
              </w:rPr>
            </w:pPr>
            <w:r w:rsidRPr="00973525">
              <w:rPr>
                <w:sz w:val="20"/>
                <w:szCs w:val="20"/>
                <w:lang w:val="en-US"/>
              </w:rPr>
              <w:t>Insurers will come back to the securitization market as soon as regulatory obstacles are removed. In the report on insurance by the ESAs Joint Committee (Dec 2022), 37% of respondents express an intention to increase securitisation investments in the next 3 years if regulation is adapted.</w:t>
            </w:r>
          </w:p>
          <w:p w14:paraId="2D32DAD9" w14:textId="77777777" w:rsidR="00C21071" w:rsidRPr="00973525" w:rsidRDefault="00C21071" w:rsidP="00C21071">
            <w:pPr>
              <w:rPr>
                <w:sz w:val="20"/>
                <w:szCs w:val="20"/>
                <w:lang w:val="en-US"/>
              </w:rPr>
            </w:pPr>
          </w:p>
          <w:p w14:paraId="13027FD1" w14:textId="77777777" w:rsidR="00C21071" w:rsidRPr="00973525" w:rsidRDefault="00C21071" w:rsidP="00C21071">
            <w:pPr>
              <w:rPr>
                <w:sz w:val="20"/>
                <w:szCs w:val="20"/>
                <w:lang w:val="en-US"/>
              </w:rPr>
            </w:pPr>
            <w:r w:rsidRPr="00973525">
              <w:rPr>
                <w:sz w:val="20"/>
                <w:szCs w:val="20"/>
                <w:lang w:val="en-US"/>
              </w:rPr>
              <w:t xml:space="preserve">European insurers have disappeared from the market as investors because of the calibration of the regulatory requirements, which </w:t>
            </w:r>
            <w:proofErr w:type="gramStart"/>
            <w:r w:rsidRPr="00973525">
              <w:rPr>
                <w:sz w:val="20"/>
                <w:szCs w:val="20"/>
                <w:lang w:val="en-US"/>
              </w:rPr>
              <w:t>is</w:t>
            </w:r>
            <w:proofErr w:type="gramEnd"/>
            <w:r w:rsidRPr="00973525">
              <w:rPr>
                <w:sz w:val="20"/>
                <w:szCs w:val="20"/>
                <w:lang w:val="en-US"/>
              </w:rPr>
              <w:t xml:space="preserve"> too high and insufficiently segmented and </w:t>
            </w:r>
            <w:proofErr w:type="gramStart"/>
            <w:r w:rsidRPr="00973525">
              <w:rPr>
                <w:sz w:val="20"/>
                <w:szCs w:val="20"/>
                <w:lang w:val="en-US"/>
              </w:rPr>
              <w:t>risk-adjusted</w:t>
            </w:r>
            <w:proofErr w:type="gramEnd"/>
            <w:r w:rsidRPr="00973525">
              <w:rPr>
                <w:sz w:val="20"/>
                <w:szCs w:val="20"/>
                <w:lang w:val="en-US"/>
              </w:rPr>
              <w:t xml:space="preserve">. Holding a senior tranche of a given collateral pool would be more costly than holding a direct exposure on the same pool. It appears that insurers wound down their </w:t>
            </w:r>
            <w:proofErr w:type="spellStart"/>
            <w:r w:rsidRPr="00973525">
              <w:rPr>
                <w:sz w:val="20"/>
                <w:szCs w:val="20"/>
                <w:lang w:val="en-US"/>
              </w:rPr>
              <w:t>specialised</w:t>
            </w:r>
            <w:proofErr w:type="spellEnd"/>
            <w:r w:rsidRPr="00973525">
              <w:rPr>
                <w:sz w:val="20"/>
                <w:szCs w:val="20"/>
                <w:lang w:val="en-US"/>
              </w:rPr>
              <w:t xml:space="preserve"> teams because of the shrinking of the securitisation market, and, caught in a vicious circle, are now no longer able to assess the market and create demand.</w:t>
            </w:r>
          </w:p>
          <w:p w14:paraId="61EE2541" w14:textId="77777777" w:rsidR="00C21071" w:rsidRPr="00973525" w:rsidRDefault="00C21071" w:rsidP="00C21071">
            <w:pPr>
              <w:rPr>
                <w:sz w:val="20"/>
                <w:szCs w:val="20"/>
                <w:lang w:val="en-US"/>
              </w:rPr>
            </w:pPr>
          </w:p>
          <w:p w14:paraId="08180E86" w14:textId="77777777" w:rsidR="00C21071" w:rsidRPr="00973525" w:rsidRDefault="00C21071" w:rsidP="00C21071">
            <w:pPr>
              <w:rPr>
                <w:sz w:val="20"/>
                <w:szCs w:val="20"/>
                <w:lang w:val="en-US"/>
              </w:rPr>
            </w:pPr>
            <w:r w:rsidRPr="00973525">
              <w:rPr>
                <w:sz w:val="20"/>
                <w:szCs w:val="20"/>
                <w:lang w:val="en-US"/>
              </w:rPr>
              <w:t xml:space="preserve">As funded investors on the asset side of their balance-sheet, insurers can hold bonds issued by the SPVs in true sale securitisations, and credit linked notes issued by the SPVs or directly by the banks in synthetic on balance-sheet securitisations. </w:t>
            </w:r>
          </w:p>
          <w:p w14:paraId="1DF8A208" w14:textId="1DF1F157" w:rsidR="00C21071" w:rsidRPr="00973525" w:rsidRDefault="00C21071" w:rsidP="00C21071">
            <w:pPr>
              <w:rPr>
                <w:sz w:val="18"/>
                <w:szCs w:val="18"/>
                <w:lang w:val="en-US"/>
              </w:rPr>
            </w:pPr>
            <w:r w:rsidRPr="00973525">
              <w:rPr>
                <w:sz w:val="20"/>
                <w:szCs w:val="20"/>
                <w:lang w:val="en-US"/>
              </w:rPr>
              <w:t xml:space="preserve">Indeed, from an investor’s perspective, structured products are useful assets to improve their Risk/Return ratio compared to a direct investment in the underlying asset portfolio, to diversify or increase the decorrelation between strategic asset classes by supplementing the whole asset allocation and to improve the convexity of an asset class and/or hedge extreme risks. Insurers and especially life insurers have a significant </w:t>
            </w:r>
            <w:proofErr w:type="gramStart"/>
            <w:r w:rsidRPr="00973525">
              <w:rPr>
                <w:sz w:val="20"/>
                <w:szCs w:val="20"/>
                <w:lang w:val="en-US"/>
              </w:rPr>
              <w:t>driver</w:t>
            </w:r>
            <w:proofErr w:type="gramEnd"/>
            <w:r w:rsidRPr="00973525">
              <w:rPr>
                <w:sz w:val="20"/>
                <w:szCs w:val="20"/>
                <w:lang w:val="en-US"/>
              </w:rPr>
              <w:t xml:space="preserve"> that is the ALM risk, which is the risk of financial loss or of solvency issues resulting from incoherent investment policy on the one hand, underwriting and reinsurance policies on the other hand. Diversification is then key, even more that insurers mainly invest in fixed income assets such as government bonds and corporate bonds. The low rates environment at the end of 2019 showed for example the importance of having a portfolio diversification in order to mitigate the ALM risk and finally to protect the </w:t>
            </w:r>
            <w:proofErr w:type="gramStart"/>
            <w:r w:rsidRPr="00973525">
              <w:rPr>
                <w:sz w:val="20"/>
                <w:szCs w:val="20"/>
                <w:lang w:val="en-US"/>
              </w:rPr>
              <w:t>insured‘</w:t>
            </w:r>
            <w:proofErr w:type="gramEnd"/>
            <w:r w:rsidRPr="00973525">
              <w:rPr>
                <w:sz w:val="20"/>
                <w:szCs w:val="20"/>
                <w:lang w:val="en-US"/>
              </w:rPr>
              <w:t>s money.</w:t>
            </w:r>
          </w:p>
        </w:tc>
        <w:tc>
          <w:tcPr>
            <w:tcW w:w="236" w:type="dxa"/>
          </w:tcPr>
          <w:p w14:paraId="666CBC2F" w14:textId="77777777" w:rsidR="00C21071" w:rsidRPr="00973525" w:rsidRDefault="00C21071" w:rsidP="0079353D">
            <w:pPr>
              <w:ind w:firstLine="1917"/>
              <w:rPr>
                <w:sz w:val="18"/>
                <w:szCs w:val="18"/>
                <w:lang w:val="en-GB"/>
              </w:rPr>
            </w:pPr>
          </w:p>
        </w:tc>
      </w:tr>
      <w:tr w:rsidR="00C21071" w:rsidRPr="0000602A" w14:paraId="6EBF13F8" w14:textId="77777777" w:rsidTr="30964D0C">
        <w:trPr>
          <w:gridAfter w:val="1"/>
          <w:wAfter w:w="16" w:type="dxa"/>
        </w:trPr>
        <w:tc>
          <w:tcPr>
            <w:tcW w:w="2893" w:type="dxa"/>
          </w:tcPr>
          <w:p w14:paraId="65C45518" w14:textId="77777777" w:rsidR="00C21071" w:rsidRPr="00973525" w:rsidRDefault="00C21071" w:rsidP="00C21071">
            <w:pPr>
              <w:rPr>
                <w:sz w:val="20"/>
                <w:szCs w:val="20"/>
                <w:lang w:val="en-US"/>
              </w:rPr>
            </w:pPr>
            <w:r w:rsidRPr="00973525">
              <w:rPr>
                <w:sz w:val="20"/>
                <w:szCs w:val="20"/>
                <w:lang w:val="en-US"/>
              </w:rPr>
              <w:t>10.3.</w:t>
            </w:r>
            <w:r w:rsidRPr="00973525">
              <w:rPr>
                <w:sz w:val="20"/>
                <w:szCs w:val="20"/>
                <w:lang w:val="en-US"/>
              </w:rPr>
              <w:tab/>
              <w:t>Is there anything which in your view prevents an increase in investments in securitisation by (re)insurance undertakings?</w:t>
            </w:r>
          </w:p>
          <w:p w14:paraId="3801664A" w14:textId="77777777" w:rsidR="00C21071" w:rsidRPr="00973525" w:rsidRDefault="00C21071" w:rsidP="00C21071">
            <w:pPr>
              <w:rPr>
                <w:sz w:val="20"/>
                <w:szCs w:val="20"/>
                <w:lang w:val="en-US"/>
              </w:rPr>
            </w:pPr>
          </w:p>
          <w:p w14:paraId="28BE064B"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1D0423D2"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42DEE816"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2370A3B4" w14:textId="7C7A61B1" w:rsidR="00C21071" w:rsidRPr="00973525" w:rsidRDefault="00C21071" w:rsidP="00C21071">
            <w:pPr>
              <w:rPr>
                <w:sz w:val="18"/>
                <w:szCs w:val="18"/>
                <w:lang w:val="en-GB"/>
              </w:rPr>
            </w:pPr>
            <w:r w:rsidRPr="00973525">
              <w:rPr>
                <w:sz w:val="20"/>
                <w:szCs w:val="20"/>
                <w:lang w:val="en-US"/>
              </w:rPr>
              <w:lastRenderedPageBreak/>
              <w:t xml:space="preserve">Please explain your answer. If you mention prudential rules as part of your answer, please provide an estimate of the impact on the level of </w:t>
            </w:r>
            <w:proofErr w:type="gramStart"/>
            <w:r w:rsidRPr="00973525">
              <w:rPr>
                <w:sz w:val="20"/>
                <w:szCs w:val="20"/>
                <w:lang w:val="en-US"/>
              </w:rPr>
              <w:t>investments</w:t>
            </w:r>
            <w:proofErr w:type="gramEnd"/>
            <w:r w:rsidRPr="00973525">
              <w:rPr>
                <w:sz w:val="20"/>
                <w:szCs w:val="20"/>
                <w:lang w:val="en-US"/>
              </w:rPr>
              <w:t xml:space="preserve"> in securitisation, of the reduction of capital requirements for securitisation investments by a given percentage, e.g. 5% or 10%.</w:t>
            </w:r>
          </w:p>
        </w:tc>
        <w:tc>
          <w:tcPr>
            <w:tcW w:w="7740" w:type="dxa"/>
          </w:tcPr>
          <w:p w14:paraId="7E02AB00" w14:textId="77777777" w:rsidR="00C21071" w:rsidRPr="00973525" w:rsidRDefault="00C21071" w:rsidP="00C21071">
            <w:pPr>
              <w:rPr>
                <w:sz w:val="20"/>
                <w:szCs w:val="20"/>
                <w:lang w:val="en-US"/>
              </w:rPr>
            </w:pPr>
            <w:r w:rsidRPr="00973525">
              <w:rPr>
                <w:sz w:val="20"/>
                <w:szCs w:val="20"/>
                <w:lang w:val="en-US"/>
              </w:rPr>
              <w:lastRenderedPageBreak/>
              <w:t>Yes</w:t>
            </w:r>
          </w:p>
          <w:p w14:paraId="476707D3" w14:textId="77777777" w:rsidR="00C21071" w:rsidRPr="00973525" w:rsidRDefault="00C21071" w:rsidP="00C21071">
            <w:pPr>
              <w:rPr>
                <w:sz w:val="20"/>
                <w:szCs w:val="20"/>
                <w:lang w:val="en-US"/>
              </w:rPr>
            </w:pPr>
          </w:p>
          <w:p w14:paraId="56A407FC" w14:textId="77777777" w:rsidR="00C21071" w:rsidRPr="00973525" w:rsidRDefault="00C21071" w:rsidP="00C21071">
            <w:pPr>
              <w:rPr>
                <w:sz w:val="20"/>
                <w:szCs w:val="20"/>
                <w:lang w:val="en-US"/>
              </w:rPr>
            </w:pPr>
            <w:r w:rsidRPr="00973525">
              <w:rPr>
                <w:sz w:val="20"/>
                <w:szCs w:val="20"/>
                <w:lang w:val="en-US"/>
              </w:rPr>
              <w:t xml:space="preserve">In our view, what prevents an increase in investments in securitisation by (re)insurance undertakings </w:t>
            </w:r>
            <w:proofErr w:type="gramStart"/>
            <w:r w:rsidRPr="00973525">
              <w:rPr>
                <w:sz w:val="20"/>
                <w:szCs w:val="20"/>
                <w:lang w:val="en-US"/>
              </w:rPr>
              <w:t>is</w:t>
            </w:r>
            <w:proofErr w:type="gramEnd"/>
            <w:r w:rsidRPr="00973525">
              <w:rPr>
                <w:sz w:val="20"/>
                <w:szCs w:val="20"/>
                <w:lang w:val="en-US"/>
              </w:rPr>
              <w:t xml:space="preserve"> the current calibration of the Solvency II securitisation shocks, under the Standard Approach:</w:t>
            </w:r>
          </w:p>
          <w:p w14:paraId="6DD342AF"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unjustified gap between STS senior securitisation tranches with bonds &amp; loans</w:t>
            </w:r>
          </w:p>
          <w:p w14:paraId="5CB2223E"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unjustified gap between STS non-senior securitisation tranches with bonds &amp; loans</w:t>
            </w:r>
          </w:p>
          <w:p w14:paraId="38D8894E"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sensitivity to seniority in non-STS</w:t>
            </w:r>
          </w:p>
          <w:p w14:paraId="6618349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 xml:space="preserve">unjustified gap between STS and non-STS securitisation </w:t>
            </w:r>
            <w:proofErr w:type="gramStart"/>
            <w:r w:rsidRPr="00973525">
              <w:rPr>
                <w:sz w:val="20"/>
                <w:szCs w:val="20"/>
                <w:lang w:val="en-US"/>
              </w:rPr>
              <w:t>tranches</w:t>
            </w:r>
            <w:proofErr w:type="gramEnd"/>
          </w:p>
          <w:p w14:paraId="49A5D0EE" w14:textId="77777777" w:rsidR="00C21071" w:rsidRPr="00973525" w:rsidRDefault="00C21071" w:rsidP="00C21071">
            <w:pPr>
              <w:rPr>
                <w:sz w:val="20"/>
                <w:szCs w:val="20"/>
                <w:lang w:val="en-US"/>
              </w:rPr>
            </w:pPr>
            <w:r w:rsidRPr="00973525">
              <w:rPr>
                <w:sz w:val="20"/>
                <w:szCs w:val="20"/>
                <w:lang w:val="en-US"/>
              </w:rPr>
              <w:lastRenderedPageBreak/>
              <w:t>•</w:t>
            </w:r>
            <w:r w:rsidRPr="00973525">
              <w:rPr>
                <w:sz w:val="20"/>
                <w:szCs w:val="20"/>
                <w:lang w:val="en-US"/>
              </w:rPr>
              <w:tab/>
              <w:t xml:space="preserve">higher shocks than for equity (for instance, a non-STS AAA securitisation tranche with a </w:t>
            </w:r>
            <w:proofErr w:type="gramStart"/>
            <w:r w:rsidRPr="00973525">
              <w:rPr>
                <w:sz w:val="20"/>
                <w:szCs w:val="20"/>
                <w:lang w:val="en-US"/>
              </w:rPr>
              <w:t>5 year</w:t>
            </w:r>
            <w:proofErr w:type="gramEnd"/>
            <w:r w:rsidRPr="00973525">
              <w:rPr>
                <w:sz w:val="20"/>
                <w:szCs w:val="20"/>
                <w:lang w:val="en-US"/>
              </w:rPr>
              <w:t xml:space="preserve"> duration will have a 62,5% shock versus a type 2 equity with a 49% shock; an STS non-senior BBB securitisation tranche with a 5 year duration will have a 39,5% shoch, which is as much as a standard equity shock (39%). </w:t>
            </w:r>
          </w:p>
          <w:p w14:paraId="794D1904" w14:textId="77777777" w:rsidR="00C21071" w:rsidRPr="00973525" w:rsidRDefault="00C21071" w:rsidP="00C21071">
            <w:pPr>
              <w:rPr>
                <w:sz w:val="20"/>
                <w:szCs w:val="20"/>
                <w:lang w:val="en-US"/>
              </w:rPr>
            </w:pPr>
          </w:p>
          <w:p w14:paraId="3344F733" w14:textId="1DC5B780" w:rsidR="00C21071" w:rsidRPr="00973525" w:rsidRDefault="00C21071" w:rsidP="00C21071">
            <w:pPr>
              <w:rPr>
                <w:sz w:val="18"/>
                <w:szCs w:val="18"/>
                <w:lang w:val="en-US"/>
              </w:rPr>
            </w:pPr>
            <w:r w:rsidRPr="00973525">
              <w:rPr>
                <w:sz w:val="20"/>
                <w:szCs w:val="20"/>
                <w:lang w:val="en-US"/>
              </w:rPr>
              <w:t>One of the most critical outcomes of securitisation treatment under Solvency II is that it is more capital efficient to hold a whole pool of loans rather than a senior securitisation tranche of those same assets. For example, a 5-year AAA-rated STS RMBS will incur a capital charge of around 5% for the senior tranche, and 14% for a non-senior tranche. This compares to a spread charge of ca. 3% for instance for a pool of 30-year mortgages with an 80% loan-to-value (LTV), where the investor is exposed to far greater risk of loss</w:t>
            </w:r>
          </w:p>
        </w:tc>
        <w:tc>
          <w:tcPr>
            <w:tcW w:w="236" w:type="dxa"/>
          </w:tcPr>
          <w:p w14:paraId="77CC2BF3" w14:textId="77777777" w:rsidR="00C21071" w:rsidRPr="00973525" w:rsidRDefault="00C21071" w:rsidP="0079353D">
            <w:pPr>
              <w:ind w:firstLine="1917"/>
              <w:rPr>
                <w:sz w:val="18"/>
                <w:szCs w:val="18"/>
                <w:lang w:val="en-GB"/>
              </w:rPr>
            </w:pPr>
          </w:p>
        </w:tc>
      </w:tr>
      <w:tr w:rsidR="00C21071" w:rsidRPr="00973525" w14:paraId="7C87F12C" w14:textId="77777777" w:rsidTr="30964D0C">
        <w:trPr>
          <w:gridAfter w:val="1"/>
          <w:wAfter w:w="16" w:type="dxa"/>
          <w:trHeight w:val="2610"/>
        </w:trPr>
        <w:tc>
          <w:tcPr>
            <w:tcW w:w="2893" w:type="dxa"/>
          </w:tcPr>
          <w:p w14:paraId="451D6585" w14:textId="77777777" w:rsidR="00C21071" w:rsidRPr="00973525" w:rsidRDefault="00C21071" w:rsidP="00C21071">
            <w:pPr>
              <w:rPr>
                <w:sz w:val="20"/>
                <w:szCs w:val="20"/>
                <w:lang w:val="en-US"/>
              </w:rPr>
            </w:pPr>
            <w:r w:rsidRPr="00973525">
              <w:rPr>
                <w:sz w:val="20"/>
                <w:szCs w:val="20"/>
                <w:lang w:val="en-US"/>
              </w:rPr>
              <w:t>10.4.</w:t>
            </w:r>
            <w:r w:rsidRPr="00973525">
              <w:rPr>
                <w:sz w:val="20"/>
                <w:szCs w:val="20"/>
                <w:lang w:val="en-US"/>
              </w:rPr>
              <w:tab/>
              <w:t>Is Solvency II providing disincentives to investments in securitisation for insurers which use an internal model?</w:t>
            </w:r>
          </w:p>
          <w:p w14:paraId="13CC65C1" w14:textId="77777777" w:rsidR="00C21071" w:rsidRPr="00973525" w:rsidRDefault="00C21071" w:rsidP="00C21071">
            <w:pPr>
              <w:rPr>
                <w:sz w:val="20"/>
                <w:szCs w:val="20"/>
                <w:lang w:val="en-US"/>
              </w:rPr>
            </w:pPr>
          </w:p>
          <w:p w14:paraId="236846B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726D1398"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5D95B4D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5147479D" w14:textId="6885EABA" w:rsidR="00C21071" w:rsidRPr="00973525" w:rsidRDefault="00C21071" w:rsidP="00C21071">
            <w:pPr>
              <w:rPr>
                <w:sz w:val="18"/>
                <w:szCs w:val="18"/>
                <w:lang w:val="en-GB"/>
              </w:rPr>
            </w:pPr>
          </w:p>
        </w:tc>
        <w:tc>
          <w:tcPr>
            <w:tcW w:w="7740" w:type="dxa"/>
          </w:tcPr>
          <w:p w14:paraId="3693347E" w14:textId="774B5F09" w:rsidR="00C21071" w:rsidRPr="00973525" w:rsidRDefault="00C21071" w:rsidP="00C21071">
            <w:pPr>
              <w:rPr>
                <w:sz w:val="18"/>
                <w:szCs w:val="18"/>
                <w:lang w:val="en-US"/>
              </w:rPr>
            </w:pPr>
            <w:r w:rsidRPr="00973525">
              <w:rPr>
                <w:sz w:val="20"/>
                <w:szCs w:val="20"/>
                <w:lang w:val="en-US"/>
              </w:rPr>
              <w:t>yes</w:t>
            </w:r>
          </w:p>
        </w:tc>
        <w:tc>
          <w:tcPr>
            <w:tcW w:w="236" w:type="dxa"/>
          </w:tcPr>
          <w:p w14:paraId="4851932D" w14:textId="77777777" w:rsidR="00C21071" w:rsidRPr="00973525" w:rsidRDefault="00C21071" w:rsidP="0079353D">
            <w:pPr>
              <w:ind w:firstLine="1917"/>
              <w:rPr>
                <w:sz w:val="18"/>
                <w:szCs w:val="18"/>
                <w:lang w:val="en-GB"/>
              </w:rPr>
            </w:pPr>
          </w:p>
        </w:tc>
      </w:tr>
      <w:tr w:rsidR="00063724" w:rsidRPr="0000602A" w14:paraId="37006B96" w14:textId="77777777" w:rsidTr="30964D0C">
        <w:trPr>
          <w:gridAfter w:val="1"/>
          <w:wAfter w:w="16" w:type="dxa"/>
          <w:trHeight w:val="795"/>
        </w:trPr>
        <w:tc>
          <w:tcPr>
            <w:tcW w:w="2893" w:type="dxa"/>
          </w:tcPr>
          <w:p w14:paraId="56A2A756" w14:textId="77777777" w:rsidR="00063724" w:rsidRPr="00973525" w:rsidRDefault="00063724" w:rsidP="00063724">
            <w:pPr>
              <w:rPr>
                <w:sz w:val="20"/>
                <w:szCs w:val="20"/>
                <w:lang w:val="en-US"/>
              </w:rPr>
            </w:pPr>
            <w:r w:rsidRPr="00973525">
              <w:rPr>
                <w:sz w:val="20"/>
                <w:szCs w:val="20"/>
                <w:lang w:val="en-US"/>
              </w:rPr>
              <w:t>Please explain your answer, being specific in your reply.</w:t>
            </w:r>
          </w:p>
        </w:tc>
        <w:tc>
          <w:tcPr>
            <w:tcW w:w="7740" w:type="dxa"/>
          </w:tcPr>
          <w:p w14:paraId="38FA6CBA" w14:textId="77777777" w:rsidR="00063724" w:rsidRPr="00973525" w:rsidRDefault="00063724" w:rsidP="00C21071">
            <w:pPr>
              <w:rPr>
                <w:sz w:val="20"/>
                <w:szCs w:val="20"/>
                <w:lang w:val="en-US"/>
              </w:rPr>
            </w:pPr>
          </w:p>
        </w:tc>
        <w:tc>
          <w:tcPr>
            <w:tcW w:w="236" w:type="dxa"/>
          </w:tcPr>
          <w:p w14:paraId="7A29F748" w14:textId="77777777" w:rsidR="00063724" w:rsidRPr="00973525" w:rsidRDefault="00063724" w:rsidP="0079353D">
            <w:pPr>
              <w:ind w:firstLine="1917"/>
              <w:rPr>
                <w:sz w:val="18"/>
                <w:szCs w:val="18"/>
                <w:lang w:val="en-GB"/>
              </w:rPr>
            </w:pPr>
          </w:p>
        </w:tc>
      </w:tr>
      <w:tr w:rsidR="00C21071" w:rsidRPr="00973525" w14:paraId="44CADEA1" w14:textId="77777777" w:rsidTr="30964D0C">
        <w:trPr>
          <w:gridAfter w:val="1"/>
          <w:wAfter w:w="16" w:type="dxa"/>
        </w:trPr>
        <w:tc>
          <w:tcPr>
            <w:tcW w:w="2893" w:type="dxa"/>
          </w:tcPr>
          <w:p w14:paraId="2189D2CF" w14:textId="77777777" w:rsidR="00C21071" w:rsidRPr="00973525" w:rsidRDefault="00C21071" w:rsidP="00C21071">
            <w:pPr>
              <w:rPr>
                <w:sz w:val="20"/>
                <w:szCs w:val="20"/>
                <w:lang w:val="en-US"/>
              </w:rPr>
            </w:pPr>
            <w:r w:rsidRPr="00973525">
              <w:rPr>
                <w:sz w:val="20"/>
                <w:szCs w:val="20"/>
                <w:lang w:val="en-US"/>
              </w:rPr>
              <w:t>10.5.</w:t>
            </w:r>
            <w:r w:rsidRPr="00973525">
              <w:rPr>
                <w:sz w:val="20"/>
                <w:szCs w:val="20"/>
                <w:lang w:val="en-US"/>
              </w:rPr>
              <w:tab/>
              <w:t>Is the current calculation for standard formula capital requirements for spread risk on securitisation positions in Solvency II for the senior tranches of STS securitisations proportionate and commensurate with their risk?</w:t>
            </w:r>
          </w:p>
          <w:p w14:paraId="3F691076" w14:textId="77777777" w:rsidR="00C21071" w:rsidRPr="00973525" w:rsidRDefault="00C21071" w:rsidP="00C21071">
            <w:pPr>
              <w:rPr>
                <w:sz w:val="20"/>
                <w:szCs w:val="20"/>
                <w:lang w:val="en-US"/>
              </w:rPr>
            </w:pPr>
          </w:p>
          <w:p w14:paraId="3CA960B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48F07B96"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4CC2164A"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4CDDE4D5" w14:textId="77777777" w:rsidR="00C21071" w:rsidRPr="00973525" w:rsidRDefault="00C21071" w:rsidP="00C21071">
            <w:pPr>
              <w:rPr>
                <w:sz w:val="20"/>
                <w:szCs w:val="20"/>
                <w:lang w:val="en-US"/>
              </w:rPr>
            </w:pPr>
          </w:p>
          <w:p w14:paraId="77A091F2" w14:textId="77777777" w:rsidR="00C21071" w:rsidRPr="00973525" w:rsidRDefault="00C21071" w:rsidP="00C21071">
            <w:pPr>
              <w:rPr>
                <w:sz w:val="20"/>
                <w:szCs w:val="20"/>
                <w:lang w:val="en-US"/>
              </w:rPr>
            </w:pPr>
            <w:r w:rsidRPr="00973525">
              <w:rPr>
                <w:sz w:val="20"/>
                <w:szCs w:val="20"/>
                <w:lang w:val="en-US"/>
              </w:rPr>
              <w:t>Please explain your answer, being specific in your reply, and, where relevant, provide a comparison, including, where appropriate, with internal models and their relative impact on the share of securitisation investments.</w:t>
            </w:r>
          </w:p>
          <w:p w14:paraId="17D10CC7" w14:textId="660BF78F" w:rsidR="00C21071" w:rsidRPr="00973525" w:rsidRDefault="00C21071" w:rsidP="00C21071">
            <w:pPr>
              <w:rPr>
                <w:sz w:val="18"/>
                <w:szCs w:val="18"/>
                <w:lang w:val="en-GB"/>
              </w:rPr>
            </w:pPr>
            <w:r w:rsidRPr="00973525">
              <w:rPr>
                <w:sz w:val="20"/>
                <w:szCs w:val="20"/>
                <w:lang w:val="en-US"/>
              </w:rPr>
              <w:t xml:space="preserve">If you consider calibrations inappropriate, please indicate what you would consider as ‘appropriate’ calibrations, as well as any data/evidence of historical spread </w:t>
            </w:r>
            <w:proofErr w:type="spellStart"/>
            <w:r w:rsidRPr="00973525">
              <w:rPr>
                <w:sz w:val="20"/>
                <w:szCs w:val="20"/>
                <w:lang w:val="en-US"/>
              </w:rPr>
              <w:t>behaviours</w:t>
            </w:r>
            <w:proofErr w:type="spellEnd"/>
            <w:r w:rsidRPr="00973525">
              <w:rPr>
                <w:sz w:val="20"/>
                <w:szCs w:val="20"/>
                <w:lang w:val="en-US"/>
              </w:rPr>
              <w:t xml:space="preserve"> that would justify your proposal.</w:t>
            </w:r>
          </w:p>
        </w:tc>
        <w:tc>
          <w:tcPr>
            <w:tcW w:w="7740" w:type="dxa"/>
          </w:tcPr>
          <w:p w14:paraId="49E3E524" w14:textId="74251285" w:rsidR="00C21071" w:rsidRPr="00973525" w:rsidRDefault="00C21071" w:rsidP="00C21071">
            <w:pPr>
              <w:rPr>
                <w:sz w:val="18"/>
                <w:szCs w:val="18"/>
                <w:lang w:val="en-US"/>
              </w:rPr>
            </w:pPr>
            <w:r w:rsidRPr="00973525">
              <w:rPr>
                <w:sz w:val="20"/>
                <w:szCs w:val="20"/>
                <w:lang w:val="en-US"/>
              </w:rPr>
              <w:t>No</w:t>
            </w:r>
          </w:p>
        </w:tc>
        <w:tc>
          <w:tcPr>
            <w:tcW w:w="236" w:type="dxa"/>
          </w:tcPr>
          <w:p w14:paraId="46DA6E6B" w14:textId="77777777" w:rsidR="00C21071" w:rsidRPr="00973525" w:rsidRDefault="00C21071" w:rsidP="0079353D">
            <w:pPr>
              <w:ind w:firstLine="1917"/>
              <w:rPr>
                <w:sz w:val="18"/>
                <w:szCs w:val="18"/>
                <w:lang w:val="en-GB"/>
              </w:rPr>
            </w:pPr>
          </w:p>
        </w:tc>
      </w:tr>
      <w:tr w:rsidR="00C21071" w:rsidRPr="0000602A" w14:paraId="424D5B22" w14:textId="77777777" w:rsidTr="30964D0C">
        <w:trPr>
          <w:gridAfter w:val="1"/>
          <w:wAfter w:w="16" w:type="dxa"/>
        </w:trPr>
        <w:tc>
          <w:tcPr>
            <w:tcW w:w="2893" w:type="dxa"/>
          </w:tcPr>
          <w:p w14:paraId="4D4475E5" w14:textId="77777777" w:rsidR="00C21071" w:rsidRPr="00973525" w:rsidRDefault="00C21071" w:rsidP="00C21071">
            <w:pPr>
              <w:rPr>
                <w:sz w:val="20"/>
                <w:szCs w:val="20"/>
                <w:lang w:val="en-US"/>
              </w:rPr>
            </w:pPr>
            <w:r w:rsidRPr="00973525">
              <w:rPr>
                <w:sz w:val="20"/>
                <w:szCs w:val="20"/>
                <w:lang w:val="en-US"/>
              </w:rPr>
              <w:lastRenderedPageBreak/>
              <w:t>10.6.</w:t>
            </w:r>
            <w:r w:rsidRPr="00973525">
              <w:rPr>
                <w:sz w:val="20"/>
                <w:szCs w:val="20"/>
                <w:lang w:val="en-US"/>
              </w:rPr>
              <w:tab/>
              <w:t>Is the current calculation for standard formula capital requirements for spread risk on securitisation positions in Solvency II for the non-senior tranches of STS securitisations proportionate and commensurate with their risk?</w:t>
            </w:r>
          </w:p>
          <w:p w14:paraId="566BBC83" w14:textId="77777777" w:rsidR="00C21071" w:rsidRPr="00973525" w:rsidRDefault="00C21071" w:rsidP="00C21071">
            <w:pPr>
              <w:rPr>
                <w:sz w:val="20"/>
                <w:szCs w:val="20"/>
                <w:lang w:val="en-US"/>
              </w:rPr>
            </w:pPr>
          </w:p>
          <w:p w14:paraId="7E2BE41F"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74DB871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24DAC471"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77AEEE5A" w14:textId="77777777" w:rsidR="00C21071" w:rsidRPr="00973525" w:rsidRDefault="00C21071" w:rsidP="00C21071">
            <w:pPr>
              <w:rPr>
                <w:sz w:val="20"/>
                <w:szCs w:val="20"/>
                <w:lang w:val="en-US"/>
              </w:rPr>
            </w:pPr>
          </w:p>
          <w:p w14:paraId="0CFAE198" w14:textId="77777777" w:rsidR="00C21071" w:rsidRPr="00973525" w:rsidRDefault="00C21071" w:rsidP="00C21071">
            <w:pPr>
              <w:rPr>
                <w:sz w:val="20"/>
                <w:szCs w:val="20"/>
                <w:lang w:val="en-US"/>
              </w:rPr>
            </w:pPr>
            <w:r w:rsidRPr="00973525">
              <w:rPr>
                <w:sz w:val="20"/>
                <w:szCs w:val="20"/>
                <w:lang w:val="en-US"/>
              </w:rPr>
              <w:t xml:space="preserve">Please explain your answer, being </w:t>
            </w:r>
            <w:proofErr w:type="gramStart"/>
            <w:r w:rsidRPr="00973525">
              <w:rPr>
                <w:sz w:val="20"/>
                <w:szCs w:val="20"/>
                <w:lang w:val="en-US"/>
              </w:rPr>
              <w:t>specific</w:t>
            </w:r>
            <w:proofErr w:type="gramEnd"/>
            <w:r w:rsidRPr="00973525">
              <w:rPr>
                <w:sz w:val="20"/>
                <w:szCs w:val="20"/>
                <w:lang w:val="en-US"/>
              </w:rPr>
              <w:t xml:space="preserve"> in your reply, and, where relevant, provide a comparison, including, where appropriate, internal models and their relative impact on the share of securitisation investments.</w:t>
            </w:r>
          </w:p>
          <w:p w14:paraId="0FAD311B" w14:textId="77777777" w:rsidR="00C21071" w:rsidRPr="00973525" w:rsidRDefault="00C21071" w:rsidP="00C21071">
            <w:pPr>
              <w:rPr>
                <w:sz w:val="20"/>
                <w:szCs w:val="20"/>
                <w:lang w:val="en-US"/>
              </w:rPr>
            </w:pPr>
          </w:p>
          <w:p w14:paraId="7482EB6E" w14:textId="024184B8" w:rsidR="00C21071" w:rsidRPr="00973525" w:rsidRDefault="00C21071" w:rsidP="00C21071">
            <w:pPr>
              <w:rPr>
                <w:sz w:val="18"/>
                <w:szCs w:val="18"/>
                <w:lang w:val="en-GB"/>
              </w:rPr>
            </w:pPr>
            <w:r w:rsidRPr="00973525">
              <w:rPr>
                <w:sz w:val="20"/>
                <w:szCs w:val="20"/>
                <w:lang w:val="en-US"/>
              </w:rPr>
              <w:t xml:space="preserve">If you consider calibrations inappropriate, please indicate what you would consider as ‘appropriate’ calibrations, as well as any data/evidence of historical spread </w:t>
            </w:r>
            <w:proofErr w:type="spellStart"/>
            <w:r w:rsidRPr="00973525">
              <w:rPr>
                <w:sz w:val="20"/>
                <w:szCs w:val="20"/>
                <w:lang w:val="en-US"/>
              </w:rPr>
              <w:t>behaviours</w:t>
            </w:r>
            <w:proofErr w:type="spellEnd"/>
            <w:r w:rsidRPr="00973525">
              <w:rPr>
                <w:sz w:val="20"/>
                <w:szCs w:val="20"/>
                <w:lang w:val="en-US"/>
              </w:rPr>
              <w:t xml:space="preserve"> that would justify your proposal.</w:t>
            </w:r>
          </w:p>
        </w:tc>
        <w:tc>
          <w:tcPr>
            <w:tcW w:w="7740" w:type="dxa"/>
          </w:tcPr>
          <w:p w14:paraId="268D4B41" w14:textId="77777777" w:rsidR="00C21071" w:rsidRPr="00973525" w:rsidRDefault="00C21071" w:rsidP="00C21071">
            <w:pPr>
              <w:rPr>
                <w:sz w:val="20"/>
                <w:szCs w:val="20"/>
                <w:lang w:val="en-US"/>
              </w:rPr>
            </w:pPr>
            <w:r w:rsidRPr="00973525">
              <w:rPr>
                <w:sz w:val="20"/>
                <w:szCs w:val="20"/>
                <w:lang w:val="en-US"/>
              </w:rPr>
              <w:t>No</w:t>
            </w:r>
          </w:p>
          <w:p w14:paraId="158CD03D" w14:textId="77777777" w:rsidR="00C21071" w:rsidRPr="00973525" w:rsidRDefault="00C21071" w:rsidP="00C21071">
            <w:pPr>
              <w:rPr>
                <w:sz w:val="20"/>
                <w:szCs w:val="20"/>
                <w:lang w:val="en-US"/>
              </w:rPr>
            </w:pPr>
          </w:p>
          <w:p w14:paraId="561D738C" w14:textId="77777777" w:rsidR="00C21071" w:rsidRPr="00973525" w:rsidRDefault="00C21071" w:rsidP="00C21071">
            <w:pPr>
              <w:rPr>
                <w:sz w:val="20"/>
                <w:szCs w:val="20"/>
                <w:lang w:val="en-US"/>
              </w:rPr>
            </w:pPr>
            <w:r w:rsidRPr="00973525">
              <w:rPr>
                <w:sz w:val="20"/>
                <w:szCs w:val="20"/>
                <w:lang w:val="en-US"/>
              </w:rPr>
              <w:t xml:space="preserve">An unjustified gap exists between the calibrations used for Bonds and Loans and those designed for non-senior STS products. For instance, for a modified duration of five years and a rating of AAA, </w:t>
            </w:r>
            <w:proofErr w:type="gramStart"/>
            <w:r w:rsidRPr="00973525">
              <w:rPr>
                <w:sz w:val="20"/>
                <w:szCs w:val="20"/>
                <w:lang w:val="en-US"/>
              </w:rPr>
              <w:t>an</w:t>
            </w:r>
            <w:proofErr w:type="gramEnd"/>
            <w:r w:rsidRPr="00973525">
              <w:rPr>
                <w:sz w:val="20"/>
                <w:szCs w:val="20"/>
                <w:lang w:val="en-US"/>
              </w:rPr>
              <w:t xml:space="preserve"> non-senior STS tranche is currently 3 times more expensive than Bonds and Loans with the same rating.</w:t>
            </w:r>
          </w:p>
          <w:p w14:paraId="42E6B553" w14:textId="77777777" w:rsidR="00C21071" w:rsidRPr="00973525" w:rsidRDefault="00C21071" w:rsidP="00C21071">
            <w:pPr>
              <w:rPr>
                <w:sz w:val="20"/>
                <w:szCs w:val="20"/>
                <w:lang w:val="en-US"/>
              </w:rPr>
            </w:pPr>
          </w:p>
          <w:p w14:paraId="5D8EE31B" w14:textId="27C70779" w:rsidR="00C21071" w:rsidRPr="00973525" w:rsidRDefault="00C21071" w:rsidP="00C21071">
            <w:pPr>
              <w:rPr>
                <w:sz w:val="18"/>
                <w:szCs w:val="18"/>
                <w:lang w:val="en-US"/>
              </w:rPr>
            </w:pPr>
            <w:r w:rsidRPr="00973525">
              <w:rPr>
                <w:sz w:val="20"/>
                <w:szCs w:val="20"/>
                <w:lang w:val="en-US"/>
              </w:rPr>
              <w:t>We believe that prudential requirements for non-senior STS securitisations in Solvency II should be more consistent with prudential requirements for bonds and loans with the same rating.</w:t>
            </w:r>
          </w:p>
        </w:tc>
        <w:tc>
          <w:tcPr>
            <w:tcW w:w="236" w:type="dxa"/>
          </w:tcPr>
          <w:p w14:paraId="4DAB5E4C" w14:textId="77777777" w:rsidR="00C21071" w:rsidRPr="00973525" w:rsidRDefault="00C21071" w:rsidP="0079353D">
            <w:pPr>
              <w:ind w:firstLine="1917"/>
              <w:rPr>
                <w:sz w:val="18"/>
                <w:szCs w:val="18"/>
                <w:lang w:val="en-GB"/>
              </w:rPr>
            </w:pPr>
          </w:p>
        </w:tc>
      </w:tr>
      <w:tr w:rsidR="00C21071" w:rsidRPr="00973525" w14:paraId="44B0B852" w14:textId="77777777" w:rsidTr="30964D0C">
        <w:trPr>
          <w:gridAfter w:val="1"/>
          <w:wAfter w:w="16" w:type="dxa"/>
          <w:trHeight w:val="3000"/>
        </w:trPr>
        <w:tc>
          <w:tcPr>
            <w:tcW w:w="2893" w:type="dxa"/>
          </w:tcPr>
          <w:p w14:paraId="19766A07" w14:textId="77777777" w:rsidR="00C21071" w:rsidRPr="00973525" w:rsidRDefault="00C21071" w:rsidP="00C21071">
            <w:pPr>
              <w:rPr>
                <w:sz w:val="20"/>
                <w:szCs w:val="20"/>
                <w:lang w:val="en-US"/>
              </w:rPr>
            </w:pPr>
            <w:r w:rsidRPr="00973525">
              <w:rPr>
                <w:sz w:val="20"/>
                <w:szCs w:val="20"/>
                <w:lang w:val="en-US"/>
              </w:rPr>
              <w:t>10.7.</w:t>
            </w:r>
            <w:r w:rsidRPr="00973525">
              <w:rPr>
                <w:sz w:val="20"/>
                <w:szCs w:val="20"/>
                <w:lang w:val="en-US"/>
              </w:rPr>
              <w:tab/>
              <w:t>Is it desirable that Solvency II standard formula capital requirements for spread risk differentiate between mezzanine and junior tranches of STS securitisations?</w:t>
            </w:r>
          </w:p>
          <w:p w14:paraId="6ECE4371" w14:textId="77777777" w:rsidR="00C21071" w:rsidRPr="00973525" w:rsidRDefault="00C21071" w:rsidP="00C21071">
            <w:pPr>
              <w:rPr>
                <w:sz w:val="20"/>
                <w:szCs w:val="20"/>
                <w:lang w:val="en-US"/>
              </w:rPr>
            </w:pPr>
          </w:p>
          <w:p w14:paraId="79FE2907"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2678EFC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08944180"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74A862A0" w14:textId="6663AA60" w:rsidR="00C21071" w:rsidRPr="00973525" w:rsidRDefault="00C21071" w:rsidP="00C21071">
            <w:pPr>
              <w:rPr>
                <w:sz w:val="18"/>
                <w:szCs w:val="18"/>
                <w:lang w:val="en-GB"/>
              </w:rPr>
            </w:pPr>
          </w:p>
        </w:tc>
        <w:tc>
          <w:tcPr>
            <w:tcW w:w="7740" w:type="dxa"/>
          </w:tcPr>
          <w:p w14:paraId="7ADC77DA" w14:textId="08ABF53E" w:rsidR="00C21071" w:rsidRPr="00973525" w:rsidRDefault="00C21071" w:rsidP="00C21071">
            <w:pPr>
              <w:rPr>
                <w:sz w:val="18"/>
                <w:szCs w:val="18"/>
                <w:lang w:val="en-US"/>
              </w:rPr>
            </w:pPr>
            <w:r w:rsidRPr="00973525">
              <w:rPr>
                <w:sz w:val="20"/>
                <w:szCs w:val="20"/>
                <w:lang w:val="en-US"/>
              </w:rPr>
              <w:t>Yes</w:t>
            </w:r>
          </w:p>
        </w:tc>
        <w:tc>
          <w:tcPr>
            <w:tcW w:w="236" w:type="dxa"/>
          </w:tcPr>
          <w:p w14:paraId="76EEDD67" w14:textId="77777777" w:rsidR="00C21071" w:rsidRPr="00973525" w:rsidRDefault="00C21071" w:rsidP="0079353D">
            <w:pPr>
              <w:ind w:firstLine="1917"/>
              <w:rPr>
                <w:sz w:val="18"/>
                <w:szCs w:val="18"/>
                <w:lang w:val="en-GB"/>
              </w:rPr>
            </w:pPr>
          </w:p>
        </w:tc>
      </w:tr>
      <w:tr w:rsidR="000F1534" w:rsidRPr="00973525" w14:paraId="27EEDA23" w14:textId="77777777" w:rsidTr="30964D0C">
        <w:trPr>
          <w:gridAfter w:val="1"/>
          <w:wAfter w:w="16" w:type="dxa"/>
          <w:trHeight w:val="660"/>
        </w:trPr>
        <w:tc>
          <w:tcPr>
            <w:tcW w:w="2893" w:type="dxa"/>
          </w:tcPr>
          <w:p w14:paraId="3597DB7F" w14:textId="77777777" w:rsidR="000F1534" w:rsidRPr="00973525" w:rsidRDefault="000F1534" w:rsidP="000F1534">
            <w:pPr>
              <w:rPr>
                <w:sz w:val="20"/>
                <w:szCs w:val="20"/>
                <w:lang w:val="en-US"/>
              </w:rPr>
            </w:pPr>
            <w:r w:rsidRPr="00973525">
              <w:rPr>
                <w:sz w:val="20"/>
                <w:szCs w:val="20"/>
                <w:lang w:val="en-US"/>
              </w:rPr>
              <w:t>Please explain your answer.</w:t>
            </w:r>
          </w:p>
        </w:tc>
        <w:tc>
          <w:tcPr>
            <w:tcW w:w="7740" w:type="dxa"/>
          </w:tcPr>
          <w:p w14:paraId="1DCC746D" w14:textId="77777777" w:rsidR="000F1534" w:rsidRPr="00973525" w:rsidRDefault="000F1534" w:rsidP="00C21071">
            <w:pPr>
              <w:rPr>
                <w:sz w:val="20"/>
                <w:szCs w:val="20"/>
                <w:lang w:val="en-US"/>
              </w:rPr>
            </w:pPr>
          </w:p>
        </w:tc>
        <w:tc>
          <w:tcPr>
            <w:tcW w:w="236" w:type="dxa"/>
          </w:tcPr>
          <w:p w14:paraId="479B328B" w14:textId="77777777" w:rsidR="000F1534" w:rsidRPr="00973525" w:rsidRDefault="000F1534" w:rsidP="0079353D">
            <w:pPr>
              <w:ind w:firstLine="1917"/>
              <w:rPr>
                <w:sz w:val="18"/>
                <w:szCs w:val="18"/>
                <w:lang w:val="en-GB"/>
              </w:rPr>
            </w:pPr>
          </w:p>
        </w:tc>
      </w:tr>
      <w:tr w:rsidR="00C21071" w:rsidRPr="0000602A" w14:paraId="1ABE86FE" w14:textId="77777777" w:rsidTr="30964D0C">
        <w:trPr>
          <w:gridAfter w:val="1"/>
          <w:wAfter w:w="16" w:type="dxa"/>
        </w:trPr>
        <w:tc>
          <w:tcPr>
            <w:tcW w:w="2893" w:type="dxa"/>
          </w:tcPr>
          <w:p w14:paraId="47EC12A1" w14:textId="77777777" w:rsidR="00C21071" w:rsidRPr="00973525" w:rsidRDefault="00C21071" w:rsidP="00C21071">
            <w:pPr>
              <w:rPr>
                <w:sz w:val="20"/>
                <w:szCs w:val="20"/>
                <w:lang w:val="en-US"/>
              </w:rPr>
            </w:pPr>
            <w:r w:rsidRPr="00973525">
              <w:rPr>
                <w:sz w:val="20"/>
                <w:szCs w:val="20"/>
                <w:lang w:val="en-US"/>
              </w:rPr>
              <w:t>10.8.</w:t>
            </w:r>
            <w:r w:rsidRPr="00973525">
              <w:rPr>
                <w:sz w:val="20"/>
                <w:szCs w:val="20"/>
                <w:lang w:val="en-US"/>
              </w:rPr>
              <w:tab/>
              <w:t xml:space="preserve">If you answered yes to question 10.7., please provide suggestions for calibrations of capital requirements for such mezzanine and junior tranches, including the data/evidence </w:t>
            </w:r>
            <w:proofErr w:type="gramStart"/>
            <w:r w:rsidRPr="00973525">
              <w:rPr>
                <w:sz w:val="20"/>
                <w:szCs w:val="20"/>
                <w:lang w:val="en-US"/>
              </w:rPr>
              <w:t>of  historical</w:t>
            </w:r>
            <w:proofErr w:type="gramEnd"/>
            <w:r w:rsidRPr="00973525">
              <w:rPr>
                <w:sz w:val="20"/>
                <w:szCs w:val="20"/>
                <w:lang w:val="en-US"/>
              </w:rPr>
              <w:t xml:space="preserve"> spread behaviors backing such suggestions.</w:t>
            </w:r>
          </w:p>
          <w:p w14:paraId="469392CA" w14:textId="77777777" w:rsidR="00C21071" w:rsidRPr="00973525" w:rsidRDefault="00C21071" w:rsidP="00C21071">
            <w:pPr>
              <w:rPr>
                <w:sz w:val="20"/>
                <w:szCs w:val="20"/>
                <w:lang w:val="en-US"/>
              </w:rPr>
            </w:pPr>
          </w:p>
          <w:p w14:paraId="2673233B" w14:textId="77777777" w:rsidR="00C21071" w:rsidRPr="00973525" w:rsidRDefault="00C21071" w:rsidP="00C21071">
            <w:pPr>
              <w:rPr>
                <w:sz w:val="20"/>
                <w:szCs w:val="20"/>
                <w:lang w:val="en-US"/>
              </w:rPr>
            </w:pPr>
            <w:r w:rsidRPr="00973525">
              <w:rPr>
                <w:sz w:val="20"/>
                <w:szCs w:val="20"/>
                <w:lang w:val="en-US"/>
              </w:rPr>
              <w:t>Please indicate how you would define the mezzanine tranche as well as the assumption (e.g. of thickness of the tranche) underlying your proposed calibration.</w:t>
            </w:r>
          </w:p>
          <w:p w14:paraId="2A1B4BBA" w14:textId="77777777" w:rsidR="00C21071" w:rsidRPr="00973525" w:rsidRDefault="00C21071" w:rsidP="00C21071">
            <w:pPr>
              <w:rPr>
                <w:sz w:val="20"/>
                <w:szCs w:val="20"/>
                <w:lang w:val="en-US"/>
              </w:rPr>
            </w:pPr>
          </w:p>
          <w:p w14:paraId="030BF43D" w14:textId="7434E85F" w:rsidR="00C21071" w:rsidRPr="00973525" w:rsidRDefault="00C21071" w:rsidP="00C21071">
            <w:pPr>
              <w:rPr>
                <w:sz w:val="18"/>
                <w:szCs w:val="18"/>
                <w:lang w:val="en-GB"/>
              </w:rPr>
            </w:pPr>
            <w:r w:rsidRPr="00973525">
              <w:rPr>
                <w:sz w:val="20"/>
                <w:szCs w:val="20"/>
                <w:lang w:val="en-US"/>
              </w:rPr>
              <w:t xml:space="preserve">Please also indicate whether and why such </w:t>
            </w:r>
            <w:proofErr w:type="gramStart"/>
            <w:r w:rsidRPr="00973525">
              <w:rPr>
                <w:sz w:val="20"/>
                <w:szCs w:val="20"/>
                <w:lang w:val="en-US"/>
              </w:rPr>
              <w:t>introduction</w:t>
            </w:r>
            <w:proofErr w:type="gramEnd"/>
            <w:r w:rsidRPr="00973525">
              <w:rPr>
                <w:sz w:val="20"/>
                <w:szCs w:val="20"/>
                <w:lang w:val="en-US"/>
              </w:rPr>
              <w:t xml:space="preserve"> of a mezzanine calibration would be needed in Solvency II, even if no dedicated treatment for mezzanine tranches is introduced in EU banking regulation (CRR).</w:t>
            </w:r>
          </w:p>
        </w:tc>
        <w:tc>
          <w:tcPr>
            <w:tcW w:w="7740" w:type="dxa"/>
          </w:tcPr>
          <w:p w14:paraId="7CA56FF2" w14:textId="77777777" w:rsidR="00C21071" w:rsidRPr="00973525" w:rsidRDefault="00C21071" w:rsidP="00C21071">
            <w:pPr>
              <w:rPr>
                <w:sz w:val="18"/>
                <w:szCs w:val="18"/>
                <w:lang w:val="en-US"/>
              </w:rPr>
            </w:pPr>
          </w:p>
        </w:tc>
        <w:tc>
          <w:tcPr>
            <w:tcW w:w="236" w:type="dxa"/>
          </w:tcPr>
          <w:p w14:paraId="71C48210" w14:textId="77777777" w:rsidR="00C21071" w:rsidRPr="00973525" w:rsidRDefault="00C21071" w:rsidP="0079353D">
            <w:pPr>
              <w:ind w:firstLine="1917"/>
              <w:rPr>
                <w:sz w:val="18"/>
                <w:szCs w:val="18"/>
                <w:lang w:val="en-GB"/>
              </w:rPr>
            </w:pPr>
          </w:p>
        </w:tc>
      </w:tr>
      <w:tr w:rsidR="00C21071" w:rsidRPr="00973525" w14:paraId="6E228180" w14:textId="77777777" w:rsidTr="30964D0C">
        <w:trPr>
          <w:gridAfter w:val="1"/>
          <w:wAfter w:w="16" w:type="dxa"/>
          <w:trHeight w:val="1860"/>
        </w:trPr>
        <w:tc>
          <w:tcPr>
            <w:tcW w:w="2893" w:type="dxa"/>
          </w:tcPr>
          <w:p w14:paraId="2535A02C" w14:textId="77777777" w:rsidR="00E144CF" w:rsidRPr="00973525" w:rsidRDefault="00C21071" w:rsidP="00E144CF">
            <w:pPr>
              <w:rPr>
                <w:sz w:val="20"/>
                <w:szCs w:val="20"/>
                <w:lang w:val="en-US"/>
              </w:rPr>
            </w:pPr>
            <w:r w:rsidRPr="00973525">
              <w:rPr>
                <w:sz w:val="20"/>
                <w:szCs w:val="20"/>
                <w:lang w:val="en-US"/>
              </w:rPr>
              <w:t>10.9.</w:t>
            </w:r>
            <w:r w:rsidRPr="00973525">
              <w:rPr>
                <w:sz w:val="20"/>
                <w:szCs w:val="20"/>
                <w:lang w:val="en-US"/>
              </w:rPr>
              <w:tab/>
              <w:t xml:space="preserve">Is the current calculation for standard formula capital requirements for spread risk on securitisation positions in Solvency II for non-STS securitisations proportionate and </w:t>
            </w:r>
            <w:r w:rsidR="00E144CF" w:rsidRPr="00973525">
              <w:rPr>
                <w:sz w:val="20"/>
                <w:szCs w:val="20"/>
                <w:lang w:val="en-US"/>
              </w:rPr>
              <w:t xml:space="preserve">commensurate with their risk, </w:t>
            </w:r>
            <w:proofErr w:type="gramStart"/>
            <w:r w:rsidR="00E144CF" w:rsidRPr="00973525">
              <w:rPr>
                <w:sz w:val="20"/>
                <w:szCs w:val="20"/>
                <w:lang w:val="en-US"/>
              </w:rPr>
              <w:t>taking into account</w:t>
            </w:r>
            <w:proofErr w:type="gramEnd"/>
            <w:r w:rsidR="00E144CF" w:rsidRPr="00973525">
              <w:rPr>
                <w:sz w:val="20"/>
                <w:szCs w:val="20"/>
                <w:lang w:val="en-US"/>
              </w:rPr>
              <w:t>?</w:t>
            </w:r>
          </w:p>
          <w:p w14:paraId="154E7102" w14:textId="77777777" w:rsidR="00E144CF" w:rsidRPr="00973525" w:rsidRDefault="00E144CF" w:rsidP="00E144CF">
            <w:pPr>
              <w:rPr>
                <w:sz w:val="20"/>
                <w:szCs w:val="20"/>
                <w:lang w:val="en-US"/>
              </w:rPr>
            </w:pPr>
            <w:r w:rsidRPr="00973525">
              <w:rPr>
                <w:sz w:val="20"/>
                <w:szCs w:val="20"/>
                <w:lang w:val="en-US"/>
              </w:rPr>
              <w:t xml:space="preserve"> </w:t>
            </w:r>
          </w:p>
          <w:p w14:paraId="7D5215F7" w14:textId="77777777" w:rsidR="00E144CF" w:rsidRPr="00973525" w:rsidRDefault="00E144CF" w:rsidP="00E144CF">
            <w:pPr>
              <w:rPr>
                <w:sz w:val="20"/>
                <w:szCs w:val="20"/>
                <w:lang w:val="en-US"/>
              </w:rPr>
            </w:pPr>
            <w:r w:rsidRPr="00973525">
              <w:rPr>
                <w:sz w:val="20"/>
                <w:szCs w:val="20"/>
                <w:lang w:val="en-US"/>
              </w:rPr>
              <w:t>•</w:t>
            </w:r>
            <w:r w:rsidRPr="00973525">
              <w:rPr>
                <w:sz w:val="20"/>
                <w:szCs w:val="20"/>
                <w:lang w:val="en-US"/>
              </w:rPr>
              <w:tab/>
              <w:t>Yes</w:t>
            </w:r>
          </w:p>
          <w:p w14:paraId="5121A66E" w14:textId="77777777" w:rsidR="00E144CF" w:rsidRPr="00973525" w:rsidRDefault="00E144CF" w:rsidP="00E144CF">
            <w:pPr>
              <w:rPr>
                <w:sz w:val="20"/>
                <w:szCs w:val="20"/>
                <w:lang w:val="en-US"/>
              </w:rPr>
            </w:pPr>
            <w:r w:rsidRPr="00973525">
              <w:rPr>
                <w:sz w:val="20"/>
                <w:szCs w:val="20"/>
                <w:lang w:val="en-US"/>
              </w:rPr>
              <w:t>•</w:t>
            </w:r>
            <w:r w:rsidRPr="00973525">
              <w:rPr>
                <w:sz w:val="20"/>
                <w:szCs w:val="20"/>
                <w:lang w:val="en-US"/>
              </w:rPr>
              <w:tab/>
              <w:t>No</w:t>
            </w:r>
          </w:p>
          <w:p w14:paraId="12FAB3FD" w14:textId="77777777" w:rsidR="00E144CF" w:rsidRPr="00973525" w:rsidRDefault="00E144CF" w:rsidP="00E144CF">
            <w:pPr>
              <w:rPr>
                <w:sz w:val="20"/>
                <w:szCs w:val="20"/>
                <w:lang w:val="en-US"/>
              </w:rPr>
            </w:pPr>
            <w:r w:rsidRPr="00973525">
              <w:rPr>
                <w:sz w:val="20"/>
                <w:szCs w:val="20"/>
                <w:lang w:val="en-US"/>
              </w:rPr>
              <w:t>•</w:t>
            </w:r>
            <w:r w:rsidRPr="00973525">
              <w:rPr>
                <w:sz w:val="20"/>
                <w:szCs w:val="20"/>
                <w:lang w:val="en-US"/>
              </w:rPr>
              <w:tab/>
              <w:t>No opinion</w:t>
            </w:r>
          </w:p>
          <w:p w14:paraId="6849E0EB" w14:textId="36D7A536" w:rsidR="00C21071" w:rsidRPr="00973525" w:rsidRDefault="00C21071" w:rsidP="00C21071">
            <w:pPr>
              <w:rPr>
                <w:sz w:val="18"/>
                <w:szCs w:val="18"/>
                <w:lang w:val="en-GB"/>
              </w:rPr>
            </w:pPr>
          </w:p>
        </w:tc>
        <w:tc>
          <w:tcPr>
            <w:tcW w:w="7740" w:type="dxa"/>
          </w:tcPr>
          <w:p w14:paraId="75469579" w14:textId="6ACC7DB9" w:rsidR="00C21071" w:rsidRPr="00973525" w:rsidRDefault="00C21071" w:rsidP="00C21071">
            <w:pPr>
              <w:rPr>
                <w:sz w:val="18"/>
                <w:szCs w:val="18"/>
                <w:lang w:val="en-US"/>
              </w:rPr>
            </w:pPr>
            <w:r w:rsidRPr="00973525">
              <w:rPr>
                <w:sz w:val="20"/>
                <w:szCs w:val="20"/>
                <w:lang w:val="en-US"/>
              </w:rPr>
              <w:t>No</w:t>
            </w:r>
          </w:p>
        </w:tc>
        <w:tc>
          <w:tcPr>
            <w:tcW w:w="236" w:type="dxa"/>
          </w:tcPr>
          <w:p w14:paraId="2FE137B2" w14:textId="77777777" w:rsidR="00C21071" w:rsidRPr="00973525" w:rsidRDefault="00C21071" w:rsidP="0079353D">
            <w:pPr>
              <w:ind w:firstLine="1917"/>
              <w:rPr>
                <w:sz w:val="18"/>
                <w:szCs w:val="18"/>
                <w:lang w:val="en-GB"/>
              </w:rPr>
            </w:pPr>
          </w:p>
        </w:tc>
      </w:tr>
      <w:tr w:rsidR="00E144CF" w:rsidRPr="0000602A" w14:paraId="67422C52" w14:textId="77777777" w:rsidTr="30964D0C">
        <w:trPr>
          <w:gridAfter w:val="1"/>
          <w:wAfter w:w="16" w:type="dxa"/>
          <w:trHeight w:val="2745"/>
        </w:trPr>
        <w:tc>
          <w:tcPr>
            <w:tcW w:w="2893" w:type="dxa"/>
          </w:tcPr>
          <w:p w14:paraId="450AA407" w14:textId="77777777" w:rsidR="00E144CF" w:rsidRPr="00973525" w:rsidRDefault="00E144CF" w:rsidP="00E144CF">
            <w:pPr>
              <w:rPr>
                <w:sz w:val="20"/>
                <w:szCs w:val="20"/>
                <w:lang w:val="en-US"/>
              </w:rPr>
            </w:pPr>
          </w:p>
          <w:p w14:paraId="444380D3" w14:textId="77777777" w:rsidR="00E144CF" w:rsidRPr="00973525" w:rsidRDefault="00E144CF" w:rsidP="00E144CF">
            <w:pPr>
              <w:rPr>
                <w:sz w:val="20"/>
                <w:szCs w:val="20"/>
                <w:lang w:val="en-US"/>
              </w:rPr>
            </w:pPr>
            <w:r w:rsidRPr="00973525">
              <w:rPr>
                <w:sz w:val="20"/>
                <w:szCs w:val="20"/>
                <w:lang w:val="en-US"/>
              </w:rPr>
              <w:t xml:space="preserve">Please explain your answer, being specific in your reply, and, where relevant, provide a comparison, including where appropriate with internal models and their relative impact on the share </w:t>
            </w:r>
            <w:proofErr w:type="gramStart"/>
            <w:r w:rsidRPr="00973525">
              <w:rPr>
                <w:sz w:val="20"/>
                <w:szCs w:val="20"/>
                <w:lang w:val="en-US"/>
              </w:rPr>
              <w:t>of  securitisation</w:t>
            </w:r>
            <w:proofErr w:type="gramEnd"/>
            <w:r w:rsidRPr="00973525">
              <w:rPr>
                <w:sz w:val="20"/>
                <w:szCs w:val="20"/>
                <w:lang w:val="en-US"/>
              </w:rPr>
              <w:t xml:space="preserve"> investments.</w:t>
            </w:r>
          </w:p>
          <w:p w14:paraId="37733851" w14:textId="77777777" w:rsidR="00E144CF" w:rsidRPr="00973525" w:rsidRDefault="00E144CF" w:rsidP="00C21071">
            <w:pPr>
              <w:rPr>
                <w:sz w:val="20"/>
                <w:szCs w:val="20"/>
                <w:lang w:val="en-US"/>
              </w:rPr>
            </w:pPr>
          </w:p>
        </w:tc>
        <w:tc>
          <w:tcPr>
            <w:tcW w:w="7740" w:type="dxa"/>
          </w:tcPr>
          <w:p w14:paraId="5A444993" w14:textId="77777777" w:rsidR="00E144CF" w:rsidRPr="00973525" w:rsidRDefault="00E144CF" w:rsidP="00C21071">
            <w:pPr>
              <w:rPr>
                <w:sz w:val="20"/>
                <w:szCs w:val="20"/>
                <w:lang w:val="en-US"/>
              </w:rPr>
            </w:pPr>
          </w:p>
        </w:tc>
        <w:tc>
          <w:tcPr>
            <w:tcW w:w="236" w:type="dxa"/>
          </w:tcPr>
          <w:p w14:paraId="08C7778E" w14:textId="77777777" w:rsidR="00E144CF" w:rsidRPr="00973525" w:rsidRDefault="00E144CF" w:rsidP="0079353D">
            <w:pPr>
              <w:ind w:firstLine="1917"/>
              <w:rPr>
                <w:sz w:val="18"/>
                <w:szCs w:val="18"/>
                <w:lang w:val="en-GB"/>
              </w:rPr>
            </w:pPr>
          </w:p>
        </w:tc>
      </w:tr>
      <w:tr w:rsidR="00C21071" w:rsidRPr="00973525" w14:paraId="09A0C249" w14:textId="77777777" w:rsidTr="30964D0C">
        <w:trPr>
          <w:gridAfter w:val="1"/>
          <w:wAfter w:w="16" w:type="dxa"/>
        </w:trPr>
        <w:tc>
          <w:tcPr>
            <w:tcW w:w="2893" w:type="dxa"/>
          </w:tcPr>
          <w:p w14:paraId="42000A35" w14:textId="77777777" w:rsidR="00C21071" w:rsidRPr="00973525" w:rsidRDefault="00C21071" w:rsidP="00C21071">
            <w:pPr>
              <w:rPr>
                <w:sz w:val="20"/>
                <w:szCs w:val="20"/>
                <w:lang w:val="en-US"/>
              </w:rPr>
            </w:pPr>
            <w:r w:rsidRPr="00973525">
              <w:rPr>
                <w:sz w:val="20"/>
                <w:szCs w:val="20"/>
                <w:lang w:val="en-US"/>
              </w:rPr>
              <w:t>10.10.</w:t>
            </w:r>
            <w:r w:rsidRPr="00973525">
              <w:rPr>
                <w:sz w:val="20"/>
                <w:szCs w:val="20"/>
                <w:lang w:val="en-US"/>
              </w:rPr>
              <w:tab/>
              <w:t>Is there a specific sub-segment of non-STS securitisation for which evidence would justify lower capital requirements than what is currently applicable?</w:t>
            </w:r>
          </w:p>
          <w:p w14:paraId="16947D21" w14:textId="77777777" w:rsidR="00C21071" w:rsidRPr="00973525" w:rsidRDefault="00C21071" w:rsidP="00C21071">
            <w:pPr>
              <w:rPr>
                <w:sz w:val="20"/>
                <w:szCs w:val="20"/>
                <w:lang w:val="en-US"/>
              </w:rPr>
            </w:pPr>
          </w:p>
          <w:p w14:paraId="599127B7"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30AD7152"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51C7C3F2" w14:textId="08E12877" w:rsidR="00C21071" w:rsidRPr="00973525" w:rsidRDefault="00C21071" w:rsidP="00C21071">
            <w:pPr>
              <w:rPr>
                <w:sz w:val="18"/>
                <w:szCs w:val="18"/>
                <w:lang w:val="en-GB"/>
              </w:rPr>
            </w:pPr>
            <w:r w:rsidRPr="00973525">
              <w:rPr>
                <w:sz w:val="20"/>
                <w:szCs w:val="20"/>
                <w:lang w:val="en-US"/>
              </w:rPr>
              <w:t>•</w:t>
            </w:r>
            <w:r w:rsidRPr="00973525">
              <w:rPr>
                <w:sz w:val="20"/>
                <w:szCs w:val="20"/>
                <w:lang w:val="en-US"/>
              </w:rPr>
              <w:tab/>
              <w:t>No opinion</w:t>
            </w:r>
          </w:p>
        </w:tc>
        <w:tc>
          <w:tcPr>
            <w:tcW w:w="7740" w:type="dxa"/>
          </w:tcPr>
          <w:p w14:paraId="77B4F593" w14:textId="77777777" w:rsidR="00C21071" w:rsidRPr="00973525" w:rsidRDefault="00C21071" w:rsidP="00C21071">
            <w:pPr>
              <w:rPr>
                <w:sz w:val="18"/>
                <w:szCs w:val="18"/>
                <w:lang w:val="en-US"/>
              </w:rPr>
            </w:pPr>
          </w:p>
        </w:tc>
        <w:tc>
          <w:tcPr>
            <w:tcW w:w="236" w:type="dxa"/>
          </w:tcPr>
          <w:p w14:paraId="743E005C" w14:textId="77777777" w:rsidR="00C21071" w:rsidRPr="00973525" w:rsidRDefault="00C21071" w:rsidP="0079353D">
            <w:pPr>
              <w:ind w:firstLine="1917"/>
              <w:rPr>
                <w:sz w:val="18"/>
                <w:szCs w:val="18"/>
                <w:lang w:val="en-GB"/>
              </w:rPr>
            </w:pPr>
          </w:p>
        </w:tc>
      </w:tr>
      <w:tr w:rsidR="00C21071" w:rsidRPr="0000602A" w14:paraId="63005F50" w14:textId="77777777" w:rsidTr="30964D0C">
        <w:trPr>
          <w:gridAfter w:val="1"/>
          <w:wAfter w:w="16" w:type="dxa"/>
        </w:trPr>
        <w:tc>
          <w:tcPr>
            <w:tcW w:w="2893" w:type="dxa"/>
          </w:tcPr>
          <w:p w14:paraId="40DA1042" w14:textId="77777777" w:rsidR="00C21071" w:rsidRPr="00973525" w:rsidRDefault="00C21071" w:rsidP="00C21071">
            <w:pPr>
              <w:rPr>
                <w:sz w:val="20"/>
                <w:szCs w:val="20"/>
                <w:lang w:val="en-US"/>
              </w:rPr>
            </w:pPr>
            <w:r w:rsidRPr="00973525">
              <w:rPr>
                <w:sz w:val="20"/>
                <w:szCs w:val="20"/>
                <w:lang w:val="en-US"/>
              </w:rPr>
              <w:t>10.11.</w:t>
            </w:r>
            <w:r w:rsidRPr="00973525">
              <w:rPr>
                <w:sz w:val="20"/>
                <w:szCs w:val="20"/>
                <w:lang w:val="en-US"/>
              </w:rPr>
              <w:tab/>
              <w:t xml:space="preserve">If you answered yes to question 10.10., please specify the sub-segment of non-STS securitisations that you have in </w:t>
            </w:r>
            <w:r w:rsidRPr="00973525">
              <w:rPr>
                <w:sz w:val="20"/>
                <w:szCs w:val="20"/>
                <w:lang w:val="en-US"/>
              </w:rPr>
              <w:lastRenderedPageBreak/>
              <w:t>mind as well as its related capital requirement, including any evidence/data of historical spreads supporting your proposal.</w:t>
            </w:r>
          </w:p>
          <w:p w14:paraId="2B722871" w14:textId="77777777" w:rsidR="00C21071" w:rsidRPr="00973525" w:rsidRDefault="00C21071" w:rsidP="00C21071">
            <w:pPr>
              <w:rPr>
                <w:sz w:val="18"/>
                <w:szCs w:val="18"/>
                <w:lang w:val="en-GB"/>
              </w:rPr>
            </w:pPr>
          </w:p>
        </w:tc>
        <w:tc>
          <w:tcPr>
            <w:tcW w:w="7740" w:type="dxa"/>
          </w:tcPr>
          <w:p w14:paraId="5586389D" w14:textId="77777777" w:rsidR="00C21071" w:rsidRPr="00973525" w:rsidRDefault="00C21071" w:rsidP="00C21071">
            <w:pPr>
              <w:rPr>
                <w:sz w:val="18"/>
                <w:szCs w:val="18"/>
                <w:lang w:val="en-US"/>
              </w:rPr>
            </w:pPr>
          </w:p>
        </w:tc>
        <w:tc>
          <w:tcPr>
            <w:tcW w:w="236" w:type="dxa"/>
          </w:tcPr>
          <w:p w14:paraId="1936B667" w14:textId="77777777" w:rsidR="00C21071" w:rsidRPr="00973525" w:rsidRDefault="00C21071" w:rsidP="0079353D">
            <w:pPr>
              <w:ind w:firstLine="1917"/>
              <w:rPr>
                <w:sz w:val="18"/>
                <w:szCs w:val="18"/>
                <w:lang w:val="en-GB"/>
              </w:rPr>
            </w:pPr>
          </w:p>
        </w:tc>
      </w:tr>
      <w:tr w:rsidR="00C21071" w:rsidRPr="0000602A" w14:paraId="259ED3DD" w14:textId="77777777" w:rsidTr="30964D0C">
        <w:trPr>
          <w:gridAfter w:val="1"/>
          <w:wAfter w:w="16" w:type="dxa"/>
        </w:trPr>
        <w:tc>
          <w:tcPr>
            <w:tcW w:w="2893" w:type="dxa"/>
          </w:tcPr>
          <w:p w14:paraId="08AE8235" w14:textId="77777777" w:rsidR="00C21071" w:rsidRPr="00973525" w:rsidRDefault="00C21071" w:rsidP="00C21071">
            <w:pPr>
              <w:rPr>
                <w:sz w:val="20"/>
                <w:szCs w:val="20"/>
                <w:lang w:val="en-US"/>
              </w:rPr>
            </w:pPr>
            <w:r w:rsidRPr="00973525">
              <w:rPr>
                <w:sz w:val="20"/>
                <w:szCs w:val="20"/>
                <w:lang w:val="en-US"/>
              </w:rPr>
              <w:t>10.12.</w:t>
            </w:r>
            <w:r w:rsidRPr="00973525">
              <w:rPr>
                <w:sz w:val="20"/>
                <w:szCs w:val="20"/>
                <w:lang w:val="en-US"/>
              </w:rPr>
              <w:tab/>
              <w:t>Is it desirable that Solvency II standard formula capital requirements for spread risk differentiate between senior and non-senior tranches of non-STS securitisations?</w:t>
            </w:r>
          </w:p>
          <w:p w14:paraId="29C5D0A5" w14:textId="77777777" w:rsidR="00C21071" w:rsidRPr="00973525" w:rsidRDefault="00C21071" w:rsidP="00C21071">
            <w:pPr>
              <w:rPr>
                <w:sz w:val="20"/>
                <w:szCs w:val="20"/>
                <w:lang w:val="en-US"/>
              </w:rPr>
            </w:pPr>
          </w:p>
          <w:p w14:paraId="24E215EC"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106FB942"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2922C722"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363E38FF" w14:textId="77777777" w:rsidR="00C21071" w:rsidRPr="00973525" w:rsidRDefault="00C21071" w:rsidP="00C21071">
            <w:pPr>
              <w:rPr>
                <w:sz w:val="20"/>
                <w:szCs w:val="20"/>
                <w:lang w:val="en-US"/>
              </w:rPr>
            </w:pPr>
          </w:p>
          <w:p w14:paraId="17DAFC78" w14:textId="0C1D59B8" w:rsidR="00C21071" w:rsidRPr="00973525" w:rsidRDefault="00C21071" w:rsidP="00C21071">
            <w:pPr>
              <w:rPr>
                <w:sz w:val="18"/>
                <w:szCs w:val="18"/>
                <w:lang w:val="en-GB"/>
              </w:rPr>
            </w:pPr>
            <w:r w:rsidRPr="00973525">
              <w:rPr>
                <w:sz w:val="20"/>
                <w:szCs w:val="20"/>
                <w:lang w:val="en-US"/>
              </w:rPr>
              <w:t>Please explain your answer, being specific in your reply.</w:t>
            </w:r>
          </w:p>
        </w:tc>
        <w:tc>
          <w:tcPr>
            <w:tcW w:w="7740" w:type="dxa"/>
          </w:tcPr>
          <w:p w14:paraId="5D079B78" w14:textId="77777777" w:rsidR="00C21071" w:rsidRPr="00973525" w:rsidRDefault="00C21071" w:rsidP="00C21071">
            <w:pPr>
              <w:rPr>
                <w:sz w:val="20"/>
                <w:szCs w:val="20"/>
                <w:lang w:val="en-US"/>
              </w:rPr>
            </w:pPr>
            <w:r w:rsidRPr="00973525">
              <w:rPr>
                <w:sz w:val="20"/>
                <w:szCs w:val="20"/>
                <w:lang w:val="en-US"/>
              </w:rPr>
              <w:t>Yes</w:t>
            </w:r>
          </w:p>
          <w:p w14:paraId="07E42A35" w14:textId="77777777" w:rsidR="00C21071" w:rsidRPr="00973525" w:rsidRDefault="00C21071" w:rsidP="00C21071">
            <w:pPr>
              <w:rPr>
                <w:sz w:val="20"/>
                <w:szCs w:val="20"/>
                <w:lang w:val="en-US"/>
              </w:rPr>
            </w:pPr>
          </w:p>
          <w:p w14:paraId="5733DE09" w14:textId="77777777" w:rsidR="00C21071" w:rsidRPr="00973525" w:rsidRDefault="00C21071" w:rsidP="00C21071">
            <w:pPr>
              <w:rPr>
                <w:sz w:val="20"/>
                <w:szCs w:val="20"/>
                <w:lang w:val="en-US"/>
              </w:rPr>
            </w:pPr>
            <w:r w:rsidRPr="00973525">
              <w:rPr>
                <w:sz w:val="20"/>
                <w:szCs w:val="20"/>
                <w:lang w:val="en-US"/>
              </w:rPr>
              <w:t>We believe that it is highly desirable that Solvency II standard formula capital requirements for spread risk differentiate between senior and non-senior tranches of non-STS securitisations. Indeed, the recovery rate is not the same between a senior and a non-senior tranche. For instance, for a modified duration of five years and a rating of AAA, a non-STS senior tranche is currently 12.5 times more expensive than an STS senior tranche with the same rating.</w:t>
            </w:r>
          </w:p>
          <w:p w14:paraId="7BD9F49B" w14:textId="77777777" w:rsidR="00C21071" w:rsidRPr="00973525" w:rsidRDefault="00C21071" w:rsidP="00C21071">
            <w:pPr>
              <w:rPr>
                <w:sz w:val="20"/>
                <w:szCs w:val="20"/>
                <w:lang w:val="en-US"/>
              </w:rPr>
            </w:pPr>
            <w:proofErr w:type="gramStart"/>
            <w:r w:rsidRPr="00973525">
              <w:rPr>
                <w:sz w:val="20"/>
                <w:szCs w:val="20"/>
                <w:lang w:val="en-US"/>
              </w:rPr>
              <w:t>In order to</w:t>
            </w:r>
            <w:proofErr w:type="gramEnd"/>
            <w:r w:rsidRPr="00973525">
              <w:rPr>
                <w:sz w:val="20"/>
                <w:szCs w:val="20"/>
                <w:lang w:val="en-US"/>
              </w:rPr>
              <w:t xml:space="preserve"> recalibrate coherently the capital charges of Securitisation, we support the proposals presented in the Paris </w:t>
            </w:r>
            <w:proofErr w:type="spellStart"/>
            <w:r w:rsidRPr="00973525">
              <w:rPr>
                <w:sz w:val="20"/>
                <w:szCs w:val="20"/>
                <w:lang w:val="en-US"/>
              </w:rPr>
              <w:t>Europlace</w:t>
            </w:r>
            <w:proofErr w:type="spellEnd"/>
            <w:r w:rsidRPr="00973525">
              <w:rPr>
                <w:sz w:val="20"/>
                <w:szCs w:val="20"/>
                <w:lang w:val="en-US"/>
              </w:rPr>
              <w:t xml:space="preserve"> report, based on the AFME and Risk Control Research note “ABS and Covered Bond Risk and Solvency II Capital Charges (25.02.2022)” and the key finding in </w:t>
            </w:r>
            <w:proofErr w:type="spellStart"/>
            <w:r w:rsidRPr="00973525">
              <w:rPr>
                <w:sz w:val="20"/>
                <w:szCs w:val="20"/>
                <w:lang w:val="en-US"/>
              </w:rPr>
              <w:t>Perraudin</w:t>
            </w:r>
            <w:proofErr w:type="spellEnd"/>
            <w:r w:rsidRPr="00973525">
              <w:rPr>
                <w:sz w:val="20"/>
                <w:szCs w:val="20"/>
                <w:lang w:val="en-US"/>
              </w:rPr>
              <w:t xml:space="preserve"> and Qiu study 2022: </w:t>
            </w:r>
          </w:p>
          <w:p w14:paraId="7389C961" w14:textId="77777777" w:rsidR="00C21071" w:rsidRPr="00973525" w:rsidRDefault="00C21071" w:rsidP="00C21071">
            <w:pPr>
              <w:rPr>
                <w:sz w:val="20"/>
                <w:szCs w:val="20"/>
                <w:lang w:val="en-US"/>
              </w:rPr>
            </w:pPr>
            <w:r w:rsidRPr="00973525">
              <w:rPr>
                <w:sz w:val="20"/>
                <w:szCs w:val="20"/>
                <w:lang w:val="en-US"/>
              </w:rPr>
              <w:t xml:space="preserve">• New Senior STS could be aligned to Bonds &amp; Loans </w:t>
            </w:r>
          </w:p>
          <w:p w14:paraId="07FF7DCF" w14:textId="77777777" w:rsidR="00C21071" w:rsidRPr="00973525" w:rsidRDefault="00C21071" w:rsidP="00C21071">
            <w:pPr>
              <w:rPr>
                <w:sz w:val="20"/>
                <w:szCs w:val="20"/>
                <w:lang w:val="en-US"/>
              </w:rPr>
            </w:pPr>
            <w:r w:rsidRPr="00973525">
              <w:rPr>
                <w:sz w:val="20"/>
                <w:szCs w:val="20"/>
                <w:lang w:val="en-US"/>
              </w:rPr>
              <w:t>• New Senior Non-STS shocks could be set at 1.3 times the New Senior STS shocks</w:t>
            </w:r>
          </w:p>
          <w:p w14:paraId="6F8A3381" w14:textId="77777777" w:rsidR="00C21071" w:rsidRPr="00973525" w:rsidRDefault="00C21071" w:rsidP="00C21071">
            <w:pPr>
              <w:rPr>
                <w:sz w:val="20"/>
                <w:szCs w:val="20"/>
                <w:lang w:val="en-US"/>
              </w:rPr>
            </w:pPr>
            <w:r w:rsidRPr="00973525">
              <w:rPr>
                <w:sz w:val="20"/>
                <w:szCs w:val="20"/>
                <w:lang w:val="en-US"/>
              </w:rPr>
              <w:t xml:space="preserve">• The New Non-Senior shocks could set at 1.5 times the New Senior shocks, and this is applied to </w:t>
            </w:r>
          </w:p>
          <w:p w14:paraId="23E6DCBE" w14:textId="77777777" w:rsidR="00C21071" w:rsidRPr="00973525" w:rsidRDefault="00C21071" w:rsidP="00C21071">
            <w:pPr>
              <w:rPr>
                <w:sz w:val="20"/>
                <w:szCs w:val="20"/>
                <w:lang w:val="en-US"/>
              </w:rPr>
            </w:pPr>
            <w:r w:rsidRPr="00973525">
              <w:rPr>
                <w:sz w:val="20"/>
                <w:szCs w:val="20"/>
                <w:lang w:val="en-US"/>
              </w:rPr>
              <w:t xml:space="preserve">both STS and Non-STS </w:t>
            </w:r>
          </w:p>
          <w:p w14:paraId="6AAF28AE" w14:textId="77777777" w:rsidR="00C21071" w:rsidRPr="00973525" w:rsidRDefault="00C21071" w:rsidP="00C21071">
            <w:pPr>
              <w:rPr>
                <w:sz w:val="20"/>
                <w:szCs w:val="20"/>
                <w:lang w:val="en-US"/>
              </w:rPr>
            </w:pPr>
          </w:p>
          <w:p w14:paraId="5CB89C3C" w14:textId="77777777" w:rsidR="00C21071" w:rsidRPr="00973525" w:rsidRDefault="00C21071" w:rsidP="00C21071">
            <w:pPr>
              <w:rPr>
                <w:sz w:val="20"/>
                <w:szCs w:val="20"/>
                <w:lang w:val="en-US"/>
              </w:rPr>
            </w:pPr>
            <w:r w:rsidRPr="00973525">
              <w:rPr>
                <w:sz w:val="20"/>
                <w:szCs w:val="20"/>
                <w:lang w:val="en-US"/>
              </w:rPr>
              <w:t>The adaptation of the calibration of securitized products could be done through a Delegated Act, as stated in the Solvency II latest draft agreement in Parliament 23/04/2024 Plenary, recital (105)</w:t>
            </w:r>
            <w:proofErr w:type="gramStart"/>
            <w:r w:rsidRPr="00973525">
              <w:rPr>
                <w:sz w:val="20"/>
                <w:szCs w:val="20"/>
                <w:lang w:val="en-US"/>
              </w:rPr>
              <w:t>: ”</w:t>
            </w:r>
            <w:proofErr w:type="gramEnd"/>
            <w:r w:rsidRPr="00973525">
              <w:rPr>
                <w:sz w:val="20"/>
                <w:szCs w:val="20"/>
                <w:lang w:val="en-US"/>
              </w:rPr>
              <w:t xml:space="preserve"> It should be ensured that the prudential treatment of investments in securitisation, including simple, transparent and </w:t>
            </w:r>
            <w:proofErr w:type="spellStart"/>
            <w:r w:rsidRPr="00973525">
              <w:rPr>
                <w:sz w:val="20"/>
                <w:szCs w:val="20"/>
                <w:lang w:val="en-US"/>
              </w:rPr>
              <w:t>standardised</w:t>
            </w:r>
            <w:proofErr w:type="spellEnd"/>
            <w:r w:rsidRPr="00973525">
              <w:rPr>
                <w:sz w:val="20"/>
                <w:szCs w:val="20"/>
                <w:lang w:val="en-US"/>
              </w:rPr>
              <w:t xml:space="preserve"> securitisation, appropriately reflects the actual risks, and that capital requirements associated with such investments be risk-oriented. To this end, the Commission should assess the appropriateness of existing calibrations for investments in securitisations that are set out in the delegated acts adopted pursuant to Directive 2009/138/EC, </w:t>
            </w:r>
            <w:proofErr w:type="gramStart"/>
            <w:r w:rsidRPr="00973525">
              <w:rPr>
                <w:sz w:val="20"/>
                <w:szCs w:val="20"/>
                <w:lang w:val="en-US"/>
              </w:rPr>
              <w:t>taking into account</w:t>
            </w:r>
            <w:proofErr w:type="gramEnd"/>
            <w:r w:rsidRPr="00973525">
              <w:rPr>
                <w:sz w:val="20"/>
                <w:szCs w:val="20"/>
                <w:lang w:val="en-US"/>
              </w:rPr>
              <w:t xml:space="preserve"> available market data, and their consistency with capital requirements that are applicable to investments in other fixed-income securities. Based on such </w:t>
            </w:r>
            <w:proofErr w:type="gramStart"/>
            <w:r w:rsidRPr="00973525">
              <w:rPr>
                <w:sz w:val="20"/>
                <w:szCs w:val="20"/>
                <w:lang w:val="en-US"/>
              </w:rPr>
              <w:t>assessment</w:t>
            </w:r>
            <w:proofErr w:type="gramEnd"/>
            <w:r w:rsidRPr="00973525">
              <w:rPr>
                <w:sz w:val="20"/>
                <w:szCs w:val="20"/>
                <w:lang w:val="en-US"/>
              </w:rPr>
              <w:t xml:space="preserve">, and where appropriate, the Commission should consider amending the delegated act setting capital requirements applicable to investments in securitisation. Such amendments, which should be risk-based and evidence-based, could consist of introducing a more granular set of risk factors depending on the ranking of the securitisation tranches, or of differentiating different types of non-simple, transparent and </w:t>
            </w:r>
            <w:proofErr w:type="spellStart"/>
            <w:r w:rsidRPr="00973525">
              <w:rPr>
                <w:sz w:val="20"/>
                <w:szCs w:val="20"/>
                <w:lang w:val="en-US"/>
              </w:rPr>
              <w:t>standardised</w:t>
            </w:r>
            <w:proofErr w:type="spellEnd"/>
            <w:r w:rsidRPr="00973525">
              <w:rPr>
                <w:sz w:val="20"/>
                <w:szCs w:val="20"/>
                <w:lang w:val="en-US"/>
              </w:rPr>
              <w:t xml:space="preserve"> securitisation depending on their risks.”</w:t>
            </w:r>
          </w:p>
          <w:p w14:paraId="47145119" w14:textId="77777777" w:rsidR="00C21071" w:rsidRPr="00973525" w:rsidRDefault="00C21071" w:rsidP="00C21071">
            <w:pPr>
              <w:rPr>
                <w:sz w:val="18"/>
                <w:szCs w:val="18"/>
                <w:lang w:val="en-US"/>
              </w:rPr>
            </w:pPr>
          </w:p>
        </w:tc>
        <w:tc>
          <w:tcPr>
            <w:tcW w:w="236" w:type="dxa"/>
          </w:tcPr>
          <w:p w14:paraId="71780D30" w14:textId="77777777" w:rsidR="00C21071" w:rsidRPr="00973525" w:rsidRDefault="00C21071" w:rsidP="0079353D">
            <w:pPr>
              <w:ind w:firstLine="1917"/>
              <w:rPr>
                <w:sz w:val="18"/>
                <w:szCs w:val="18"/>
                <w:lang w:val="en-GB"/>
              </w:rPr>
            </w:pPr>
          </w:p>
        </w:tc>
      </w:tr>
      <w:tr w:rsidR="00C21071" w:rsidRPr="0000602A" w14:paraId="68DC5042" w14:textId="77777777" w:rsidTr="30964D0C">
        <w:trPr>
          <w:gridAfter w:val="1"/>
          <w:wAfter w:w="16" w:type="dxa"/>
        </w:trPr>
        <w:tc>
          <w:tcPr>
            <w:tcW w:w="2893" w:type="dxa"/>
          </w:tcPr>
          <w:p w14:paraId="72466A9D" w14:textId="314EA1C2" w:rsidR="00C21071" w:rsidRPr="00973525" w:rsidRDefault="00C21071" w:rsidP="00C21071">
            <w:pPr>
              <w:rPr>
                <w:sz w:val="18"/>
                <w:szCs w:val="18"/>
                <w:lang w:val="en-GB"/>
              </w:rPr>
            </w:pPr>
            <w:r w:rsidRPr="00973525">
              <w:rPr>
                <w:sz w:val="20"/>
                <w:szCs w:val="20"/>
                <w:lang w:val="en-US"/>
              </w:rPr>
              <w:t>10.13.</w:t>
            </w:r>
            <w:r w:rsidRPr="00973525">
              <w:rPr>
                <w:sz w:val="20"/>
                <w:szCs w:val="20"/>
                <w:lang w:val="en-US"/>
              </w:rPr>
              <w:tab/>
              <w:t>If you answered no to question 10.12., please provide suggestions for calibrations of capital requirements for such senior and non-senior tranches, including the data/evidence backing such suggestions. Please also indicate whether you target a specific segment of non-STS securitisation.</w:t>
            </w:r>
          </w:p>
        </w:tc>
        <w:tc>
          <w:tcPr>
            <w:tcW w:w="7740" w:type="dxa"/>
          </w:tcPr>
          <w:p w14:paraId="127502A6" w14:textId="2CCFE789" w:rsidR="00C21071" w:rsidRPr="00973525" w:rsidRDefault="00C21071" w:rsidP="00C21071">
            <w:pPr>
              <w:rPr>
                <w:sz w:val="18"/>
                <w:szCs w:val="18"/>
                <w:lang w:val="en-US"/>
              </w:rPr>
            </w:pPr>
          </w:p>
        </w:tc>
        <w:tc>
          <w:tcPr>
            <w:tcW w:w="236" w:type="dxa"/>
          </w:tcPr>
          <w:p w14:paraId="2DF3464A" w14:textId="77777777" w:rsidR="00C21071" w:rsidRPr="00973525" w:rsidRDefault="00C21071" w:rsidP="0079353D">
            <w:pPr>
              <w:ind w:firstLine="1917"/>
              <w:rPr>
                <w:sz w:val="18"/>
                <w:szCs w:val="18"/>
                <w:lang w:val="en-GB"/>
              </w:rPr>
            </w:pPr>
          </w:p>
        </w:tc>
      </w:tr>
      <w:tr w:rsidR="00C21071" w:rsidRPr="0000602A" w14:paraId="1A5EA7DC" w14:textId="77777777" w:rsidTr="30964D0C">
        <w:trPr>
          <w:gridAfter w:val="1"/>
          <w:wAfter w:w="16" w:type="dxa"/>
        </w:trPr>
        <w:tc>
          <w:tcPr>
            <w:tcW w:w="2893" w:type="dxa"/>
          </w:tcPr>
          <w:p w14:paraId="30A061E6" w14:textId="77777777" w:rsidR="00C21071" w:rsidRPr="00973525" w:rsidRDefault="00C21071" w:rsidP="00C21071">
            <w:pPr>
              <w:rPr>
                <w:sz w:val="20"/>
                <w:szCs w:val="20"/>
                <w:lang w:val="en-US"/>
              </w:rPr>
            </w:pPr>
            <w:r w:rsidRPr="00973525">
              <w:rPr>
                <w:sz w:val="20"/>
                <w:szCs w:val="20"/>
                <w:lang w:val="en-US"/>
              </w:rPr>
              <w:t>11.1.</w:t>
            </w:r>
            <w:r w:rsidRPr="00973525">
              <w:rPr>
                <w:sz w:val="20"/>
                <w:szCs w:val="20"/>
                <w:lang w:val="en-US"/>
              </w:rPr>
              <w:tab/>
            </w:r>
            <w:proofErr w:type="gramStart"/>
            <w:r w:rsidRPr="00973525">
              <w:rPr>
                <w:sz w:val="20"/>
                <w:szCs w:val="20"/>
                <w:lang w:val="en-US"/>
              </w:rPr>
              <w:t>For the purpose of</w:t>
            </w:r>
            <w:proofErr w:type="gramEnd"/>
            <w:r w:rsidRPr="00973525">
              <w:rPr>
                <w:sz w:val="20"/>
                <w:szCs w:val="20"/>
                <w:lang w:val="en-US"/>
              </w:rPr>
              <w:t xml:space="preserve"> this section, please indicate whether you are an IORP, a </w:t>
            </w:r>
            <w:r w:rsidRPr="00973525">
              <w:rPr>
                <w:sz w:val="20"/>
                <w:szCs w:val="20"/>
                <w:lang w:val="en-US"/>
              </w:rPr>
              <w:lastRenderedPageBreak/>
              <w:t>non-IORP or another type of stakeholder.</w:t>
            </w:r>
          </w:p>
          <w:p w14:paraId="13D886E7" w14:textId="77777777" w:rsidR="00C21071" w:rsidRPr="00973525" w:rsidRDefault="00C21071" w:rsidP="00C21071">
            <w:pPr>
              <w:rPr>
                <w:sz w:val="20"/>
                <w:szCs w:val="20"/>
                <w:lang w:val="en-US"/>
              </w:rPr>
            </w:pPr>
          </w:p>
          <w:p w14:paraId="74BC174B"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IORP</w:t>
            </w:r>
          </w:p>
          <w:p w14:paraId="6ED68E1B"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Nationally regulated pension fund not regulated by IORP II</w:t>
            </w:r>
          </w:p>
          <w:p w14:paraId="3816975F"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Other</w:t>
            </w:r>
          </w:p>
          <w:p w14:paraId="72B7B484" w14:textId="55B9F133" w:rsidR="00C21071" w:rsidRPr="00973525" w:rsidRDefault="00C21071" w:rsidP="00C21071">
            <w:pPr>
              <w:rPr>
                <w:sz w:val="18"/>
                <w:szCs w:val="18"/>
                <w:lang w:val="en-GB"/>
              </w:rPr>
            </w:pPr>
            <w:r w:rsidRPr="00973525">
              <w:rPr>
                <w:sz w:val="20"/>
                <w:szCs w:val="20"/>
                <w:lang w:val="en-US"/>
              </w:rPr>
              <w:t xml:space="preserve"> Please elaborate in case you are not an IORP.</w:t>
            </w:r>
          </w:p>
        </w:tc>
        <w:tc>
          <w:tcPr>
            <w:tcW w:w="7740" w:type="dxa"/>
          </w:tcPr>
          <w:p w14:paraId="0C952856" w14:textId="77777777" w:rsidR="00C21071" w:rsidRPr="00973525" w:rsidRDefault="00C21071" w:rsidP="00C21071">
            <w:pPr>
              <w:rPr>
                <w:sz w:val="18"/>
                <w:szCs w:val="18"/>
                <w:lang w:val="en-US"/>
              </w:rPr>
            </w:pPr>
          </w:p>
        </w:tc>
        <w:tc>
          <w:tcPr>
            <w:tcW w:w="236" w:type="dxa"/>
          </w:tcPr>
          <w:p w14:paraId="513932CC" w14:textId="77777777" w:rsidR="00C21071" w:rsidRPr="00973525" w:rsidRDefault="00C21071" w:rsidP="0079353D">
            <w:pPr>
              <w:ind w:firstLine="1917"/>
              <w:rPr>
                <w:sz w:val="18"/>
                <w:szCs w:val="18"/>
                <w:lang w:val="en-GB"/>
              </w:rPr>
            </w:pPr>
          </w:p>
        </w:tc>
      </w:tr>
      <w:tr w:rsidR="00C21071" w:rsidRPr="00973525" w14:paraId="2F67383D" w14:textId="77777777" w:rsidTr="30964D0C">
        <w:trPr>
          <w:gridAfter w:val="1"/>
          <w:wAfter w:w="16" w:type="dxa"/>
        </w:trPr>
        <w:tc>
          <w:tcPr>
            <w:tcW w:w="2893" w:type="dxa"/>
          </w:tcPr>
          <w:p w14:paraId="59671BA0" w14:textId="77777777" w:rsidR="00C21071" w:rsidRPr="00973525" w:rsidRDefault="00C21071" w:rsidP="00C21071">
            <w:pPr>
              <w:rPr>
                <w:sz w:val="20"/>
                <w:szCs w:val="20"/>
                <w:lang w:val="en-US"/>
              </w:rPr>
            </w:pPr>
            <w:r w:rsidRPr="00973525">
              <w:rPr>
                <w:sz w:val="20"/>
                <w:szCs w:val="20"/>
                <w:lang w:val="en-US"/>
              </w:rPr>
              <w:t>11.2.</w:t>
            </w:r>
            <w:r w:rsidRPr="00973525">
              <w:rPr>
                <w:sz w:val="20"/>
                <w:szCs w:val="20"/>
                <w:lang w:val="en-US"/>
              </w:rPr>
              <w:tab/>
              <w:t xml:space="preserve">Is there an interest from IORPs and/or non-IORPs </w:t>
            </w:r>
            <w:proofErr w:type="gramStart"/>
            <w:r w:rsidRPr="00973525">
              <w:rPr>
                <w:sz w:val="20"/>
                <w:szCs w:val="20"/>
                <w:lang w:val="en-US"/>
              </w:rPr>
              <w:t>to increase</w:t>
            </w:r>
            <w:proofErr w:type="gramEnd"/>
            <w:r w:rsidRPr="00973525">
              <w:rPr>
                <w:sz w:val="20"/>
                <w:szCs w:val="20"/>
                <w:lang w:val="en-US"/>
              </w:rPr>
              <w:t xml:space="preserve"> their investments in securitisation (whether a senior tranche, mezzanine tranche, or a junior tranche)?</w:t>
            </w:r>
          </w:p>
          <w:p w14:paraId="639BAAC1" w14:textId="77777777" w:rsidR="00C21071" w:rsidRPr="00973525" w:rsidRDefault="00C21071" w:rsidP="00C21071">
            <w:pPr>
              <w:rPr>
                <w:sz w:val="20"/>
                <w:szCs w:val="20"/>
                <w:lang w:val="en-US"/>
              </w:rPr>
            </w:pPr>
          </w:p>
          <w:p w14:paraId="65F2A1F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283BE070"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65EA9059" w14:textId="1C1DF784" w:rsidR="00C21071" w:rsidRPr="00973525" w:rsidRDefault="00C21071" w:rsidP="00C21071">
            <w:pPr>
              <w:rPr>
                <w:sz w:val="18"/>
                <w:szCs w:val="18"/>
                <w:lang w:val="en-GB"/>
              </w:rPr>
            </w:pPr>
            <w:r w:rsidRPr="00973525">
              <w:rPr>
                <w:sz w:val="20"/>
                <w:szCs w:val="20"/>
                <w:lang w:val="en-US"/>
              </w:rPr>
              <w:t>•</w:t>
            </w:r>
            <w:r w:rsidRPr="00973525">
              <w:rPr>
                <w:sz w:val="20"/>
                <w:szCs w:val="20"/>
                <w:lang w:val="en-US"/>
              </w:rPr>
              <w:tab/>
              <w:t>No opinion</w:t>
            </w:r>
          </w:p>
        </w:tc>
        <w:tc>
          <w:tcPr>
            <w:tcW w:w="7740" w:type="dxa"/>
          </w:tcPr>
          <w:p w14:paraId="72B0917A" w14:textId="77777777" w:rsidR="00C21071" w:rsidRPr="00973525" w:rsidRDefault="00C21071" w:rsidP="00C21071">
            <w:pPr>
              <w:rPr>
                <w:sz w:val="18"/>
                <w:szCs w:val="18"/>
                <w:lang w:val="en-US"/>
              </w:rPr>
            </w:pPr>
          </w:p>
        </w:tc>
        <w:tc>
          <w:tcPr>
            <w:tcW w:w="236" w:type="dxa"/>
          </w:tcPr>
          <w:p w14:paraId="7AC9EBC7" w14:textId="77777777" w:rsidR="00C21071" w:rsidRPr="00973525" w:rsidRDefault="00C21071" w:rsidP="0079353D">
            <w:pPr>
              <w:ind w:firstLine="1917"/>
              <w:rPr>
                <w:sz w:val="18"/>
                <w:szCs w:val="18"/>
                <w:lang w:val="en-GB"/>
              </w:rPr>
            </w:pPr>
          </w:p>
        </w:tc>
      </w:tr>
      <w:tr w:rsidR="00C21071" w:rsidRPr="0000602A" w14:paraId="0E114944" w14:textId="77777777" w:rsidTr="30964D0C">
        <w:trPr>
          <w:gridAfter w:val="1"/>
          <w:wAfter w:w="16" w:type="dxa"/>
        </w:trPr>
        <w:tc>
          <w:tcPr>
            <w:tcW w:w="2893" w:type="dxa"/>
          </w:tcPr>
          <w:p w14:paraId="44AD39BA" w14:textId="77777777" w:rsidR="00C21071" w:rsidRPr="00973525" w:rsidRDefault="00C21071" w:rsidP="00C21071">
            <w:pPr>
              <w:rPr>
                <w:sz w:val="20"/>
                <w:szCs w:val="20"/>
                <w:lang w:val="en-US"/>
              </w:rPr>
            </w:pPr>
            <w:r w:rsidRPr="00973525">
              <w:rPr>
                <w:sz w:val="20"/>
                <w:szCs w:val="20"/>
                <w:lang w:val="en-US"/>
              </w:rPr>
              <w:t>11.3.</w:t>
            </w:r>
            <w:r w:rsidRPr="00973525">
              <w:rPr>
                <w:sz w:val="20"/>
                <w:szCs w:val="20"/>
                <w:lang w:val="en-US"/>
              </w:rPr>
              <w:tab/>
              <w:t>Please clarify whether your answer to question 11.2. concerns your own situation, or whether it is an assessment of a given national market (in which you operate for instance).</w:t>
            </w:r>
          </w:p>
          <w:p w14:paraId="448C65F1" w14:textId="77777777" w:rsidR="00C21071" w:rsidRPr="00973525" w:rsidRDefault="00C21071" w:rsidP="00C21071">
            <w:pPr>
              <w:rPr>
                <w:sz w:val="20"/>
                <w:szCs w:val="20"/>
                <w:lang w:val="en-US"/>
              </w:rPr>
            </w:pPr>
          </w:p>
          <w:p w14:paraId="592FB26E" w14:textId="77777777" w:rsidR="00C21071" w:rsidRPr="00973525" w:rsidRDefault="00C21071" w:rsidP="00C21071">
            <w:pPr>
              <w:rPr>
                <w:sz w:val="20"/>
                <w:szCs w:val="20"/>
                <w:lang w:val="en-US"/>
              </w:rPr>
            </w:pPr>
          </w:p>
          <w:p w14:paraId="15DD04AC" w14:textId="77777777" w:rsidR="00C21071" w:rsidRPr="00973525" w:rsidRDefault="00C21071" w:rsidP="00C21071">
            <w:pPr>
              <w:rPr>
                <w:sz w:val="20"/>
                <w:szCs w:val="20"/>
                <w:lang w:val="en-US"/>
              </w:rPr>
            </w:pPr>
            <w:r w:rsidRPr="00973525">
              <w:rPr>
                <w:sz w:val="20"/>
                <w:szCs w:val="20"/>
                <w:lang w:val="en-US"/>
              </w:rPr>
              <w:t>If you answered yes to question 11.2., please specify the segments of securitisations in which IORPs and/or non-IORPs would be willing to invest more (in terms of seniority, type of underlying assets, etc.) and describe the potential for increase in the share of securitisation investments in their balance sheet.</w:t>
            </w:r>
          </w:p>
          <w:p w14:paraId="5B0904BD" w14:textId="77777777" w:rsidR="00C21071" w:rsidRPr="00973525" w:rsidRDefault="00C21071" w:rsidP="00C21071">
            <w:pPr>
              <w:rPr>
                <w:sz w:val="20"/>
                <w:szCs w:val="20"/>
                <w:lang w:val="en-US"/>
              </w:rPr>
            </w:pPr>
          </w:p>
          <w:p w14:paraId="07B5D7DF" w14:textId="0407A0BA" w:rsidR="00C21071" w:rsidRPr="00973525" w:rsidRDefault="00C21071" w:rsidP="00C21071">
            <w:pPr>
              <w:rPr>
                <w:sz w:val="18"/>
                <w:szCs w:val="18"/>
                <w:lang w:val="en-GB"/>
              </w:rPr>
            </w:pPr>
            <w:r w:rsidRPr="00973525">
              <w:rPr>
                <w:sz w:val="20"/>
                <w:szCs w:val="20"/>
                <w:lang w:val="en-US"/>
              </w:rPr>
              <w:t xml:space="preserve">In addition, if your </w:t>
            </w:r>
            <w:proofErr w:type="gramStart"/>
            <w:r w:rsidRPr="00973525">
              <w:rPr>
                <w:sz w:val="20"/>
                <w:szCs w:val="20"/>
                <w:lang w:val="en-US"/>
              </w:rPr>
              <w:t>reply</w:t>
            </w:r>
            <w:proofErr w:type="gramEnd"/>
            <w:r w:rsidRPr="00973525">
              <w:rPr>
                <w:sz w:val="20"/>
                <w:szCs w:val="20"/>
                <w:lang w:val="en-US"/>
              </w:rPr>
              <w:t xml:space="preserve"> concerns or encompasses non-IORPs, please indicate </w:t>
            </w:r>
            <w:proofErr w:type="spellStart"/>
            <w:r w:rsidRPr="00973525">
              <w:rPr>
                <w:sz w:val="20"/>
                <w:szCs w:val="20"/>
                <w:lang w:val="en-US"/>
              </w:rPr>
              <w:t>i</w:t>
            </w:r>
            <w:proofErr w:type="spellEnd"/>
            <w:r w:rsidRPr="00973525">
              <w:rPr>
                <w:sz w:val="20"/>
                <w:szCs w:val="20"/>
                <w:lang w:val="en-US"/>
              </w:rPr>
              <w:t>/ the number of non-IORP in your jurisdiction, ii/ the amount of assets under management and iii/ the type of pension business concerned, for which investment in securitisation would be interesting.</w:t>
            </w:r>
          </w:p>
        </w:tc>
        <w:tc>
          <w:tcPr>
            <w:tcW w:w="7740" w:type="dxa"/>
          </w:tcPr>
          <w:p w14:paraId="66274865" w14:textId="77777777" w:rsidR="00C21071" w:rsidRPr="00973525" w:rsidRDefault="00C21071" w:rsidP="00C21071">
            <w:pPr>
              <w:rPr>
                <w:sz w:val="18"/>
                <w:szCs w:val="18"/>
                <w:lang w:val="en-US"/>
              </w:rPr>
            </w:pPr>
          </w:p>
        </w:tc>
        <w:tc>
          <w:tcPr>
            <w:tcW w:w="236" w:type="dxa"/>
          </w:tcPr>
          <w:p w14:paraId="0C11485A" w14:textId="77777777" w:rsidR="00C21071" w:rsidRPr="00973525" w:rsidRDefault="00C21071" w:rsidP="0079353D">
            <w:pPr>
              <w:ind w:firstLine="1917"/>
              <w:rPr>
                <w:sz w:val="18"/>
                <w:szCs w:val="18"/>
                <w:lang w:val="en-GB"/>
              </w:rPr>
            </w:pPr>
          </w:p>
        </w:tc>
      </w:tr>
      <w:tr w:rsidR="00C21071" w:rsidRPr="0000602A" w14:paraId="24629178" w14:textId="77777777" w:rsidTr="30964D0C">
        <w:trPr>
          <w:gridAfter w:val="1"/>
          <w:wAfter w:w="16" w:type="dxa"/>
        </w:trPr>
        <w:tc>
          <w:tcPr>
            <w:tcW w:w="2893" w:type="dxa"/>
          </w:tcPr>
          <w:p w14:paraId="2BA34F0C" w14:textId="7C1915D1" w:rsidR="00C21071" w:rsidRPr="00973525" w:rsidRDefault="00C21071" w:rsidP="00C21071">
            <w:pPr>
              <w:rPr>
                <w:sz w:val="20"/>
                <w:szCs w:val="20"/>
                <w:lang w:val="en-US"/>
              </w:rPr>
            </w:pPr>
            <w:r w:rsidRPr="00973525">
              <w:rPr>
                <w:sz w:val="20"/>
                <w:szCs w:val="20"/>
                <w:lang w:val="en-US"/>
              </w:rPr>
              <w:t>11.4.</w:t>
            </w:r>
            <w:r w:rsidRPr="00973525">
              <w:rPr>
                <w:sz w:val="20"/>
                <w:szCs w:val="20"/>
                <w:lang w:val="en-US"/>
              </w:rPr>
              <w:tab/>
              <w:t xml:space="preserve">Does the IORP II Directive contain provisions </w:t>
            </w:r>
            <w:r w:rsidRPr="00973525">
              <w:rPr>
                <w:sz w:val="20"/>
                <w:szCs w:val="20"/>
                <w:lang w:val="en-US"/>
              </w:rPr>
              <w:lastRenderedPageBreak/>
              <w:t>which in your view restrict IORPs’ ability to invest in securitisation?</w:t>
            </w:r>
          </w:p>
          <w:p w14:paraId="331C4EB6"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60045D4E"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227C543A"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16B7F536" w14:textId="77777777" w:rsidR="00C21071" w:rsidRPr="00973525" w:rsidRDefault="00C21071" w:rsidP="00C21071">
            <w:pPr>
              <w:rPr>
                <w:sz w:val="20"/>
                <w:szCs w:val="20"/>
                <w:lang w:val="en-US"/>
              </w:rPr>
            </w:pPr>
          </w:p>
          <w:p w14:paraId="2B6F9431" w14:textId="2A46DEAD" w:rsidR="00C21071" w:rsidRPr="00973525" w:rsidRDefault="00C21071" w:rsidP="00C21071">
            <w:pPr>
              <w:rPr>
                <w:sz w:val="18"/>
                <w:szCs w:val="18"/>
                <w:lang w:val="en-GB"/>
              </w:rPr>
            </w:pPr>
            <w:r w:rsidRPr="00973525">
              <w:rPr>
                <w:sz w:val="20"/>
                <w:szCs w:val="20"/>
                <w:lang w:val="en-US"/>
              </w:rPr>
              <w:t>Please explain your answer.</w:t>
            </w:r>
          </w:p>
        </w:tc>
        <w:tc>
          <w:tcPr>
            <w:tcW w:w="7740" w:type="dxa"/>
          </w:tcPr>
          <w:p w14:paraId="7294E35B" w14:textId="77777777" w:rsidR="00C21071" w:rsidRPr="00973525" w:rsidRDefault="00C21071" w:rsidP="00C21071">
            <w:pPr>
              <w:rPr>
                <w:sz w:val="18"/>
                <w:szCs w:val="18"/>
                <w:lang w:val="en-US"/>
              </w:rPr>
            </w:pPr>
          </w:p>
        </w:tc>
        <w:tc>
          <w:tcPr>
            <w:tcW w:w="236" w:type="dxa"/>
          </w:tcPr>
          <w:p w14:paraId="54E305CE" w14:textId="77777777" w:rsidR="00C21071" w:rsidRPr="00973525" w:rsidRDefault="00C21071" w:rsidP="0079353D">
            <w:pPr>
              <w:ind w:firstLine="1917"/>
              <w:rPr>
                <w:sz w:val="18"/>
                <w:szCs w:val="18"/>
                <w:lang w:val="en-GB"/>
              </w:rPr>
            </w:pPr>
          </w:p>
        </w:tc>
      </w:tr>
      <w:tr w:rsidR="00C21071" w:rsidRPr="0000602A" w14:paraId="4F03D2D7" w14:textId="77777777" w:rsidTr="30964D0C">
        <w:trPr>
          <w:gridAfter w:val="1"/>
          <w:wAfter w:w="16" w:type="dxa"/>
        </w:trPr>
        <w:tc>
          <w:tcPr>
            <w:tcW w:w="2893" w:type="dxa"/>
          </w:tcPr>
          <w:p w14:paraId="5E37189A" w14:textId="3692E785" w:rsidR="00C21071" w:rsidRPr="00973525" w:rsidRDefault="00C21071" w:rsidP="00C21071">
            <w:pPr>
              <w:rPr>
                <w:sz w:val="20"/>
                <w:szCs w:val="20"/>
                <w:lang w:val="en-US"/>
              </w:rPr>
            </w:pPr>
            <w:r w:rsidRPr="00973525">
              <w:rPr>
                <w:sz w:val="20"/>
                <w:szCs w:val="20"/>
                <w:lang w:val="en-US"/>
              </w:rPr>
              <w:t>11.5.</w:t>
            </w:r>
            <w:r w:rsidRPr="00973525">
              <w:rPr>
                <w:sz w:val="20"/>
                <w:szCs w:val="20"/>
                <w:lang w:val="en-US"/>
              </w:rPr>
              <w:tab/>
              <w:t>Are there national legislations or supervisory practices which in your view unduly restrict IORPs’ and non-IORPs’ ability to invest in securitisation?</w:t>
            </w:r>
          </w:p>
          <w:p w14:paraId="02B7AA6F"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5B1219AC"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606FC1E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3A6F041A" w14:textId="77777777" w:rsidR="00C21071" w:rsidRPr="00973525" w:rsidRDefault="00C21071" w:rsidP="00C21071">
            <w:pPr>
              <w:rPr>
                <w:sz w:val="20"/>
                <w:szCs w:val="20"/>
                <w:lang w:val="en-US"/>
              </w:rPr>
            </w:pPr>
          </w:p>
          <w:p w14:paraId="6FA5AE2E" w14:textId="4FFD27F8" w:rsidR="00C21071" w:rsidRPr="00973525" w:rsidRDefault="00C21071" w:rsidP="00C21071">
            <w:pPr>
              <w:rPr>
                <w:sz w:val="18"/>
                <w:szCs w:val="18"/>
                <w:lang w:val="en-GB"/>
              </w:rPr>
            </w:pPr>
            <w:r w:rsidRPr="00973525">
              <w:rPr>
                <w:sz w:val="20"/>
                <w:szCs w:val="20"/>
                <w:lang w:val="en-US"/>
              </w:rPr>
              <w:t xml:space="preserve">Please explain your answer, as well as whether it applies to IORPs, non-IORPs, or both. Please be specific </w:t>
            </w:r>
            <w:proofErr w:type="gramStart"/>
            <w:r w:rsidRPr="00973525">
              <w:rPr>
                <w:sz w:val="20"/>
                <w:szCs w:val="20"/>
                <w:lang w:val="en-US"/>
              </w:rPr>
              <w:t>in particular where</w:t>
            </w:r>
            <w:proofErr w:type="gramEnd"/>
            <w:r w:rsidRPr="00973525">
              <w:rPr>
                <w:sz w:val="20"/>
                <w:szCs w:val="20"/>
                <w:lang w:val="en-US"/>
              </w:rPr>
              <w:t xml:space="preserve"> you refer to non-IORPs.</w:t>
            </w:r>
          </w:p>
        </w:tc>
        <w:tc>
          <w:tcPr>
            <w:tcW w:w="7740" w:type="dxa"/>
          </w:tcPr>
          <w:p w14:paraId="42180E53" w14:textId="77777777" w:rsidR="00C21071" w:rsidRPr="00973525" w:rsidRDefault="00C21071" w:rsidP="00C21071">
            <w:pPr>
              <w:rPr>
                <w:sz w:val="18"/>
                <w:szCs w:val="18"/>
                <w:lang w:val="en-US"/>
              </w:rPr>
            </w:pPr>
          </w:p>
        </w:tc>
        <w:tc>
          <w:tcPr>
            <w:tcW w:w="236" w:type="dxa"/>
          </w:tcPr>
          <w:p w14:paraId="2FEA6A7C" w14:textId="77777777" w:rsidR="00C21071" w:rsidRPr="00973525" w:rsidRDefault="00C21071" w:rsidP="0079353D">
            <w:pPr>
              <w:ind w:firstLine="1917"/>
              <w:rPr>
                <w:sz w:val="18"/>
                <w:szCs w:val="18"/>
                <w:lang w:val="en-GB"/>
              </w:rPr>
            </w:pPr>
          </w:p>
        </w:tc>
      </w:tr>
      <w:tr w:rsidR="00C21071" w:rsidRPr="0000602A" w14:paraId="2217F2A5" w14:textId="77777777" w:rsidTr="30964D0C">
        <w:trPr>
          <w:gridAfter w:val="1"/>
          <w:wAfter w:w="16" w:type="dxa"/>
        </w:trPr>
        <w:tc>
          <w:tcPr>
            <w:tcW w:w="2893" w:type="dxa"/>
          </w:tcPr>
          <w:p w14:paraId="376D40B3" w14:textId="1F24955C" w:rsidR="00C21071" w:rsidRPr="00973525" w:rsidRDefault="00C21071" w:rsidP="00C21071">
            <w:pPr>
              <w:rPr>
                <w:sz w:val="20"/>
                <w:szCs w:val="20"/>
                <w:lang w:val="en-US"/>
              </w:rPr>
            </w:pPr>
            <w:r w:rsidRPr="00973525">
              <w:rPr>
                <w:sz w:val="20"/>
                <w:szCs w:val="20"/>
                <w:lang w:val="en-US"/>
              </w:rPr>
              <w:t>11.6.</w:t>
            </w:r>
            <w:r w:rsidRPr="00973525">
              <w:rPr>
                <w:sz w:val="20"/>
                <w:szCs w:val="20"/>
                <w:lang w:val="en-US"/>
              </w:rPr>
              <w:tab/>
              <w:t xml:space="preserve">Are there wider structural barriers preventing IORPs and non-IORPs from participating </w:t>
            </w:r>
            <w:proofErr w:type="gramStart"/>
            <w:r w:rsidRPr="00973525">
              <w:rPr>
                <w:sz w:val="20"/>
                <w:szCs w:val="20"/>
                <w:lang w:val="en-US"/>
              </w:rPr>
              <w:t>in  this</w:t>
            </w:r>
            <w:proofErr w:type="gramEnd"/>
            <w:r w:rsidRPr="00973525">
              <w:rPr>
                <w:sz w:val="20"/>
                <w:szCs w:val="20"/>
                <w:lang w:val="en-US"/>
              </w:rPr>
              <w:t xml:space="preserve"> market?</w:t>
            </w:r>
          </w:p>
          <w:p w14:paraId="7557F568"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4A6E8394"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0CBA94B8"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6CE8030D" w14:textId="77777777" w:rsidR="00C21071" w:rsidRPr="00973525" w:rsidRDefault="00C21071" w:rsidP="00C21071">
            <w:pPr>
              <w:rPr>
                <w:sz w:val="20"/>
                <w:szCs w:val="20"/>
                <w:lang w:val="en-US"/>
              </w:rPr>
            </w:pPr>
          </w:p>
          <w:p w14:paraId="2C65F20E" w14:textId="1BC9EA02" w:rsidR="00C21071" w:rsidRPr="00973525" w:rsidRDefault="00C21071" w:rsidP="00C21071">
            <w:pPr>
              <w:rPr>
                <w:sz w:val="18"/>
                <w:szCs w:val="18"/>
                <w:lang w:val="en-GB"/>
              </w:rPr>
            </w:pPr>
            <w:r w:rsidRPr="00973525">
              <w:rPr>
                <w:sz w:val="20"/>
                <w:szCs w:val="20"/>
                <w:lang w:val="en-US"/>
              </w:rPr>
              <w:t xml:space="preserve">Please explain your answer, as well as whether it applies to IORPs, non-IORPs, or both. Please be specific </w:t>
            </w:r>
            <w:proofErr w:type="gramStart"/>
            <w:r w:rsidRPr="00973525">
              <w:rPr>
                <w:sz w:val="20"/>
                <w:szCs w:val="20"/>
                <w:lang w:val="en-US"/>
              </w:rPr>
              <w:t>in particular where</w:t>
            </w:r>
            <w:proofErr w:type="gramEnd"/>
            <w:r w:rsidRPr="00973525">
              <w:rPr>
                <w:sz w:val="20"/>
                <w:szCs w:val="20"/>
                <w:lang w:val="en-US"/>
              </w:rPr>
              <w:t xml:space="preserve"> you refer to non-IORPs</w:t>
            </w:r>
          </w:p>
        </w:tc>
        <w:tc>
          <w:tcPr>
            <w:tcW w:w="7740" w:type="dxa"/>
          </w:tcPr>
          <w:p w14:paraId="5E03DDD3" w14:textId="77777777" w:rsidR="00C21071" w:rsidRPr="00973525" w:rsidRDefault="00C21071" w:rsidP="00C21071">
            <w:pPr>
              <w:rPr>
                <w:sz w:val="18"/>
                <w:szCs w:val="18"/>
                <w:lang w:val="en-US"/>
              </w:rPr>
            </w:pPr>
          </w:p>
        </w:tc>
        <w:tc>
          <w:tcPr>
            <w:tcW w:w="236" w:type="dxa"/>
          </w:tcPr>
          <w:p w14:paraId="5561C037" w14:textId="77777777" w:rsidR="00C21071" w:rsidRPr="00973525" w:rsidRDefault="00C21071" w:rsidP="0079353D">
            <w:pPr>
              <w:ind w:firstLine="1917"/>
              <w:rPr>
                <w:sz w:val="18"/>
                <w:szCs w:val="18"/>
                <w:lang w:val="en-GB"/>
              </w:rPr>
            </w:pPr>
          </w:p>
        </w:tc>
      </w:tr>
      <w:tr w:rsidR="00C21071" w:rsidRPr="0000602A" w14:paraId="72B0EBFE" w14:textId="77777777" w:rsidTr="30964D0C">
        <w:trPr>
          <w:gridAfter w:val="1"/>
          <w:wAfter w:w="16" w:type="dxa"/>
        </w:trPr>
        <w:tc>
          <w:tcPr>
            <w:tcW w:w="2893" w:type="dxa"/>
          </w:tcPr>
          <w:p w14:paraId="2C2311F0" w14:textId="77777777" w:rsidR="00C21071" w:rsidRPr="00973525" w:rsidRDefault="00C21071" w:rsidP="00C21071">
            <w:pPr>
              <w:rPr>
                <w:sz w:val="20"/>
                <w:szCs w:val="20"/>
                <w:lang w:val="en-US"/>
              </w:rPr>
            </w:pPr>
            <w:r w:rsidRPr="00973525">
              <w:rPr>
                <w:sz w:val="20"/>
                <w:szCs w:val="20"/>
                <w:lang w:val="en-US"/>
              </w:rPr>
              <w:t>11.7.</w:t>
            </w:r>
            <w:r w:rsidRPr="00973525">
              <w:rPr>
                <w:sz w:val="20"/>
                <w:szCs w:val="20"/>
                <w:lang w:val="en-US"/>
              </w:rPr>
              <w:tab/>
              <w:t>If you answered yes to question 11.6., please explain how these barriers should be tackled?</w:t>
            </w:r>
          </w:p>
          <w:p w14:paraId="5873FB67" w14:textId="77777777" w:rsidR="00C21071" w:rsidRPr="00973525" w:rsidRDefault="00C21071" w:rsidP="00C21071">
            <w:pPr>
              <w:rPr>
                <w:sz w:val="20"/>
                <w:szCs w:val="20"/>
                <w:lang w:val="en-US"/>
              </w:rPr>
            </w:pPr>
          </w:p>
          <w:p w14:paraId="65CE2D3E" w14:textId="748088BD" w:rsidR="00C21071" w:rsidRPr="00973525" w:rsidRDefault="00C21071" w:rsidP="00C21071">
            <w:pPr>
              <w:rPr>
                <w:sz w:val="18"/>
                <w:szCs w:val="18"/>
                <w:lang w:val="en-GB"/>
              </w:rPr>
            </w:pPr>
            <w:r w:rsidRPr="00973525">
              <w:rPr>
                <w:sz w:val="20"/>
                <w:szCs w:val="20"/>
                <w:lang w:val="en-US"/>
              </w:rPr>
              <w:t xml:space="preserve">Please explain your answer, as well as whether it applies to IORPs, non-IORPs, or both. Please be specific </w:t>
            </w:r>
            <w:proofErr w:type="gramStart"/>
            <w:r w:rsidRPr="00973525">
              <w:rPr>
                <w:sz w:val="20"/>
                <w:szCs w:val="20"/>
                <w:lang w:val="en-US"/>
              </w:rPr>
              <w:t>in particular where</w:t>
            </w:r>
            <w:proofErr w:type="gramEnd"/>
            <w:r w:rsidRPr="00973525">
              <w:rPr>
                <w:sz w:val="20"/>
                <w:szCs w:val="20"/>
                <w:lang w:val="en-US"/>
              </w:rPr>
              <w:t xml:space="preserve"> you refer to non-IORPs.</w:t>
            </w:r>
          </w:p>
        </w:tc>
        <w:tc>
          <w:tcPr>
            <w:tcW w:w="7740" w:type="dxa"/>
          </w:tcPr>
          <w:p w14:paraId="31AA8B00" w14:textId="77777777" w:rsidR="00C21071" w:rsidRPr="00973525" w:rsidRDefault="00C21071" w:rsidP="00C21071">
            <w:pPr>
              <w:rPr>
                <w:sz w:val="18"/>
                <w:szCs w:val="18"/>
                <w:lang w:val="en-US"/>
              </w:rPr>
            </w:pPr>
          </w:p>
        </w:tc>
        <w:tc>
          <w:tcPr>
            <w:tcW w:w="236" w:type="dxa"/>
          </w:tcPr>
          <w:p w14:paraId="76A352EB" w14:textId="77777777" w:rsidR="00C21071" w:rsidRPr="00973525" w:rsidRDefault="00C21071" w:rsidP="0079353D">
            <w:pPr>
              <w:ind w:firstLine="1917"/>
              <w:rPr>
                <w:sz w:val="18"/>
                <w:szCs w:val="18"/>
                <w:lang w:val="en-GB"/>
              </w:rPr>
            </w:pPr>
          </w:p>
        </w:tc>
      </w:tr>
      <w:tr w:rsidR="00C21071" w:rsidRPr="00973525" w14:paraId="084A24AD" w14:textId="77777777" w:rsidTr="30964D0C">
        <w:trPr>
          <w:gridAfter w:val="1"/>
          <w:wAfter w:w="16" w:type="dxa"/>
        </w:trPr>
        <w:tc>
          <w:tcPr>
            <w:tcW w:w="2893" w:type="dxa"/>
          </w:tcPr>
          <w:p w14:paraId="020AB133" w14:textId="77777777" w:rsidR="00C21071" w:rsidRPr="00973525" w:rsidRDefault="00C21071" w:rsidP="00C21071">
            <w:pPr>
              <w:rPr>
                <w:sz w:val="20"/>
                <w:szCs w:val="20"/>
                <w:lang w:val="en-US"/>
              </w:rPr>
            </w:pPr>
            <w:r w:rsidRPr="00973525">
              <w:rPr>
                <w:sz w:val="20"/>
                <w:szCs w:val="20"/>
                <w:lang w:val="en-US"/>
              </w:rPr>
              <w:t>12.1.</w:t>
            </w:r>
            <w:r w:rsidRPr="00973525">
              <w:rPr>
                <w:sz w:val="20"/>
                <w:szCs w:val="20"/>
                <w:lang w:val="en-US"/>
              </w:rPr>
              <w:tab/>
              <w:t xml:space="preserve">What segments of the securitisation market have the strongest potential to contribute to the CMU objectives, and </w:t>
            </w:r>
            <w:proofErr w:type="gramStart"/>
            <w:r w:rsidRPr="00973525">
              <w:rPr>
                <w:sz w:val="20"/>
                <w:szCs w:val="20"/>
                <w:lang w:val="en-US"/>
              </w:rPr>
              <w:t>that should</w:t>
            </w:r>
            <w:proofErr w:type="gramEnd"/>
            <w:r w:rsidRPr="00973525">
              <w:rPr>
                <w:sz w:val="20"/>
                <w:szCs w:val="20"/>
                <w:lang w:val="en-US"/>
              </w:rPr>
              <w:t xml:space="preserve"> be the focus of any potential regulatory review? You may select more than one option.</w:t>
            </w:r>
          </w:p>
          <w:p w14:paraId="6F3CB2CA" w14:textId="77777777" w:rsidR="00C21071" w:rsidRPr="00973525" w:rsidRDefault="00C21071" w:rsidP="00C21071">
            <w:pPr>
              <w:rPr>
                <w:sz w:val="20"/>
                <w:szCs w:val="20"/>
                <w:lang w:val="en-US"/>
              </w:rPr>
            </w:pPr>
          </w:p>
          <w:p w14:paraId="06A3D13F" w14:textId="77777777" w:rsidR="00C21071" w:rsidRPr="00973525" w:rsidRDefault="00C21071" w:rsidP="00C21071">
            <w:pPr>
              <w:rPr>
                <w:sz w:val="20"/>
                <w:szCs w:val="20"/>
                <w:lang w:val="en-US"/>
              </w:rPr>
            </w:pPr>
            <w:r w:rsidRPr="00973525">
              <w:rPr>
                <w:sz w:val="20"/>
                <w:szCs w:val="20"/>
                <w:lang w:val="en-US"/>
              </w:rPr>
              <w:lastRenderedPageBreak/>
              <w:t>•</w:t>
            </w:r>
            <w:r w:rsidRPr="00973525">
              <w:rPr>
                <w:sz w:val="20"/>
                <w:szCs w:val="20"/>
                <w:lang w:val="en-US"/>
              </w:rPr>
              <w:tab/>
              <w:t>Traditional placed securitisation</w:t>
            </w:r>
          </w:p>
          <w:p w14:paraId="559F0A9E"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Synthetic securitisation</w:t>
            </w:r>
          </w:p>
          <w:p w14:paraId="51673A18"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SRT securitisation</w:t>
            </w:r>
          </w:p>
          <w:p w14:paraId="002C9DB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ABCP securitisation</w:t>
            </w:r>
          </w:p>
          <w:p w14:paraId="4AAC082B"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STS securitisation</w:t>
            </w:r>
          </w:p>
          <w:p w14:paraId="44C22F6A"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Non-STS securitisation</w:t>
            </w:r>
          </w:p>
          <w:p w14:paraId="68A1DCE8"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Securitisation of SME and corporate exposures</w:t>
            </w:r>
          </w:p>
          <w:p w14:paraId="24A4A39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Securitisation of mortgages</w:t>
            </w:r>
          </w:p>
          <w:p w14:paraId="5B24ECF6"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Securitisation of other asset classes</w:t>
            </w:r>
          </w:p>
          <w:p w14:paraId="32A3850A"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Other</w:t>
            </w:r>
          </w:p>
          <w:p w14:paraId="3AF92C88" w14:textId="4633AB25" w:rsidR="00C21071" w:rsidRPr="00973525" w:rsidRDefault="00C21071" w:rsidP="00C21071">
            <w:pPr>
              <w:rPr>
                <w:sz w:val="18"/>
                <w:szCs w:val="18"/>
                <w:lang w:val="en-GB"/>
              </w:rPr>
            </w:pPr>
            <w:r w:rsidRPr="00973525">
              <w:rPr>
                <w:sz w:val="20"/>
                <w:szCs w:val="20"/>
                <w:lang w:val="en-US"/>
              </w:rPr>
              <w:t>Please explain your answer.</w:t>
            </w:r>
          </w:p>
        </w:tc>
        <w:tc>
          <w:tcPr>
            <w:tcW w:w="7740" w:type="dxa"/>
          </w:tcPr>
          <w:p w14:paraId="47399477" w14:textId="77777777" w:rsidR="00C21071" w:rsidRPr="00973525" w:rsidRDefault="00C21071" w:rsidP="00C21071">
            <w:pPr>
              <w:rPr>
                <w:sz w:val="20"/>
                <w:szCs w:val="20"/>
                <w:lang w:val="en-US"/>
              </w:rPr>
            </w:pPr>
            <w:r w:rsidRPr="00973525">
              <w:rPr>
                <w:sz w:val="20"/>
                <w:szCs w:val="20"/>
                <w:lang w:val="en-US"/>
              </w:rPr>
              <w:lastRenderedPageBreak/>
              <w:t>•</w:t>
            </w:r>
            <w:r w:rsidRPr="00973525">
              <w:rPr>
                <w:sz w:val="20"/>
                <w:szCs w:val="20"/>
                <w:lang w:val="en-US"/>
              </w:rPr>
              <w:tab/>
              <w:t>Traditional placed securitisation</w:t>
            </w:r>
          </w:p>
          <w:p w14:paraId="070173E6"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Synthetic securitisation</w:t>
            </w:r>
          </w:p>
          <w:p w14:paraId="5DC7E9C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SRT securitisation</w:t>
            </w:r>
          </w:p>
          <w:p w14:paraId="042E409E" w14:textId="5960BCCD" w:rsidR="00C21071" w:rsidRPr="00973525" w:rsidRDefault="00C21071" w:rsidP="00C21071">
            <w:pPr>
              <w:rPr>
                <w:sz w:val="18"/>
                <w:szCs w:val="18"/>
                <w:lang w:val="en-US"/>
              </w:rPr>
            </w:pPr>
            <w:r w:rsidRPr="00973525">
              <w:rPr>
                <w:sz w:val="20"/>
                <w:szCs w:val="20"/>
                <w:lang w:val="en-US"/>
              </w:rPr>
              <w:t>•</w:t>
            </w:r>
            <w:r w:rsidRPr="00973525">
              <w:rPr>
                <w:sz w:val="20"/>
                <w:szCs w:val="20"/>
                <w:lang w:val="en-US"/>
              </w:rPr>
              <w:tab/>
              <w:t>Non-STS securitisation</w:t>
            </w:r>
          </w:p>
        </w:tc>
        <w:tc>
          <w:tcPr>
            <w:tcW w:w="236" w:type="dxa"/>
          </w:tcPr>
          <w:p w14:paraId="7D718D64" w14:textId="77777777" w:rsidR="00C21071" w:rsidRPr="00973525" w:rsidRDefault="00C21071" w:rsidP="0079353D">
            <w:pPr>
              <w:ind w:firstLine="1917"/>
              <w:rPr>
                <w:sz w:val="18"/>
                <w:szCs w:val="18"/>
                <w:lang w:val="en-GB"/>
              </w:rPr>
            </w:pPr>
          </w:p>
        </w:tc>
      </w:tr>
      <w:tr w:rsidR="00C21071" w:rsidRPr="00973525" w14:paraId="77EE0E2B" w14:textId="77777777" w:rsidTr="30964D0C">
        <w:trPr>
          <w:gridAfter w:val="1"/>
          <w:wAfter w:w="16" w:type="dxa"/>
        </w:trPr>
        <w:tc>
          <w:tcPr>
            <w:tcW w:w="2893" w:type="dxa"/>
          </w:tcPr>
          <w:p w14:paraId="51F8BF74" w14:textId="77777777" w:rsidR="00C21071" w:rsidRPr="00973525" w:rsidRDefault="00C21071" w:rsidP="00C21071">
            <w:pPr>
              <w:rPr>
                <w:sz w:val="20"/>
                <w:szCs w:val="20"/>
                <w:lang w:val="en-US"/>
              </w:rPr>
            </w:pPr>
            <w:r w:rsidRPr="00973525">
              <w:rPr>
                <w:sz w:val="20"/>
                <w:szCs w:val="20"/>
                <w:lang w:val="en-US"/>
              </w:rPr>
              <w:t>12.2.</w:t>
            </w:r>
            <w:r w:rsidRPr="00973525">
              <w:rPr>
                <w:sz w:val="20"/>
                <w:szCs w:val="20"/>
                <w:lang w:val="en-US"/>
              </w:rPr>
              <w:tab/>
              <w:t>What are the principal reasons for the slow growth of the placed traditional securitisation (where the senior tranche is not retained, but placed with the market)?</w:t>
            </w:r>
          </w:p>
          <w:p w14:paraId="4ED594CA" w14:textId="77777777" w:rsidR="00C21071" w:rsidRPr="00973525" w:rsidRDefault="00C21071" w:rsidP="00C21071">
            <w:pPr>
              <w:rPr>
                <w:sz w:val="20"/>
                <w:szCs w:val="20"/>
                <w:lang w:val="en-US"/>
              </w:rPr>
            </w:pPr>
          </w:p>
          <w:p w14:paraId="72B9E671" w14:textId="77777777" w:rsidR="00C21071" w:rsidRPr="00973525" w:rsidRDefault="00C21071" w:rsidP="00C21071">
            <w:pPr>
              <w:rPr>
                <w:sz w:val="20"/>
                <w:szCs w:val="20"/>
                <w:lang w:val="en-US"/>
              </w:rPr>
            </w:pPr>
            <w:r w:rsidRPr="00973525">
              <w:rPr>
                <w:sz w:val="20"/>
                <w:szCs w:val="20"/>
                <w:lang w:val="en-US"/>
              </w:rPr>
              <w:t xml:space="preserve">Why do banks choose not to issue traditional securitisation for both funding and </w:t>
            </w:r>
            <w:proofErr w:type="gramStart"/>
            <w:r w:rsidRPr="00973525">
              <w:rPr>
                <w:sz w:val="20"/>
                <w:szCs w:val="20"/>
                <w:lang w:val="en-US"/>
              </w:rPr>
              <w:t>capital  relief</w:t>
            </w:r>
            <w:proofErr w:type="gramEnd"/>
            <w:r w:rsidRPr="00973525">
              <w:rPr>
                <w:sz w:val="20"/>
                <w:szCs w:val="20"/>
                <w:lang w:val="en-US"/>
              </w:rPr>
              <w:t>? You may select more than one option.</w:t>
            </w:r>
          </w:p>
          <w:p w14:paraId="60CA6DD1" w14:textId="77777777" w:rsidR="00C21071" w:rsidRPr="00973525" w:rsidRDefault="00C21071" w:rsidP="00C21071">
            <w:pPr>
              <w:rPr>
                <w:sz w:val="20"/>
                <w:szCs w:val="20"/>
                <w:lang w:val="en-US"/>
              </w:rPr>
            </w:pPr>
          </w:p>
          <w:p w14:paraId="50E3D300"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Interest rate environment</w:t>
            </w:r>
          </w:p>
          <w:p w14:paraId="4F228C4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Low returns</w:t>
            </w:r>
          </w:p>
          <w:p w14:paraId="7B6D55F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Operational costs</w:t>
            </w:r>
          </w:p>
          <w:p w14:paraId="2C88B9F5"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High capital charges</w:t>
            </w:r>
          </w:p>
          <w:p w14:paraId="1452A6FA"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Difficulty in placing senior tranches</w:t>
            </w:r>
          </w:p>
          <w:p w14:paraId="41DC766C"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Significant Risk Transfer process</w:t>
            </w:r>
          </w:p>
          <w:p w14:paraId="41B7F084"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Preference for alternative instruments for funding</w:t>
            </w:r>
          </w:p>
          <w:p w14:paraId="4892C547" w14:textId="77777777" w:rsidR="00C21071" w:rsidRPr="00973525" w:rsidRDefault="00C21071" w:rsidP="00C21071">
            <w:pPr>
              <w:rPr>
                <w:sz w:val="20"/>
                <w:szCs w:val="20"/>
                <w:lang w:val="en-US"/>
              </w:rPr>
            </w:pPr>
            <w:proofErr w:type="gramStart"/>
            <w:r w:rsidRPr="00973525">
              <w:rPr>
                <w:sz w:val="20"/>
                <w:szCs w:val="20"/>
                <w:lang w:val="en-US"/>
              </w:rPr>
              <w:t>•</w:t>
            </w:r>
            <w:r w:rsidRPr="00973525">
              <w:rPr>
                <w:sz w:val="20"/>
                <w:szCs w:val="20"/>
                <w:lang w:val="en-US"/>
              </w:rPr>
              <w:tab/>
              <w:t>Prefer to retain</w:t>
            </w:r>
            <w:proofErr w:type="gramEnd"/>
            <w:r w:rsidRPr="00973525">
              <w:rPr>
                <w:sz w:val="20"/>
                <w:szCs w:val="20"/>
                <w:lang w:val="en-US"/>
              </w:rPr>
              <w:t xml:space="preserve"> to keep the client relationships</w:t>
            </w:r>
          </w:p>
          <w:p w14:paraId="41A72004" w14:textId="77777777" w:rsidR="00C21071" w:rsidRPr="00973525" w:rsidRDefault="00C21071" w:rsidP="00C21071">
            <w:pPr>
              <w:rPr>
                <w:sz w:val="20"/>
                <w:szCs w:val="20"/>
                <w:lang w:val="en-US"/>
              </w:rPr>
            </w:pPr>
            <w:proofErr w:type="gramStart"/>
            <w:r w:rsidRPr="00973525">
              <w:rPr>
                <w:sz w:val="20"/>
                <w:szCs w:val="20"/>
                <w:lang w:val="en-US"/>
              </w:rPr>
              <w:t>•</w:t>
            </w:r>
            <w:r w:rsidRPr="00973525">
              <w:rPr>
                <w:sz w:val="20"/>
                <w:szCs w:val="20"/>
                <w:lang w:val="en-US"/>
              </w:rPr>
              <w:tab/>
              <w:t>Prefer to retain</w:t>
            </w:r>
            <w:proofErr w:type="gramEnd"/>
            <w:r w:rsidRPr="00973525">
              <w:rPr>
                <w:sz w:val="20"/>
                <w:szCs w:val="20"/>
                <w:lang w:val="en-US"/>
              </w:rPr>
              <w:t xml:space="preserve"> to keep the revenue from the underlying assets</w:t>
            </w:r>
          </w:p>
          <w:p w14:paraId="43841085"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 xml:space="preserve">Prefer to retain </w:t>
            </w:r>
            <w:proofErr w:type="gramStart"/>
            <w:r w:rsidRPr="00973525">
              <w:rPr>
                <w:sz w:val="20"/>
                <w:szCs w:val="20"/>
                <w:lang w:val="en-US"/>
              </w:rPr>
              <w:t>to access</w:t>
            </w:r>
            <w:proofErr w:type="gramEnd"/>
            <w:r w:rsidRPr="00973525">
              <w:rPr>
                <w:sz w:val="20"/>
                <w:szCs w:val="20"/>
                <w:lang w:val="en-US"/>
              </w:rPr>
              <w:t xml:space="preserve"> central bank liquidity</w:t>
            </w:r>
          </w:p>
          <w:p w14:paraId="28AF111D" w14:textId="3C7A9AB4" w:rsidR="00C21071" w:rsidRPr="00973525" w:rsidRDefault="00C21071" w:rsidP="00C21071">
            <w:pPr>
              <w:rPr>
                <w:sz w:val="18"/>
                <w:szCs w:val="18"/>
                <w:lang w:val="en-GB"/>
              </w:rPr>
            </w:pPr>
            <w:r w:rsidRPr="00973525">
              <w:rPr>
                <w:sz w:val="20"/>
                <w:szCs w:val="20"/>
                <w:lang w:val="en-US"/>
              </w:rPr>
              <w:t>•</w:t>
            </w:r>
            <w:r w:rsidRPr="00973525">
              <w:rPr>
                <w:sz w:val="20"/>
                <w:szCs w:val="20"/>
                <w:lang w:val="en-US"/>
              </w:rPr>
              <w:tab/>
              <w:t>Other Please explain.</w:t>
            </w:r>
          </w:p>
        </w:tc>
        <w:tc>
          <w:tcPr>
            <w:tcW w:w="7740" w:type="dxa"/>
          </w:tcPr>
          <w:p w14:paraId="468DC3CE" w14:textId="77777777" w:rsidR="00C21071" w:rsidRPr="00973525" w:rsidRDefault="00C21071" w:rsidP="00C21071">
            <w:pPr>
              <w:rPr>
                <w:sz w:val="20"/>
                <w:szCs w:val="20"/>
                <w:lang w:val="en-US"/>
              </w:rPr>
            </w:pPr>
            <w:r w:rsidRPr="00973525">
              <w:rPr>
                <w:sz w:val="20"/>
                <w:szCs w:val="20"/>
                <w:lang w:val="en-US"/>
              </w:rPr>
              <w:t xml:space="preserve">60% of outstanding eligible ABSs </w:t>
            </w:r>
            <w:proofErr w:type="gramStart"/>
            <w:r w:rsidRPr="00973525">
              <w:rPr>
                <w:sz w:val="20"/>
                <w:szCs w:val="20"/>
                <w:lang w:val="en-US"/>
              </w:rPr>
              <w:t>is</w:t>
            </w:r>
            <w:proofErr w:type="gramEnd"/>
            <w:r w:rsidRPr="00973525">
              <w:rPr>
                <w:sz w:val="20"/>
                <w:szCs w:val="20"/>
                <w:lang w:val="en-US"/>
              </w:rPr>
              <w:t xml:space="preserve"> used as a collateral at the ECB. This is the </w:t>
            </w:r>
            <w:proofErr w:type="gramStart"/>
            <w:r w:rsidRPr="00973525">
              <w:rPr>
                <w:sz w:val="20"/>
                <w:szCs w:val="20"/>
                <w:lang w:val="en-US"/>
              </w:rPr>
              <w:t>reflect</w:t>
            </w:r>
            <w:proofErr w:type="gramEnd"/>
            <w:r w:rsidRPr="00973525">
              <w:rPr>
                <w:sz w:val="20"/>
                <w:szCs w:val="20"/>
                <w:lang w:val="en-US"/>
              </w:rPr>
              <w:t xml:space="preserve"> of a common banks’ strategy, consisting in issuing securitisation not for the purpose of placing the tranches in the market, but retaining the tranches and using them as collateral at the European Central Bank.</w:t>
            </w:r>
          </w:p>
          <w:p w14:paraId="479D9C90" w14:textId="77777777" w:rsidR="00C21071" w:rsidRPr="00973525" w:rsidRDefault="00C21071" w:rsidP="00C21071">
            <w:pPr>
              <w:rPr>
                <w:sz w:val="20"/>
                <w:szCs w:val="20"/>
                <w:lang w:val="en-US"/>
              </w:rPr>
            </w:pPr>
          </w:p>
          <w:p w14:paraId="048C1B48" w14:textId="77777777" w:rsidR="00C21071" w:rsidRPr="00973525" w:rsidRDefault="00C21071" w:rsidP="00C21071">
            <w:pPr>
              <w:rPr>
                <w:sz w:val="20"/>
                <w:szCs w:val="20"/>
                <w:lang w:val="en-US"/>
              </w:rPr>
            </w:pPr>
            <w:r w:rsidRPr="00973525">
              <w:rPr>
                <w:sz w:val="20"/>
                <w:szCs w:val="20"/>
                <w:lang w:val="en-US"/>
              </w:rPr>
              <w:t xml:space="preserve">Prudential regulation has discouraged (re)insurance companies to invest cash in securitisation tranches in their investment portfolios by setting capital charges in Solvency 2 at a higher level for a senior securitisation tranche than for the corresponding loan portfolio, although the latter does not provide any first loss protection. In addition, due diligence requirements on these senior tranches are also very prescriptive, impacting directly the capacity of (re)insurance companies to act in the primary market, and also indirectly as in case (re)insurance companies want to sell those assets (for example to pay new insurance claims (e.g. earthquakes, floods, etc.)), the potential buyer or market maker (if it is itself subject to EU rules) also needs to go through this burdensome due diligence process. The consequence has been that (re)insurance companies have considerably reduced the staff allocated to </w:t>
            </w:r>
            <w:proofErr w:type="spellStart"/>
            <w:r w:rsidRPr="00973525">
              <w:rPr>
                <w:sz w:val="20"/>
                <w:szCs w:val="20"/>
                <w:lang w:val="en-US"/>
              </w:rPr>
              <w:t>analyse</w:t>
            </w:r>
            <w:proofErr w:type="spellEnd"/>
            <w:r w:rsidRPr="00973525">
              <w:rPr>
                <w:sz w:val="20"/>
                <w:szCs w:val="20"/>
                <w:lang w:val="en-US"/>
              </w:rPr>
              <w:t xml:space="preserve"> and manage securitisation portfolios, and in some cases, even totally dismantled their securitisation teams. This explains that today why (re)insurance companies are not active in the discussions around the revision of Solvency II as regards securitisation. It will take time to rebuild capacity in the (re)insurance investment sector, but as explained later the recalibration of Solvency 2 is a pre-requisite to generate appetite.</w:t>
            </w:r>
          </w:p>
          <w:p w14:paraId="0DFF39E7" w14:textId="77777777" w:rsidR="00C21071" w:rsidRPr="00973525" w:rsidRDefault="00C21071" w:rsidP="00C21071">
            <w:pPr>
              <w:rPr>
                <w:sz w:val="20"/>
                <w:szCs w:val="20"/>
                <w:lang w:val="en-US"/>
              </w:rPr>
            </w:pPr>
          </w:p>
          <w:p w14:paraId="135D14DC" w14:textId="77777777" w:rsidR="00C21071" w:rsidRPr="00973525" w:rsidRDefault="00C21071" w:rsidP="00C21071">
            <w:pPr>
              <w:rPr>
                <w:sz w:val="20"/>
                <w:szCs w:val="20"/>
                <w:lang w:val="en-US"/>
              </w:rPr>
            </w:pPr>
          </w:p>
          <w:p w14:paraId="74F5E967"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Low returns =&gt; RMBS</w:t>
            </w:r>
          </w:p>
          <w:p w14:paraId="1907F81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Operational costs =&gt; Due Diligence, reporting</w:t>
            </w:r>
          </w:p>
          <w:p w14:paraId="61C4BADB"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High capital charges</w:t>
            </w:r>
          </w:p>
          <w:p w14:paraId="5341481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Difficulty in placing senior tranches</w:t>
            </w:r>
          </w:p>
          <w:p w14:paraId="5F3044B3" w14:textId="0A78513D" w:rsidR="00C21071" w:rsidRPr="00973525" w:rsidRDefault="00C21071" w:rsidP="00C21071">
            <w:pPr>
              <w:rPr>
                <w:sz w:val="18"/>
                <w:szCs w:val="18"/>
                <w:lang w:val="en-US"/>
              </w:rPr>
            </w:pPr>
            <w:r w:rsidRPr="00973525">
              <w:rPr>
                <w:sz w:val="20"/>
                <w:szCs w:val="20"/>
                <w:lang w:val="en-US"/>
              </w:rPr>
              <w:t>•</w:t>
            </w:r>
            <w:r w:rsidRPr="00973525">
              <w:rPr>
                <w:sz w:val="20"/>
                <w:szCs w:val="20"/>
                <w:lang w:val="en-US"/>
              </w:rPr>
              <w:tab/>
              <w:t>Significant Risk Transfer process</w:t>
            </w:r>
          </w:p>
        </w:tc>
        <w:tc>
          <w:tcPr>
            <w:tcW w:w="236" w:type="dxa"/>
          </w:tcPr>
          <w:p w14:paraId="59C86596" w14:textId="77777777" w:rsidR="00C21071" w:rsidRPr="00973525" w:rsidRDefault="00C21071" w:rsidP="0079353D">
            <w:pPr>
              <w:ind w:firstLine="1917"/>
              <w:rPr>
                <w:sz w:val="18"/>
                <w:szCs w:val="18"/>
                <w:lang w:val="en-GB"/>
              </w:rPr>
            </w:pPr>
          </w:p>
        </w:tc>
      </w:tr>
      <w:tr w:rsidR="00C21071" w:rsidRPr="0000602A" w14:paraId="7959BB8D" w14:textId="77777777" w:rsidTr="30964D0C">
        <w:trPr>
          <w:gridAfter w:val="1"/>
          <w:wAfter w:w="16" w:type="dxa"/>
        </w:trPr>
        <w:tc>
          <w:tcPr>
            <w:tcW w:w="2893" w:type="dxa"/>
          </w:tcPr>
          <w:p w14:paraId="290F38A3" w14:textId="44D13653" w:rsidR="00C21071" w:rsidRPr="00973525" w:rsidRDefault="00C21071" w:rsidP="00C21071">
            <w:pPr>
              <w:rPr>
                <w:sz w:val="18"/>
                <w:szCs w:val="18"/>
                <w:lang w:val="en-GB"/>
              </w:rPr>
            </w:pPr>
            <w:r w:rsidRPr="00973525">
              <w:rPr>
                <w:sz w:val="20"/>
                <w:szCs w:val="20"/>
                <w:lang w:val="en-US"/>
              </w:rPr>
              <w:t>12.3.</w:t>
            </w:r>
            <w:r w:rsidRPr="00973525">
              <w:rPr>
                <w:sz w:val="20"/>
                <w:szCs w:val="20"/>
                <w:lang w:val="en-US"/>
              </w:rPr>
              <w:tab/>
              <w:t>Please specify which regulatory and non-regulatory measures have the strongest potential to stimulate the issuance of placed traditional securitisation</w:t>
            </w:r>
          </w:p>
        </w:tc>
        <w:tc>
          <w:tcPr>
            <w:tcW w:w="7740" w:type="dxa"/>
          </w:tcPr>
          <w:p w14:paraId="291DEB97" w14:textId="77777777" w:rsidR="00C21071" w:rsidRPr="00973525" w:rsidRDefault="00C21071" w:rsidP="00C21071">
            <w:pPr>
              <w:rPr>
                <w:sz w:val="20"/>
                <w:szCs w:val="20"/>
                <w:lang w:val="en-US"/>
              </w:rPr>
            </w:pPr>
            <w:r w:rsidRPr="00973525">
              <w:rPr>
                <w:sz w:val="20"/>
                <w:szCs w:val="20"/>
                <w:lang w:val="en-US"/>
              </w:rPr>
              <w:t xml:space="preserve">The key topics to be simultaneously implemented that would </w:t>
            </w:r>
            <w:proofErr w:type="gramStart"/>
            <w:r w:rsidRPr="00973525">
              <w:rPr>
                <w:sz w:val="20"/>
                <w:szCs w:val="20"/>
                <w:lang w:val="en-US"/>
              </w:rPr>
              <w:t>represents</w:t>
            </w:r>
            <w:proofErr w:type="gramEnd"/>
            <w:r w:rsidRPr="00973525">
              <w:rPr>
                <w:sz w:val="20"/>
                <w:szCs w:val="20"/>
                <w:lang w:val="en-US"/>
              </w:rPr>
              <w:t xml:space="preserve"> a quick win, foster the securitisation market with an immediate impact </w:t>
            </w:r>
            <w:proofErr w:type="gramStart"/>
            <w:r w:rsidRPr="00973525">
              <w:rPr>
                <w:sz w:val="20"/>
                <w:szCs w:val="20"/>
                <w:lang w:val="en-US"/>
              </w:rPr>
              <w:t>are :</w:t>
            </w:r>
            <w:proofErr w:type="gramEnd"/>
          </w:p>
          <w:p w14:paraId="7BE3C6BC" w14:textId="77777777" w:rsidR="00C21071" w:rsidRPr="00973525" w:rsidRDefault="00C21071" w:rsidP="00C21071">
            <w:pPr>
              <w:rPr>
                <w:sz w:val="20"/>
                <w:szCs w:val="20"/>
                <w:lang w:val="en-US"/>
              </w:rPr>
            </w:pPr>
          </w:p>
          <w:p w14:paraId="6C4C140E" w14:textId="77777777" w:rsidR="00C21071" w:rsidRPr="00973525" w:rsidRDefault="00C21071" w:rsidP="00C21071">
            <w:pPr>
              <w:pStyle w:val="Paragraphedeliste"/>
              <w:numPr>
                <w:ilvl w:val="0"/>
                <w:numId w:val="37"/>
              </w:numPr>
              <w:rPr>
                <w:sz w:val="20"/>
                <w:szCs w:val="20"/>
                <w:lang w:val="en-US"/>
              </w:rPr>
            </w:pPr>
            <w:r w:rsidRPr="00973525">
              <w:rPr>
                <w:sz w:val="20"/>
                <w:szCs w:val="20"/>
                <w:lang w:val="en-US"/>
              </w:rPr>
              <w:t>CRR3</w:t>
            </w:r>
            <w:proofErr w:type="gramStart"/>
            <w:r w:rsidRPr="00973525">
              <w:rPr>
                <w:sz w:val="20"/>
                <w:szCs w:val="20"/>
                <w:lang w:val="en-US"/>
              </w:rPr>
              <w:t>:  sensitive</w:t>
            </w:r>
            <w:proofErr w:type="gramEnd"/>
            <w:r w:rsidRPr="00973525">
              <w:rPr>
                <w:sz w:val="20"/>
                <w:szCs w:val="20"/>
                <w:lang w:val="en-US"/>
              </w:rPr>
              <w:t xml:space="preserve"> risk weight floor for SEC-SA and SEC-</w:t>
            </w:r>
            <w:proofErr w:type="gramStart"/>
            <w:r w:rsidRPr="00973525">
              <w:rPr>
                <w:sz w:val="20"/>
                <w:szCs w:val="20"/>
                <w:lang w:val="en-US"/>
              </w:rPr>
              <w:t>IRBA ;</w:t>
            </w:r>
            <w:proofErr w:type="gramEnd"/>
            <w:r w:rsidRPr="00973525">
              <w:rPr>
                <w:sz w:val="20"/>
                <w:szCs w:val="20"/>
                <w:lang w:val="en-US"/>
              </w:rPr>
              <w:t xml:space="preserve"> extension of the Amendment Boyer halve of p-factor under SEC-SA, beyond the output floor; </w:t>
            </w:r>
            <w:r w:rsidRPr="00973525">
              <w:rPr>
                <w:sz w:val="20"/>
                <w:szCs w:val="20"/>
                <w:lang w:val="en-US"/>
              </w:rPr>
              <w:lastRenderedPageBreak/>
              <w:t>deletion of article 243; decrease of the credit conversion factor for undrawn liquidity/ credit lines</w:t>
            </w:r>
          </w:p>
          <w:p w14:paraId="3DAA3D5F" w14:textId="77777777" w:rsidR="00C21071" w:rsidRPr="00973525" w:rsidRDefault="00C21071" w:rsidP="00C21071">
            <w:pPr>
              <w:rPr>
                <w:sz w:val="20"/>
                <w:szCs w:val="20"/>
                <w:lang w:val="en-US"/>
              </w:rPr>
            </w:pPr>
          </w:p>
          <w:p w14:paraId="470128B9" w14:textId="77777777" w:rsidR="00C21071" w:rsidRPr="00973525" w:rsidRDefault="00C21071" w:rsidP="00C21071">
            <w:pPr>
              <w:pStyle w:val="Paragraphedeliste"/>
              <w:numPr>
                <w:ilvl w:val="0"/>
                <w:numId w:val="37"/>
              </w:numPr>
              <w:rPr>
                <w:sz w:val="20"/>
                <w:szCs w:val="20"/>
                <w:lang w:val="en-US"/>
              </w:rPr>
            </w:pPr>
            <w:r w:rsidRPr="00973525">
              <w:rPr>
                <w:sz w:val="20"/>
                <w:szCs w:val="20"/>
                <w:lang w:val="en-US"/>
              </w:rPr>
              <w:t>Simplification and introduction of proportionality in Articles 5, and 7 of SEC-R</w:t>
            </w:r>
          </w:p>
          <w:p w14:paraId="1284186D" w14:textId="77777777" w:rsidR="00C21071" w:rsidRPr="00973525" w:rsidRDefault="00C21071" w:rsidP="00C21071">
            <w:pPr>
              <w:rPr>
                <w:sz w:val="20"/>
                <w:szCs w:val="20"/>
                <w:lang w:val="en-US"/>
              </w:rPr>
            </w:pPr>
          </w:p>
          <w:p w14:paraId="70A9D18E" w14:textId="77777777" w:rsidR="00C21071" w:rsidRPr="00973525" w:rsidRDefault="00C21071" w:rsidP="00C21071">
            <w:pPr>
              <w:pStyle w:val="Paragraphedeliste"/>
              <w:numPr>
                <w:ilvl w:val="0"/>
                <w:numId w:val="37"/>
              </w:numPr>
              <w:rPr>
                <w:sz w:val="20"/>
                <w:szCs w:val="20"/>
                <w:lang w:val="en-US"/>
              </w:rPr>
            </w:pPr>
            <w:r w:rsidRPr="00973525">
              <w:rPr>
                <w:sz w:val="20"/>
                <w:szCs w:val="20"/>
                <w:lang w:val="en-US"/>
              </w:rPr>
              <w:t xml:space="preserve">Upgrade of senior STS and non-STS </w:t>
            </w:r>
            <w:proofErr w:type="gramStart"/>
            <w:r w:rsidRPr="00973525">
              <w:rPr>
                <w:sz w:val="20"/>
                <w:szCs w:val="20"/>
                <w:lang w:val="en-US"/>
              </w:rPr>
              <w:t>securitisation tranches</w:t>
            </w:r>
            <w:proofErr w:type="gramEnd"/>
            <w:r w:rsidRPr="00973525">
              <w:rPr>
                <w:sz w:val="20"/>
                <w:szCs w:val="20"/>
                <w:lang w:val="en-US"/>
              </w:rPr>
              <w:t xml:space="preserve"> in the LCR HQLA</w:t>
            </w:r>
          </w:p>
          <w:p w14:paraId="3DD92B1F" w14:textId="77777777" w:rsidR="00C21071" w:rsidRPr="00973525" w:rsidRDefault="00C21071" w:rsidP="00C21071">
            <w:pPr>
              <w:rPr>
                <w:sz w:val="20"/>
                <w:szCs w:val="20"/>
                <w:lang w:val="en-US"/>
              </w:rPr>
            </w:pPr>
          </w:p>
          <w:p w14:paraId="6A3F7D2B" w14:textId="6A2B674B" w:rsidR="00C21071" w:rsidRPr="008730EA" w:rsidRDefault="00C21071" w:rsidP="00C21071">
            <w:pPr>
              <w:pStyle w:val="Paragraphedeliste"/>
              <w:numPr>
                <w:ilvl w:val="0"/>
                <w:numId w:val="37"/>
              </w:numPr>
              <w:rPr>
                <w:sz w:val="20"/>
                <w:szCs w:val="20"/>
                <w:lang w:val="en-US"/>
              </w:rPr>
            </w:pPr>
            <w:r w:rsidRPr="00973525">
              <w:rPr>
                <w:sz w:val="20"/>
                <w:szCs w:val="20"/>
                <w:lang w:val="en-US"/>
              </w:rPr>
              <w:t>Recalibration of the shocks in Solvency II, for both STS and non-STS securitisations</w:t>
            </w:r>
          </w:p>
          <w:p w14:paraId="47FC9FF4" w14:textId="77777777" w:rsidR="00C21071" w:rsidRPr="00973525" w:rsidRDefault="00C21071" w:rsidP="00C21071">
            <w:pPr>
              <w:rPr>
                <w:sz w:val="18"/>
                <w:szCs w:val="18"/>
                <w:lang w:val="en-US"/>
              </w:rPr>
            </w:pPr>
          </w:p>
        </w:tc>
        <w:tc>
          <w:tcPr>
            <w:tcW w:w="236" w:type="dxa"/>
          </w:tcPr>
          <w:p w14:paraId="41912C35" w14:textId="77777777" w:rsidR="00C21071" w:rsidRPr="00973525" w:rsidRDefault="00C21071" w:rsidP="0079353D">
            <w:pPr>
              <w:ind w:firstLine="1917"/>
              <w:rPr>
                <w:sz w:val="18"/>
                <w:szCs w:val="18"/>
                <w:lang w:val="en-GB"/>
              </w:rPr>
            </w:pPr>
          </w:p>
        </w:tc>
      </w:tr>
      <w:tr w:rsidR="00C21071" w:rsidRPr="0000602A" w14:paraId="33D41278" w14:textId="77777777" w:rsidTr="30964D0C">
        <w:trPr>
          <w:gridAfter w:val="1"/>
          <w:wAfter w:w="16" w:type="dxa"/>
        </w:trPr>
        <w:tc>
          <w:tcPr>
            <w:tcW w:w="2893" w:type="dxa"/>
          </w:tcPr>
          <w:p w14:paraId="03F90979" w14:textId="20B1C76B" w:rsidR="00C21071" w:rsidRPr="00973525" w:rsidRDefault="00C21071" w:rsidP="00C21071">
            <w:pPr>
              <w:rPr>
                <w:sz w:val="18"/>
                <w:szCs w:val="18"/>
                <w:lang w:val="en-GB"/>
              </w:rPr>
            </w:pPr>
            <w:r w:rsidRPr="00973525">
              <w:rPr>
                <w:sz w:val="20"/>
                <w:szCs w:val="20"/>
                <w:lang w:val="en-US"/>
              </w:rPr>
              <w:t>12.4.</w:t>
            </w:r>
            <w:r w:rsidRPr="00973525">
              <w:rPr>
                <w:sz w:val="20"/>
                <w:szCs w:val="20"/>
                <w:lang w:val="en-US"/>
              </w:rPr>
              <w:tab/>
              <w:t xml:space="preserve">What are the main obstacles for cross-border securitisations (i.e. securitisations where the underlying exposures, or the </w:t>
            </w:r>
            <w:proofErr w:type="gramStart"/>
            <w:r w:rsidRPr="00973525">
              <w:rPr>
                <w:sz w:val="20"/>
                <w:szCs w:val="20"/>
                <w:lang w:val="en-US"/>
              </w:rPr>
              <w:t>entities  involved</w:t>
            </w:r>
            <w:proofErr w:type="gramEnd"/>
            <w:r w:rsidRPr="00973525">
              <w:rPr>
                <w:sz w:val="20"/>
                <w:szCs w:val="20"/>
                <w:lang w:val="en-US"/>
              </w:rPr>
              <w:t xml:space="preserve">  in  the  securitisation,  come  from  various  EU Member States)?</w:t>
            </w:r>
          </w:p>
        </w:tc>
        <w:tc>
          <w:tcPr>
            <w:tcW w:w="7740" w:type="dxa"/>
          </w:tcPr>
          <w:p w14:paraId="03ED1EEF" w14:textId="5F3C23D1" w:rsidR="00C21071" w:rsidRPr="00973525" w:rsidRDefault="00C21071" w:rsidP="00C21071">
            <w:pPr>
              <w:rPr>
                <w:sz w:val="18"/>
                <w:szCs w:val="18"/>
                <w:lang w:val="en-US"/>
              </w:rPr>
            </w:pPr>
            <w:r w:rsidRPr="00973525">
              <w:rPr>
                <w:sz w:val="20"/>
                <w:szCs w:val="20"/>
                <w:lang w:val="en-US"/>
              </w:rPr>
              <w:t>The STS criteria of homogeneity which requires that loans originators belong to the same jurisdiction.</w:t>
            </w:r>
          </w:p>
        </w:tc>
        <w:tc>
          <w:tcPr>
            <w:tcW w:w="236" w:type="dxa"/>
          </w:tcPr>
          <w:p w14:paraId="3AC85E3D" w14:textId="77777777" w:rsidR="00C21071" w:rsidRPr="00973525" w:rsidRDefault="00C21071" w:rsidP="0079353D">
            <w:pPr>
              <w:ind w:firstLine="1917"/>
              <w:rPr>
                <w:sz w:val="18"/>
                <w:szCs w:val="18"/>
                <w:lang w:val="en-GB"/>
              </w:rPr>
            </w:pPr>
          </w:p>
        </w:tc>
      </w:tr>
      <w:tr w:rsidR="00C21071" w:rsidRPr="0000602A" w14:paraId="751F1179" w14:textId="77777777" w:rsidTr="30964D0C">
        <w:trPr>
          <w:gridAfter w:val="1"/>
          <w:wAfter w:w="16" w:type="dxa"/>
        </w:trPr>
        <w:tc>
          <w:tcPr>
            <w:tcW w:w="2893" w:type="dxa"/>
          </w:tcPr>
          <w:p w14:paraId="213701DD" w14:textId="77777777" w:rsidR="00C21071" w:rsidRPr="00973525" w:rsidRDefault="00C21071" w:rsidP="00C21071">
            <w:pPr>
              <w:rPr>
                <w:sz w:val="20"/>
                <w:szCs w:val="20"/>
                <w:lang w:val="en-US"/>
              </w:rPr>
            </w:pPr>
            <w:r w:rsidRPr="00973525">
              <w:rPr>
                <w:sz w:val="20"/>
                <w:szCs w:val="20"/>
                <w:lang w:val="en-US"/>
              </w:rPr>
              <w:t>12.5.</w:t>
            </w:r>
            <w:r w:rsidRPr="00973525">
              <w:rPr>
                <w:sz w:val="20"/>
                <w:szCs w:val="20"/>
                <w:lang w:val="en-US"/>
              </w:rPr>
              <w:tab/>
              <w:t>What measures could be taken to stimulate cross-border securitisation in the EU?</w:t>
            </w:r>
          </w:p>
          <w:p w14:paraId="564F3534" w14:textId="77777777" w:rsidR="00C21071" w:rsidRPr="00973525" w:rsidRDefault="00C21071" w:rsidP="00C21071">
            <w:pPr>
              <w:rPr>
                <w:sz w:val="20"/>
                <w:szCs w:val="20"/>
                <w:lang w:val="en-US"/>
              </w:rPr>
            </w:pPr>
          </w:p>
          <w:p w14:paraId="3BFCD65A" w14:textId="37B8F564" w:rsidR="00C21071" w:rsidRPr="00973525" w:rsidRDefault="00C21071" w:rsidP="00C21071">
            <w:pPr>
              <w:rPr>
                <w:sz w:val="18"/>
                <w:szCs w:val="18"/>
                <w:lang w:val="en-GB"/>
              </w:rPr>
            </w:pPr>
            <w:r w:rsidRPr="00973525">
              <w:rPr>
                <w:sz w:val="20"/>
                <w:szCs w:val="20"/>
                <w:lang w:val="en-US"/>
              </w:rPr>
              <w:t>Please substantiate your answer for traditional and synthetic securitisation respectively.</w:t>
            </w:r>
          </w:p>
        </w:tc>
        <w:tc>
          <w:tcPr>
            <w:tcW w:w="7740" w:type="dxa"/>
          </w:tcPr>
          <w:p w14:paraId="4DAACD93" w14:textId="77777777" w:rsidR="00C21071" w:rsidRPr="00973525" w:rsidRDefault="00C21071" w:rsidP="00C21071">
            <w:pPr>
              <w:rPr>
                <w:sz w:val="20"/>
                <w:szCs w:val="20"/>
                <w:lang w:val="en-US"/>
              </w:rPr>
            </w:pPr>
            <w:r w:rsidRPr="00973525">
              <w:rPr>
                <w:sz w:val="20"/>
                <w:szCs w:val="20"/>
                <w:lang w:val="en-US"/>
              </w:rPr>
              <w:t xml:space="preserve">It is key to acknowledge the importance of the position of EU institutional investors in the global securitisation market and avoid penalizing EU investors to invest in international securitisation markets by replacing the current requirement to apply ESMA templates to non-EU transactions, by a framework based on “high level principles”. This is a major stake in terms of competitiveness for Europe. EU actors need to be active </w:t>
            </w:r>
            <w:proofErr w:type="gramStart"/>
            <w:r w:rsidRPr="00973525">
              <w:rPr>
                <w:sz w:val="20"/>
                <w:szCs w:val="20"/>
                <w:lang w:val="en-US"/>
              </w:rPr>
              <w:t>on</w:t>
            </w:r>
            <w:proofErr w:type="gramEnd"/>
            <w:r w:rsidRPr="00973525">
              <w:rPr>
                <w:sz w:val="20"/>
                <w:szCs w:val="20"/>
                <w:lang w:val="en-US"/>
              </w:rPr>
              <w:t xml:space="preserve"> main foreign markets (US, UK) to gain expertise and visibility on this global market.</w:t>
            </w:r>
          </w:p>
          <w:p w14:paraId="2C9D6ED9" w14:textId="77777777" w:rsidR="00C21071" w:rsidRPr="00973525" w:rsidRDefault="00C21071" w:rsidP="00C21071">
            <w:pPr>
              <w:rPr>
                <w:sz w:val="20"/>
                <w:szCs w:val="20"/>
                <w:lang w:val="en-US"/>
              </w:rPr>
            </w:pPr>
          </w:p>
          <w:p w14:paraId="6DB820E5" w14:textId="2EB24AA2" w:rsidR="00C21071" w:rsidRPr="00973525" w:rsidRDefault="00C21071" w:rsidP="00C21071">
            <w:pPr>
              <w:rPr>
                <w:sz w:val="18"/>
                <w:szCs w:val="18"/>
                <w:lang w:val="en-US"/>
              </w:rPr>
            </w:pPr>
            <w:r w:rsidRPr="00973525">
              <w:rPr>
                <w:sz w:val="20"/>
                <w:szCs w:val="20"/>
                <w:lang w:val="en-US"/>
              </w:rPr>
              <w:t xml:space="preserve">It is also key that </w:t>
            </w:r>
            <w:proofErr w:type="gramStart"/>
            <w:r w:rsidRPr="00973525">
              <w:rPr>
                <w:sz w:val="20"/>
                <w:szCs w:val="20"/>
                <w:lang w:val="en-US"/>
              </w:rPr>
              <w:t>EU</w:t>
            </w:r>
            <w:proofErr w:type="gramEnd"/>
            <w:r w:rsidRPr="00973525">
              <w:rPr>
                <w:sz w:val="20"/>
                <w:szCs w:val="20"/>
                <w:lang w:val="en-US"/>
              </w:rPr>
              <w:t xml:space="preserve"> should consider the UK STS regime as equivalent to the EU STS framework (the reverse is already in place), </w:t>
            </w:r>
            <w:proofErr w:type="gramStart"/>
            <w:r w:rsidRPr="00973525">
              <w:rPr>
                <w:sz w:val="20"/>
                <w:szCs w:val="20"/>
                <w:lang w:val="en-US"/>
              </w:rPr>
              <w:t>in order to</w:t>
            </w:r>
            <w:proofErr w:type="gramEnd"/>
            <w:r w:rsidRPr="00973525">
              <w:rPr>
                <w:sz w:val="20"/>
                <w:szCs w:val="20"/>
                <w:lang w:val="en-US"/>
              </w:rPr>
              <w:t xml:space="preserve"> facilitate cross-border UK/EU investments.</w:t>
            </w:r>
          </w:p>
        </w:tc>
        <w:tc>
          <w:tcPr>
            <w:tcW w:w="236" w:type="dxa"/>
          </w:tcPr>
          <w:p w14:paraId="4BD2E81A" w14:textId="77777777" w:rsidR="00C21071" w:rsidRPr="00973525" w:rsidRDefault="00C21071" w:rsidP="0079353D">
            <w:pPr>
              <w:ind w:firstLine="1917"/>
              <w:rPr>
                <w:sz w:val="18"/>
                <w:szCs w:val="18"/>
                <w:lang w:val="en-GB"/>
              </w:rPr>
            </w:pPr>
          </w:p>
        </w:tc>
      </w:tr>
      <w:tr w:rsidR="00C21071" w:rsidRPr="0000602A" w14:paraId="4F5BC7C0" w14:textId="77777777" w:rsidTr="30964D0C">
        <w:trPr>
          <w:gridAfter w:val="1"/>
          <w:wAfter w:w="16" w:type="dxa"/>
        </w:trPr>
        <w:tc>
          <w:tcPr>
            <w:tcW w:w="2893" w:type="dxa"/>
          </w:tcPr>
          <w:p w14:paraId="77D49692" w14:textId="77777777" w:rsidR="00C21071" w:rsidRPr="00973525" w:rsidRDefault="00C21071" w:rsidP="00C21071">
            <w:pPr>
              <w:rPr>
                <w:sz w:val="20"/>
                <w:szCs w:val="20"/>
                <w:lang w:val="en-US"/>
              </w:rPr>
            </w:pPr>
            <w:r w:rsidRPr="00973525">
              <w:rPr>
                <w:sz w:val="20"/>
                <w:szCs w:val="20"/>
                <w:lang w:val="en-US"/>
              </w:rPr>
              <w:t>12.6.</w:t>
            </w:r>
            <w:r w:rsidRPr="00973525">
              <w:rPr>
                <w:sz w:val="20"/>
                <w:szCs w:val="20"/>
                <w:lang w:val="en-US"/>
              </w:rPr>
              <w:tab/>
              <w:t>Securitisation activity is heavily concentrated in a few Member States – primarily Italy, France, Germany, Netherlands and Spain.</w:t>
            </w:r>
          </w:p>
          <w:p w14:paraId="31A147CA" w14:textId="77777777" w:rsidR="00C21071" w:rsidRPr="00973525" w:rsidRDefault="00C21071" w:rsidP="00C21071">
            <w:pPr>
              <w:rPr>
                <w:sz w:val="20"/>
                <w:szCs w:val="20"/>
                <w:lang w:val="en-US"/>
              </w:rPr>
            </w:pPr>
          </w:p>
          <w:p w14:paraId="0236DE44" w14:textId="134BE7D4" w:rsidR="00C21071" w:rsidRPr="00973525" w:rsidRDefault="00C21071" w:rsidP="00C21071">
            <w:pPr>
              <w:rPr>
                <w:sz w:val="18"/>
                <w:szCs w:val="18"/>
                <w:lang w:val="en-GB"/>
              </w:rPr>
            </w:pPr>
            <w:r w:rsidRPr="00973525">
              <w:rPr>
                <w:sz w:val="20"/>
                <w:szCs w:val="20"/>
                <w:lang w:val="en-US"/>
              </w:rPr>
              <w:t>What are the main obstacles to increasing securitisation activity in other Member States? What measures could make securitisation more attractive in those Member States?</w:t>
            </w:r>
          </w:p>
        </w:tc>
        <w:tc>
          <w:tcPr>
            <w:tcW w:w="7740" w:type="dxa"/>
          </w:tcPr>
          <w:p w14:paraId="0DF97B46" w14:textId="77777777" w:rsidR="00C21071" w:rsidRPr="00973525" w:rsidRDefault="00C21071" w:rsidP="00C21071">
            <w:pPr>
              <w:rPr>
                <w:sz w:val="18"/>
                <w:szCs w:val="18"/>
                <w:lang w:val="en-US"/>
              </w:rPr>
            </w:pPr>
          </w:p>
        </w:tc>
        <w:tc>
          <w:tcPr>
            <w:tcW w:w="236" w:type="dxa"/>
          </w:tcPr>
          <w:p w14:paraId="36FAD21F" w14:textId="77777777" w:rsidR="00C21071" w:rsidRPr="00973525" w:rsidRDefault="00C21071" w:rsidP="0079353D">
            <w:pPr>
              <w:ind w:firstLine="1917"/>
              <w:rPr>
                <w:sz w:val="18"/>
                <w:szCs w:val="18"/>
                <w:lang w:val="en-GB"/>
              </w:rPr>
            </w:pPr>
          </w:p>
        </w:tc>
      </w:tr>
      <w:tr w:rsidR="00C21071" w:rsidRPr="0000602A" w14:paraId="1F6C958A" w14:textId="77777777" w:rsidTr="30964D0C">
        <w:trPr>
          <w:gridAfter w:val="1"/>
          <w:wAfter w:w="16" w:type="dxa"/>
        </w:trPr>
        <w:tc>
          <w:tcPr>
            <w:tcW w:w="2893" w:type="dxa"/>
          </w:tcPr>
          <w:p w14:paraId="1D154C21" w14:textId="1BD7EB58" w:rsidR="00C21071" w:rsidRPr="00973525" w:rsidRDefault="00C21071" w:rsidP="00C21071">
            <w:pPr>
              <w:rPr>
                <w:sz w:val="20"/>
                <w:szCs w:val="20"/>
                <w:lang w:val="en-US"/>
              </w:rPr>
            </w:pPr>
            <w:r w:rsidRPr="00973525">
              <w:rPr>
                <w:sz w:val="20"/>
                <w:szCs w:val="20"/>
                <w:lang w:val="en-US"/>
              </w:rPr>
              <w:t>12.7.</w:t>
            </w:r>
            <w:r w:rsidRPr="00973525">
              <w:rPr>
                <w:sz w:val="20"/>
                <w:szCs w:val="20"/>
                <w:lang w:val="en-US"/>
              </w:rPr>
              <w:tab/>
              <w:t>Does the EU securitisation framework impact the international competitiveness of EU issuers, sponsors and investors?</w:t>
            </w:r>
          </w:p>
          <w:p w14:paraId="55165039"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54108A6D"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199B4AC5"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 opinion</w:t>
            </w:r>
          </w:p>
          <w:p w14:paraId="759032DE" w14:textId="77777777" w:rsidR="00C21071" w:rsidRPr="00973525" w:rsidRDefault="00C21071" w:rsidP="00C21071">
            <w:pPr>
              <w:rPr>
                <w:sz w:val="20"/>
                <w:szCs w:val="20"/>
                <w:lang w:val="en-US"/>
              </w:rPr>
            </w:pPr>
          </w:p>
          <w:p w14:paraId="011DCE49" w14:textId="37FC5D8B" w:rsidR="00C21071" w:rsidRPr="00973525" w:rsidRDefault="00C21071" w:rsidP="00C21071">
            <w:pPr>
              <w:rPr>
                <w:sz w:val="18"/>
                <w:szCs w:val="18"/>
                <w:lang w:val="en-GB"/>
              </w:rPr>
            </w:pPr>
            <w:r w:rsidRPr="00973525">
              <w:rPr>
                <w:sz w:val="20"/>
                <w:szCs w:val="20"/>
                <w:lang w:val="en-US"/>
              </w:rPr>
              <w:t xml:space="preserve">Please explain your answer and where possible elaborate on the difference in regulatory costs stemming from the prudential, due diligence and </w:t>
            </w:r>
            <w:r w:rsidRPr="00973525">
              <w:rPr>
                <w:sz w:val="20"/>
                <w:szCs w:val="20"/>
                <w:lang w:val="en-US"/>
              </w:rPr>
              <w:lastRenderedPageBreak/>
              <w:t>transparency requirements in non-EU jurisdictions, in comparison to the EU securitisation framework.</w:t>
            </w:r>
          </w:p>
        </w:tc>
        <w:tc>
          <w:tcPr>
            <w:tcW w:w="7740" w:type="dxa"/>
          </w:tcPr>
          <w:p w14:paraId="6F7F85C2" w14:textId="77777777" w:rsidR="00C21071" w:rsidRPr="00973525" w:rsidRDefault="00C21071" w:rsidP="00C21071">
            <w:pPr>
              <w:rPr>
                <w:sz w:val="18"/>
                <w:szCs w:val="18"/>
                <w:lang w:val="en-US"/>
              </w:rPr>
            </w:pPr>
          </w:p>
        </w:tc>
        <w:tc>
          <w:tcPr>
            <w:tcW w:w="236" w:type="dxa"/>
          </w:tcPr>
          <w:p w14:paraId="0A3B4902" w14:textId="77777777" w:rsidR="00C21071" w:rsidRPr="00973525" w:rsidRDefault="00C21071" w:rsidP="0079353D">
            <w:pPr>
              <w:ind w:firstLine="1917"/>
              <w:rPr>
                <w:sz w:val="18"/>
                <w:szCs w:val="18"/>
                <w:lang w:val="en-GB"/>
              </w:rPr>
            </w:pPr>
          </w:p>
        </w:tc>
      </w:tr>
      <w:tr w:rsidR="00C21071" w:rsidRPr="0000602A" w14:paraId="4AE40850" w14:textId="77777777" w:rsidTr="30964D0C">
        <w:trPr>
          <w:gridAfter w:val="1"/>
          <w:wAfter w:w="16" w:type="dxa"/>
        </w:trPr>
        <w:tc>
          <w:tcPr>
            <w:tcW w:w="2893" w:type="dxa"/>
          </w:tcPr>
          <w:p w14:paraId="679D70BD" w14:textId="77777777" w:rsidR="00C21071" w:rsidRPr="00973525" w:rsidRDefault="00C21071" w:rsidP="00C21071">
            <w:pPr>
              <w:rPr>
                <w:sz w:val="20"/>
                <w:szCs w:val="20"/>
                <w:lang w:val="en-US"/>
              </w:rPr>
            </w:pPr>
            <w:r w:rsidRPr="00973525">
              <w:rPr>
                <w:sz w:val="20"/>
                <w:szCs w:val="20"/>
                <w:lang w:val="en-US"/>
              </w:rPr>
              <w:t>12.8.</w:t>
            </w:r>
            <w:r w:rsidRPr="00973525">
              <w:rPr>
                <w:sz w:val="20"/>
                <w:szCs w:val="20"/>
                <w:lang w:val="en-US"/>
              </w:rPr>
              <w:tab/>
              <w:t>How could securitisation for green transition financing be further improved?</w:t>
            </w:r>
          </w:p>
          <w:p w14:paraId="1DFAFB4C" w14:textId="77777777" w:rsidR="00C21071" w:rsidRPr="00973525" w:rsidRDefault="00C21071" w:rsidP="00C21071">
            <w:pPr>
              <w:rPr>
                <w:sz w:val="20"/>
                <w:szCs w:val="20"/>
                <w:lang w:val="en-US"/>
              </w:rPr>
            </w:pPr>
          </w:p>
          <w:p w14:paraId="36FC60BE" w14:textId="40875705" w:rsidR="00C21071" w:rsidRPr="00973525" w:rsidRDefault="00C21071" w:rsidP="00C21071">
            <w:pPr>
              <w:rPr>
                <w:sz w:val="18"/>
                <w:szCs w:val="18"/>
                <w:lang w:val="en-GB"/>
              </w:rPr>
            </w:pPr>
            <w:r w:rsidRPr="00973525">
              <w:rPr>
                <w:sz w:val="20"/>
                <w:szCs w:val="20"/>
                <w:lang w:val="en-US"/>
              </w:rPr>
              <w:t>What initiative could be taken in the industry or in the regulatory field?</w:t>
            </w:r>
          </w:p>
        </w:tc>
        <w:tc>
          <w:tcPr>
            <w:tcW w:w="7740" w:type="dxa"/>
          </w:tcPr>
          <w:p w14:paraId="0B182F7F" w14:textId="23222E70" w:rsidR="00C21071" w:rsidRPr="00973525" w:rsidRDefault="59EBA4D2" w:rsidP="00C21071">
            <w:pPr>
              <w:rPr>
                <w:sz w:val="18"/>
                <w:szCs w:val="18"/>
                <w:lang w:val="en-US"/>
              </w:rPr>
            </w:pPr>
            <w:r w:rsidRPr="00973525">
              <w:rPr>
                <w:sz w:val="20"/>
                <w:szCs w:val="20"/>
                <w:lang w:val="en-US"/>
              </w:rPr>
              <w:t xml:space="preserve">Securitisation will ultimately be as green as the projects and investments will </w:t>
            </w:r>
            <w:proofErr w:type="gramStart"/>
            <w:r w:rsidRPr="00973525">
              <w:rPr>
                <w:sz w:val="20"/>
                <w:szCs w:val="20"/>
                <w:lang w:val="en-US"/>
              </w:rPr>
              <w:t>be;</w:t>
            </w:r>
            <w:proofErr w:type="gramEnd"/>
            <w:r w:rsidRPr="00973525">
              <w:rPr>
                <w:sz w:val="20"/>
                <w:szCs w:val="20"/>
                <w:lang w:val="en-US"/>
              </w:rPr>
              <w:t xml:space="preserve"> should it be limited to target predefined pools of financing needs, it will not produce the expected benefits. Securitisation should first develop across the board with no restrictive underlying or use of </w:t>
            </w:r>
            <w:proofErr w:type="gramStart"/>
            <w:r w:rsidRPr="00973525">
              <w:rPr>
                <w:sz w:val="20"/>
                <w:szCs w:val="20"/>
                <w:lang w:val="en-US"/>
              </w:rPr>
              <w:t>proceeds</w:t>
            </w:r>
            <w:proofErr w:type="gramEnd"/>
            <w:r w:rsidRPr="00973525">
              <w:rPr>
                <w:sz w:val="20"/>
                <w:szCs w:val="20"/>
                <w:lang w:val="en-US"/>
              </w:rPr>
              <w:t xml:space="preserve"> criteria. The so called “EU green bond standard” , which can also be granted to  securitisation transactions if the </w:t>
            </w:r>
            <w:r w:rsidRPr="00973525">
              <w:rPr>
                <w:sz w:val="20"/>
                <w:szCs w:val="20"/>
                <w:shd w:val="clear" w:color="auto" w:fill="FFFF00"/>
                <w:lang w:val="en-US"/>
              </w:rPr>
              <w:t>use of proceeds is aligned with the EU Taxonomy,</w:t>
            </w:r>
            <w:r w:rsidRPr="00973525">
              <w:rPr>
                <w:sz w:val="20"/>
                <w:szCs w:val="20"/>
                <w:lang w:val="en-US"/>
              </w:rPr>
              <w:t xml:space="preserve">  will probably attract little volumes; in part because it is strictly linked to the EU Taxonomy whose criteria are  in practice excessively difficult to fulfill, and in part because the universe of Taxonomy eligible assets is for the time being quite narrow, while the EU economy is at the beginning of its path to transition. We believe that Securitisation does not need to be targeted as a “green” product to deliver on the objective of contributing to the financing of the transition.</w:t>
            </w:r>
          </w:p>
        </w:tc>
        <w:tc>
          <w:tcPr>
            <w:tcW w:w="236" w:type="dxa"/>
          </w:tcPr>
          <w:p w14:paraId="39E2BFC7" w14:textId="77777777" w:rsidR="00C21071" w:rsidRPr="00973525" w:rsidRDefault="00C21071" w:rsidP="0079353D">
            <w:pPr>
              <w:ind w:firstLine="1917"/>
              <w:rPr>
                <w:sz w:val="18"/>
                <w:szCs w:val="18"/>
                <w:lang w:val="en-GB"/>
              </w:rPr>
            </w:pPr>
          </w:p>
        </w:tc>
      </w:tr>
      <w:tr w:rsidR="00C21071" w:rsidRPr="0000602A" w14:paraId="33BE7132" w14:textId="77777777" w:rsidTr="30964D0C">
        <w:trPr>
          <w:gridAfter w:val="1"/>
          <w:wAfter w:w="16" w:type="dxa"/>
        </w:trPr>
        <w:tc>
          <w:tcPr>
            <w:tcW w:w="2893" w:type="dxa"/>
          </w:tcPr>
          <w:p w14:paraId="7D1397DA" w14:textId="000BC12E" w:rsidR="00C21071" w:rsidRPr="00973525" w:rsidRDefault="00C21071" w:rsidP="00C21071">
            <w:pPr>
              <w:rPr>
                <w:sz w:val="20"/>
                <w:szCs w:val="20"/>
                <w:lang w:val="en-US"/>
              </w:rPr>
            </w:pPr>
            <w:r w:rsidRPr="00973525">
              <w:rPr>
                <w:sz w:val="20"/>
                <w:szCs w:val="20"/>
                <w:lang w:val="en-US"/>
              </w:rPr>
              <w:t>12.9.</w:t>
            </w:r>
            <w:r w:rsidRPr="00973525">
              <w:rPr>
                <w:sz w:val="20"/>
                <w:szCs w:val="20"/>
                <w:lang w:val="en-US"/>
              </w:rPr>
              <w:tab/>
              <w:t>Are there any other relevant issues (</w:t>
            </w:r>
            <w:proofErr w:type="gramStart"/>
            <w:r w:rsidRPr="00973525">
              <w:rPr>
                <w:sz w:val="20"/>
                <w:szCs w:val="20"/>
                <w:lang w:val="en-US"/>
              </w:rPr>
              <w:t>outside of</w:t>
            </w:r>
            <w:proofErr w:type="gramEnd"/>
            <w:r w:rsidRPr="00973525">
              <w:rPr>
                <w:sz w:val="20"/>
                <w:szCs w:val="20"/>
                <w:lang w:val="en-US"/>
              </w:rPr>
              <w:t xml:space="preserve"> those addressed in the specific sections of the consultation paper above) that affect securitisation issuance and investments that you consider should be addressed?</w:t>
            </w:r>
          </w:p>
          <w:p w14:paraId="73B58233"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Yes</w:t>
            </w:r>
          </w:p>
          <w:p w14:paraId="1550D00C" w14:textId="77777777" w:rsidR="00C21071" w:rsidRPr="00973525" w:rsidRDefault="00C21071" w:rsidP="00C21071">
            <w:pPr>
              <w:rPr>
                <w:sz w:val="20"/>
                <w:szCs w:val="20"/>
                <w:lang w:val="en-US"/>
              </w:rPr>
            </w:pPr>
            <w:r w:rsidRPr="00973525">
              <w:rPr>
                <w:sz w:val="20"/>
                <w:szCs w:val="20"/>
                <w:lang w:val="en-US"/>
              </w:rPr>
              <w:t>•</w:t>
            </w:r>
            <w:r w:rsidRPr="00973525">
              <w:rPr>
                <w:sz w:val="20"/>
                <w:szCs w:val="20"/>
                <w:lang w:val="en-US"/>
              </w:rPr>
              <w:tab/>
              <w:t>No</w:t>
            </w:r>
          </w:p>
          <w:p w14:paraId="50AEC8E0" w14:textId="584A1707" w:rsidR="00C21071" w:rsidRPr="00973525" w:rsidRDefault="00C21071" w:rsidP="00C21071">
            <w:pPr>
              <w:rPr>
                <w:sz w:val="18"/>
                <w:szCs w:val="18"/>
                <w:lang w:val="en-GB"/>
              </w:rPr>
            </w:pPr>
            <w:r w:rsidRPr="00973525">
              <w:rPr>
                <w:sz w:val="20"/>
                <w:szCs w:val="20"/>
                <w:lang w:val="en-US"/>
              </w:rPr>
              <w:t>•</w:t>
            </w:r>
            <w:r w:rsidRPr="00973525">
              <w:rPr>
                <w:sz w:val="20"/>
                <w:szCs w:val="20"/>
                <w:lang w:val="en-US"/>
              </w:rPr>
              <w:tab/>
              <w:t>No opinion</w:t>
            </w:r>
          </w:p>
        </w:tc>
        <w:tc>
          <w:tcPr>
            <w:tcW w:w="7740" w:type="dxa"/>
          </w:tcPr>
          <w:p w14:paraId="2D624A00" w14:textId="77777777" w:rsidR="00C21071" w:rsidRPr="00973525" w:rsidRDefault="00C21071" w:rsidP="00C21071">
            <w:pPr>
              <w:rPr>
                <w:sz w:val="20"/>
                <w:szCs w:val="20"/>
                <w:lang w:val="en-US"/>
              </w:rPr>
            </w:pPr>
            <w:r w:rsidRPr="00973525">
              <w:rPr>
                <w:sz w:val="20"/>
                <w:szCs w:val="20"/>
                <w:lang w:val="en-US"/>
              </w:rPr>
              <w:t xml:space="preserve">Yes. </w:t>
            </w:r>
          </w:p>
          <w:p w14:paraId="2EBDAF67" w14:textId="77777777" w:rsidR="00C21071" w:rsidRPr="00973525" w:rsidRDefault="00C21071" w:rsidP="00C21071">
            <w:pPr>
              <w:rPr>
                <w:sz w:val="20"/>
                <w:szCs w:val="20"/>
                <w:lang w:val="en-US"/>
              </w:rPr>
            </w:pPr>
            <w:r w:rsidRPr="00973525">
              <w:rPr>
                <w:sz w:val="20"/>
                <w:szCs w:val="20"/>
                <w:lang w:val="en-US"/>
              </w:rPr>
              <w:t>As the STS criterion of the article 18 under the EU securitization regulation requires that the originator, the sponsor and the SSPE be established in the Union, it limits the possibility to structure EU STS transaction in cases where certain of the 3 entities are not based in the Union.</w:t>
            </w:r>
          </w:p>
          <w:p w14:paraId="3DFECE3F" w14:textId="77777777" w:rsidR="00C21071" w:rsidRPr="00973525" w:rsidRDefault="00C21071" w:rsidP="00C21071">
            <w:pPr>
              <w:rPr>
                <w:sz w:val="20"/>
                <w:szCs w:val="20"/>
                <w:lang w:val="en-US"/>
              </w:rPr>
            </w:pPr>
          </w:p>
          <w:p w14:paraId="733B19D4" w14:textId="77777777" w:rsidR="00C21071" w:rsidRPr="00973525" w:rsidRDefault="00C21071" w:rsidP="00C21071">
            <w:pPr>
              <w:rPr>
                <w:sz w:val="20"/>
                <w:szCs w:val="20"/>
                <w:lang w:val="en-US"/>
              </w:rPr>
            </w:pPr>
            <w:r w:rsidRPr="00973525">
              <w:rPr>
                <w:sz w:val="20"/>
                <w:szCs w:val="20"/>
                <w:lang w:val="en-US"/>
              </w:rPr>
              <w:t>Article 18 “The originator, sponsor and SSPE involved in a securitisation considered STS shall be established in the Union. »</w:t>
            </w:r>
          </w:p>
          <w:p w14:paraId="3D5ADD24" w14:textId="77777777" w:rsidR="00C21071" w:rsidRPr="00973525" w:rsidRDefault="00C21071" w:rsidP="00C21071">
            <w:pPr>
              <w:rPr>
                <w:sz w:val="20"/>
                <w:szCs w:val="20"/>
                <w:lang w:val="en-US"/>
              </w:rPr>
            </w:pPr>
            <w:r w:rsidRPr="00973525">
              <w:rPr>
                <w:sz w:val="20"/>
                <w:szCs w:val="20"/>
                <w:lang w:val="en-US"/>
              </w:rPr>
              <w:t>The introduction of some flexibility on the location of certain of these entities could allow additional operations to be STS compliant under EU Securitisation regulation and so a better efficiency for such transactions.</w:t>
            </w:r>
          </w:p>
          <w:p w14:paraId="61E2831F" w14:textId="77777777" w:rsidR="00C21071" w:rsidRPr="00973525" w:rsidRDefault="00C21071" w:rsidP="00C21071">
            <w:pPr>
              <w:rPr>
                <w:sz w:val="20"/>
                <w:szCs w:val="20"/>
                <w:lang w:val="en-US"/>
              </w:rPr>
            </w:pPr>
          </w:p>
          <w:p w14:paraId="49CD1C52" w14:textId="77777777" w:rsidR="00C21071" w:rsidRPr="00973525" w:rsidRDefault="00C21071" w:rsidP="00C21071">
            <w:pPr>
              <w:rPr>
                <w:sz w:val="20"/>
                <w:szCs w:val="20"/>
                <w:lang w:val="en-US"/>
              </w:rPr>
            </w:pPr>
            <w:r w:rsidRPr="00973525">
              <w:rPr>
                <w:sz w:val="20"/>
                <w:szCs w:val="20"/>
                <w:lang w:val="en-US"/>
              </w:rPr>
              <w:t xml:space="preserve">Secondly, the EU securitisation regulation could introduce rules of equivalence for transactions respecting the STS criteria (or STC criteria) in other jurisdictions (for example in the UK) and for which such transactions are publicly notified as STS (or STC) to the relevant regulatory body similarly to the EU securitisation framework. </w:t>
            </w:r>
          </w:p>
          <w:p w14:paraId="71666E36" w14:textId="1701BB39" w:rsidR="00C21071" w:rsidRPr="00973525" w:rsidRDefault="00C21071" w:rsidP="00C21071">
            <w:pPr>
              <w:rPr>
                <w:sz w:val="20"/>
                <w:szCs w:val="20"/>
                <w:lang w:val="en-US"/>
              </w:rPr>
            </w:pPr>
            <w:r w:rsidRPr="00973525">
              <w:rPr>
                <w:sz w:val="20"/>
                <w:szCs w:val="20"/>
                <w:lang w:val="en-US"/>
              </w:rPr>
              <w:t xml:space="preserve">It would allow for example non-EU </w:t>
            </w:r>
            <w:proofErr w:type="gramStart"/>
            <w:r w:rsidRPr="00973525">
              <w:rPr>
                <w:sz w:val="20"/>
                <w:szCs w:val="20"/>
                <w:lang w:val="en-US"/>
              </w:rPr>
              <w:t>affiliate</w:t>
            </w:r>
            <w:proofErr w:type="gramEnd"/>
            <w:r w:rsidRPr="00973525">
              <w:rPr>
                <w:sz w:val="20"/>
                <w:szCs w:val="20"/>
                <w:lang w:val="en-US"/>
              </w:rPr>
              <w:t xml:space="preserve"> of European entities involved in such non-EU STS compliant transaction to benefit from an EU preferential regulatory framework for EU investors.</w:t>
            </w:r>
          </w:p>
          <w:p w14:paraId="5C5D26FE" w14:textId="77777777" w:rsidR="00C21071" w:rsidRPr="00973525" w:rsidRDefault="00C21071" w:rsidP="00C21071">
            <w:pPr>
              <w:rPr>
                <w:sz w:val="18"/>
                <w:szCs w:val="18"/>
                <w:lang w:val="en-US"/>
              </w:rPr>
            </w:pPr>
          </w:p>
        </w:tc>
        <w:tc>
          <w:tcPr>
            <w:tcW w:w="236" w:type="dxa"/>
          </w:tcPr>
          <w:p w14:paraId="7CADD482" w14:textId="77777777" w:rsidR="00C21071" w:rsidRPr="00973525" w:rsidRDefault="00C21071" w:rsidP="0079353D">
            <w:pPr>
              <w:ind w:firstLine="1917"/>
              <w:rPr>
                <w:sz w:val="18"/>
                <w:szCs w:val="18"/>
                <w:lang w:val="en-GB"/>
              </w:rPr>
            </w:pPr>
          </w:p>
        </w:tc>
      </w:tr>
      <w:tr w:rsidR="00C21071" w:rsidRPr="0000602A" w14:paraId="7FA24C78" w14:textId="77777777" w:rsidTr="30964D0C">
        <w:trPr>
          <w:gridAfter w:val="1"/>
          <w:wAfter w:w="16" w:type="dxa"/>
        </w:trPr>
        <w:tc>
          <w:tcPr>
            <w:tcW w:w="2893" w:type="dxa"/>
          </w:tcPr>
          <w:p w14:paraId="10CC11AD" w14:textId="019EFAF1" w:rsidR="00C21071" w:rsidRPr="00973525" w:rsidRDefault="00C21071" w:rsidP="00C21071">
            <w:pPr>
              <w:rPr>
                <w:sz w:val="18"/>
                <w:szCs w:val="18"/>
                <w:lang w:val="en-GB"/>
              </w:rPr>
            </w:pPr>
            <w:r w:rsidRPr="00973525">
              <w:rPr>
                <w:sz w:val="20"/>
                <w:szCs w:val="20"/>
                <w:lang w:val="en-US"/>
              </w:rPr>
              <w:t>12.10.</w:t>
            </w:r>
            <w:r w:rsidRPr="00973525">
              <w:rPr>
                <w:sz w:val="20"/>
                <w:szCs w:val="20"/>
                <w:lang w:val="en-US"/>
              </w:rPr>
              <w:tab/>
              <w:t>If you answered yes to question 12.9., please explain your answer.</w:t>
            </w:r>
          </w:p>
        </w:tc>
        <w:tc>
          <w:tcPr>
            <w:tcW w:w="7740" w:type="dxa"/>
          </w:tcPr>
          <w:p w14:paraId="7FCEC4DA" w14:textId="77777777" w:rsidR="00C21071" w:rsidRPr="00973525" w:rsidRDefault="00C21071" w:rsidP="00C21071">
            <w:pPr>
              <w:rPr>
                <w:sz w:val="18"/>
                <w:szCs w:val="18"/>
                <w:lang w:val="en-US"/>
              </w:rPr>
            </w:pPr>
          </w:p>
        </w:tc>
        <w:tc>
          <w:tcPr>
            <w:tcW w:w="236" w:type="dxa"/>
          </w:tcPr>
          <w:p w14:paraId="3A62E970" w14:textId="77777777" w:rsidR="00C21071" w:rsidRPr="00973525" w:rsidRDefault="00C21071" w:rsidP="0079353D">
            <w:pPr>
              <w:ind w:firstLine="1917"/>
              <w:rPr>
                <w:sz w:val="18"/>
                <w:szCs w:val="18"/>
                <w:lang w:val="en-GB"/>
              </w:rPr>
            </w:pPr>
          </w:p>
        </w:tc>
      </w:tr>
      <w:tr w:rsidR="00C21071" w:rsidRPr="0000602A" w14:paraId="22DD4968" w14:textId="77777777" w:rsidTr="30964D0C">
        <w:trPr>
          <w:gridAfter w:val="1"/>
          <w:wAfter w:w="16" w:type="dxa"/>
        </w:trPr>
        <w:tc>
          <w:tcPr>
            <w:tcW w:w="2893" w:type="dxa"/>
            <w:shd w:val="clear" w:color="auto" w:fill="DAE9F7" w:themeFill="text2" w:themeFillTint="1A"/>
          </w:tcPr>
          <w:p w14:paraId="306F8B45" w14:textId="77777777" w:rsidR="00C21071" w:rsidRPr="00973525" w:rsidRDefault="00C21071" w:rsidP="00C21071">
            <w:pPr>
              <w:rPr>
                <w:sz w:val="18"/>
                <w:szCs w:val="18"/>
                <w:lang w:val="en-GB"/>
              </w:rPr>
            </w:pPr>
          </w:p>
        </w:tc>
        <w:tc>
          <w:tcPr>
            <w:tcW w:w="7740" w:type="dxa"/>
            <w:shd w:val="clear" w:color="auto" w:fill="DAE9F7" w:themeFill="text2" w:themeFillTint="1A"/>
          </w:tcPr>
          <w:p w14:paraId="423E90CF" w14:textId="77777777" w:rsidR="00C21071" w:rsidRPr="00973525" w:rsidRDefault="00C21071" w:rsidP="00C21071">
            <w:pPr>
              <w:rPr>
                <w:sz w:val="18"/>
                <w:szCs w:val="18"/>
                <w:lang w:val="en-US"/>
              </w:rPr>
            </w:pPr>
          </w:p>
        </w:tc>
        <w:tc>
          <w:tcPr>
            <w:tcW w:w="236" w:type="dxa"/>
            <w:shd w:val="clear" w:color="auto" w:fill="DAE9F7" w:themeFill="text2" w:themeFillTint="1A"/>
          </w:tcPr>
          <w:p w14:paraId="75463E9F" w14:textId="77777777" w:rsidR="00C21071" w:rsidRPr="00973525" w:rsidRDefault="00C21071" w:rsidP="0079353D">
            <w:pPr>
              <w:ind w:firstLine="1917"/>
              <w:rPr>
                <w:sz w:val="18"/>
                <w:szCs w:val="18"/>
                <w:lang w:val="en-GB"/>
              </w:rPr>
            </w:pPr>
          </w:p>
        </w:tc>
      </w:tr>
    </w:tbl>
    <w:p w14:paraId="50180972" w14:textId="59E31F8A" w:rsidR="00EC1499" w:rsidRPr="00973525" w:rsidRDefault="00EC1499" w:rsidP="00EC1499">
      <w:pPr>
        <w:rPr>
          <w:i/>
          <w:iCs/>
          <w:sz w:val="20"/>
          <w:szCs w:val="20"/>
          <w:lang w:val="en-GB"/>
        </w:rPr>
      </w:pPr>
    </w:p>
    <w:p w14:paraId="1DF27EEE" w14:textId="791D5B5C" w:rsidR="00EC1499" w:rsidRPr="00973525" w:rsidRDefault="00EC1499">
      <w:pPr>
        <w:rPr>
          <w:sz w:val="20"/>
          <w:szCs w:val="20"/>
          <w:lang w:val="en-GB"/>
        </w:rPr>
      </w:pPr>
    </w:p>
    <w:sectPr w:rsidR="00EC1499" w:rsidRPr="00973525" w:rsidSect="0068515C">
      <w:headerReference w:type="default" r:id="rId16"/>
      <w:footerReference w:type="even" r:id="rId17"/>
      <w:footerReference w:type="default" r:id="rId18"/>
      <w:headerReference w:type="first" r:id="rId19"/>
      <w:footerReference w:type="first" r:id="rId20"/>
      <w:pgSz w:w="11906" w:h="16838"/>
      <w:pgMar w:top="540" w:right="1417" w:bottom="1417"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2B57F" w14:textId="77777777" w:rsidR="00796C71" w:rsidRDefault="00796C71" w:rsidP="00641C05">
      <w:pPr>
        <w:spacing w:after="0" w:line="240" w:lineRule="auto"/>
      </w:pPr>
      <w:r>
        <w:separator/>
      </w:r>
    </w:p>
  </w:endnote>
  <w:endnote w:type="continuationSeparator" w:id="0">
    <w:p w14:paraId="325AA523" w14:textId="77777777" w:rsidR="00796C71" w:rsidRDefault="00796C71" w:rsidP="00641C05">
      <w:pPr>
        <w:spacing w:after="0" w:line="240" w:lineRule="auto"/>
      </w:pPr>
      <w:r>
        <w:continuationSeparator/>
      </w:r>
    </w:p>
  </w:endnote>
  <w:endnote w:type="continuationNotice" w:id="1">
    <w:p w14:paraId="2DF9D883" w14:textId="77777777" w:rsidR="00796C71" w:rsidRDefault="00796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altName w:val="Calibri"/>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23AC9" w14:textId="66DD0D25" w:rsidR="00E92FE7" w:rsidRDefault="00E92FE7">
    <w:pPr>
      <w:pStyle w:val="Pieddepage"/>
    </w:pPr>
    <w:r>
      <w:rPr>
        <w:noProof/>
      </w:rPr>
      <mc:AlternateContent>
        <mc:Choice Requires="wps">
          <w:drawing>
            <wp:anchor distT="0" distB="0" distL="0" distR="0" simplePos="0" relativeHeight="251658240" behindDoc="0" locked="0" layoutInCell="1" allowOverlap="1" wp14:anchorId="494E30F0" wp14:editId="281DA0E6">
              <wp:simplePos x="635" y="635"/>
              <wp:positionH relativeFrom="page">
                <wp:align>right</wp:align>
              </wp:positionH>
              <wp:positionV relativeFrom="page">
                <wp:align>bottom</wp:align>
              </wp:positionV>
              <wp:extent cx="443865" cy="443865"/>
              <wp:effectExtent l="0" t="0" r="0" b="0"/>
              <wp:wrapNone/>
              <wp:docPr id="2" name="Zone de texte 2" descr="Classification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EE157F" w14:textId="06BB7A5D" w:rsidR="00E92FE7" w:rsidRPr="00E92FE7" w:rsidRDefault="00E92FE7" w:rsidP="00E92FE7">
                          <w:pPr>
                            <w:spacing w:after="0"/>
                            <w:rPr>
                              <w:rFonts w:ascii="Calibri" w:eastAsia="Calibri" w:hAnsi="Calibri" w:cs="Calibri"/>
                              <w:noProof/>
                              <w:color w:val="0078D7"/>
                              <w:sz w:val="20"/>
                              <w:szCs w:val="20"/>
                            </w:rPr>
                          </w:pPr>
                          <w:r w:rsidRPr="00E92FE7">
                            <w:rPr>
                              <w:rFonts w:ascii="Calibri" w:eastAsia="Calibri" w:hAnsi="Calibri" w:cs="Calibri"/>
                              <w:noProof/>
                              <w:color w:val="0078D7"/>
                              <w:sz w:val="20"/>
                              <w:szCs w:val="20"/>
                            </w:rPr>
                            <w:t>Classification : Internal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94E30F0" id="_x0000_t202" coordsize="21600,21600" o:spt="202" path="m,l,21600r21600,l21600,xe">
              <v:stroke joinstyle="miter"/>
              <v:path gradientshapeok="t" o:connecttype="rect"/>
            </v:shapetype>
            <v:shape id="Zone de texte 2" o:spid="_x0000_s1026" type="#_x0000_t202" alt="Classification : Intern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56EE157F" w14:textId="06BB7A5D" w:rsidR="00E92FE7" w:rsidRPr="00E92FE7" w:rsidRDefault="00E92FE7" w:rsidP="00E92FE7">
                    <w:pPr>
                      <w:spacing w:after="0"/>
                      <w:rPr>
                        <w:rFonts w:ascii="Calibri" w:eastAsia="Calibri" w:hAnsi="Calibri" w:cs="Calibri"/>
                        <w:noProof/>
                        <w:color w:val="0078D7"/>
                        <w:sz w:val="20"/>
                        <w:szCs w:val="20"/>
                      </w:rPr>
                    </w:pPr>
                    <w:r w:rsidRPr="00E92FE7">
                      <w:rPr>
                        <w:rFonts w:ascii="Calibri" w:eastAsia="Calibri" w:hAnsi="Calibri" w:cs="Calibri"/>
                        <w:noProof/>
                        <w:color w:val="0078D7"/>
                        <w:sz w:val="20"/>
                        <w:szCs w:val="20"/>
                      </w:rPr>
                      <w:t>Classification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95D8" w14:textId="379C6073" w:rsidR="70DBD737" w:rsidRDefault="70DBD737" w:rsidP="30964D0C">
    <w:pPr>
      <w:pStyle w:val="Pieddepage"/>
      <w:jc w:val="right"/>
    </w:pPr>
  </w:p>
  <w:p w14:paraId="05071ADB" w14:textId="60F3BCDC" w:rsidR="70DBD737" w:rsidRDefault="30964D0C" w:rsidP="30964D0C">
    <w:pPr>
      <w:pStyle w:val="Pieddepage"/>
      <w:rPr>
        <w:sz w:val="20"/>
        <w:szCs w:val="20"/>
      </w:rPr>
    </w:pPr>
    <w:r w:rsidRPr="30964D0C">
      <w:rPr>
        <w:sz w:val="20"/>
        <w:szCs w:val="20"/>
      </w:rPr>
      <w:t xml:space="preserve">Consultation Securitisation Framework – EU Commission - 2024 – FBF </w:t>
    </w:r>
    <w:proofErr w:type="spellStart"/>
    <w:r w:rsidRPr="30964D0C">
      <w:rPr>
        <w:sz w:val="20"/>
        <w:szCs w:val="20"/>
      </w:rPr>
      <w:t>answer</w:t>
    </w:r>
    <w:proofErr w:type="spellEnd"/>
  </w:p>
  <w:p w14:paraId="095DA324" w14:textId="477D1FD6" w:rsidR="70DBD737" w:rsidRDefault="70DBD737" w:rsidP="70DBD737">
    <w:pPr>
      <w:pStyle w:val="Pieddepage"/>
      <w:jc w:val="right"/>
    </w:pPr>
    <w:r>
      <w:fldChar w:fldCharType="begin"/>
    </w:r>
    <w:r>
      <w:instrText>PAGE</w:instrText>
    </w:r>
    <w:r>
      <w:fldChar w:fldCharType="separate"/>
    </w:r>
    <w:r w:rsidR="00223249">
      <w:rPr>
        <w:noProof/>
      </w:rPr>
      <w:t>1</w:t>
    </w:r>
    <w:r>
      <w:fldChar w:fldCharType="end"/>
    </w:r>
  </w:p>
  <w:p w14:paraId="7C6F03E7" w14:textId="3DA9D8E7" w:rsidR="00E92FE7" w:rsidRDefault="00E92F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1447D" w14:textId="097666CF" w:rsidR="00E92FE7" w:rsidRDefault="30964D0C">
    <w:pPr>
      <w:pStyle w:val="Pieddepage"/>
    </w:pPr>
    <w:r>
      <w:t xml:space="preserve">Consultation Securitisation Framework – EU Commission - 2024 – FBF </w:t>
    </w:r>
    <w:proofErr w:type="spellStart"/>
    <w:r>
      <w:t>answer</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D53E4" w14:textId="77777777" w:rsidR="00796C71" w:rsidRDefault="00796C71" w:rsidP="00641C05">
      <w:pPr>
        <w:spacing w:after="0" w:line="240" w:lineRule="auto"/>
      </w:pPr>
      <w:r>
        <w:separator/>
      </w:r>
    </w:p>
  </w:footnote>
  <w:footnote w:type="continuationSeparator" w:id="0">
    <w:p w14:paraId="5AFCE461" w14:textId="77777777" w:rsidR="00796C71" w:rsidRDefault="00796C71" w:rsidP="00641C05">
      <w:pPr>
        <w:spacing w:after="0" w:line="240" w:lineRule="auto"/>
      </w:pPr>
      <w:r>
        <w:continuationSeparator/>
      </w:r>
    </w:p>
  </w:footnote>
  <w:footnote w:type="continuationNotice" w:id="1">
    <w:p w14:paraId="46D6DD95" w14:textId="77777777" w:rsidR="00796C71" w:rsidRDefault="00796C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70DBD737" w14:paraId="5CFCD8D6" w14:textId="77777777" w:rsidTr="70DBD737">
      <w:trPr>
        <w:trHeight w:val="300"/>
      </w:trPr>
      <w:tc>
        <w:tcPr>
          <w:tcW w:w="3115" w:type="dxa"/>
        </w:tcPr>
        <w:p w14:paraId="5A3BDCB5" w14:textId="35F38366" w:rsidR="70DBD737" w:rsidRDefault="70DBD737" w:rsidP="70DBD737">
          <w:pPr>
            <w:pStyle w:val="En-tte"/>
            <w:ind w:left="-115"/>
          </w:pPr>
        </w:p>
      </w:tc>
      <w:tc>
        <w:tcPr>
          <w:tcW w:w="3115" w:type="dxa"/>
        </w:tcPr>
        <w:p w14:paraId="2BCB52C3" w14:textId="179AF11B" w:rsidR="70DBD737" w:rsidRDefault="70DBD737" w:rsidP="70DBD737">
          <w:pPr>
            <w:pStyle w:val="En-tte"/>
            <w:jc w:val="center"/>
          </w:pPr>
        </w:p>
      </w:tc>
      <w:tc>
        <w:tcPr>
          <w:tcW w:w="3115" w:type="dxa"/>
        </w:tcPr>
        <w:p w14:paraId="7C166B9F" w14:textId="12834496" w:rsidR="70DBD737" w:rsidRDefault="70DBD737" w:rsidP="70DBD737">
          <w:pPr>
            <w:pStyle w:val="En-tte"/>
            <w:ind w:right="-115"/>
            <w:jc w:val="right"/>
          </w:pPr>
        </w:p>
      </w:tc>
    </w:tr>
  </w:tbl>
  <w:p w14:paraId="3F746809" w14:textId="1DA23E17" w:rsidR="70DBD737" w:rsidRDefault="70DBD737" w:rsidP="70DBD7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30964D0C" w14:paraId="4E6CB0C7" w14:textId="77777777" w:rsidTr="30964D0C">
      <w:trPr>
        <w:trHeight w:val="300"/>
      </w:trPr>
      <w:tc>
        <w:tcPr>
          <w:tcW w:w="3115" w:type="dxa"/>
        </w:tcPr>
        <w:p w14:paraId="0A6455DC" w14:textId="0BA8D2A0" w:rsidR="30964D0C" w:rsidRDefault="30964D0C" w:rsidP="30964D0C">
          <w:pPr>
            <w:pStyle w:val="En-tte"/>
            <w:ind w:left="-115"/>
          </w:pPr>
        </w:p>
      </w:tc>
      <w:tc>
        <w:tcPr>
          <w:tcW w:w="3115" w:type="dxa"/>
        </w:tcPr>
        <w:p w14:paraId="4A2EC9E6" w14:textId="6F504C2F" w:rsidR="30964D0C" w:rsidRDefault="30964D0C" w:rsidP="30964D0C">
          <w:pPr>
            <w:pStyle w:val="En-tte"/>
            <w:jc w:val="center"/>
          </w:pPr>
        </w:p>
      </w:tc>
      <w:tc>
        <w:tcPr>
          <w:tcW w:w="3115" w:type="dxa"/>
        </w:tcPr>
        <w:p w14:paraId="0A32E95F" w14:textId="5EE36F3E" w:rsidR="30964D0C" w:rsidRDefault="30964D0C" w:rsidP="30964D0C">
          <w:pPr>
            <w:pStyle w:val="En-tte"/>
            <w:ind w:right="-115"/>
            <w:jc w:val="right"/>
          </w:pPr>
        </w:p>
      </w:tc>
    </w:tr>
  </w:tbl>
  <w:p w14:paraId="45A81BD6" w14:textId="7203BA8C" w:rsidR="30964D0C" w:rsidRDefault="30964D0C" w:rsidP="30964D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00495"/>
    <w:multiLevelType w:val="hybridMultilevel"/>
    <w:tmpl w:val="DDAEE4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2E13145"/>
    <w:multiLevelType w:val="hybridMultilevel"/>
    <w:tmpl w:val="D57225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B23E50"/>
    <w:multiLevelType w:val="hybridMultilevel"/>
    <w:tmpl w:val="06044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3F4AC2"/>
    <w:multiLevelType w:val="multilevel"/>
    <w:tmpl w:val="5D0AE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4E1646"/>
    <w:multiLevelType w:val="multilevel"/>
    <w:tmpl w:val="698484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39372B"/>
    <w:multiLevelType w:val="hybridMultilevel"/>
    <w:tmpl w:val="605E68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83B7D63"/>
    <w:multiLevelType w:val="hybridMultilevel"/>
    <w:tmpl w:val="52561D4C"/>
    <w:lvl w:ilvl="0" w:tplc="9C307B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C607C6"/>
    <w:multiLevelType w:val="hybridMultilevel"/>
    <w:tmpl w:val="462EC0AA"/>
    <w:lvl w:ilvl="0" w:tplc="1FAC5162">
      <w:start w:val="9"/>
      <w:numFmt w:val="bullet"/>
      <w:lvlText w:val="-"/>
      <w:lvlJc w:val="left"/>
      <w:pPr>
        <w:ind w:left="720" w:hanging="360"/>
      </w:pPr>
      <w:rPr>
        <w:rFonts w:ascii="Aptos" w:eastAsiaTheme="minorHAnsi" w:hAnsi="Aptos" w:cstheme="minorBid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DF64E96"/>
    <w:multiLevelType w:val="hybridMultilevel"/>
    <w:tmpl w:val="282224E4"/>
    <w:lvl w:ilvl="0" w:tplc="F0882ED6">
      <w:start w:val="3"/>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FC6E14"/>
    <w:multiLevelType w:val="hybridMultilevel"/>
    <w:tmpl w:val="7B8C3264"/>
    <w:lvl w:ilvl="0" w:tplc="8E24911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176477"/>
    <w:multiLevelType w:val="hybridMultilevel"/>
    <w:tmpl w:val="CD8AA5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75B68B"/>
    <w:multiLevelType w:val="hybridMultilevel"/>
    <w:tmpl w:val="FFFFFFFF"/>
    <w:lvl w:ilvl="0" w:tplc="1C72AA6C">
      <w:start w:val="1"/>
      <w:numFmt w:val="bullet"/>
      <w:lvlText w:val=""/>
      <w:lvlJc w:val="left"/>
      <w:pPr>
        <w:ind w:left="720" w:hanging="360"/>
      </w:pPr>
      <w:rPr>
        <w:rFonts w:ascii="Symbol" w:hAnsi="Symbol" w:hint="default"/>
      </w:rPr>
    </w:lvl>
    <w:lvl w:ilvl="1" w:tplc="6908E81A">
      <w:start w:val="1"/>
      <w:numFmt w:val="bullet"/>
      <w:lvlText w:val="o"/>
      <w:lvlJc w:val="left"/>
      <w:pPr>
        <w:ind w:left="1440" w:hanging="360"/>
      </w:pPr>
      <w:rPr>
        <w:rFonts w:ascii="Courier New" w:hAnsi="Courier New" w:hint="default"/>
      </w:rPr>
    </w:lvl>
    <w:lvl w:ilvl="2" w:tplc="D220B12A">
      <w:start w:val="1"/>
      <w:numFmt w:val="bullet"/>
      <w:lvlText w:val="·"/>
      <w:lvlJc w:val="left"/>
      <w:pPr>
        <w:ind w:left="2160" w:hanging="360"/>
      </w:pPr>
      <w:rPr>
        <w:rFonts w:ascii="Symbol" w:hAnsi="Symbol" w:hint="default"/>
      </w:rPr>
    </w:lvl>
    <w:lvl w:ilvl="3" w:tplc="2240463A">
      <w:start w:val="1"/>
      <w:numFmt w:val="bullet"/>
      <w:lvlText w:val=""/>
      <w:lvlJc w:val="left"/>
      <w:pPr>
        <w:ind w:left="2880" w:hanging="360"/>
      </w:pPr>
      <w:rPr>
        <w:rFonts w:ascii="Symbol" w:hAnsi="Symbol" w:hint="default"/>
      </w:rPr>
    </w:lvl>
    <w:lvl w:ilvl="4" w:tplc="92F8AA92">
      <w:start w:val="1"/>
      <w:numFmt w:val="bullet"/>
      <w:lvlText w:val="o"/>
      <w:lvlJc w:val="left"/>
      <w:pPr>
        <w:ind w:left="3600" w:hanging="360"/>
      </w:pPr>
      <w:rPr>
        <w:rFonts w:ascii="Courier New" w:hAnsi="Courier New" w:hint="default"/>
      </w:rPr>
    </w:lvl>
    <w:lvl w:ilvl="5" w:tplc="1F788DF6">
      <w:start w:val="1"/>
      <w:numFmt w:val="bullet"/>
      <w:lvlText w:val=""/>
      <w:lvlJc w:val="left"/>
      <w:pPr>
        <w:ind w:left="4320" w:hanging="360"/>
      </w:pPr>
      <w:rPr>
        <w:rFonts w:ascii="Wingdings" w:hAnsi="Wingdings" w:hint="default"/>
      </w:rPr>
    </w:lvl>
    <w:lvl w:ilvl="6" w:tplc="86BE9186">
      <w:start w:val="1"/>
      <w:numFmt w:val="bullet"/>
      <w:lvlText w:val=""/>
      <w:lvlJc w:val="left"/>
      <w:pPr>
        <w:ind w:left="5040" w:hanging="360"/>
      </w:pPr>
      <w:rPr>
        <w:rFonts w:ascii="Symbol" w:hAnsi="Symbol" w:hint="default"/>
      </w:rPr>
    </w:lvl>
    <w:lvl w:ilvl="7" w:tplc="4CF0EB8C">
      <w:start w:val="1"/>
      <w:numFmt w:val="bullet"/>
      <w:lvlText w:val="o"/>
      <w:lvlJc w:val="left"/>
      <w:pPr>
        <w:ind w:left="5760" w:hanging="360"/>
      </w:pPr>
      <w:rPr>
        <w:rFonts w:ascii="Courier New" w:hAnsi="Courier New" w:hint="default"/>
      </w:rPr>
    </w:lvl>
    <w:lvl w:ilvl="8" w:tplc="E5BE2884">
      <w:start w:val="1"/>
      <w:numFmt w:val="bullet"/>
      <w:lvlText w:val=""/>
      <w:lvlJc w:val="left"/>
      <w:pPr>
        <w:ind w:left="6480" w:hanging="360"/>
      </w:pPr>
      <w:rPr>
        <w:rFonts w:ascii="Wingdings" w:hAnsi="Wingdings" w:hint="default"/>
      </w:rPr>
    </w:lvl>
  </w:abstractNum>
  <w:abstractNum w:abstractNumId="12" w15:restartNumberingAfterBreak="0">
    <w:nsid w:val="13B11692"/>
    <w:multiLevelType w:val="multilevel"/>
    <w:tmpl w:val="298432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53355D"/>
    <w:multiLevelType w:val="hybridMultilevel"/>
    <w:tmpl w:val="F4B2FE86"/>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59E7A88"/>
    <w:multiLevelType w:val="hybridMultilevel"/>
    <w:tmpl w:val="08AAD42E"/>
    <w:lvl w:ilvl="0" w:tplc="7D56D460">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15EA68FE"/>
    <w:multiLevelType w:val="multilevel"/>
    <w:tmpl w:val="5ACE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A105CC"/>
    <w:multiLevelType w:val="multilevel"/>
    <w:tmpl w:val="2474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DB367C"/>
    <w:multiLevelType w:val="hybridMultilevel"/>
    <w:tmpl w:val="605E68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CE116F4"/>
    <w:multiLevelType w:val="multilevel"/>
    <w:tmpl w:val="A8C0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7D4A57"/>
    <w:multiLevelType w:val="hybridMultilevel"/>
    <w:tmpl w:val="52DE981E"/>
    <w:lvl w:ilvl="0" w:tplc="52BC5116">
      <w:start w:val="1"/>
      <w:numFmt w:val="bullet"/>
      <w:lvlText w:val=""/>
      <w:lvlJc w:val="left"/>
      <w:pPr>
        <w:ind w:left="720" w:hanging="360"/>
      </w:pPr>
      <w:rPr>
        <w:rFonts w:ascii="Symbol" w:hAnsi="Symbol"/>
      </w:rPr>
    </w:lvl>
    <w:lvl w:ilvl="1" w:tplc="28BE870E">
      <w:start w:val="1"/>
      <w:numFmt w:val="bullet"/>
      <w:lvlText w:val=""/>
      <w:lvlJc w:val="left"/>
      <w:pPr>
        <w:ind w:left="720" w:hanging="360"/>
      </w:pPr>
      <w:rPr>
        <w:rFonts w:ascii="Symbol" w:hAnsi="Symbol"/>
      </w:rPr>
    </w:lvl>
    <w:lvl w:ilvl="2" w:tplc="BF78021E">
      <w:start w:val="1"/>
      <w:numFmt w:val="bullet"/>
      <w:lvlText w:val=""/>
      <w:lvlJc w:val="left"/>
      <w:pPr>
        <w:ind w:left="720" w:hanging="360"/>
      </w:pPr>
      <w:rPr>
        <w:rFonts w:ascii="Symbol" w:hAnsi="Symbol"/>
      </w:rPr>
    </w:lvl>
    <w:lvl w:ilvl="3" w:tplc="A676ABC6">
      <w:start w:val="1"/>
      <w:numFmt w:val="bullet"/>
      <w:lvlText w:val=""/>
      <w:lvlJc w:val="left"/>
      <w:pPr>
        <w:ind w:left="720" w:hanging="360"/>
      </w:pPr>
      <w:rPr>
        <w:rFonts w:ascii="Symbol" w:hAnsi="Symbol"/>
      </w:rPr>
    </w:lvl>
    <w:lvl w:ilvl="4" w:tplc="5B844AEE">
      <w:start w:val="1"/>
      <w:numFmt w:val="bullet"/>
      <w:lvlText w:val=""/>
      <w:lvlJc w:val="left"/>
      <w:pPr>
        <w:ind w:left="720" w:hanging="360"/>
      </w:pPr>
      <w:rPr>
        <w:rFonts w:ascii="Symbol" w:hAnsi="Symbol"/>
      </w:rPr>
    </w:lvl>
    <w:lvl w:ilvl="5" w:tplc="E864DA9E">
      <w:start w:val="1"/>
      <w:numFmt w:val="bullet"/>
      <w:lvlText w:val=""/>
      <w:lvlJc w:val="left"/>
      <w:pPr>
        <w:ind w:left="720" w:hanging="360"/>
      </w:pPr>
      <w:rPr>
        <w:rFonts w:ascii="Symbol" w:hAnsi="Symbol"/>
      </w:rPr>
    </w:lvl>
    <w:lvl w:ilvl="6" w:tplc="965A9B14">
      <w:start w:val="1"/>
      <w:numFmt w:val="bullet"/>
      <w:lvlText w:val=""/>
      <w:lvlJc w:val="left"/>
      <w:pPr>
        <w:ind w:left="720" w:hanging="360"/>
      </w:pPr>
      <w:rPr>
        <w:rFonts w:ascii="Symbol" w:hAnsi="Symbol"/>
      </w:rPr>
    </w:lvl>
    <w:lvl w:ilvl="7" w:tplc="EE583EEC">
      <w:start w:val="1"/>
      <w:numFmt w:val="bullet"/>
      <w:lvlText w:val=""/>
      <w:lvlJc w:val="left"/>
      <w:pPr>
        <w:ind w:left="720" w:hanging="360"/>
      </w:pPr>
      <w:rPr>
        <w:rFonts w:ascii="Symbol" w:hAnsi="Symbol"/>
      </w:rPr>
    </w:lvl>
    <w:lvl w:ilvl="8" w:tplc="37926C50">
      <w:start w:val="1"/>
      <w:numFmt w:val="bullet"/>
      <w:lvlText w:val=""/>
      <w:lvlJc w:val="left"/>
      <w:pPr>
        <w:ind w:left="720" w:hanging="360"/>
      </w:pPr>
      <w:rPr>
        <w:rFonts w:ascii="Symbol" w:hAnsi="Symbol"/>
      </w:rPr>
    </w:lvl>
  </w:abstractNum>
  <w:abstractNum w:abstractNumId="20" w15:restartNumberingAfterBreak="0">
    <w:nsid w:val="1F5E1EF8"/>
    <w:multiLevelType w:val="hybridMultilevel"/>
    <w:tmpl w:val="6EA8A560"/>
    <w:lvl w:ilvl="0" w:tplc="C9BE0F6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23B17ACB"/>
    <w:multiLevelType w:val="hybridMultilevel"/>
    <w:tmpl w:val="DD080308"/>
    <w:lvl w:ilvl="0" w:tplc="0FEE8E4E">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8F7B17"/>
    <w:multiLevelType w:val="hybridMultilevel"/>
    <w:tmpl w:val="A3AEB5A6"/>
    <w:lvl w:ilvl="0" w:tplc="040C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26C767D9"/>
    <w:multiLevelType w:val="hybridMultilevel"/>
    <w:tmpl w:val="72FA4CAE"/>
    <w:lvl w:ilvl="0" w:tplc="1FAC5162">
      <w:start w:val="9"/>
      <w:numFmt w:val="bullet"/>
      <w:lvlText w:val="-"/>
      <w:lvlJc w:val="left"/>
      <w:pPr>
        <w:ind w:left="405" w:hanging="360"/>
      </w:pPr>
      <w:rPr>
        <w:rFonts w:ascii="Aptos" w:eastAsiaTheme="minorHAnsi" w:hAnsi="Aptos" w:cstheme="minorBidi"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4" w15:restartNumberingAfterBreak="0">
    <w:nsid w:val="27941333"/>
    <w:multiLevelType w:val="hybridMultilevel"/>
    <w:tmpl w:val="B8EE11D2"/>
    <w:lvl w:ilvl="0" w:tplc="2438BEB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0701C6"/>
    <w:multiLevelType w:val="hybridMultilevel"/>
    <w:tmpl w:val="8C24E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F20CA4"/>
    <w:multiLevelType w:val="hybridMultilevel"/>
    <w:tmpl w:val="52B8C2B8"/>
    <w:lvl w:ilvl="0" w:tplc="1FAC5162">
      <w:start w:val="9"/>
      <w:numFmt w:val="bullet"/>
      <w:lvlText w:val="-"/>
      <w:lvlJc w:val="left"/>
      <w:pPr>
        <w:ind w:left="405"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3527CC8"/>
    <w:multiLevelType w:val="hybridMultilevel"/>
    <w:tmpl w:val="A8765746"/>
    <w:lvl w:ilvl="0" w:tplc="A58C6846">
      <w:start w:val="4"/>
      <w:numFmt w:val="bullet"/>
      <w:lvlText w:val=""/>
      <w:lvlJc w:val="left"/>
      <w:pPr>
        <w:ind w:left="720" w:hanging="360"/>
      </w:pPr>
      <w:rPr>
        <w:rFonts w:ascii="Wingdings" w:eastAsiaTheme="minorHAnsi" w:hAnsi="Wingdings" w:cstheme="minorBid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130CF4"/>
    <w:multiLevelType w:val="hybridMultilevel"/>
    <w:tmpl w:val="7A2C4F0C"/>
    <w:lvl w:ilvl="0" w:tplc="D50019F0">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37295AF9"/>
    <w:multiLevelType w:val="hybridMultilevel"/>
    <w:tmpl w:val="7D6AC710"/>
    <w:lvl w:ilvl="0" w:tplc="040C0017">
      <w:start w:val="1"/>
      <w:numFmt w:val="lowerLetter"/>
      <w:lvlText w:val="%1)"/>
      <w:lvlJc w:val="left"/>
      <w:pPr>
        <w:ind w:left="720" w:hanging="360"/>
      </w:pPr>
      <w:rPr>
        <w:rFonts w:hint="default"/>
      </w:rPr>
    </w:lvl>
    <w:lvl w:ilvl="1" w:tplc="A58C6846">
      <w:start w:val="4"/>
      <w:numFmt w:val="bullet"/>
      <w:lvlText w:val=""/>
      <w:lvlJc w:val="left"/>
      <w:pPr>
        <w:ind w:left="720" w:hanging="360"/>
      </w:pPr>
      <w:rPr>
        <w:rFonts w:ascii="Wingdings" w:eastAsiaTheme="minorHAnsi" w:hAnsi="Wingdings" w:cstheme="minorBidi" w:hint="default"/>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7847798"/>
    <w:multiLevelType w:val="multilevel"/>
    <w:tmpl w:val="87E4B8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7A03CD3"/>
    <w:multiLevelType w:val="hybridMultilevel"/>
    <w:tmpl w:val="4BC2A7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83B68EC"/>
    <w:multiLevelType w:val="hybridMultilevel"/>
    <w:tmpl w:val="1DE67C86"/>
    <w:lvl w:ilvl="0" w:tplc="21FAE7E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D3733D4"/>
    <w:multiLevelType w:val="hybridMultilevel"/>
    <w:tmpl w:val="DC72A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080406"/>
    <w:multiLevelType w:val="multilevel"/>
    <w:tmpl w:val="F9AC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F016FE"/>
    <w:multiLevelType w:val="hybridMultilevel"/>
    <w:tmpl w:val="A89C1AE0"/>
    <w:lvl w:ilvl="0" w:tplc="1FAC5162">
      <w:start w:val="9"/>
      <w:numFmt w:val="bullet"/>
      <w:lvlText w:val="-"/>
      <w:lvlJc w:val="left"/>
      <w:pPr>
        <w:ind w:left="720" w:hanging="360"/>
      </w:pPr>
      <w:rPr>
        <w:rFonts w:ascii="Aptos" w:eastAsiaTheme="minorHAnsi" w:hAnsi="Aptos" w:cstheme="minorBidi" w:hint="default"/>
      </w:rPr>
    </w:lvl>
    <w:lvl w:ilvl="1" w:tplc="5A9EF026">
      <w:start w:val="1"/>
      <w:numFmt w:val="lowerLetter"/>
      <w:lvlText w:val="(%2)"/>
      <w:lvlJc w:val="left"/>
      <w:pPr>
        <w:ind w:left="1440" w:hanging="360"/>
      </w:pPr>
      <w:rPr>
        <w:rFonts w:hint="default"/>
        <w:i/>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6A85E00"/>
    <w:multiLevelType w:val="multilevel"/>
    <w:tmpl w:val="FCE6C22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4D462D81"/>
    <w:multiLevelType w:val="hybridMultilevel"/>
    <w:tmpl w:val="6FAEF0AA"/>
    <w:lvl w:ilvl="0" w:tplc="040C0001">
      <w:start w:val="1"/>
      <w:numFmt w:val="bullet"/>
      <w:lvlText w:val=""/>
      <w:lvlJc w:val="left"/>
      <w:pPr>
        <w:ind w:left="2061"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4D7E25AC"/>
    <w:multiLevelType w:val="hybridMultilevel"/>
    <w:tmpl w:val="605E682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9" w15:restartNumberingAfterBreak="0">
    <w:nsid w:val="4EC0570C"/>
    <w:multiLevelType w:val="hybridMultilevel"/>
    <w:tmpl w:val="2F6A7B7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3920DD08">
      <w:numFmt w:val="bullet"/>
      <w:lvlText w:val=""/>
      <w:lvlJc w:val="left"/>
      <w:pPr>
        <w:ind w:left="2340" w:hanging="360"/>
      </w:pPr>
      <w:rPr>
        <w:rFonts w:ascii="Wingdings" w:eastAsiaTheme="minorHAnsi" w:hAnsi="Wingdings" w:cstheme="minorBidi"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6DD357B"/>
    <w:multiLevelType w:val="hybridMultilevel"/>
    <w:tmpl w:val="AC747938"/>
    <w:lvl w:ilvl="0" w:tplc="FFFFFFFF">
      <w:start w:val="1"/>
      <w:numFmt w:val="lowerLetter"/>
      <w:lvlText w:val="%1)"/>
      <w:lvlJc w:val="left"/>
      <w:pPr>
        <w:ind w:left="720" w:hanging="360"/>
      </w:pPr>
      <w:rPr>
        <w:rFonts w:hint="default"/>
      </w:rPr>
    </w:lvl>
    <w:lvl w:ilvl="1" w:tplc="040C000B">
      <w:start w:val="1"/>
      <w:numFmt w:val="bullet"/>
      <w:lvlText w:val=""/>
      <w:lvlJc w:val="left"/>
      <w:pPr>
        <w:ind w:left="720" w:hanging="360"/>
      </w:pPr>
      <w:rPr>
        <w:rFonts w:ascii="Wingdings" w:hAnsi="Wingding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A55CEC"/>
    <w:multiLevelType w:val="hybridMultilevel"/>
    <w:tmpl w:val="2B26B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1A55013"/>
    <w:multiLevelType w:val="hybridMultilevel"/>
    <w:tmpl w:val="5CBAC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659E3350"/>
    <w:multiLevelType w:val="hybridMultilevel"/>
    <w:tmpl w:val="CC101A22"/>
    <w:lvl w:ilvl="0" w:tplc="040C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4" w15:restartNumberingAfterBreak="0">
    <w:nsid w:val="671E49C7"/>
    <w:multiLevelType w:val="hybridMultilevel"/>
    <w:tmpl w:val="14E4B76A"/>
    <w:lvl w:ilvl="0" w:tplc="EE32935E">
      <w:start w:val="1"/>
      <w:numFmt w:val="decimal"/>
      <w:lvlText w:val="%1)"/>
      <w:lvlJc w:val="left"/>
      <w:pPr>
        <w:ind w:left="1080" w:hanging="360"/>
      </w:pPr>
    </w:lvl>
    <w:lvl w:ilvl="1" w:tplc="231661EE">
      <w:start w:val="1"/>
      <w:numFmt w:val="decimal"/>
      <w:lvlText w:val="%2)"/>
      <w:lvlJc w:val="left"/>
      <w:pPr>
        <w:ind w:left="1080" w:hanging="360"/>
      </w:pPr>
    </w:lvl>
    <w:lvl w:ilvl="2" w:tplc="5C907340">
      <w:start w:val="1"/>
      <w:numFmt w:val="decimal"/>
      <w:lvlText w:val="%3)"/>
      <w:lvlJc w:val="left"/>
      <w:pPr>
        <w:ind w:left="1080" w:hanging="360"/>
      </w:pPr>
    </w:lvl>
    <w:lvl w:ilvl="3" w:tplc="F976B140">
      <w:start w:val="1"/>
      <w:numFmt w:val="decimal"/>
      <w:lvlText w:val="%4)"/>
      <w:lvlJc w:val="left"/>
      <w:pPr>
        <w:ind w:left="1080" w:hanging="360"/>
      </w:pPr>
    </w:lvl>
    <w:lvl w:ilvl="4" w:tplc="6C487B8E">
      <w:start w:val="1"/>
      <w:numFmt w:val="decimal"/>
      <w:lvlText w:val="%5)"/>
      <w:lvlJc w:val="left"/>
      <w:pPr>
        <w:ind w:left="1080" w:hanging="360"/>
      </w:pPr>
    </w:lvl>
    <w:lvl w:ilvl="5" w:tplc="608C620E">
      <w:start w:val="1"/>
      <w:numFmt w:val="decimal"/>
      <w:lvlText w:val="%6)"/>
      <w:lvlJc w:val="left"/>
      <w:pPr>
        <w:ind w:left="1080" w:hanging="360"/>
      </w:pPr>
    </w:lvl>
    <w:lvl w:ilvl="6" w:tplc="532E7D0A">
      <w:start w:val="1"/>
      <w:numFmt w:val="decimal"/>
      <w:lvlText w:val="%7)"/>
      <w:lvlJc w:val="left"/>
      <w:pPr>
        <w:ind w:left="1080" w:hanging="360"/>
      </w:pPr>
    </w:lvl>
    <w:lvl w:ilvl="7" w:tplc="7AF21086">
      <w:start w:val="1"/>
      <w:numFmt w:val="decimal"/>
      <w:lvlText w:val="%8)"/>
      <w:lvlJc w:val="left"/>
      <w:pPr>
        <w:ind w:left="1080" w:hanging="360"/>
      </w:pPr>
    </w:lvl>
    <w:lvl w:ilvl="8" w:tplc="39641158">
      <w:start w:val="1"/>
      <w:numFmt w:val="decimal"/>
      <w:lvlText w:val="%9)"/>
      <w:lvlJc w:val="left"/>
      <w:pPr>
        <w:ind w:left="1080" w:hanging="360"/>
      </w:pPr>
    </w:lvl>
  </w:abstractNum>
  <w:abstractNum w:abstractNumId="45" w15:restartNumberingAfterBreak="0">
    <w:nsid w:val="6A6C0E5E"/>
    <w:multiLevelType w:val="hybridMultilevel"/>
    <w:tmpl w:val="E5047B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B183ABD"/>
    <w:multiLevelType w:val="hybridMultilevel"/>
    <w:tmpl w:val="B726D1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08C6D5B"/>
    <w:multiLevelType w:val="hybridMultilevel"/>
    <w:tmpl w:val="C8E81F6C"/>
    <w:lvl w:ilvl="0" w:tplc="040C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74802CC1"/>
    <w:multiLevelType w:val="hybridMultilevel"/>
    <w:tmpl w:val="0B46FE24"/>
    <w:lvl w:ilvl="0" w:tplc="46801A7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76666AAD"/>
    <w:multiLevelType w:val="hybridMultilevel"/>
    <w:tmpl w:val="FB463012"/>
    <w:lvl w:ilvl="0" w:tplc="040C000D">
      <w:start w:val="1"/>
      <w:numFmt w:val="bullet"/>
      <w:lvlText w:val=""/>
      <w:lvlJc w:val="left"/>
      <w:pPr>
        <w:ind w:left="1428" w:hanging="360"/>
      </w:pPr>
      <w:rPr>
        <w:rFonts w:ascii="Wingdings" w:hAnsi="Wingdings" w:hint="default"/>
      </w:rPr>
    </w:lvl>
    <w:lvl w:ilvl="1" w:tplc="040C0019">
      <w:start w:val="1"/>
      <w:numFmt w:val="lowerLetter"/>
      <w:lvlText w:val="%2."/>
      <w:lvlJc w:val="left"/>
      <w:pPr>
        <w:ind w:left="1440" w:hanging="360"/>
      </w:p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0" w15:restartNumberingAfterBreak="0">
    <w:nsid w:val="7E031C1C"/>
    <w:multiLevelType w:val="multilevel"/>
    <w:tmpl w:val="329E54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978685313">
    <w:abstractNumId w:val="0"/>
  </w:num>
  <w:num w:numId="2" w16cid:durableId="826089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8348403">
    <w:abstractNumId w:val="42"/>
  </w:num>
  <w:num w:numId="4" w16cid:durableId="37513855">
    <w:abstractNumId w:val="46"/>
  </w:num>
  <w:num w:numId="5" w16cid:durableId="1500851519">
    <w:abstractNumId w:val="23"/>
  </w:num>
  <w:num w:numId="6" w16cid:durableId="1687437745">
    <w:abstractNumId w:val="35"/>
  </w:num>
  <w:num w:numId="7" w16cid:durableId="1623729489">
    <w:abstractNumId w:val="20"/>
  </w:num>
  <w:num w:numId="8" w16cid:durableId="947195952">
    <w:abstractNumId w:val="38"/>
  </w:num>
  <w:num w:numId="9" w16cid:durableId="273827862">
    <w:abstractNumId w:val="48"/>
  </w:num>
  <w:num w:numId="10" w16cid:durableId="883102071">
    <w:abstractNumId w:val="20"/>
  </w:num>
  <w:num w:numId="11" w16cid:durableId="1627656860">
    <w:abstractNumId w:val="37"/>
  </w:num>
  <w:num w:numId="12" w16cid:durableId="780950686">
    <w:abstractNumId w:val="27"/>
  </w:num>
  <w:num w:numId="13" w16cid:durableId="1605766348">
    <w:abstractNumId w:val="32"/>
  </w:num>
  <w:num w:numId="14" w16cid:durableId="1097871705">
    <w:abstractNumId w:val="39"/>
  </w:num>
  <w:num w:numId="15" w16cid:durableId="792790921">
    <w:abstractNumId w:val="9"/>
  </w:num>
  <w:num w:numId="16" w16cid:durableId="2094275675">
    <w:abstractNumId w:val="21"/>
  </w:num>
  <w:num w:numId="17" w16cid:durableId="21563152">
    <w:abstractNumId w:val="24"/>
  </w:num>
  <w:num w:numId="18" w16cid:durableId="334457470">
    <w:abstractNumId w:val="26"/>
  </w:num>
  <w:num w:numId="19" w16cid:durableId="1876117625">
    <w:abstractNumId w:val="17"/>
  </w:num>
  <w:num w:numId="20" w16cid:durableId="355354011">
    <w:abstractNumId w:val="29"/>
  </w:num>
  <w:num w:numId="21" w16cid:durableId="1894196196">
    <w:abstractNumId w:val="40"/>
  </w:num>
  <w:num w:numId="22" w16cid:durableId="862672703">
    <w:abstractNumId w:val="43"/>
  </w:num>
  <w:num w:numId="23" w16cid:durableId="2008435485">
    <w:abstractNumId w:val="22"/>
  </w:num>
  <w:num w:numId="24" w16cid:durableId="521406535">
    <w:abstractNumId w:val="6"/>
  </w:num>
  <w:num w:numId="25" w16cid:durableId="1375497687">
    <w:abstractNumId w:val="44"/>
  </w:num>
  <w:num w:numId="26" w16cid:durableId="1093551380">
    <w:abstractNumId w:val="30"/>
  </w:num>
  <w:num w:numId="27" w16cid:durableId="681392700">
    <w:abstractNumId w:val="12"/>
  </w:num>
  <w:num w:numId="28" w16cid:durableId="126172028">
    <w:abstractNumId w:val="36"/>
  </w:num>
  <w:num w:numId="29" w16cid:durableId="1702245352">
    <w:abstractNumId w:val="19"/>
  </w:num>
  <w:num w:numId="30" w16cid:durableId="1622614080">
    <w:abstractNumId w:val="3"/>
  </w:num>
  <w:num w:numId="31" w16cid:durableId="998578572">
    <w:abstractNumId w:val="18"/>
  </w:num>
  <w:num w:numId="32" w16cid:durableId="1054499638">
    <w:abstractNumId w:val="41"/>
  </w:num>
  <w:num w:numId="33" w16cid:durableId="1597010052">
    <w:abstractNumId w:val="33"/>
  </w:num>
  <w:num w:numId="34" w16cid:durableId="1607999192">
    <w:abstractNumId w:val="1"/>
  </w:num>
  <w:num w:numId="35" w16cid:durableId="319770999">
    <w:abstractNumId w:val="10"/>
  </w:num>
  <w:num w:numId="36" w16cid:durableId="1803037477">
    <w:abstractNumId w:val="8"/>
  </w:num>
  <w:num w:numId="37" w16cid:durableId="885027463">
    <w:abstractNumId w:val="2"/>
  </w:num>
  <w:num w:numId="38" w16cid:durableId="219098804">
    <w:abstractNumId w:val="45"/>
  </w:num>
  <w:num w:numId="39" w16cid:durableId="739518764">
    <w:abstractNumId w:val="5"/>
  </w:num>
  <w:num w:numId="40" w16cid:durableId="1671256737">
    <w:abstractNumId w:val="7"/>
  </w:num>
  <w:num w:numId="41" w16cid:durableId="391386649">
    <w:abstractNumId w:val="47"/>
  </w:num>
  <w:num w:numId="42" w16cid:durableId="1023634037">
    <w:abstractNumId w:val="50"/>
  </w:num>
  <w:num w:numId="43" w16cid:durableId="1887176040">
    <w:abstractNumId w:val="16"/>
  </w:num>
  <w:num w:numId="44" w16cid:durableId="2062898183">
    <w:abstractNumId w:val="15"/>
  </w:num>
  <w:num w:numId="45" w16cid:durableId="11803053">
    <w:abstractNumId w:val="4"/>
  </w:num>
  <w:num w:numId="46" w16cid:durableId="93863103">
    <w:abstractNumId w:val="34"/>
  </w:num>
  <w:num w:numId="47" w16cid:durableId="1699626225">
    <w:abstractNumId w:val="25"/>
  </w:num>
  <w:num w:numId="48" w16cid:durableId="871189858">
    <w:abstractNumId w:val="49"/>
  </w:num>
  <w:num w:numId="49" w16cid:durableId="348068649">
    <w:abstractNumId w:val="31"/>
  </w:num>
  <w:num w:numId="50" w16cid:durableId="1682706212">
    <w:abstractNumId w:val="13"/>
  </w:num>
  <w:num w:numId="51" w16cid:durableId="1430392704">
    <w:abstractNumId w:val="11"/>
  </w:num>
  <w:num w:numId="52" w16cid:durableId="921333249">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readOnly" w:enforcement="1" w:cryptProviderType="rsaAES" w:cryptAlgorithmClass="hash" w:cryptAlgorithmType="typeAny" w:cryptAlgorithmSid="14" w:cryptSpinCount="100000" w:hash="0xreMUijx3M0DsWpfF2oohd/wSdcGyoaI2YdxxbhKjKJ5KKNj04kUd5mqPAn0DEppy5hQr+WyLyCZwnZ//H1Sw==" w:salt="8DAXiIBtxMKd1blUbjzbP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499"/>
    <w:rsid w:val="00001B3A"/>
    <w:rsid w:val="00002E47"/>
    <w:rsid w:val="000030CD"/>
    <w:rsid w:val="0000365B"/>
    <w:rsid w:val="00005CFD"/>
    <w:rsid w:val="0000602A"/>
    <w:rsid w:val="00006D04"/>
    <w:rsid w:val="00011550"/>
    <w:rsid w:val="00013102"/>
    <w:rsid w:val="00015400"/>
    <w:rsid w:val="00015A9C"/>
    <w:rsid w:val="00016719"/>
    <w:rsid w:val="00017975"/>
    <w:rsid w:val="000205EE"/>
    <w:rsid w:val="00022F1D"/>
    <w:rsid w:val="00025105"/>
    <w:rsid w:val="00025973"/>
    <w:rsid w:val="00025B3B"/>
    <w:rsid w:val="0002698D"/>
    <w:rsid w:val="00027C38"/>
    <w:rsid w:val="00031271"/>
    <w:rsid w:val="00032A50"/>
    <w:rsid w:val="00034E7B"/>
    <w:rsid w:val="00036B6E"/>
    <w:rsid w:val="00041C15"/>
    <w:rsid w:val="0004593A"/>
    <w:rsid w:val="00045FFB"/>
    <w:rsid w:val="00051A3B"/>
    <w:rsid w:val="000523F0"/>
    <w:rsid w:val="00057ED8"/>
    <w:rsid w:val="00060B96"/>
    <w:rsid w:val="0006184A"/>
    <w:rsid w:val="00062252"/>
    <w:rsid w:val="00062F3F"/>
    <w:rsid w:val="00063724"/>
    <w:rsid w:val="00063D37"/>
    <w:rsid w:val="00064C28"/>
    <w:rsid w:val="00065B5B"/>
    <w:rsid w:val="00066BD0"/>
    <w:rsid w:val="00067E56"/>
    <w:rsid w:val="00070124"/>
    <w:rsid w:val="000711A7"/>
    <w:rsid w:val="0007261D"/>
    <w:rsid w:val="0007313A"/>
    <w:rsid w:val="00073B47"/>
    <w:rsid w:val="00074A82"/>
    <w:rsid w:val="0007655B"/>
    <w:rsid w:val="00080701"/>
    <w:rsid w:val="00081701"/>
    <w:rsid w:val="00082377"/>
    <w:rsid w:val="00082FF3"/>
    <w:rsid w:val="00085A2B"/>
    <w:rsid w:val="00086B5A"/>
    <w:rsid w:val="000872CE"/>
    <w:rsid w:val="00091974"/>
    <w:rsid w:val="00092250"/>
    <w:rsid w:val="00092BB5"/>
    <w:rsid w:val="00092CEC"/>
    <w:rsid w:val="00093069"/>
    <w:rsid w:val="00094B3B"/>
    <w:rsid w:val="00095FB3"/>
    <w:rsid w:val="00096725"/>
    <w:rsid w:val="00096C50"/>
    <w:rsid w:val="00096F13"/>
    <w:rsid w:val="000A286E"/>
    <w:rsid w:val="000A2DD1"/>
    <w:rsid w:val="000A453F"/>
    <w:rsid w:val="000A4C25"/>
    <w:rsid w:val="000A6EFB"/>
    <w:rsid w:val="000A7724"/>
    <w:rsid w:val="000A7F86"/>
    <w:rsid w:val="000B15B8"/>
    <w:rsid w:val="000B40D3"/>
    <w:rsid w:val="000B78AC"/>
    <w:rsid w:val="000B7E87"/>
    <w:rsid w:val="000C07E1"/>
    <w:rsid w:val="000C2FF9"/>
    <w:rsid w:val="000C7048"/>
    <w:rsid w:val="000C7366"/>
    <w:rsid w:val="000D02A3"/>
    <w:rsid w:val="000D0A59"/>
    <w:rsid w:val="000D0AB8"/>
    <w:rsid w:val="000D2AE7"/>
    <w:rsid w:val="000D45B4"/>
    <w:rsid w:val="000D48A3"/>
    <w:rsid w:val="000D4A2F"/>
    <w:rsid w:val="000D5B6D"/>
    <w:rsid w:val="000D672E"/>
    <w:rsid w:val="000D7782"/>
    <w:rsid w:val="000D7E8E"/>
    <w:rsid w:val="000E0A64"/>
    <w:rsid w:val="000E1513"/>
    <w:rsid w:val="000E3BD0"/>
    <w:rsid w:val="000E5268"/>
    <w:rsid w:val="000E7EC9"/>
    <w:rsid w:val="000F1534"/>
    <w:rsid w:val="000F21D7"/>
    <w:rsid w:val="000F4267"/>
    <w:rsid w:val="000F54F7"/>
    <w:rsid w:val="000F7A10"/>
    <w:rsid w:val="00101846"/>
    <w:rsid w:val="00102C01"/>
    <w:rsid w:val="00103360"/>
    <w:rsid w:val="00103B69"/>
    <w:rsid w:val="0010633D"/>
    <w:rsid w:val="0010682F"/>
    <w:rsid w:val="00112179"/>
    <w:rsid w:val="00113B93"/>
    <w:rsid w:val="00113D46"/>
    <w:rsid w:val="00114086"/>
    <w:rsid w:val="00120D08"/>
    <w:rsid w:val="00122C62"/>
    <w:rsid w:val="00123032"/>
    <w:rsid w:val="0012444B"/>
    <w:rsid w:val="00124744"/>
    <w:rsid w:val="0012618F"/>
    <w:rsid w:val="00126A11"/>
    <w:rsid w:val="001307D9"/>
    <w:rsid w:val="00130BF0"/>
    <w:rsid w:val="001332C8"/>
    <w:rsid w:val="00133EBA"/>
    <w:rsid w:val="00135F04"/>
    <w:rsid w:val="001362E7"/>
    <w:rsid w:val="00136F08"/>
    <w:rsid w:val="00140AC5"/>
    <w:rsid w:val="00140DE6"/>
    <w:rsid w:val="001421AC"/>
    <w:rsid w:val="001422C3"/>
    <w:rsid w:val="0014560F"/>
    <w:rsid w:val="00147463"/>
    <w:rsid w:val="001478C2"/>
    <w:rsid w:val="0015015A"/>
    <w:rsid w:val="00150D25"/>
    <w:rsid w:val="00150FBF"/>
    <w:rsid w:val="00151A24"/>
    <w:rsid w:val="001535AC"/>
    <w:rsid w:val="00154667"/>
    <w:rsid w:val="0015613D"/>
    <w:rsid w:val="00157401"/>
    <w:rsid w:val="00161AC9"/>
    <w:rsid w:val="0016370A"/>
    <w:rsid w:val="00164591"/>
    <w:rsid w:val="001653F1"/>
    <w:rsid w:val="0016638D"/>
    <w:rsid w:val="001704CF"/>
    <w:rsid w:val="00171109"/>
    <w:rsid w:val="0017224F"/>
    <w:rsid w:val="00172E4D"/>
    <w:rsid w:val="001745E1"/>
    <w:rsid w:val="00174C52"/>
    <w:rsid w:val="0017503B"/>
    <w:rsid w:val="0017706E"/>
    <w:rsid w:val="00177E07"/>
    <w:rsid w:val="00177EE9"/>
    <w:rsid w:val="0018044B"/>
    <w:rsid w:val="00180B99"/>
    <w:rsid w:val="00180E9C"/>
    <w:rsid w:val="00181E86"/>
    <w:rsid w:val="0018223F"/>
    <w:rsid w:val="00182A97"/>
    <w:rsid w:val="00183A6E"/>
    <w:rsid w:val="00184A80"/>
    <w:rsid w:val="00185E03"/>
    <w:rsid w:val="00186F36"/>
    <w:rsid w:val="001871A7"/>
    <w:rsid w:val="00190258"/>
    <w:rsid w:val="001923B4"/>
    <w:rsid w:val="0019260A"/>
    <w:rsid w:val="00192C05"/>
    <w:rsid w:val="001942ED"/>
    <w:rsid w:val="0019434F"/>
    <w:rsid w:val="00195A1A"/>
    <w:rsid w:val="00197675"/>
    <w:rsid w:val="001A0A2F"/>
    <w:rsid w:val="001A0B50"/>
    <w:rsid w:val="001A0E9B"/>
    <w:rsid w:val="001A1437"/>
    <w:rsid w:val="001A43BB"/>
    <w:rsid w:val="001A57B0"/>
    <w:rsid w:val="001A6FDB"/>
    <w:rsid w:val="001B0265"/>
    <w:rsid w:val="001B0AFD"/>
    <w:rsid w:val="001B0DC7"/>
    <w:rsid w:val="001B41AB"/>
    <w:rsid w:val="001B4CDA"/>
    <w:rsid w:val="001B4EC0"/>
    <w:rsid w:val="001B54D6"/>
    <w:rsid w:val="001B6D43"/>
    <w:rsid w:val="001C3D18"/>
    <w:rsid w:val="001C6160"/>
    <w:rsid w:val="001C7AA6"/>
    <w:rsid w:val="001C7B1E"/>
    <w:rsid w:val="001D0498"/>
    <w:rsid w:val="001D1260"/>
    <w:rsid w:val="001D2A86"/>
    <w:rsid w:val="001D2EE7"/>
    <w:rsid w:val="001D3195"/>
    <w:rsid w:val="001D57E2"/>
    <w:rsid w:val="001D7968"/>
    <w:rsid w:val="001D7FF5"/>
    <w:rsid w:val="001E0FAE"/>
    <w:rsid w:val="001E24C1"/>
    <w:rsid w:val="001E306F"/>
    <w:rsid w:val="001E5413"/>
    <w:rsid w:val="001E6CD3"/>
    <w:rsid w:val="001E6D62"/>
    <w:rsid w:val="001E77CE"/>
    <w:rsid w:val="001E78C2"/>
    <w:rsid w:val="001F08E7"/>
    <w:rsid w:val="001F1CB0"/>
    <w:rsid w:val="001F32F1"/>
    <w:rsid w:val="00202093"/>
    <w:rsid w:val="002021D8"/>
    <w:rsid w:val="002046E6"/>
    <w:rsid w:val="00214272"/>
    <w:rsid w:val="00214292"/>
    <w:rsid w:val="0021663A"/>
    <w:rsid w:val="00216A01"/>
    <w:rsid w:val="00217393"/>
    <w:rsid w:val="0021770E"/>
    <w:rsid w:val="00220D70"/>
    <w:rsid w:val="00223249"/>
    <w:rsid w:val="002235C5"/>
    <w:rsid w:val="002237EF"/>
    <w:rsid w:val="0022508C"/>
    <w:rsid w:val="00226866"/>
    <w:rsid w:val="002274AC"/>
    <w:rsid w:val="002304EB"/>
    <w:rsid w:val="00232A76"/>
    <w:rsid w:val="00232C36"/>
    <w:rsid w:val="00233031"/>
    <w:rsid w:val="002333CA"/>
    <w:rsid w:val="00234172"/>
    <w:rsid w:val="00234C78"/>
    <w:rsid w:val="00236A56"/>
    <w:rsid w:val="0023779C"/>
    <w:rsid w:val="0024087A"/>
    <w:rsid w:val="00241167"/>
    <w:rsid w:val="0024191D"/>
    <w:rsid w:val="002471A5"/>
    <w:rsid w:val="00247C41"/>
    <w:rsid w:val="00250349"/>
    <w:rsid w:val="002505BE"/>
    <w:rsid w:val="00252A37"/>
    <w:rsid w:val="00253C5F"/>
    <w:rsid w:val="00256106"/>
    <w:rsid w:val="0025647B"/>
    <w:rsid w:val="00256FB5"/>
    <w:rsid w:val="00256FFE"/>
    <w:rsid w:val="00260C56"/>
    <w:rsid w:val="002615EF"/>
    <w:rsid w:val="00262174"/>
    <w:rsid w:val="00265131"/>
    <w:rsid w:val="002749CD"/>
    <w:rsid w:val="00276ABA"/>
    <w:rsid w:val="0027712A"/>
    <w:rsid w:val="00280423"/>
    <w:rsid w:val="0028207D"/>
    <w:rsid w:val="00282D47"/>
    <w:rsid w:val="00284D40"/>
    <w:rsid w:val="00285511"/>
    <w:rsid w:val="00290133"/>
    <w:rsid w:val="00291139"/>
    <w:rsid w:val="00291960"/>
    <w:rsid w:val="00293436"/>
    <w:rsid w:val="00294B1C"/>
    <w:rsid w:val="00295BF1"/>
    <w:rsid w:val="002A0FA4"/>
    <w:rsid w:val="002A1ACA"/>
    <w:rsid w:val="002A376B"/>
    <w:rsid w:val="002B1B75"/>
    <w:rsid w:val="002B252E"/>
    <w:rsid w:val="002B31DB"/>
    <w:rsid w:val="002B5E05"/>
    <w:rsid w:val="002C0691"/>
    <w:rsid w:val="002C1800"/>
    <w:rsid w:val="002C3E72"/>
    <w:rsid w:val="002C4681"/>
    <w:rsid w:val="002C55EC"/>
    <w:rsid w:val="002C6CD0"/>
    <w:rsid w:val="002D263D"/>
    <w:rsid w:val="002D29BC"/>
    <w:rsid w:val="002D30FF"/>
    <w:rsid w:val="002D3BED"/>
    <w:rsid w:val="002D5484"/>
    <w:rsid w:val="002D5ED5"/>
    <w:rsid w:val="002D66FC"/>
    <w:rsid w:val="002E040A"/>
    <w:rsid w:val="002E1104"/>
    <w:rsid w:val="002E14FD"/>
    <w:rsid w:val="002F0E04"/>
    <w:rsid w:val="002F2D0C"/>
    <w:rsid w:val="00300275"/>
    <w:rsid w:val="00300AC0"/>
    <w:rsid w:val="00302567"/>
    <w:rsid w:val="00302574"/>
    <w:rsid w:val="003037CE"/>
    <w:rsid w:val="00303929"/>
    <w:rsid w:val="00303AAE"/>
    <w:rsid w:val="003041B5"/>
    <w:rsid w:val="00304BEC"/>
    <w:rsid w:val="00304ED1"/>
    <w:rsid w:val="00305722"/>
    <w:rsid w:val="00306DB1"/>
    <w:rsid w:val="003112AB"/>
    <w:rsid w:val="003115F1"/>
    <w:rsid w:val="003129B8"/>
    <w:rsid w:val="00313B82"/>
    <w:rsid w:val="00314466"/>
    <w:rsid w:val="00314543"/>
    <w:rsid w:val="003150AB"/>
    <w:rsid w:val="003212CB"/>
    <w:rsid w:val="00321402"/>
    <w:rsid w:val="00321898"/>
    <w:rsid w:val="00323D32"/>
    <w:rsid w:val="003243DF"/>
    <w:rsid w:val="0032488A"/>
    <w:rsid w:val="003256D0"/>
    <w:rsid w:val="00325752"/>
    <w:rsid w:val="00325FA4"/>
    <w:rsid w:val="003331B5"/>
    <w:rsid w:val="00333A2A"/>
    <w:rsid w:val="003340ED"/>
    <w:rsid w:val="00334235"/>
    <w:rsid w:val="00334692"/>
    <w:rsid w:val="003356D6"/>
    <w:rsid w:val="00336E72"/>
    <w:rsid w:val="003400D8"/>
    <w:rsid w:val="00341E92"/>
    <w:rsid w:val="003420C2"/>
    <w:rsid w:val="00344833"/>
    <w:rsid w:val="00344A34"/>
    <w:rsid w:val="00344AD0"/>
    <w:rsid w:val="003471CE"/>
    <w:rsid w:val="00352560"/>
    <w:rsid w:val="00352F00"/>
    <w:rsid w:val="00353417"/>
    <w:rsid w:val="00353B30"/>
    <w:rsid w:val="003541E3"/>
    <w:rsid w:val="00355208"/>
    <w:rsid w:val="00355F03"/>
    <w:rsid w:val="003623DF"/>
    <w:rsid w:val="0036244C"/>
    <w:rsid w:val="0036389C"/>
    <w:rsid w:val="00363D75"/>
    <w:rsid w:val="00364266"/>
    <w:rsid w:val="00364C4D"/>
    <w:rsid w:val="003655D6"/>
    <w:rsid w:val="003656D8"/>
    <w:rsid w:val="00366A21"/>
    <w:rsid w:val="00367842"/>
    <w:rsid w:val="003679B9"/>
    <w:rsid w:val="003705F7"/>
    <w:rsid w:val="0037070B"/>
    <w:rsid w:val="00371D63"/>
    <w:rsid w:val="0037373D"/>
    <w:rsid w:val="003743B1"/>
    <w:rsid w:val="00375D85"/>
    <w:rsid w:val="00376B7A"/>
    <w:rsid w:val="003803A3"/>
    <w:rsid w:val="0038043C"/>
    <w:rsid w:val="00381410"/>
    <w:rsid w:val="003838E3"/>
    <w:rsid w:val="00386163"/>
    <w:rsid w:val="00386422"/>
    <w:rsid w:val="00386BDB"/>
    <w:rsid w:val="00386DF6"/>
    <w:rsid w:val="00387CD4"/>
    <w:rsid w:val="003919CF"/>
    <w:rsid w:val="00391ECC"/>
    <w:rsid w:val="003924F4"/>
    <w:rsid w:val="0039258B"/>
    <w:rsid w:val="003932F5"/>
    <w:rsid w:val="00393F88"/>
    <w:rsid w:val="00393F8F"/>
    <w:rsid w:val="00394F1D"/>
    <w:rsid w:val="003968D9"/>
    <w:rsid w:val="00396A28"/>
    <w:rsid w:val="003A0363"/>
    <w:rsid w:val="003A0659"/>
    <w:rsid w:val="003A25AC"/>
    <w:rsid w:val="003A424F"/>
    <w:rsid w:val="003A4C60"/>
    <w:rsid w:val="003A4DD7"/>
    <w:rsid w:val="003A62AC"/>
    <w:rsid w:val="003A69C5"/>
    <w:rsid w:val="003A78AC"/>
    <w:rsid w:val="003B0E68"/>
    <w:rsid w:val="003B1493"/>
    <w:rsid w:val="003B31E9"/>
    <w:rsid w:val="003B5241"/>
    <w:rsid w:val="003B767E"/>
    <w:rsid w:val="003B7C6B"/>
    <w:rsid w:val="003B7FF4"/>
    <w:rsid w:val="003C0276"/>
    <w:rsid w:val="003C08FD"/>
    <w:rsid w:val="003C1EE6"/>
    <w:rsid w:val="003C224E"/>
    <w:rsid w:val="003C2327"/>
    <w:rsid w:val="003C29D7"/>
    <w:rsid w:val="003C45EF"/>
    <w:rsid w:val="003C4C03"/>
    <w:rsid w:val="003C5A21"/>
    <w:rsid w:val="003C612B"/>
    <w:rsid w:val="003C7189"/>
    <w:rsid w:val="003D2A72"/>
    <w:rsid w:val="003D4901"/>
    <w:rsid w:val="003D4FEE"/>
    <w:rsid w:val="003D59FE"/>
    <w:rsid w:val="003D628D"/>
    <w:rsid w:val="003D6CBD"/>
    <w:rsid w:val="003D6D67"/>
    <w:rsid w:val="003D73B0"/>
    <w:rsid w:val="003E12EE"/>
    <w:rsid w:val="003E1E49"/>
    <w:rsid w:val="003E244A"/>
    <w:rsid w:val="003E3E75"/>
    <w:rsid w:val="003E4CF9"/>
    <w:rsid w:val="003E5A89"/>
    <w:rsid w:val="003E6E38"/>
    <w:rsid w:val="003E6EEC"/>
    <w:rsid w:val="003F03CF"/>
    <w:rsid w:val="003F07F2"/>
    <w:rsid w:val="003F0A3B"/>
    <w:rsid w:val="003F0E55"/>
    <w:rsid w:val="003F2909"/>
    <w:rsid w:val="003F7974"/>
    <w:rsid w:val="003F7F4A"/>
    <w:rsid w:val="004006AC"/>
    <w:rsid w:val="00402373"/>
    <w:rsid w:val="0040249B"/>
    <w:rsid w:val="00402770"/>
    <w:rsid w:val="004037B7"/>
    <w:rsid w:val="00403F57"/>
    <w:rsid w:val="0040400F"/>
    <w:rsid w:val="00406B69"/>
    <w:rsid w:val="0040710C"/>
    <w:rsid w:val="00410380"/>
    <w:rsid w:val="00411256"/>
    <w:rsid w:val="00411363"/>
    <w:rsid w:val="004113A0"/>
    <w:rsid w:val="00411ECE"/>
    <w:rsid w:val="00411FF9"/>
    <w:rsid w:val="004146F5"/>
    <w:rsid w:val="0041559E"/>
    <w:rsid w:val="00417581"/>
    <w:rsid w:val="00417743"/>
    <w:rsid w:val="00417B08"/>
    <w:rsid w:val="004204B1"/>
    <w:rsid w:val="00420603"/>
    <w:rsid w:val="00420E4F"/>
    <w:rsid w:val="004213B7"/>
    <w:rsid w:val="004250A7"/>
    <w:rsid w:val="00425FBC"/>
    <w:rsid w:val="00426059"/>
    <w:rsid w:val="00426195"/>
    <w:rsid w:val="00427C68"/>
    <w:rsid w:val="00427F72"/>
    <w:rsid w:val="00431387"/>
    <w:rsid w:val="00431EC4"/>
    <w:rsid w:val="004320C3"/>
    <w:rsid w:val="00432822"/>
    <w:rsid w:val="004328C0"/>
    <w:rsid w:val="00432AA8"/>
    <w:rsid w:val="0043301D"/>
    <w:rsid w:val="00433912"/>
    <w:rsid w:val="004346E6"/>
    <w:rsid w:val="00434910"/>
    <w:rsid w:val="00434A99"/>
    <w:rsid w:val="00435A01"/>
    <w:rsid w:val="00436ECF"/>
    <w:rsid w:val="00440C76"/>
    <w:rsid w:val="004434B0"/>
    <w:rsid w:val="00443BBA"/>
    <w:rsid w:val="0044521D"/>
    <w:rsid w:val="004463FF"/>
    <w:rsid w:val="0044649B"/>
    <w:rsid w:val="004469D8"/>
    <w:rsid w:val="00451534"/>
    <w:rsid w:val="00451732"/>
    <w:rsid w:val="004552CE"/>
    <w:rsid w:val="00455872"/>
    <w:rsid w:val="00456B37"/>
    <w:rsid w:val="00456B70"/>
    <w:rsid w:val="004605D0"/>
    <w:rsid w:val="00461B87"/>
    <w:rsid w:val="004633A0"/>
    <w:rsid w:val="00463CCF"/>
    <w:rsid w:val="0046445B"/>
    <w:rsid w:val="00465736"/>
    <w:rsid w:val="0046606C"/>
    <w:rsid w:val="0047098C"/>
    <w:rsid w:val="0047135F"/>
    <w:rsid w:val="0047237E"/>
    <w:rsid w:val="0047543F"/>
    <w:rsid w:val="00476776"/>
    <w:rsid w:val="00476806"/>
    <w:rsid w:val="00481DE6"/>
    <w:rsid w:val="00483465"/>
    <w:rsid w:val="00485F13"/>
    <w:rsid w:val="00486459"/>
    <w:rsid w:val="00487210"/>
    <w:rsid w:val="0049272F"/>
    <w:rsid w:val="00492BF6"/>
    <w:rsid w:val="00492FF0"/>
    <w:rsid w:val="00494F50"/>
    <w:rsid w:val="00497C70"/>
    <w:rsid w:val="00497FFD"/>
    <w:rsid w:val="004A0B35"/>
    <w:rsid w:val="004A15CE"/>
    <w:rsid w:val="004A4B36"/>
    <w:rsid w:val="004A4BCF"/>
    <w:rsid w:val="004A535E"/>
    <w:rsid w:val="004A7398"/>
    <w:rsid w:val="004A7756"/>
    <w:rsid w:val="004B01C2"/>
    <w:rsid w:val="004B032B"/>
    <w:rsid w:val="004B1EA2"/>
    <w:rsid w:val="004B4727"/>
    <w:rsid w:val="004B7E68"/>
    <w:rsid w:val="004C0A64"/>
    <w:rsid w:val="004C1F41"/>
    <w:rsid w:val="004C3623"/>
    <w:rsid w:val="004C462B"/>
    <w:rsid w:val="004C6C27"/>
    <w:rsid w:val="004D0AEC"/>
    <w:rsid w:val="004D1D18"/>
    <w:rsid w:val="004D45F2"/>
    <w:rsid w:val="004D4CB4"/>
    <w:rsid w:val="004D6CCF"/>
    <w:rsid w:val="004D7493"/>
    <w:rsid w:val="004D7EAE"/>
    <w:rsid w:val="004E1D89"/>
    <w:rsid w:val="004E3353"/>
    <w:rsid w:val="004E3890"/>
    <w:rsid w:val="004E628D"/>
    <w:rsid w:val="004F072D"/>
    <w:rsid w:val="004F0AA3"/>
    <w:rsid w:val="004F0E99"/>
    <w:rsid w:val="004F2045"/>
    <w:rsid w:val="004F28C9"/>
    <w:rsid w:val="004F291D"/>
    <w:rsid w:val="004F4340"/>
    <w:rsid w:val="0050114A"/>
    <w:rsid w:val="0050563D"/>
    <w:rsid w:val="00506E4B"/>
    <w:rsid w:val="00506E8A"/>
    <w:rsid w:val="0050728B"/>
    <w:rsid w:val="0051665D"/>
    <w:rsid w:val="00517669"/>
    <w:rsid w:val="00521BA3"/>
    <w:rsid w:val="005226C3"/>
    <w:rsid w:val="005236C1"/>
    <w:rsid w:val="0052434B"/>
    <w:rsid w:val="00524919"/>
    <w:rsid w:val="00525339"/>
    <w:rsid w:val="005307D1"/>
    <w:rsid w:val="00532631"/>
    <w:rsid w:val="00533B49"/>
    <w:rsid w:val="00534FE7"/>
    <w:rsid w:val="00537153"/>
    <w:rsid w:val="00537590"/>
    <w:rsid w:val="00540EC0"/>
    <w:rsid w:val="00541B03"/>
    <w:rsid w:val="00543E68"/>
    <w:rsid w:val="00543E80"/>
    <w:rsid w:val="005444C3"/>
    <w:rsid w:val="00544BBA"/>
    <w:rsid w:val="00550D6F"/>
    <w:rsid w:val="005513AF"/>
    <w:rsid w:val="005527B6"/>
    <w:rsid w:val="00552CFE"/>
    <w:rsid w:val="00552E1B"/>
    <w:rsid w:val="005530D9"/>
    <w:rsid w:val="005537A2"/>
    <w:rsid w:val="005549CC"/>
    <w:rsid w:val="005569E0"/>
    <w:rsid w:val="00557297"/>
    <w:rsid w:val="005618D4"/>
    <w:rsid w:val="005621AE"/>
    <w:rsid w:val="00562E85"/>
    <w:rsid w:val="00564C6A"/>
    <w:rsid w:val="00565FB5"/>
    <w:rsid w:val="00566650"/>
    <w:rsid w:val="00573137"/>
    <w:rsid w:val="00573F13"/>
    <w:rsid w:val="00576A5E"/>
    <w:rsid w:val="00577177"/>
    <w:rsid w:val="00577BE3"/>
    <w:rsid w:val="00581F75"/>
    <w:rsid w:val="005843F4"/>
    <w:rsid w:val="005852E5"/>
    <w:rsid w:val="0058669D"/>
    <w:rsid w:val="00587240"/>
    <w:rsid w:val="00591C29"/>
    <w:rsid w:val="005968F5"/>
    <w:rsid w:val="00597791"/>
    <w:rsid w:val="00597CAE"/>
    <w:rsid w:val="005A0ACB"/>
    <w:rsid w:val="005A38E0"/>
    <w:rsid w:val="005A5C85"/>
    <w:rsid w:val="005A6126"/>
    <w:rsid w:val="005A6D81"/>
    <w:rsid w:val="005A7521"/>
    <w:rsid w:val="005B0143"/>
    <w:rsid w:val="005B0E12"/>
    <w:rsid w:val="005B1346"/>
    <w:rsid w:val="005B1809"/>
    <w:rsid w:val="005B1BC0"/>
    <w:rsid w:val="005B26D0"/>
    <w:rsid w:val="005B39E2"/>
    <w:rsid w:val="005B6537"/>
    <w:rsid w:val="005C0FC1"/>
    <w:rsid w:val="005C171A"/>
    <w:rsid w:val="005C1FE0"/>
    <w:rsid w:val="005C4104"/>
    <w:rsid w:val="005C4325"/>
    <w:rsid w:val="005C4889"/>
    <w:rsid w:val="005C5237"/>
    <w:rsid w:val="005C52BC"/>
    <w:rsid w:val="005C7636"/>
    <w:rsid w:val="005C7B32"/>
    <w:rsid w:val="005D09D7"/>
    <w:rsid w:val="005D1391"/>
    <w:rsid w:val="005D488B"/>
    <w:rsid w:val="005D48ED"/>
    <w:rsid w:val="005D5053"/>
    <w:rsid w:val="005D6108"/>
    <w:rsid w:val="005D75A5"/>
    <w:rsid w:val="005D766A"/>
    <w:rsid w:val="005E281B"/>
    <w:rsid w:val="005E4769"/>
    <w:rsid w:val="005E4B8C"/>
    <w:rsid w:val="005E5C97"/>
    <w:rsid w:val="005E7B6A"/>
    <w:rsid w:val="005F0030"/>
    <w:rsid w:val="005F1BA5"/>
    <w:rsid w:val="005F256F"/>
    <w:rsid w:val="005F3167"/>
    <w:rsid w:val="005F34E2"/>
    <w:rsid w:val="005F35CD"/>
    <w:rsid w:val="005F3755"/>
    <w:rsid w:val="005F4D8F"/>
    <w:rsid w:val="005F5D7B"/>
    <w:rsid w:val="005F62B6"/>
    <w:rsid w:val="005F741E"/>
    <w:rsid w:val="005F7501"/>
    <w:rsid w:val="005F7984"/>
    <w:rsid w:val="005F7B4D"/>
    <w:rsid w:val="00606705"/>
    <w:rsid w:val="00606AEF"/>
    <w:rsid w:val="00606EDA"/>
    <w:rsid w:val="00610674"/>
    <w:rsid w:val="00611519"/>
    <w:rsid w:val="0061239B"/>
    <w:rsid w:val="006130D0"/>
    <w:rsid w:val="0061346A"/>
    <w:rsid w:val="006150A9"/>
    <w:rsid w:val="00615BB4"/>
    <w:rsid w:val="006169B9"/>
    <w:rsid w:val="00620CCA"/>
    <w:rsid w:val="0062282D"/>
    <w:rsid w:val="006236BE"/>
    <w:rsid w:val="0062586C"/>
    <w:rsid w:val="00625D09"/>
    <w:rsid w:val="00626FD4"/>
    <w:rsid w:val="00627CE6"/>
    <w:rsid w:val="0063716D"/>
    <w:rsid w:val="0064016D"/>
    <w:rsid w:val="00641C05"/>
    <w:rsid w:val="00642356"/>
    <w:rsid w:val="00642961"/>
    <w:rsid w:val="00644579"/>
    <w:rsid w:val="00645137"/>
    <w:rsid w:val="0064535B"/>
    <w:rsid w:val="00651811"/>
    <w:rsid w:val="00651BD3"/>
    <w:rsid w:val="00651BEB"/>
    <w:rsid w:val="00651CC4"/>
    <w:rsid w:val="00653E65"/>
    <w:rsid w:val="00656768"/>
    <w:rsid w:val="00657962"/>
    <w:rsid w:val="00660C6C"/>
    <w:rsid w:val="0066270B"/>
    <w:rsid w:val="00663509"/>
    <w:rsid w:val="00665D4F"/>
    <w:rsid w:val="00672957"/>
    <w:rsid w:val="00672F29"/>
    <w:rsid w:val="00673714"/>
    <w:rsid w:val="0067404F"/>
    <w:rsid w:val="00674A99"/>
    <w:rsid w:val="006751E3"/>
    <w:rsid w:val="0067775D"/>
    <w:rsid w:val="00680ADF"/>
    <w:rsid w:val="00680E6F"/>
    <w:rsid w:val="006814B0"/>
    <w:rsid w:val="006835B4"/>
    <w:rsid w:val="00683DBE"/>
    <w:rsid w:val="00684A2A"/>
    <w:rsid w:val="0068515C"/>
    <w:rsid w:val="00685FB5"/>
    <w:rsid w:val="006867FB"/>
    <w:rsid w:val="00687821"/>
    <w:rsid w:val="00687A0D"/>
    <w:rsid w:val="00691215"/>
    <w:rsid w:val="006912B2"/>
    <w:rsid w:val="00691BF2"/>
    <w:rsid w:val="0069224E"/>
    <w:rsid w:val="0069298D"/>
    <w:rsid w:val="006936B8"/>
    <w:rsid w:val="0069420D"/>
    <w:rsid w:val="0069467C"/>
    <w:rsid w:val="006964FF"/>
    <w:rsid w:val="00696B08"/>
    <w:rsid w:val="00697C3B"/>
    <w:rsid w:val="00697DD6"/>
    <w:rsid w:val="006A013E"/>
    <w:rsid w:val="006A0DBF"/>
    <w:rsid w:val="006A15EB"/>
    <w:rsid w:val="006A1FEC"/>
    <w:rsid w:val="006A232B"/>
    <w:rsid w:val="006A67BB"/>
    <w:rsid w:val="006B1F24"/>
    <w:rsid w:val="006B2712"/>
    <w:rsid w:val="006B274F"/>
    <w:rsid w:val="006B4316"/>
    <w:rsid w:val="006B5BE1"/>
    <w:rsid w:val="006B665B"/>
    <w:rsid w:val="006C3868"/>
    <w:rsid w:val="006C45A5"/>
    <w:rsid w:val="006C4DE5"/>
    <w:rsid w:val="006D16CD"/>
    <w:rsid w:val="006D2AAA"/>
    <w:rsid w:val="006D363D"/>
    <w:rsid w:val="006D4098"/>
    <w:rsid w:val="006D49DC"/>
    <w:rsid w:val="006D7E92"/>
    <w:rsid w:val="006E1333"/>
    <w:rsid w:val="006E3150"/>
    <w:rsid w:val="006E3F16"/>
    <w:rsid w:val="006E4801"/>
    <w:rsid w:val="006E5B34"/>
    <w:rsid w:val="006F06BE"/>
    <w:rsid w:val="006F0994"/>
    <w:rsid w:val="006F1392"/>
    <w:rsid w:val="006F1538"/>
    <w:rsid w:val="006F481D"/>
    <w:rsid w:val="006F59B9"/>
    <w:rsid w:val="00702832"/>
    <w:rsid w:val="00702C3D"/>
    <w:rsid w:val="00704812"/>
    <w:rsid w:val="00705E4D"/>
    <w:rsid w:val="00707AC5"/>
    <w:rsid w:val="007101BF"/>
    <w:rsid w:val="00710444"/>
    <w:rsid w:val="00710C58"/>
    <w:rsid w:val="00710CE7"/>
    <w:rsid w:val="00710E65"/>
    <w:rsid w:val="00710F24"/>
    <w:rsid w:val="00712EA0"/>
    <w:rsid w:val="00713852"/>
    <w:rsid w:val="00714BA0"/>
    <w:rsid w:val="00715864"/>
    <w:rsid w:val="00715962"/>
    <w:rsid w:val="007176F7"/>
    <w:rsid w:val="00717E90"/>
    <w:rsid w:val="00717EF7"/>
    <w:rsid w:val="00721601"/>
    <w:rsid w:val="00721EDC"/>
    <w:rsid w:val="00723530"/>
    <w:rsid w:val="007257D2"/>
    <w:rsid w:val="007258C6"/>
    <w:rsid w:val="0072677A"/>
    <w:rsid w:val="00726BB3"/>
    <w:rsid w:val="00726D53"/>
    <w:rsid w:val="00727A8E"/>
    <w:rsid w:val="00727AEC"/>
    <w:rsid w:val="0073008E"/>
    <w:rsid w:val="00731FC2"/>
    <w:rsid w:val="00734247"/>
    <w:rsid w:val="00734982"/>
    <w:rsid w:val="00736291"/>
    <w:rsid w:val="00737F51"/>
    <w:rsid w:val="007438A9"/>
    <w:rsid w:val="00743A54"/>
    <w:rsid w:val="00745A61"/>
    <w:rsid w:val="00750924"/>
    <w:rsid w:val="00750A0C"/>
    <w:rsid w:val="00750E5E"/>
    <w:rsid w:val="007518FF"/>
    <w:rsid w:val="00751A97"/>
    <w:rsid w:val="00753E57"/>
    <w:rsid w:val="00753F72"/>
    <w:rsid w:val="00755015"/>
    <w:rsid w:val="007569D0"/>
    <w:rsid w:val="00756B48"/>
    <w:rsid w:val="00762B96"/>
    <w:rsid w:val="00762E94"/>
    <w:rsid w:val="007637DD"/>
    <w:rsid w:val="00764370"/>
    <w:rsid w:val="00764597"/>
    <w:rsid w:val="00765C5A"/>
    <w:rsid w:val="00767EE6"/>
    <w:rsid w:val="007700FE"/>
    <w:rsid w:val="00771082"/>
    <w:rsid w:val="0077398A"/>
    <w:rsid w:val="00773AB1"/>
    <w:rsid w:val="00773EE1"/>
    <w:rsid w:val="007750CA"/>
    <w:rsid w:val="00776503"/>
    <w:rsid w:val="0077672F"/>
    <w:rsid w:val="00776E4D"/>
    <w:rsid w:val="007806C1"/>
    <w:rsid w:val="00780A5C"/>
    <w:rsid w:val="00781DDE"/>
    <w:rsid w:val="00782060"/>
    <w:rsid w:val="00782E0D"/>
    <w:rsid w:val="00783263"/>
    <w:rsid w:val="00783AD8"/>
    <w:rsid w:val="00785930"/>
    <w:rsid w:val="007862B0"/>
    <w:rsid w:val="0079087C"/>
    <w:rsid w:val="00791C90"/>
    <w:rsid w:val="00791E12"/>
    <w:rsid w:val="00792908"/>
    <w:rsid w:val="0079353D"/>
    <w:rsid w:val="0079452E"/>
    <w:rsid w:val="0079584C"/>
    <w:rsid w:val="00795D23"/>
    <w:rsid w:val="00796C71"/>
    <w:rsid w:val="0079716D"/>
    <w:rsid w:val="007A101D"/>
    <w:rsid w:val="007A1187"/>
    <w:rsid w:val="007A1966"/>
    <w:rsid w:val="007A3322"/>
    <w:rsid w:val="007A35F8"/>
    <w:rsid w:val="007A4499"/>
    <w:rsid w:val="007A5052"/>
    <w:rsid w:val="007B0276"/>
    <w:rsid w:val="007B0DC5"/>
    <w:rsid w:val="007B404B"/>
    <w:rsid w:val="007B4983"/>
    <w:rsid w:val="007B5518"/>
    <w:rsid w:val="007B7887"/>
    <w:rsid w:val="007B7F1F"/>
    <w:rsid w:val="007C00F3"/>
    <w:rsid w:val="007C0D45"/>
    <w:rsid w:val="007C4C08"/>
    <w:rsid w:val="007C79DF"/>
    <w:rsid w:val="007C7DA6"/>
    <w:rsid w:val="007D092A"/>
    <w:rsid w:val="007D13FB"/>
    <w:rsid w:val="007D375F"/>
    <w:rsid w:val="007D473E"/>
    <w:rsid w:val="007D5A1D"/>
    <w:rsid w:val="007D5BC1"/>
    <w:rsid w:val="007D6C39"/>
    <w:rsid w:val="007D7EB0"/>
    <w:rsid w:val="007E004A"/>
    <w:rsid w:val="007E00CA"/>
    <w:rsid w:val="007E1A12"/>
    <w:rsid w:val="007E4403"/>
    <w:rsid w:val="007E6565"/>
    <w:rsid w:val="007E6E81"/>
    <w:rsid w:val="007E7509"/>
    <w:rsid w:val="007F00A3"/>
    <w:rsid w:val="007F0B4A"/>
    <w:rsid w:val="007F25EB"/>
    <w:rsid w:val="007F27C9"/>
    <w:rsid w:val="007F7B05"/>
    <w:rsid w:val="0080038F"/>
    <w:rsid w:val="00801F2F"/>
    <w:rsid w:val="0080224E"/>
    <w:rsid w:val="008037F5"/>
    <w:rsid w:val="008048C5"/>
    <w:rsid w:val="00806829"/>
    <w:rsid w:val="00811EC4"/>
    <w:rsid w:val="00812E22"/>
    <w:rsid w:val="00815A19"/>
    <w:rsid w:val="00816218"/>
    <w:rsid w:val="00820D29"/>
    <w:rsid w:val="00823206"/>
    <w:rsid w:val="008232CD"/>
    <w:rsid w:val="0082385F"/>
    <w:rsid w:val="0082696C"/>
    <w:rsid w:val="008310A1"/>
    <w:rsid w:val="008317CE"/>
    <w:rsid w:val="008319B3"/>
    <w:rsid w:val="00832835"/>
    <w:rsid w:val="00833B58"/>
    <w:rsid w:val="00834B93"/>
    <w:rsid w:val="00837A45"/>
    <w:rsid w:val="00840A38"/>
    <w:rsid w:val="00840AC4"/>
    <w:rsid w:val="008414F5"/>
    <w:rsid w:val="008428C1"/>
    <w:rsid w:val="008433D6"/>
    <w:rsid w:val="00846943"/>
    <w:rsid w:val="00847B23"/>
    <w:rsid w:val="008504A2"/>
    <w:rsid w:val="0085090A"/>
    <w:rsid w:val="00850F49"/>
    <w:rsid w:val="00851DCC"/>
    <w:rsid w:val="00851E4F"/>
    <w:rsid w:val="00852AC9"/>
    <w:rsid w:val="00854159"/>
    <w:rsid w:val="008562F7"/>
    <w:rsid w:val="00856AD3"/>
    <w:rsid w:val="008572A4"/>
    <w:rsid w:val="008576CD"/>
    <w:rsid w:val="0085770D"/>
    <w:rsid w:val="00857F73"/>
    <w:rsid w:val="008617AB"/>
    <w:rsid w:val="00862112"/>
    <w:rsid w:val="00863F2A"/>
    <w:rsid w:val="00864BBB"/>
    <w:rsid w:val="00866006"/>
    <w:rsid w:val="00866872"/>
    <w:rsid w:val="00870601"/>
    <w:rsid w:val="00870B59"/>
    <w:rsid w:val="008730EA"/>
    <w:rsid w:val="00876367"/>
    <w:rsid w:val="0088030B"/>
    <w:rsid w:val="008852F9"/>
    <w:rsid w:val="008859C5"/>
    <w:rsid w:val="008869B0"/>
    <w:rsid w:val="00886CF2"/>
    <w:rsid w:val="00887660"/>
    <w:rsid w:val="00887C5B"/>
    <w:rsid w:val="008908A5"/>
    <w:rsid w:val="00892A66"/>
    <w:rsid w:val="00895603"/>
    <w:rsid w:val="008A00F9"/>
    <w:rsid w:val="008A235A"/>
    <w:rsid w:val="008A36CC"/>
    <w:rsid w:val="008A4C7A"/>
    <w:rsid w:val="008A4ED6"/>
    <w:rsid w:val="008A52ED"/>
    <w:rsid w:val="008A5D8E"/>
    <w:rsid w:val="008B00C0"/>
    <w:rsid w:val="008B120B"/>
    <w:rsid w:val="008B2DD0"/>
    <w:rsid w:val="008B326E"/>
    <w:rsid w:val="008B3AF3"/>
    <w:rsid w:val="008B57F1"/>
    <w:rsid w:val="008C5AAE"/>
    <w:rsid w:val="008C704A"/>
    <w:rsid w:val="008D0419"/>
    <w:rsid w:val="008D0B32"/>
    <w:rsid w:val="008D22AB"/>
    <w:rsid w:val="008D24BF"/>
    <w:rsid w:val="008D5740"/>
    <w:rsid w:val="008E0F2E"/>
    <w:rsid w:val="008E1A5A"/>
    <w:rsid w:val="008E1AC3"/>
    <w:rsid w:val="008E3CCB"/>
    <w:rsid w:val="008E64BD"/>
    <w:rsid w:val="008E6996"/>
    <w:rsid w:val="008E7A7C"/>
    <w:rsid w:val="008F2021"/>
    <w:rsid w:val="008F23B8"/>
    <w:rsid w:val="008F2B5C"/>
    <w:rsid w:val="008F338E"/>
    <w:rsid w:val="008F3473"/>
    <w:rsid w:val="008F34C0"/>
    <w:rsid w:val="008F48F6"/>
    <w:rsid w:val="008F5ABE"/>
    <w:rsid w:val="008F6210"/>
    <w:rsid w:val="008F7F17"/>
    <w:rsid w:val="008F7F81"/>
    <w:rsid w:val="00900059"/>
    <w:rsid w:val="00900D57"/>
    <w:rsid w:val="00901213"/>
    <w:rsid w:val="009062C4"/>
    <w:rsid w:val="00911411"/>
    <w:rsid w:val="009121AE"/>
    <w:rsid w:val="00912DF0"/>
    <w:rsid w:val="00914143"/>
    <w:rsid w:val="00915326"/>
    <w:rsid w:val="00915ECB"/>
    <w:rsid w:val="009178A0"/>
    <w:rsid w:val="00920EC5"/>
    <w:rsid w:val="00922412"/>
    <w:rsid w:val="00922F19"/>
    <w:rsid w:val="009243BD"/>
    <w:rsid w:val="00924649"/>
    <w:rsid w:val="00924BB7"/>
    <w:rsid w:val="009273D6"/>
    <w:rsid w:val="009309CB"/>
    <w:rsid w:val="00931F60"/>
    <w:rsid w:val="00932575"/>
    <w:rsid w:val="00932DE5"/>
    <w:rsid w:val="00933469"/>
    <w:rsid w:val="00933B1C"/>
    <w:rsid w:val="00934795"/>
    <w:rsid w:val="00935991"/>
    <w:rsid w:val="00936B5D"/>
    <w:rsid w:val="0093722B"/>
    <w:rsid w:val="009403DE"/>
    <w:rsid w:val="009414C3"/>
    <w:rsid w:val="00941FFA"/>
    <w:rsid w:val="00942A0B"/>
    <w:rsid w:val="00942B2F"/>
    <w:rsid w:val="00942B6B"/>
    <w:rsid w:val="00944A3F"/>
    <w:rsid w:val="00947F5B"/>
    <w:rsid w:val="009503A5"/>
    <w:rsid w:val="009514F8"/>
    <w:rsid w:val="00951E62"/>
    <w:rsid w:val="00952781"/>
    <w:rsid w:val="00952D47"/>
    <w:rsid w:val="00953F58"/>
    <w:rsid w:val="00954F2D"/>
    <w:rsid w:val="009553F4"/>
    <w:rsid w:val="00956420"/>
    <w:rsid w:val="009669B4"/>
    <w:rsid w:val="009675E8"/>
    <w:rsid w:val="00967736"/>
    <w:rsid w:val="0097111B"/>
    <w:rsid w:val="00971CFC"/>
    <w:rsid w:val="00972899"/>
    <w:rsid w:val="009734B6"/>
    <w:rsid w:val="00973525"/>
    <w:rsid w:val="00975F5D"/>
    <w:rsid w:val="00976D89"/>
    <w:rsid w:val="00977CA0"/>
    <w:rsid w:val="00980FE1"/>
    <w:rsid w:val="00981D65"/>
    <w:rsid w:val="00984701"/>
    <w:rsid w:val="00984748"/>
    <w:rsid w:val="00985B38"/>
    <w:rsid w:val="00987057"/>
    <w:rsid w:val="00990199"/>
    <w:rsid w:val="009922A5"/>
    <w:rsid w:val="00992CFB"/>
    <w:rsid w:val="00993031"/>
    <w:rsid w:val="00993668"/>
    <w:rsid w:val="009948C3"/>
    <w:rsid w:val="00995D51"/>
    <w:rsid w:val="0099674E"/>
    <w:rsid w:val="00997F66"/>
    <w:rsid w:val="00997FEF"/>
    <w:rsid w:val="009A000E"/>
    <w:rsid w:val="009A210A"/>
    <w:rsid w:val="009A264D"/>
    <w:rsid w:val="009A428B"/>
    <w:rsid w:val="009A5377"/>
    <w:rsid w:val="009A56AF"/>
    <w:rsid w:val="009A6248"/>
    <w:rsid w:val="009A721C"/>
    <w:rsid w:val="009B0032"/>
    <w:rsid w:val="009B056D"/>
    <w:rsid w:val="009B2314"/>
    <w:rsid w:val="009B233E"/>
    <w:rsid w:val="009B3869"/>
    <w:rsid w:val="009B5188"/>
    <w:rsid w:val="009B799C"/>
    <w:rsid w:val="009C0019"/>
    <w:rsid w:val="009C0452"/>
    <w:rsid w:val="009C172B"/>
    <w:rsid w:val="009C2241"/>
    <w:rsid w:val="009C2A0F"/>
    <w:rsid w:val="009C2A73"/>
    <w:rsid w:val="009C4C82"/>
    <w:rsid w:val="009C5D52"/>
    <w:rsid w:val="009C614C"/>
    <w:rsid w:val="009C67D0"/>
    <w:rsid w:val="009C7EA4"/>
    <w:rsid w:val="009D0044"/>
    <w:rsid w:val="009D057A"/>
    <w:rsid w:val="009D0CC6"/>
    <w:rsid w:val="009D15BF"/>
    <w:rsid w:val="009D2310"/>
    <w:rsid w:val="009D275E"/>
    <w:rsid w:val="009D2840"/>
    <w:rsid w:val="009D353F"/>
    <w:rsid w:val="009D39C3"/>
    <w:rsid w:val="009D4573"/>
    <w:rsid w:val="009D4869"/>
    <w:rsid w:val="009D5475"/>
    <w:rsid w:val="009E0ACA"/>
    <w:rsid w:val="009E182D"/>
    <w:rsid w:val="009E2CE9"/>
    <w:rsid w:val="009E4E3B"/>
    <w:rsid w:val="009E567D"/>
    <w:rsid w:val="009E6DEC"/>
    <w:rsid w:val="009E7D3B"/>
    <w:rsid w:val="009F1733"/>
    <w:rsid w:val="009F17B8"/>
    <w:rsid w:val="009F1CBB"/>
    <w:rsid w:val="009F328D"/>
    <w:rsid w:val="009F3B5A"/>
    <w:rsid w:val="009F4ABC"/>
    <w:rsid w:val="009F728B"/>
    <w:rsid w:val="00A01329"/>
    <w:rsid w:val="00A0184E"/>
    <w:rsid w:val="00A038EC"/>
    <w:rsid w:val="00A0662B"/>
    <w:rsid w:val="00A0682C"/>
    <w:rsid w:val="00A068BD"/>
    <w:rsid w:val="00A077BB"/>
    <w:rsid w:val="00A104CB"/>
    <w:rsid w:val="00A111C8"/>
    <w:rsid w:val="00A112EA"/>
    <w:rsid w:val="00A1203E"/>
    <w:rsid w:val="00A13289"/>
    <w:rsid w:val="00A133AB"/>
    <w:rsid w:val="00A14FD2"/>
    <w:rsid w:val="00A152DE"/>
    <w:rsid w:val="00A1532F"/>
    <w:rsid w:val="00A20B11"/>
    <w:rsid w:val="00A2327E"/>
    <w:rsid w:val="00A267BF"/>
    <w:rsid w:val="00A2705E"/>
    <w:rsid w:val="00A30C35"/>
    <w:rsid w:val="00A31288"/>
    <w:rsid w:val="00A31F47"/>
    <w:rsid w:val="00A331D2"/>
    <w:rsid w:val="00A34F61"/>
    <w:rsid w:val="00A36988"/>
    <w:rsid w:val="00A4079E"/>
    <w:rsid w:val="00A408F0"/>
    <w:rsid w:val="00A432E8"/>
    <w:rsid w:val="00A43F3D"/>
    <w:rsid w:val="00A44979"/>
    <w:rsid w:val="00A452F1"/>
    <w:rsid w:val="00A5065A"/>
    <w:rsid w:val="00A5273E"/>
    <w:rsid w:val="00A554B0"/>
    <w:rsid w:val="00A55915"/>
    <w:rsid w:val="00A559BE"/>
    <w:rsid w:val="00A561DB"/>
    <w:rsid w:val="00A5788B"/>
    <w:rsid w:val="00A57DC2"/>
    <w:rsid w:val="00A61BB4"/>
    <w:rsid w:val="00A6371B"/>
    <w:rsid w:val="00A63EC0"/>
    <w:rsid w:val="00A64232"/>
    <w:rsid w:val="00A65165"/>
    <w:rsid w:val="00A66B90"/>
    <w:rsid w:val="00A67F04"/>
    <w:rsid w:val="00A7177D"/>
    <w:rsid w:val="00A71828"/>
    <w:rsid w:val="00A73135"/>
    <w:rsid w:val="00A76270"/>
    <w:rsid w:val="00A81E10"/>
    <w:rsid w:val="00A821DE"/>
    <w:rsid w:val="00A84276"/>
    <w:rsid w:val="00A849E8"/>
    <w:rsid w:val="00A8648F"/>
    <w:rsid w:val="00A86763"/>
    <w:rsid w:val="00A87B5B"/>
    <w:rsid w:val="00A87D1F"/>
    <w:rsid w:val="00A87D3D"/>
    <w:rsid w:val="00A907C4"/>
    <w:rsid w:val="00A93716"/>
    <w:rsid w:val="00A94AD9"/>
    <w:rsid w:val="00A94FCC"/>
    <w:rsid w:val="00A97580"/>
    <w:rsid w:val="00AA37C3"/>
    <w:rsid w:val="00AA5343"/>
    <w:rsid w:val="00AA5EC9"/>
    <w:rsid w:val="00AA5FD0"/>
    <w:rsid w:val="00AA7E7C"/>
    <w:rsid w:val="00AB188E"/>
    <w:rsid w:val="00AB1B2B"/>
    <w:rsid w:val="00AB371F"/>
    <w:rsid w:val="00AB3F19"/>
    <w:rsid w:val="00AB49BD"/>
    <w:rsid w:val="00AB4C0D"/>
    <w:rsid w:val="00AB5F64"/>
    <w:rsid w:val="00AB6244"/>
    <w:rsid w:val="00AB73A3"/>
    <w:rsid w:val="00AC4819"/>
    <w:rsid w:val="00AC65CF"/>
    <w:rsid w:val="00AC7264"/>
    <w:rsid w:val="00AD0572"/>
    <w:rsid w:val="00AD3882"/>
    <w:rsid w:val="00AD4C23"/>
    <w:rsid w:val="00AD7652"/>
    <w:rsid w:val="00AD789E"/>
    <w:rsid w:val="00AE3276"/>
    <w:rsid w:val="00AE407B"/>
    <w:rsid w:val="00AE5769"/>
    <w:rsid w:val="00AE5EFE"/>
    <w:rsid w:val="00AE66C2"/>
    <w:rsid w:val="00AE7978"/>
    <w:rsid w:val="00AF3C70"/>
    <w:rsid w:val="00AF3D8E"/>
    <w:rsid w:val="00AF4F4E"/>
    <w:rsid w:val="00AF587B"/>
    <w:rsid w:val="00AF599B"/>
    <w:rsid w:val="00AF67C1"/>
    <w:rsid w:val="00B00F9D"/>
    <w:rsid w:val="00B04D46"/>
    <w:rsid w:val="00B0797A"/>
    <w:rsid w:val="00B104FB"/>
    <w:rsid w:val="00B1136C"/>
    <w:rsid w:val="00B1435E"/>
    <w:rsid w:val="00B145EE"/>
    <w:rsid w:val="00B17701"/>
    <w:rsid w:val="00B17E5F"/>
    <w:rsid w:val="00B21E4A"/>
    <w:rsid w:val="00B26935"/>
    <w:rsid w:val="00B26DAD"/>
    <w:rsid w:val="00B27E7C"/>
    <w:rsid w:val="00B30367"/>
    <w:rsid w:val="00B3048C"/>
    <w:rsid w:val="00B3084E"/>
    <w:rsid w:val="00B30997"/>
    <w:rsid w:val="00B32E43"/>
    <w:rsid w:val="00B33C0B"/>
    <w:rsid w:val="00B342CC"/>
    <w:rsid w:val="00B34545"/>
    <w:rsid w:val="00B35622"/>
    <w:rsid w:val="00B36906"/>
    <w:rsid w:val="00B36DAC"/>
    <w:rsid w:val="00B403B6"/>
    <w:rsid w:val="00B445ED"/>
    <w:rsid w:val="00B45343"/>
    <w:rsid w:val="00B4536D"/>
    <w:rsid w:val="00B45CD7"/>
    <w:rsid w:val="00B513E1"/>
    <w:rsid w:val="00B530C8"/>
    <w:rsid w:val="00B53F48"/>
    <w:rsid w:val="00B54897"/>
    <w:rsid w:val="00B54E34"/>
    <w:rsid w:val="00B569C6"/>
    <w:rsid w:val="00B6006F"/>
    <w:rsid w:val="00B60611"/>
    <w:rsid w:val="00B621DA"/>
    <w:rsid w:val="00B636D6"/>
    <w:rsid w:val="00B63A10"/>
    <w:rsid w:val="00B64921"/>
    <w:rsid w:val="00B65B33"/>
    <w:rsid w:val="00B6797D"/>
    <w:rsid w:val="00B70657"/>
    <w:rsid w:val="00B73380"/>
    <w:rsid w:val="00B73F20"/>
    <w:rsid w:val="00B7469D"/>
    <w:rsid w:val="00B765AC"/>
    <w:rsid w:val="00B776CD"/>
    <w:rsid w:val="00B80BA6"/>
    <w:rsid w:val="00B81C17"/>
    <w:rsid w:val="00B8267D"/>
    <w:rsid w:val="00B843BC"/>
    <w:rsid w:val="00B8523C"/>
    <w:rsid w:val="00B87367"/>
    <w:rsid w:val="00B87E67"/>
    <w:rsid w:val="00B900C0"/>
    <w:rsid w:val="00B90A71"/>
    <w:rsid w:val="00B91EFB"/>
    <w:rsid w:val="00B9476E"/>
    <w:rsid w:val="00B95494"/>
    <w:rsid w:val="00B970E9"/>
    <w:rsid w:val="00BA26BD"/>
    <w:rsid w:val="00BA30C8"/>
    <w:rsid w:val="00BA3986"/>
    <w:rsid w:val="00BA453C"/>
    <w:rsid w:val="00BA6BEB"/>
    <w:rsid w:val="00BB0A15"/>
    <w:rsid w:val="00BB0ABF"/>
    <w:rsid w:val="00BB0B87"/>
    <w:rsid w:val="00BB111E"/>
    <w:rsid w:val="00BB4583"/>
    <w:rsid w:val="00BB4BD6"/>
    <w:rsid w:val="00BB5FD4"/>
    <w:rsid w:val="00BB60C3"/>
    <w:rsid w:val="00BB70B4"/>
    <w:rsid w:val="00BB7656"/>
    <w:rsid w:val="00BC02F4"/>
    <w:rsid w:val="00BC0DF1"/>
    <w:rsid w:val="00BC1A3C"/>
    <w:rsid w:val="00BC3787"/>
    <w:rsid w:val="00BC4048"/>
    <w:rsid w:val="00BC5755"/>
    <w:rsid w:val="00BC623A"/>
    <w:rsid w:val="00BD0A5A"/>
    <w:rsid w:val="00BD1427"/>
    <w:rsid w:val="00BD1ED0"/>
    <w:rsid w:val="00BD28A0"/>
    <w:rsid w:val="00BD2EDC"/>
    <w:rsid w:val="00BD4B3F"/>
    <w:rsid w:val="00BD5CCF"/>
    <w:rsid w:val="00BD642B"/>
    <w:rsid w:val="00BD6778"/>
    <w:rsid w:val="00BE2EBA"/>
    <w:rsid w:val="00BE5F93"/>
    <w:rsid w:val="00BE6C64"/>
    <w:rsid w:val="00BF0966"/>
    <w:rsid w:val="00BF0A74"/>
    <w:rsid w:val="00BF0FCC"/>
    <w:rsid w:val="00BF1EB4"/>
    <w:rsid w:val="00BF697B"/>
    <w:rsid w:val="00BF6C16"/>
    <w:rsid w:val="00BF7575"/>
    <w:rsid w:val="00C02302"/>
    <w:rsid w:val="00C02B93"/>
    <w:rsid w:val="00C02BF1"/>
    <w:rsid w:val="00C0577F"/>
    <w:rsid w:val="00C10146"/>
    <w:rsid w:val="00C12248"/>
    <w:rsid w:val="00C13079"/>
    <w:rsid w:val="00C141B0"/>
    <w:rsid w:val="00C143AE"/>
    <w:rsid w:val="00C159EF"/>
    <w:rsid w:val="00C17B32"/>
    <w:rsid w:val="00C17EF0"/>
    <w:rsid w:val="00C206E0"/>
    <w:rsid w:val="00C21071"/>
    <w:rsid w:val="00C23643"/>
    <w:rsid w:val="00C239A3"/>
    <w:rsid w:val="00C23DE1"/>
    <w:rsid w:val="00C23F78"/>
    <w:rsid w:val="00C251C7"/>
    <w:rsid w:val="00C25FAD"/>
    <w:rsid w:val="00C262EF"/>
    <w:rsid w:val="00C26656"/>
    <w:rsid w:val="00C279A9"/>
    <w:rsid w:val="00C27BB9"/>
    <w:rsid w:val="00C30336"/>
    <w:rsid w:val="00C31BC2"/>
    <w:rsid w:val="00C32FD1"/>
    <w:rsid w:val="00C33EAF"/>
    <w:rsid w:val="00C34A54"/>
    <w:rsid w:val="00C34D90"/>
    <w:rsid w:val="00C37E6E"/>
    <w:rsid w:val="00C37FAF"/>
    <w:rsid w:val="00C401CE"/>
    <w:rsid w:val="00C41F19"/>
    <w:rsid w:val="00C4434B"/>
    <w:rsid w:val="00C452F8"/>
    <w:rsid w:val="00C4557A"/>
    <w:rsid w:val="00C460FB"/>
    <w:rsid w:val="00C47131"/>
    <w:rsid w:val="00C47185"/>
    <w:rsid w:val="00C47750"/>
    <w:rsid w:val="00C4779C"/>
    <w:rsid w:val="00C47A74"/>
    <w:rsid w:val="00C5087B"/>
    <w:rsid w:val="00C5227B"/>
    <w:rsid w:val="00C5286D"/>
    <w:rsid w:val="00C52D03"/>
    <w:rsid w:val="00C52DC1"/>
    <w:rsid w:val="00C54959"/>
    <w:rsid w:val="00C56266"/>
    <w:rsid w:val="00C5697A"/>
    <w:rsid w:val="00C571C4"/>
    <w:rsid w:val="00C57F04"/>
    <w:rsid w:val="00C57F16"/>
    <w:rsid w:val="00C62955"/>
    <w:rsid w:val="00C62E06"/>
    <w:rsid w:val="00C62EC6"/>
    <w:rsid w:val="00C6686B"/>
    <w:rsid w:val="00C7048A"/>
    <w:rsid w:val="00C70B1A"/>
    <w:rsid w:val="00C72B68"/>
    <w:rsid w:val="00C72BF9"/>
    <w:rsid w:val="00C72D79"/>
    <w:rsid w:val="00C73617"/>
    <w:rsid w:val="00C73810"/>
    <w:rsid w:val="00C75D0F"/>
    <w:rsid w:val="00C77094"/>
    <w:rsid w:val="00C7717E"/>
    <w:rsid w:val="00C8155B"/>
    <w:rsid w:val="00C9240B"/>
    <w:rsid w:val="00C958F3"/>
    <w:rsid w:val="00C963DB"/>
    <w:rsid w:val="00CA0197"/>
    <w:rsid w:val="00CA0CC4"/>
    <w:rsid w:val="00CA15BE"/>
    <w:rsid w:val="00CA42AC"/>
    <w:rsid w:val="00CA4EFE"/>
    <w:rsid w:val="00CA584B"/>
    <w:rsid w:val="00CA5B4F"/>
    <w:rsid w:val="00CA6474"/>
    <w:rsid w:val="00CA6BE0"/>
    <w:rsid w:val="00CA7083"/>
    <w:rsid w:val="00CA7AAC"/>
    <w:rsid w:val="00CB20BB"/>
    <w:rsid w:val="00CB3452"/>
    <w:rsid w:val="00CB4A44"/>
    <w:rsid w:val="00CB5A68"/>
    <w:rsid w:val="00CC2FE2"/>
    <w:rsid w:val="00CC35BF"/>
    <w:rsid w:val="00CC41B9"/>
    <w:rsid w:val="00CC41DD"/>
    <w:rsid w:val="00CC54DC"/>
    <w:rsid w:val="00CC5EF5"/>
    <w:rsid w:val="00CC66E4"/>
    <w:rsid w:val="00CC7966"/>
    <w:rsid w:val="00CD13E0"/>
    <w:rsid w:val="00CD1BA6"/>
    <w:rsid w:val="00CD32B3"/>
    <w:rsid w:val="00CD49B6"/>
    <w:rsid w:val="00CD49C7"/>
    <w:rsid w:val="00CD4D48"/>
    <w:rsid w:val="00CD5043"/>
    <w:rsid w:val="00CD5DC7"/>
    <w:rsid w:val="00CD6C03"/>
    <w:rsid w:val="00CD708E"/>
    <w:rsid w:val="00CD73ED"/>
    <w:rsid w:val="00CD7463"/>
    <w:rsid w:val="00CD79B0"/>
    <w:rsid w:val="00CE25E0"/>
    <w:rsid w:val="00CE4B1A"/>
    <w:rsid w:val="00CE658B"/>
    <w:rsid w:val="00CE6E88"/>
    <w:rsid w:val="00CF1755"/>
    <w:rsid w:val="00CF2E89"/>
    <w:rsid w:val="00CF3D39"/>
    <w:rsid w:val="00CF5507"/>
    <w:rsid w:val="00D01A1B"/>
    <w:rsid w:val="00D01B14"/>
    <w:rsid w:val="00D03FD1"/>
    <w:rsid w:val="00D04EC5"/>
    <w:rsid w:val="00D04F80"/>
    <w:rsid w:val="00D0635D"/>
    <w:rsid w:val="00D1100C"/>
    <w:rsid w:val="00D11218"/>
    <w:rsid w:val="00D12779"/>
    <w:rsid w:val="00D1586D"/>
    <w:rsid w:val="00D168CA"/>
    <w:rsid w:val="00D16B9B"/>
    <w:rsid w:val="00D20B12"/>
    <w:rsid w:val="00D20E71"/>
    <w:rsid w:val="00D227B5"/>
    <w:rsid w:val="00D23CB8"/>
    <w:rsid w:val="00D24055"/>
    <w:rsid w:val="00D24420"/>
    <w:rsid w:val="00D27F81"/>
    <w:rsid w:val="00D311BD"/>
    <w:rsid w:val="00D312E8"/>
    <w:rsid w:val="00D32DB0"/>
    <w:rsid w:val="00D33911"/>
    <w:rsid w:val="00D34187"/>
    <w:rsid w:val="00D34E5F"/>
    <w:rsid w:val="00D34FCD"/>
    <w:rsid w:val="00D35F13"/>
    <w:rsid w:val="00D410A3"/>
    <w:rsid w:val="00D42DB8"/>
    <w:rsid w:val="00D43A33"/>
    <w:rsid w:val="00D449C5"/>
    <w:rsid w:val="00D44C0C"/>
    <w:rsid w:val="00D45415"/>
    <w:rsid w:val="00D51475"/>
    <w:rsid w:val="00D514F1"/>
    <w:rsid w:val="00D56B6F"/>
    <w:rsid w:val="00D57950"/>
    <w:rsid w:val="00D60E7C"/>
    <w:rsid w:val="00D6317B"/>
    <w:rsid w:val="00D63302"/>
    <w:rsid w:val="00D66C10"/>
    <w:rsid w:val="00D7097B"/>
    <w:rsid w:val="00D71016"/>
    <w:rsid w:val="00D71BD9"/>
    <w:rsid w:val="00D72463"/>
    <w:rsid w:val="00D7280E"/>
    <w:rsid w:val="00D728A7"/>
    <w:rsid w:val="00D72DA0"/>
    <w:rsid w:val="00D7333F"/>
    <w:rsid w:val="00D74949"/>
    <w:rsid w:val="00D76045"/>
    <w:rsid w:val="00D76DD9"/>
    <w:rsid w:val="00D77A0E"/>
    <w:rsid w:val="00D807F5"/>
    <w:rsid w:val="00D808B8"/>
    <w:rsid w:val="00D80AF6"/>
    <w:rsid w:val="00D828C9"/>
    <w:rsid w:val="00D829E0"/>
    <w:rsid w:val="00D862DE"/>
    <w:rsid w:val="00D86734"/>
    <w:rsid w:val="00D8732E"/>
    <w:rsid w:val="00D8740E"/>
    <w:rsid w:val="00D87965"/>
    <w:rsid w:val="00D90774"/>
    <w:rsid w:val="00D908D9"/>
    <w:rsid w:val="00D9406D"/>
    <w:rsid w:val="00D94E64"/>
    <w:rsid w:val="00D95130"/>
    <w:rsid w:val="00DA1A94"/>
    <w:rsid w:val="00DA22A7"/>
    <w:rsid w:val="00DA25F8"/>
    <w:rsid w:val="00DA3EE0"/>
    <w:rsid w:val="00DA4013"/>
    <w:rsid w:val="00DA4EB1"/>
    <w:rsid w:val="00DA6B68"/>
    <w:rsid w:val="00DA7144"/>
    <w:rsid w:val="00DB1578"/>
    <w:rsid w:val="00DB2038"/>
    <w:rsid w:val="00DB2F79"/>
    <w:rsid w:val="00DB4DD1"/>
    <w:rsid w:val="00DB5DD7"/>
    <w:rsid w:val="00DB6B1B"/>
    <w:rsid w:val="00DC01E6"/>
    <w:rsid w:val="00DC0597"/>
    <w:rsid w:val="00DC2C6A"/>
    <w:rsid w:val="00DC3600"/>
    <w:rsid w:val="00DC3601"/>
    <w:rsid w:val="00DC41CB"/>
    <w:rsid w:val="00DC5021"/>
    <w:rsid w:val="00DC5F30"/>
    <w:rsid w:val="00DC6B81"/>
    <w:rsid w:val="00DC7F6E"/>
    <w:rsid w:val="00DD24AC"/>
    <w:rsid w:val="00DD3B19"/>
    <w:rsid w:val="00DD565A"/>
    <w:rsid w:val="00DD6230"/>
    <w:rsid w:val="00DD6B24"/>
    <w:rsid w:val="00DD7A15"/>
    <w:rsid w:val="00DE0493"/>
    <w:rsid w:val="00DE407B"/>
    <w:rsid w:val="00DE42F9"/>
    <w:rsid w:val="00DE47C7"/>
    <w:rsid w:val="00DE5278"/>
    <w:rsid w:val="00DE722D"/>
    <w:rsid w:val="00DF1006"/>
    <w:rsid w:val="00DF1E52"/>
    <w:rsid w:val="00DF281F"/>
    <w:rsid w:val="00DF4395"/>
    <w:rsid w:val="00DF4689"/>
    <w:rsid w:val="00DF6063"/>
    <w:rsid w:val="00DF731A"/>
    <w:rsid w:val="00E00B8D"/>
    <w:rsid w:val="00E01253"/>
    <w:rsid w:val="00E01C4B"/>
    <w:rsid w:val="00E01E98"/>
    <w:rsid w:val="00E026AE"/>
    <w:rsid w:val="00E05556"/>
    <w:rsid w:val="00E06C48"/>
    <w:rsid w:val="00E07152"/>
    <w:rsid w:val="00E071F4"/>
    <w:rsid w:val="00E10C39"/>
    <w:rsid w:val="00E11A79"/>
    <w:rsid w:val="00E1274B"/>
    <w:rsid w:val="00E127DA"/>
    <w:rsid w:val="00E12B48"/>
    <w:rsid w:val="00E13615"/>
    <w:rsid w:val="00E144CF"/>
    <w:rsid w:val="00E167CB"/>
    <w:rsid w:val="00E170F9"/>
    <w:rsid w:val="00E20D5A"/>
    <w:rsid w:val="00E20FB7"/>
    <w:rsid w:val="00E24763"/>
    <w:rsid w:val="00E24E3B"/>
    <w:rsid w:val="00E25666"/>
    <w:rsid w:val="00E2644B"/>
    <w:rsid w:val="00E30881"/>
    <w:rsid w:val="00E30985"/>
    <w:rsid w:val="00E31600"/>
    <w:rsid w:val="00E31615"/>
    <w:rsid w:val="00E3301E"/>
    <w:rsid w:val="00E34D54"/>
    <w:rsid w:val="00E36D90"/>
    <w:rsid w:val="00E42A86"/>
    <w:rsid w:val="00E43D3D"/>
    <w:rsid w:val="00E44386"/>
    <w:rsid w:val="00E44812"/>
    <w:rsid w:val="00E5101C"/>
    <w:rsid w:val="00E51424"/>
    <w:rsid w:val="00E518BB"/>
    <w:rsid w:val="00E51B67"/>
    <w:rsid w:val="00E525C2"/>
    <w:rsid w:val="00E5332A"/>
    <w:rsid w:val="00E543C8"/>
    <w:rsid w:val="00E548CB"/>
    <w:rsid w:val="00E54C42"/>
    <w:rsid w:val="00E552DF"/>
    <w:rsid w:val="00E56476"/>
    <w:rsid w:val="00E5662E"/>
    <w:rsid w:val="00E57A3B"/>
    <w:rsid w:val="00E607C0"/>
    <w:rsid w:val="00E61D1B"/>
    <w:rsid w:val="00E63B9A"/>
    <w:rsid w:val="00E66C11"/>
    <w:rsid w:val="00E66ED6"/>
    <w:rsid w:val="00E67877"/>
    <w:rsid w:val="00E67BE4"/>
    <w:rsid w:val="00E67FDE"/>
    <w:rsid w:val="00E7099F"/>
    <w:rsid w:val="00E71446"/>
    <w:rsid w:val="00E71E1A"/>
    <w:rsid w:val="00E72BB8"/>
    <w:rsid w:val="00E730B7"/>
    <w:rsid w:val="00E73928"/>
    <w:rsid w:val="00E73F6D"/>
    <w:rsid w:val="00E758B9"/>
    <w:rsid w:val="00E800DF"/>
    <w:rsid w:val="00E803BB"/>
    <w:rsid w:val="00E809FE"/>
    <w:rsid w:val="00E8236D"/>
    <w:rsid w:val="00E83B63"/>
    <w:rsid w:val="00E90B8D"/>
    <w:rsid w:val="00E911C8"/>
    <w:rsid w:val="00E92FE7"/>
    <w:rsid w:val="00E94234"/>
    <w:rsid w:val="00E953C9"/>
    <w:rsid w:val="00E96025"/>
    <w:rsid w:val="00EA05AE"/>
    <w:rsid w:val="00EA0B9E"/>
    <w:rsid w:val="00EA1414"/>
    <w:rsid w:val="00EA17FC"/>
    <w:rsid w:val="00EA2C06"/>
    <w:rsid w:val="00EA634A"/>
    <w:rsid w:val="00EA7AE8"/>
    <w:rsid w:val="00EB0588"/>
    <w:rsid w:val="00EB0BAA"/>
    <w:rsid w:val="00EB12E7"/>
    <w:rsid w:val="00EB1AB5"/>
    <w:rsid w:val="00EB2D6E"/>
    <w:rsid w:val="00EB2DE0"/>
    <w:rsid w:val="00EB3A23"/>
    <w:rsid w:val="00EB3A86"/>
    <w:rsid w:val="00EB3FEC"/>
    <w:rsid w:val="00EB4A4A"/>
    <w:rsid w:val="00EB4E7F"/>
    <w:rsid w:val="00EB7495"/>
    <w:rsid w:val="00EC0A51"/>
    <w:rsid w:val="00EC1118"/>
    <w:rsid w:val="00EC1460"/>
    <w:rsid w:val="00EC1499"/>
    <w:rsid w:val="00EC15CC"/>
    <w:rsid w:val="00EC3DDF"/>
    <w:rsid w:val="00EC5807"/>
    <w:rsid w:val="00EC58AF"/>
    <w:rsid w:val="00EC5A13"/>
    <w:rsid w:val="00EC6DFD"/>
    <w:rsid w:val="00EC6F07"/>
    <w:rsid w:val="00EC7C1C"/>
    <w:rsid w:val="00EC7EB8"/>
    <w:rsid w:val="00EC7F31"/>
    <w:rsid w:val="00ED0086"/>
    <w:rsid w:val="00ED0E36"/>
    <w:rsid w:val="00ED554B"/>
    <w:rsid w:val="00ED6283"/>
    <w:rsid w:val="00ED630E"/>
    <w:rsid w:val="00ED76C8"/>
    <w:rsid w:val="00EE098C"/>
    <w:rsid w:val="00EE180F"/>
    <w:rsid w:val="00EE1AB3"/>
    <w:rsid w:val="00EE24F1"/>
    <w:rsid w:val="00EE33DC"/>
    <w:rsid w:val="00EE3A33"/>
    <w:rsid w:val="00EE4769"/>
    <w:rsid w:val="00EF08AC"/>
    <w:rsid w:val="00EF0C25"/>
    <w:rsid w:val="00EF47C6"/>
    <w:rsid w:val="00F00FE8"/>
    <w:rsid w:val="00F01289"/>
    <w:rsid w:val="00F02C96"/>
    <w:rsid w:val="00F03415"/>
    <w:rsid w:val="00F03541"/>
    <w:rsid w:val="00F04027"/>
    <w:rsid w:val="00F07871"/>
    <w:rsid w:val="00F10643"/>
    <w:rsid w:val="00F122B3"/>
    <w:rsid w:val="00F13227"/>
    <w:rsid w:val="00F13494"/>
    <w:rsid w:val="00F15A40"/>
    <w:rsid w:val="00F15D5A"/>
    <w:rsid w:val="00F17544"/>
    <w:rsid w:val="00F21084"/>
    <w:rsid w:val="00F21404"/>
    <w:rsid w:val="00F21604"/>
    <w:rsid w:val="00F21C95"/>
    <w:rsid w:val="00F22B3C"/>
    <w:rsid w:val="00F260AE"/>
    <w:rsid w:val="00F26342"/>
    <w:rsid w:val="00F312C4"/>
    <w:rsid w:val="00F3134E"/>
    <w:rsid w:val="00F314F6"/>
    <w:rsid w:val="00F31F19"/>
    <w:rsid w:val="00F32749"/>
    <w:rsid w:val="00F3550E"/>
    <w:rsid w:val="00F359D7"/>
    <w:rsid w:val="00F35A82"/>
    <w:rsid w:val="00F364F5"/>
    <w:rsid w:val="00F37E6C"/>
    <w:rsid w:val="00F37F68"/>
    <w:rsid w:val="00F406F2"/>
    <w:rsid w:val="00F40C24"/>
    <w:rsid w:val="00F42E65"/>
    <w:rsid w:val="00F43531"/>
    <w:rsid w:val="00F43B7B"/>
    <w:rsid w:val="00F45B04"/>
    <w:rsid w:val="00F46740"/>
    <w:rsid w:val="00F47951"/>
    <w:rsid w:val="00F50405"/>
    <w:rsid w:val="00F52178"/>
    <w:rsid w:val="00F5371A"/>
    <w:rsid w:val="00F54F9A"/>
    <w:rsid w:val="00F6093A"/>
    <w:rsid w:val="00F6194D"/>
    <w:rsid w:val="00F621DD"/>
    <w:rsid w:val="00F65742"/>
    <w:rsid w:val="00F65798"/>
    <w:rsid w:val="00F67C17"/>
    <w:rsid w:val="00F705B0"/>
    <w:rsid w:val="00F73C35"/>
    <w:rsid w:val="00F77004"/>
    <w:rsid w:val="00F77A2F"/>
    <w:rsid w:val="00F80701"/>
    <w:rsid w:val="00F80A32"/>
    <w:rsid w:val="00F82DDB"/>
    <w:rsid w:val="00F82DE2"/>
    <w:rsid w:val="00F83602"/>
    <w:rsid w:val="00F86842"/>
    <w:rsid w:val="00F87049"/>
    <w:rsid w:val="00F87BAC"/>
    <w:rsid w:val="00F91E06"/>
    <w:rsid w:val="00F92D94"/>
    <w:rsid w:val="00F940E0"/>
    <w:rsid w:val="00F950F8"/>
    <w:rsid w:val="00F9557B"/>
    <w:rsid w:val="00FA1143"/>
    <w:rsid w:val="00FA1E97"/>
    <w:rsid w:val="00FA2512"/>
    <w:rsid w:val="00FA387B"/>
    <w:rsid w:val="00FA7937"/>
    <w:rsid w:val="00FB0981"/>
    <w:rsid w:val="00FB1673"/>
    <w:rsid w:val="00FB7A63"/>
    <w:rsid w:val="00FC0477"/>
    <w:rsid w:val="00FC0DD6"/>
    <w:rsid w:val="00FC1978"/>
    <w:rsid w:val="00FC41E9"/>
    <w:rsid w:val="00FC4BDD"/>
    <w:rsid w:val="00FC5677"/>
    <w:rsid w:val="00FC5889"/>
    <w:rsid w:val="00FC5F37"/>
    <w:rsid w:val="00FC661C"/>
    <w:rsid w:val="00FC7730"/>
    <w:rsid w:val="00FC7CC3"/>
    <w:rsid w:val="00FD2D3E"/>
    <w:rsid w:val="00FD35EF"/>
    <w:rsid w:val="00FD53AD"/>
    <w:rsid w:val="00FD5ADE"/>
    <w:rsid w:val="00FD73C8"/>
    <w:rsid w:val="00FE241F"/>
    <w:rsid w:val="00FE2CD5"/>
    <w:rsid w:val="00FE3434"/>
    <w:rsid w:val="00FE4B4D"/>
    <w:rsid w:val="00FE50C8"/>
    <w:rsid w:val="00FE555D"/>
    <w:rsid w:val="00FE5DC4"/>
    <w:rsid w:val="00FF0BE4"/>
    <w:rsid w:val="00FF1117"/>
    <w:rsid w:val="00FF115E"/>
    <w:rsid w:val="00FF15F1"/>
    <w:rsid w:val="00FF2443"/>
    <w:rsid w:val="00FF29B6"/>
    <w:rsid w:val="00FF3C60"/>
    <w:rsid w:val="00FF60EE"/>
    <w:rsid w:val="00FF6E51"/>
    <w:rsid w:val="0360A790"/>
    <w:rsid w:val="03AA1225"/>
    <w:rsid w:val="041E0A63"/>
    <w:rsid w:val="07B3F2F2"/>
    <w:rsid w:val="08147D49"/>
    <w:rsid w:val="0B8299BB"/>
    <w:rsid w:val="0C9BDB1D"/>
    <w:rsid w:val="0CE16920"/>
    <w:rsid w:val="1133C961"/>
    <w:rsid w:val="163AE243"/>
    <w:rsid w:val="174F7F4F"/>
    <w:rsid w:val="177A1E55"/>
    <w:rsid w:val="180CDD4B"/>
    <w:rsid w:val="18C6EEDA"/>
    <w:rsid w:val="18FA280A"/>
    <w:rsid w:val="1ACEF3AB"/>
    <w:rsid w:val="1AD559A4"/>
    <w:rsid w:val="1C2E82FA"/>
    <w:rsid w:val="1C93192E"/>
    <w:rsid w:val="1F129864"/>
    <w:rsid w:val="1F9AB61B"/>
    <w:rsid w:val="22F0A634"/>
    <w:rsid w:val="254D0CAA"/>
    <w:rsid w:val="2655753E"/>
    <w:rsid w:val="26968F51"/>
    <w:rsid w:val="27BCDFA3"/>
    <w:rsid w:val="28255D96"/>
    <w:rsid w:val="28797F0B"/>
    <w:rsid w:val="28E5313B"/>
    <w:rsid w:val="298E3474"/>
    <w:rsid w:val="2BD1A8D1"/>
    <w:rsid w:val="2F99E24D"/>
    <w:rsid w:val="30964D0C"/>
    <w:rsid w:val="33599BED"/>
    <w:rsid w:val="35D1CA4A"/>
    <w:rsid w:val="36306234"/>
    <w:rsid w:val="3684E554"/>
    <w:rsid w:val="37F20FEF"/>
    <w:rsid w:val="3807A983"/>
    <w:rsid w:val="3D9491C5"/>
    <w:rsid w:val="3F356DD4"/>
    <w:rsid w:val="3F97841D"/>
    <w:rsid w:val="41884C39"/>
    <w:rsid w:val="41ED673A"/>
    <w:rsid w:val="49EC88EC"/>
    <w:rsid w:val="4AA91C59"/>
    <w:rsid w:val="4C2841C1"/>
    <w:rsid w:val="4E53EB3F"/>
    <w:rsid w:val="501DBB6C"/>
    <w:rsid w:val="50306BFA"/>
    <w:rsid w:val="51343B06"/>
    <w:rsid w:val="54A2D81C"/>
    <w:rsid w:val="558504DF"/>
    <w:rsid w:val="56147E21"/>
    <w:rsid w:val="5783B5DE"/>
    <w:rsid w:val="58454719"/>
    <w:rsid w:val="58CCA5F4"/>
    <w:rsid w:val="59529EBF"/>
    <w:rsid w:val="59EBA4D2"/>
    <w:rsid w:val="5ABEA4A9"/>
    <w:rsid w:val="5AC4FF4A"/>
    <w:rsid w:val="5AF50AE8"/>
    <w:rsid w:val="5D86D96A"/>
    <w:rsid w:val="5FE0F35B"/>
    <w:rsid w:val="60155CC9"/>
    <w:rsid w:val="60E7EAA6"/>
    <w:rsid w:val="6449831D"/>
    <w:rsid w:val="70DBD737"/>
    <w:rsid w:val="723C59BE"/>
    <w:rsid w:val="72875874"/>
    <w:rsid w:val="7373EEB5"/>
    <w:rsid w:val="73D08FC8"/>
    <w:rsid w:val="7C96F315"/>
    <w:rsid w:val="7DC0C245"/>
    <w:rsid w:val="7E64B2E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38C46"/>
  <w15:chartTrackingRefBased/>
  <w15:docId w15:val="{0DA14C2E-DF7C-4E46-B1BE-080C2AC8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C14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C14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C149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C149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C149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C149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C149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C149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C149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149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C149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C149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C149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C149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C149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C149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C149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C1499"/>
    <w:rPr>
      <w:rFonts w:eastAsiaTheme="majorEastAsia" w:cstheme="majorBidi"/>
      <w:color w:val="272727" w:themeColor="text1" w:themeTint="D8"/>
    </w:rPr>
  </w:style>
  <w:style w:type="paragraph" w:styleId="Titre">
    <w:name w:val="Title"/>
    <w:basedOn w:val="Normal"/>
    <w:next w:val="Normal"/>
    <w:link w:val="TitreCar"/>
    <w:uiPriority w:val="10"/>
    <w:qFormat/>
    <w:rsid w:val="00EC14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14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C149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149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C1499"/>
    <w:pPr>
      <w:spacing w:before="160"/>
      <w:jc w:val="center"/>
    </w:pPr>
    <w:rPr>
      <w:i/>
      <w:iCs/>
      <w:color w:val="404040" w:themeColor="text1" w:themeTint="BF"/>
    </w:rPr>
  </w:style>
  <w:style w:type="character" w:customStyle="1" w:styleId="CitationCar">
    <w:name w:val="Citation Car"/>
    <w:basedOn w:val="Policepardfaut"/>
    <w:link w:val="Citation"/>
    <w:uiPriority w:val="29"/>
    <w:rsid w:val="00EC1499"/>
    <w:rPr>
      <w:i/>
      <w:iCs/>
      <w:color w:val="404040" w:themeColor="text1" w:themeTint="BF"/>
    </w:rPr>
  </w:style>
  <w:style w:type="paragraph" w:styleId="Paragraphedeliste">
    <w:name w:val="List Paragraph"/>
    <w:basedOn w:val="Normal"/>
    <w:uiPriority w:val="1"/>
    <w:qFormat/>
    <w:rsid w:val="00EC1499"/>
    <w:pPr>
      <w:ind w:left="720"/>
      <w:contextualSpacing/>
    </w:pPr>
  </w:style>
  <w:style w:type="character" w:styleId="Accentuationintense">
    <w:name w:val="Intense Emphasis"/>
    <w:basedOn w:val="Policepardfaut"/>
    <w:uiPriority w:val="21"/>
    <w:qFormat/>
    <w:rsid w:val="00EC1499"/>
    <w:rPr>
      <w:i/>
      <w:iCs/>
      <w:color w:val="0F4761" w:themeColor="accent1" w:themeShade="BF"/>
    </w:rPr>
  </w:style>
  <w:style w:type="paragraph" w:styleId="Citationintense">
    <w:name w:val="Intense Quote"/>
    <w:basedOn w:val="Normal"/>
    <w:next w:val="Normal"/>
    <w:link w:val="CitationintenseCar"/>
    <w:uiPriority w:val="30"/>
    <w:qFormat/>
    <w:rsid w:val="00EC14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C1499"/>
    <w:rPr>
      <w:i/>
      <w:iCs/>
      <w:color w:val="0F4761" w:themeColor="accent1" w:themeShade="BF"/>
    </w:rPr>
  </w:style>
  <w:style w:type="character" w:styleId="Rfrenceintense">
    <w:name w:val="Intense Reference"/>
    <w:basedOn w:val="Policepardfaut"/>
    <w:uiPriority w:val="32"/>
    <w:qFormat/>
    <w:rsid w:val="00EC1499"/>
    <w:rPr>
      <w:b/>
      <w:bCs/>
      <w:smallCaps/>
      <w:color w:val="0F4761" w:themeColor="accent1" w:themeShade="BF"/>
      <w:spacing w:val="5"/>
    </w:rPr>
  </w:style>
  <w:style w:type="character" w:styleId="Lienhypertexte">
    <w:name w:val="Hyperlink"/>
    <w:basedOn w:val="Policepardfaut"/>
    <w:uiPriority w:val="99"/>
    <w:unhideWhenUsed/>
    <w:rsid w:val="00EC1499"/>
    <w:rPr>
      <w:color w:val="467886" w:themeColor="hyperlink"/>
      <w:u w:val="single"/>
    </w:rPr>
  </w:style>
  <w:style w:type="character" w:styleId="Mentionnonrsolue">
    <w:name w:val="Unresolved Mention"/>
    <w:basedOn w:val="Policepardfaut"/>
    <w:uiPriority w:val="99"/>
    <w:semiHidden/>
    <w:unhideWhenUsed/>
    <w:rsid w:val="00EC1499"/>
    <w:rPr>
      <w:color w:val="605E5C"/>
      <w:shd w:val="clear" w:color="auto" w:fill="E1DFDD"/>
    </w:rPr>
  </w:style>
  <w:style w:type="table" w:styleId="Grilledutableau">
    <w:name w:val="Table Grid"/>
    <w:basedOn w:val="TableauNormal"/>
    <w:uiPriority w:val="39"/>
    <w:rsid w:val="00EC1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46606C"/>
    <w:rPr>
      <w:color w:val="96607D" w:themeColor="followedHyperlink"/>
      <w:u w:val="single"/>
    </w:rPr>
  </w:style>
  <w:style w:type="paragraph" w:customStyle="1" w:styleId="Default">
    <w:name w:val="Default"/>
    <w:rsid w:val="00727AEC"/>
    <w:pPr>
      <w:autoSpaceDE w:val="0"/>
      <w:autoSpaceDN w:val="0"/>
      <w:adjustRightInd w:val="0"/>
      <w:spacing w:after="0" w:line="240" w:lineRule="auto"/>
    </w:pPr>
    <w:rPr>
      <w:rFonts w:ascii="Verdana" w:hAnsi="Verdana" w:cs="Verdana"/>
      <w:color w:val="000000"/>
      <w:kern w:val="0"/>
    </w:rPr>
  </w:style>
  <w:style w:type="paragraph" w:styleId="Rvision">
    <w:name w:val="Revision"/>
    <w:hidden/>
    <w:uiPriority w:val="99"/>
    <w:semiHidden/>
    <w:rsid w:val="00D57950"/>
    <w:pPr>
      <w:spacing w:after="0" w:line="240" w:lineRule="auto"/>
    </w:pPr>
  </w:style>
  <w:style w:type="paragraph" w:styleId="Corpsdetexte">
    <w:name w:val="Body Text"/>
    <w:basedOn w:val="Normal"/>
    <w:link w:val="CorpsdetexteCar"/>
    <w:uiPriority w:val="1"/>
    <w:qFormat/>
    <w:rsid w:val="003B7C6B"/>
    <w:pPr>
      <w:widowControl w:val="0"/>
      <w:autoSpaceDE w:val="0"/>
      <w:autoSpaceDN w:val="0"/>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rpsdetexteCar">
    <w:name w:val="Corps de texte Car"/>
    <w:basedOn w:val="Policepardfaut"/>
    <w:link w:val="Corpsdetexte"/>
    <w:uiPriority w:val="1"/>
    <w:rsid w:val="003B7C6B"/>
    <w:rPr>
      <w:rFonts w:ascii="Times New Roman" w:eastAsia="Times New Roman" w:hAnsi="Times New Roman" w:cs="Times New Roman"/>
      <w:kern w:val="0"/>
      <w:sz w:val="20"/>
      <w:szCs w:val="20"/>
      <w:lang w:val="en-US"/>
      <w14:ligatures w14:val="none"/>
    </w:rPr>
  </w:style>
  <w:style w:type="character" w:styleId="Marquedecommentaire">
    <w:name w:val="annotation reference"/>
    <w:basedOn w:val="Policepardfaut"/>
    <w:uiPriority w:val="99"/>
    <w:semiHidden/>
    <w:unhideWhenUsed/>
    <w:rsid w:val="00184A80"/>
    <w:rPr>
      <w:sz w:val="16"/>
      <w:szCs w:val="16"/>
    </w:rPr>
  </w:style>
  <w:style w:type="paragraph" w:styleId="Commentaire">
    <w:name w:val="annotation text"/>
    <w:basedOn w:val="Normal"/>
    <w:link w:val="CommentaireCar"/>
    <w:uiPriority w:val="99"/>
    <w:unhideWhenUsed/>
    <w:rsid w:val="00184A80"/>
    <w:pPr>
      <w:spacing w:line="240" w:lineRule="auto"/>
    </w:pPr>
    <w:rPr>
      <w:sz w:val="20"/>
      <w:szCs w:val="20"/>
    </w:rPr>
  </w:style>
  <w:style w:type="character" w:customStyle="1" w:styleId="CommentaireCar">
    <w:name w:val="Commentaire Car"/>
    <w:basedOn w:val="Policepardfaut"/>
    <w:link w:val="Commentaire"/>
    <w:uiPriority w:val="99"/>
    <w:rsid w:val="00184A80"/>
    <w:rPr>
      <w:sz w:val="20"/>
      <w:szCs w:val="20"/>
    </w:rPr>
  </w:style>
  <w:style w:type="paragraph" w:styleId="Objetducommentaire">
    <w:name w:val="annotation subject"/>
    <w:basedOn w:val="Commentaire"/>
    <w:next w:val="Commentaire"/>
    <w:link w:val="ObjetducommentaireCar"/>
    <w:uiPriority w:val="99"/>
    <w:semiHidden/>
    <w:unhideWhenUsed/>
    <w:rsid w:val="00184A80"/>
    <w:rPr>
      <w:b/>
      <w:bCs/>
    </w:rPr>
  </w:style>
  <w:style w:type="character" w:customStyle="1" w:styleId="ObjetducommentaireCar">
    <w:name w:val="Objet du commentaire Car"/>
    <w:basedOn w:val="CommentaireCar"/>
    <w:link w:val="Objetducommentaire"/>
    <w:uiPriority w:val="99"/>
    <w:semiHidden/>
    <w:rsid w:val="00184A80"/>
    <w:rPr>
      <w:b/>
      <w:bCs/>
      <w:sz w:val="20"/>
      <w:szCs w:val="20"/>
    </w:rPr>
  </w:style>
  <w:style w:type="paragraph" w:styleId="Pieddepage">
    <w:name w:val="footer"/>
    <w:basedOn w:val="Normal"/>
    <w:link w:val="PieddepageCar"/>
    <w:uiPriority w:val="99"/>
    <w:unhideWhenUsed/>
    <w:rsid w:val="00E92F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2FE7"/>
  </w:style>
  <w:style w:type="table" w:customStyle="1" w:styleId="TableNormal1">
    <w:name w:val="Table Normal1"/>
    <w:uiPriority w:val="2"/>
    <w:semiHidden/>
    <w:unhideWhenUsed/>
    <w:qFormat/>
    <w:rsid w:val="009A210A"/>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A210A"/>
    <w:pPr>
      <w:widowControl w:val="0"/>
      <w:autoSpaceDE w:val="0"/>
      <w:autoSpaceDN w:val="0"/>
      <w:spacing w:after="0" w:line="240" w:lineRule="auto"/>
      <w:ind w:left="823" w:hanging="360"/>
    </w:pPr>
    <w:rPr>
      <w:rFonts w:ascii="Times New Roman" w:eastAsia="Times New Roman" w:hAnsi="Times New Roman" w:cs="Times New Roman"/>
      <w:kern w:val="0"/>
      <w:sz w:val="22"/>
      <w:szCs w:val="22"/>
      <w:lang w:val="en-US"/>
      <w14:ligatures w14:val="none"/>
    </w:rPr>
  </w:style>
  <w:style w:type="paragraph" w:styleId="En-tte">
    <w:name w:val="header"/>
    <w:basedOn w:val="Normal"/>
    <w:link w:val="En-tteCar"/>
    <w:uiPriority w:val="99"/>
    <w:semiHidden/>
    <w:unhideWhenUsed/>
    <w:rsid w:val="00712EA0"/>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712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33308">
      <w:bodyDiv w:val="1"/>
      <w:marLeft w:val="0"/>
      <w:marRight w:val="0"/>
      <w:marTop w:val="0"/>
      <w:marBottom w:val="0"/>
      <w:divBdr>
        <w:top w:val="none" w:sz="0" w:space="0" w:color="auto"/>
        <w:left w:val="none" w:sz="0" w:space="0" w:color="auto"/>
        <w:bottom w:val="none" w:sz="0" w:space="0" w:color="auto"/>
        <w:right w:val="none" w:sz="0" w:space="0" w:color="auto"/>
      </w:divBdr>
    </w:div>
    <w:div w:id="78604870">
      <w:bodyDiv w:val="1"/>
      <w:marLeft w:val="0"/>
      <w:marRight w:val="0"/>
      <w:marTop w:val="0"/>
      <w:marBottom w:val="0"/>
      <w:divBdr>
        <w:top w:val="none" w:sz="0" w:space="0" w:color="auto"/>
        <w:left w:val="none" w:sz="0" w:space="0" w:color="auto"/>
        <w:bottom w:val="none" w:sz="0" w:space="0" w:color="auto"/>
        <w:right w:val="none" w:sz="0" w:space="0" w:color="auto"/>
      </w:divBdr>
    </w:div>
    <w:div w:id="102726952">
      <w:bodyDiv w:val="1"/>
      <w:marLeft w:val="0"/>
      <w:marRight w:val="0"/>
      <w:marTop w:val="0"/>
      <w:marBottom w:val="0"/>
      <w:divBdr>
        <w:top w:val="none" w:sz="0" w:space="0" w:color="auto"/>
        <w:left w:val="none" w:sz="0" w:space="0" w:color="auto"/>
        <w:bottom w:val="none" w:sz="0" w:space="0" w:color="auto"/>
        <w:right w:val="none" w:sz="0" w:space="0" w:color="auto"/>
      </w:divBdr>
    </w:div>
    <w:div w:id="226846988">
      <w:bodyDiv w:val="1"/>
      <w:marLeft w:val="0"/>
      <w:marRight w:val="0"/>
      <w:marTop w:val="0"/>
      <w:marBottom w:val="0"/>
      <w:divBdr>
        <w:top w:val="none" w:sz="0" w:space="0" w:color="auto"/>
        <w:left w:val="none" w:sz="0" w:space="0" w:color="auto"/>
        <w:bottom w:val="none" w:sz="0" w:space="0" w:color="auto"/>
        <w:right w:val="none" w:sz="0" w:space="0" w:color="auto"/>
      </w:divBdr>
    </w:div>
    <w:div w:id="232008099">
      <w:bodyDiv w:val="1"/>
      <w:marLeft w:val="0"/>
      <w:marRight w:val="0"/>
      <w:marTop w:val="0"/>
      <w:marBottom w:val="0"/>
      <w:divBdr>
        <w:top w:val="none" w:sz="0" w:space="0" w:color="auto"/>
        <w:left w:val="none" w:sz="0" w:space="0" w:color="auto"/>
        <w:bottom w:val="none" w:sz="0" w:space="0" w:color="auto"/>
        <w:right w:val="none" w:sz="0" w:space="0" w:color="auto"/>
      </w:divBdr>
    </w:div>
    <w:div w:id="297031193">
      <w:bodyDiv w:val="1"/>
      <w:marLeft w:val="0"/>
      <w:marRight w:val="0"/>
      <w:marTop w:val="0"/>
      <w:marBottom w:val="0"/>
      <w:divBdr>
        <w:top w:val="none" w:sz="0" w:space="0" w:color="auto"/>
        <w:left w:val="none" w:sz="0" w:space="0" w:color="auto"/>
        <w:bottom w:val="none" w:sz="0" w:space="0" w:color="auto"/>
        <w:right w:val="none" w:sz="0" w:space="0" w:color="auto"/>
      </w:divBdr>
      <w:divsChild>
        <w:div w:id="258560024">
          <w:marLeft w:val="0"/>
          <w:marRight w:val="0"/>
          <w:marTop w:val="0"/>
          <w:marBottom w:val="0"/>
          <w:divBdr>
            <w:top w:val="none" w:sz="0" w:space="0" w:color="auto"/>
            <w:left w:val="none" w:sz="0" w:space="0" w:color="auto"/>
            <w:bottom w:val="none" w:sz="0" w:space="0" w:color="auto"/>
            <w:right w:val="none" w:sz="0" w:space="0" w:color="auto"/>
          </w:divBdr>
          <w:divsChild>
            <w:div w:id="765542942">
              <w:marLeft w:val="75"/>
              <w:marRight w:val="75"/>
              <w:marTop w:val="300"/>
              <w:marBottom w:val="75"/>
              <w:divBdr>
                <w:top w:val="none" w:sz="0" w:space="0" w:color="auto"/>
                <w:left w:val="none" w:sz="0" w:space="0" w:color="auto"/>
                <w:bottom w:val="none" w:sz="0" w:space="0" w:color="auto"/>
                <w:right w:val="none" w:sz="0" w:space="0" w:color="auto"/>
              </w:divBdr>
              <w:divsChild>
                <w:div w:id="876551945">
                  <w:marLeft w:val="0"/>
                  <w:marRight w:val="0"/>
                  <w:marTop w:val="0"/>
                  <w:marBottom w:val="0"/>
                  <w:divBdr>
                    <w:top w:val="none" w:sz="0" w:space="0" w:color="auto"/>
                    <w:left w:val="none" w:sz="0" w:space="0" w:color="auto"/>
                    <w:bottom w:val="none" w:sz="0" w:space="0" w:color="auto"/>
                    <w:right w:val="none" w:sz="0" w:space="0" w:color="auto"/>
                  </w:divBdr>
                  <w:divsChild>
                    <w:div w:id="104006421">
                      <w:marLeft w:val="300"/>
                      <w:marRight w:val="0"/>
                      <w:marTop w:val="0"/>
                      <w:marBottom w:val="0"/>
                      <w:divBdr>
                        <w:top w:val="none" w:sz="0" w:space="0" w:color="auto"/>
                        <w:left w:val="none" w:sz="0" w:space="0" w:color="auto"/>
                        <w:bottom w:val="none" w:sz="0" w:space="0" w:color="auto"/>
                        <w:right w:val="none" w:sz="0" w:space="0" w:color="auto"/>
                      </w:divBdr>
                    </w:div>
                    <w:div w:id="786579328">
                      <w:marLeft w:val="-15"/>
                      <w:marRight w:val="-15"/>
                      <w:marTop w:val="0"/>
                      <w:marBottom w:val="0"/>
                      <w:divBdr>
                        <w:top w:val="none" w:sz="0" w:space="0" w:color="auto"/>
                        <w:left w:val="none" w:sz="0" w:space="0" w:color="auto"/>
                        <w:bottom w:val="none" w:sz="0" w:space="0" w:color="auto"/>
                        <w:right w:val="none" w:sz="0" w:space="0" w:color="auto"/>
                      </w:divBdr>
                    </w:div>
                    <w:div w:id="82293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798244">
          <w:marLeft w:val="0"/>
          <w:marRight w:val="0"/>
          <w:marTop w:val="0"/>
          <w:marBottom w:val="0"/>
          <w:divBdr>
            <w:top w:val="none" w:sz="0" w:space="0" w:color="auto"/>
            <w:left w:val="none" w:sz="0" w:space="0" w:color="auto"/>
            <w:bottom w:val="none" w:sz="0" w:space="0" w:color="auto"/>
            <w:right w:val="none" w:sz="0" w:space="0" w:color="auto"/>
          </w:divBdr>
          <w:divsChild>
            <w:div w:id="538595134">
              <w:marLeft w:val="75"/>
              <w:marRight w:val="75"/>
              <w:marTop w:val="300"/>
              <w:marBottom w:val="75"/>
              <w:divBdr>
                <w:top w:val="none" w:sz="0" w:space="0" w:color="auto"/>
                <w:left w:val="none" w:sz="0" w:space="0" w:color="auto"/>
                <w:bottom w:val="none" w:sz="0" w:space="0" w:color="auto"/>
                <w:right w:val="none" w:sz="0" w:space="0" w:color="auto"/>
              </w:divBdr>
              <w:divsChild>
                <w:div w:id="951521842">
                  <w:marLeft w:val="0"/>
                  <w:marRight w:val="0"/>
                  <w:marTop w:val="0"/>
                  <w:marBottom w:val="0"/>
                  <w:divBdr>
                    <w:top w:val="none" w:sz="0" w:space="0" w:color="auto"/>
                    <w:left w:val="none" w:sz="0" w:space="0" w:color="auto"/>
                    <w:bottom w:val="none" w:sz="0" w:space="0" w:color="auto"/>
                    <w:right w:val="none" w:sz="0" w:space="0" w:color="auto"/>
                  </w:divBdr>
                  <w:divsChild>
                    <w:div w:id="763306021">
                      <w:marLeft w:val="0"/>
                      <w:marRight w:val="0"/>
                      <w:marTop w:val="0"/>
                      <w:marBottom w:val="0"/>
                      <w:divBdr>
                        <w:top w:val="none" w:sz="0" w:space="0" w:color="auto"/>
                        <w:left w:val="none" w:sz="0" w:space="0" w:color="auto"/>
                        <w:bottom w:val="none" w:sz="0" w:space="0" w:color="auto"/>
                        <w:right w:val="none" w:sz="0" w:space="0" w:color="auto"/>
                      </w:divBdr>
                      <w:divsChild>
                        <w:div w:id="1129859443">
                          <w:marLeft w:val="75"/>
                          <w:marRight w:val="0"/>
                          <w:marTop w:val="0"/>
                          <w:marBottom w:val="0"/>
                          <w:divBdr>
                            <w:top w:val="none" w:sz="0" w:space="0" w:color="auto"/>
                            <w:left w:val="none" w:sz="0" w:space="0" w:color="auto"/>
                            <w:bottom w:val="none" w:sz="0" w:space="0" w:color="auto"/>
                            <w:right w:val="none" w:sz="0" w:space="0" w:color="auto"/>
                          </w:divBdr>
                        </w:div>
                        <w:div w:id="1327126343">
                          <w:marLeft w:val="75"/>
                          <w:marRight w:val="0"/>
                          <w:marTop w:val="0"/>
                          <w:marBottom w:val="0"/>
                          <w:divBdr>
                            <w:top w:val="none" w:sz="0" w:space="0" w:color="auto"/>
                            <w:left w:val="none" w:sz="0" w:space="0" w:color="auto"/>
                            <w:bottom w:val="none" w:sz="0" w:space="0" w:color="auto"/>
                            <w:right w:val="none" w:sz="0" w:space="0" w:color="auto"/>
                          </w:divBdr>
                        </w:div>
                        <w:div w:id="147498081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579289">
          <w:marLeft w:val="0"/>
          <w:marRight w:val="0"/>
          <w:marTop w:val="0"/>
          <w:marBottom w:val="0"/>
          <w:divBdr>
            <w:top w:val="none" w:sz="0" w:space="0" w:color="auto"/>
            <w:left w:val="none" w:sz="0" w:space="0" w:color="auto"/>
            <w:bottom w:val="none" w:sz="0" w:space="0" w:color="auto"/>
            <w:right w:val="none" w:sz="0" w:space="0" w:color="auto"/>
          </w:divBdr>
          <w:divsChild>
            <w:div w:id="1797598092">
              <w:marLeft w:val="75"/>
              <w:marRight w:val="75"/>
              <w:marTop w:val="300"/>
              <w:marBottom w:val="75"/>
              <w:divBdr>
                <w:top w:val="none" w:sz="0" w:space="0" w:color="auto"/>
                <w:left w:val="none" w:sz="0" w:space="0" w:color="auto"/>
                <w:bottom w:val="none" w:sz="0" w:space="0" w:color="auto"/>
                <w:right w:val="none" w:sz="0" w:space="0" w:color="auto"/>
              </w:divBdr>
              <w:divsChild>
                <w:div w:id="1099331395">
                  <w:marLeft w:val="0"/>
                  <w:marRight w:val="0"/>
                  <w:marTop w:val="0"/>
                  <w:marBottom w:val="0"/>
                  <w:divBdr>
                    <w:top w:val="none" w:sz="0" w:space="0" w:color="auto"/>
                    <w:left w:val="none" w:sz="0" w:space="0" w:color="auto"/>
                    <w:bottom w:val="none" w:sz="0" w:space="0" w:color="auto"/>
                    <w:right w:val="none" w:sz="0" w:space="0" w:color="auto"/>
                  </w:divBdr>
                  <w:divsChild>
                    <w:div w:id="2051764941">
                      <w:marLeft w:val="0"/>
                      <w:marRight w:val="0"/>
                      <w:marTop w:val="0"/>
                      <w:marBottom w:val="0"/>
                      <w:divBdr>
                        <w:top w:val="none" w:sz="0" w:space="0" w:color="auto"/>
                        <w:left w:val="none" w:sz="0" w:space="0" w:color="auto"/>
                        <w:bottom w:val="none" w:sz="0" w:space="0" w:color="auto"/>
                        <w:right w:val="none" w:sz="0" w:space="0" w:color="auto"/>
                      </w:divBdr>
                      <w:divsChild>
                        <w:div w:id="96759139">
                          <w:marLeft w:val="75"/>
                          <w:marRight w:val="0"/>
                          <w:marTop w:val="0"/>
                          <w:marBottom w:val="0"/>
                          <w:divBdr>
                            <w:top w:val="none" w:sz="0" w:space="0" w:color="auto"/>
                            <w:left w:val="none" w:sz="0" w:space="0" w:color="auto"/>
                            <w:bottom w:val="none" w:sz="0" w:space="0" w:color="auto"/>
                            <w:right w:val="none" w:sz="0" w:space="0" w:color="auto"/>
                          </w:divBdr>
                        </w:div>
                        <w:div w:id="233131556">
                          <w:marLeft w:val="75"/>
                          <w:marRight w:val="0"/>
                          <w:marTop w:val="0"/>
                          <w:marBottom w:val="0"/>
                          <w:divBdr>
                            <w:top w:val="none" w:sz="0" w:space="0" w:color="auto"/>
                            <w:left w:val="none" w:sz="0" w:space="0" w:color="auto"/>
                            <w:bottom w:val="none" w:sz="0" w:space="0" w:color="auto"/>
                            <w:right w:val="none" w:sz="0" w:space="0" w:color="auto"/>
                          </w:divBdr>
                        </w:div>
                        <w:div w:id="16764901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536099">
          <w:marLeft w:val="0"/>
          <w:marRight w:val="0"/>
          <w:marTop w:val="0"/>
          <w:marBottom w:val="0"/>
          <w:divBdr>
            <w:top w:val="none" w:sz="0" w:space="0" w:color="auto"/>
            <w:left w:val="none" w:sz="0" w:space="0" w:color="auto"/>
            <w:bottom w:val="none" w:sz="0" w:space="0" w:color="auto"/>
            <w:right w:val="none" w:sz="0" w:space="0" w:color="auto"/>
          </w:divBdr>
          <w:divsChild>
            <w:div w:id="1559587898">
              <w:marLeft w:val="75"/>
              <w:marRight w:val="75"/>
              <w:marTop w:val="300"/>
              <w:marBottom w:val="75"/>
              <w:divBdr>
                <w:top w:val="none" w:sz="0" w:space="0" w:color="auto"/>
                <w:left w:val="none" w:sz="0" w:space="0" w:color="auto"/>
                <w:bottom w:val="none" w:sz="0" w:space="0" w:color="auto"/>
                <w:right w:val="none" w:sz="0" w:space="0" w:color="auto"/>
              </w:divBdr>
              <w:divsChild>
                <w:div w:id="9922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63803">
          <w:marLeft w:val="0"/>
          <w:marRight w:val="0"/>
          <w:marTop w:val="0"/>
          <w:marBottom w:val="0"/>
          <w:divBdr>
            <w:top w:val="none" w:sz="0" w:space="0" w:color="auto"/>
            <w:left w:val="none" w:sz="0" w:space="0" w:color="auto"/>
            <w:bottom w:val="none" w:sz="0" w:space="0" w:color="auto"/>
            <w:right w:val="none" w:sz="0" w:space="0" w:color="auto"/>
          </w:divBdr>
          <w:divsChild>
            <w:div w:id="605164056">
              <w:marLeft w:val="75"/>
              <w:marRight w:val="75"/>
              <w:marTop w:val="300"/>
              <w:marBottom w:val="75"/>
              <w:divBdr>
                <w:top w:val="none" w:sz="0" w:space="0" w:color="auto"/>
                <w:left w:val="none" w:sz="0" w:space="0" w:color="auto"/>
                <w:bottom w:val="none" w:sz="0" w:space="0" w:color="auto"/>
                <w:right w:val="none" w:sz="0" w:space="0" w:color="auto"/>
              </w:divBdr>
              <w:divsChild>
                <w:div w:id="10774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5844">
          <w:marLeft w:val="0"/>
          <w:marRight w:val="0"/>
          <w:marTop w:val="0"/>
          <w:marBottom w:val="0"/>
          <w:divBdr>
            <w:top w:val="none" w:sz="0" w:space="0" w:color="auto"/>
            <w:left w:val="none" w:sz="0" w:space="0" w:color="auto"/>
            <w:bottom w:val="none" w:sz="0" w:space="0" w:color="auto"/>
            <w:right w:val="none" w:sz="0" w:space="0" w:color="auto"/>
          </w:divBdr>
          <w:divsChild>
            <w:div w:id="927155953">
              <w:marLeft w:val="75"/>
              <w:marRight w:val="75"/>
              <w:marTop w:val="300"/>
              <w:marBottom w:val="75"/>
              <w:divBdr>
                <w:top w:val="none" w:sz="0" w:space="0" w:color="auto"/>
                <w:left w:val="none" w:sz="0" w:space="0" w:color="auto"/>
                <w:bottom w:val="none" w:sz="0" w:space="0" w:color="auto"/>
                <w:right w:val="none" w:sz="0" w:space="0" w:color="auto"/>
              </w:divBdr>
              <w:divsChild>
                <w:div w:id="716130467">
                  <w:marLeft w:val="0"/>
                  <w:marRight w:val="0"/>
                  <w:marTop w:val="0"/>
                  <w:marBottom w:val="0"/>
                  <w:divBdr>
                    <w:top w:val="none" w:sz="0" w:space="0" w:color="auto"/>
                    <w:left w:val="none" w:sz="0" w:space="0" w:color="auto"/>
                    <w:bottom w:val="none" w:sz="0" w:space="0" w:color="auto"/>
                    <w:right w:val="none" w:sz="0" w:space="0" w:color="auto"/>
                  </w:divBdr>
                  <w:divsChild>
                    <w:div w:id="1812750244">
                      <w:marLeft w:val="0"/>
                      <w:marRight w:val="0"/>
                      <w:marTop w:val="0"/>
                      <w:marBottom w:val="0"/>
                      <w:divBdr>
                        <w:top w:val="none" w:sz="0" w:space="0" w:color="auto"/>
                        <w:left w:val="none" w:sz="0" w:space="0" w:color="auto"/>
                        <w:bottom w:val="none" w:sz="0" w:space="0" w:color="auto"/>
                        <w:right w:val="none" w:sz="0" w:space="0" w:color="auto"/>
                      </w:divBdr>
                      <w:divsChild>
                        <w:div w:id="271322335">
                          <w:marLeft w:val="75"/>
                          <w:marRight w:val="0"/>
                          <w:marTop w:val="0"/>
                          <w:marBottom w:val="0"/>
                          <w:divBdr>
                            <w:top w:val="none" w:sz="0" w:space="0" w:color="auto"/>
                            <w:left w:val="none" w:sz="0" w:space="0" w:color="auto"/>
                            <w:bottom w:val="none" w:sz="0" w:space="0" w:color="auto"/>
                            <w:right w:val="none" w:sz="0" w:space="0" w:color="auto"/>
                          </w:divBdr>
                        </w:div>
                        <w:div w:id="1393432774">
                          <w:marLeft w:val="75"/>
                          <w:marRight w:val="0"/>
                          <w:marTop w:val="0"/>
                          <w:marBottom w:val="0"/>
                          <w:divBdr>
                            <w:top w:val="none" w:sz="0" w:space="0" w:color="auto"/>
                            <w:left w:val="none" w:sz="0" w:space="0" w:color="auto"/>
                            <w:bottom w:val="none" w:sz="0" w:space="0" w:color="auto"/>
                            <w:right w:val="none" w:sz="0" w:space="0" w:color="auto"/>
                          </w:divBdr>
                        </w:div>
                        <w:div w:id="188181549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101485">
          <w:marLeft w:val="0"/>
          <w:marRight w:val="0"/>
          <w:marTop w:val="0"/>
          <w:marBottom w:val="0"/>
          <w:divBdr>
            <w:top w:val="none" w:sz="0" w:space="0" w:color="auto"/>
            <w:left w:val="none" w:sz="0" w:space="0" w:color="auto"/>
            <w:bottom w:val="none" w:sz="0" w:space="0" w:color="auto"/>
            <w:right w:val="none" w:sz="0" w:space="0" w:color="auto"/>
          </w:divBdr>
          <w:divsChild>
            <w:div w:id="1358198563">
              <w:marLeft w:val="75"/>
              <w:marRight w:val="75"/>
              <w:marTop w:val="300"/>
              <w:marBottom w:val="75"/>
              <w:divBdr>
                <w:top w:val="none" w:sz="0" w:space="0" w:color="auto"/>
                <w:left w:val="none" w:sz="0" w:space="0" w:color="auto"/>
                <w:bottom w:val="none" w:sz="0" w:space="0" w:color="auto"/>
                <w:right w:val="none" w:sz="0" w:space="0" w:color="auto"/>
              </w:divBdr>
              <w:divsChild>
                <w:div w:id="84150425">
                  <w:marLeft w:val="0"/>
                  <w:marRight w:val="0"/>
                  <w:marTop w:val="0"/>
                  <w:marBottom w:val="0"/>
                  <w:divBdr>
                    <w:top w:val="none" w:sz="0" w:space="0" w:color="auto"/>
                    <w:left w:val="none" w:sz="0" w:space="0" w:color="auto"/>
                    <w:bottom w:val="none" w:sz="0" w:space="0" w:color="auto"/>
                    <w:right w:val="none" w:sz="0" w:space="0" w:color="auto"/>
                  </w:divBdr>
                  <w:divsChild>
                    <w:div w:id="368071263">
                      <w:marLeft w:val="-15"/>
                      <w:marRight w:val="-15"/>
                      <w:marTop w:val="0"/>
                      <w:marBottom w:val="0"/>
                      <w:divBdr>
                        <w:top w:val="none" w:sz="0" w:space="0" w:color="auto"/>
                        <w:left w:val="none" w:sz="0" w:space="0" w:color="auto"/>
                        <w:bottom w:val="none" w:sz="0" w:space="0" w:color="auto"/>
                        <w:right w:val="none" w:sz="0" w:space="0" w:color="auto"/>
                      </w:divBdr>
                    </w:div>
                    <w:div w:id="453405700">
                      <w:marLeft w:val="0"/>
                      <w:marRight w:val="0"/>
                      <w:marTop w:val="0"/>
                      <w:marBottom w:val="0"/>
                      <w:divBdr>
                        <w:top w:val="none" w:sz="0" w:space="0" w:color="auto"/>
                        <w:left w:val="none" w:sz="0" w:space="0" w:color="auto"/>
                        <w:bottom w:val="none" w:sz="0" w:space="0" w:color="auto"/>
                        <w:right w:val="none" w:sz="0" w:space="0" w:color="auto"/>
                      </w:divBdr>
                    </w:div>
                    <w:div w:id="208302385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059903">
          <w:marLeft w:val="0"/>
          <w:marRight w:val="0"/>
          <w:marTop w:val="0"/>
          <w:marBottom w:val="0"/>
          <w:divBdr>
            <w:top w:val="none" w:sz="0" w:space="0" w:color="auto"/>
            <w:left w:val="none" w:sz="0" w:space="0" w:color="auto"/>
            <w:bottom w:val="none" w:sz="0" w:space="0" w:color="auto"/>
            <w:right w:val="none" w:sz="0" w:space="0" w:color="auto"/>
          </w:divBdr>
          <w:divsChild>
            <w:div w:id="372273278">
              <w:marLeft w:val="75"/>
              <w:marRight w:val="75"/>
              <w:marTop w:val="300"/>
              <w:marBottom w:val="75"/>
              <w:divBdr>
                <w:top w:val="none" w:sz="0" w:space="0" w:color="auto"/>
                <w:left w:val="none" w:sz="0" w:space="0" w:color="auto"/>
                <w:bottom w:val="none" w:sz="0" w:space="0" w:color="auto"/>
                <w:right w:val="none" w:sz="0" w:space="0" w:color="auto"/>
              </w:divBdr>
              <w:divsChild>
                <w:div w:id="15309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67525">
          <w:marLeft w:val="0"/>
          <w:marRight w:val="0"/>
          <w:marTop w:val="0"/>
          <w:marBottom w:val="0"/>
          <w:divBdr>
            <w:top w:val="none" w:sz="0" w:space="0" w:color="auto"/>
            <w:left w:val="none" w:sz="0" w:space="0" w:color="auto"/>
            <w:bottom w:val="none" w:sz="0" w:space="0" w:color="auto"/>
            <w:right w:val="none" w:sz="0" w:space="0" w:color="auto"/>
          </w:divBdr>
          <w:divsChild>
            <w:div w:id="2080008428">
              <w:marLeft w:val="75"/>
              <w:marRight w:val="75"/>
              <w:marTop w:val="300"/>
              <w:marBottom w:val="75"/>
              <w:divBdr>
                <w:top w:val="none" w:sz="0" w:space="0" w:color="auto"/>
                <w:left w:val="none" w:sz="0" w:space="0" w:color="auto"/>
                <w:bottom w:val="none" w:sz="0" w:space="0" w:color="auto"/>
                <w:right w:val="none" w:sz="0" w:space="0" w:color="auto"/>
              </w:divBdr>
              <w:divsChild>
                <w:div w:id="1154488251">
                  <w:marLeft w:val="0"/>
                  <w:marRight w:val="0"/>
                  <w:marTop w:val="0"/>
                  <w:marBottom w:val="0"/>
                  <w:divBdr>
                    <w:top w:val="none" w:sz="0" w:space="0" w:color="auto"/>
                    <w:left w:val="none" w:sz="0" w:space="0" w:color="auto"/>
                    <w:bottom w:val="none" w:sz="0" w:space="0" w:color="auto"/>
                    <w:right w:val="none" w:sz="0" w:space="0" w:color="auto"/>
                  </w:divBdr>
                  <w:divsChild>
                    <w:div w:id="1411466610">
                      <w:marLeft w:val="300"/>
                      <w:marRight w:val="0"/>
                      <w:marTop w:val="0"/>
                      <w:marBottom w:val="0"/>
                      <w:divBdr>
                        <w:top w:val="none" w:sz="0" w:space="0" w:color="auto"/>
                        <w:left w:val="none" w:sz="0" w:space="0" w:color="auto"/>
                        <w:bottom w:val="none" w:sz="0" w:space="0" w:color="auto"/>
                        <w:right w:val="none" w:sz="0" w:space="0" w:color="auto"/>
                      </w:divBdr>
                    </w:div>
                    <w:div w:id="1721006951">
                      <w:marLeft w:val="0"/>
                      <w:marRight w:val="0"/>
                      <w:marTop w:val="0"/>
                      <w:marBottom w:val="0"/>
                      <w:divBdr>
                        <w:top w:val="none" w:sz="0" w:space="0" w:color="auto"/>
                        <w:left w:val="none" w:sz="0" w:space="0" w:color="auto"/>
                        <w:bottom w:val="none" w:sz="0" w:space="0" w:color="auto"/>
                        <w:right w:val="none" w:sz="0" w:space="0" w:color="auto"/>
                      </w:divBdr>
                    </w:div>
                    <w:div w:id="2124372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035884654">
          <w:marLeft w:val="0"/>
          <w:marRight w:val="0"/>
          <w:marTop w:val="0"/>
          <w:marBottom w:val="0"/>
          <w:divBdr>
            <w:top w:val="none" w:sz="0" w:space="0" w:color="auto"/>
            <w:left w:val="none" w:sz="0" w:space="0" w:color="auto"/>
            <w:bottom w:val="none" w:sz="0" w:space="0" w:color="auto"/>
            <w:right w:val="none" w:sz="0" w:space="0" w:color="auto"/>
          </w:divBdr>
          <w:divsChild>
            <w:div w:id="551893208">
              <w:marLeft w:val="75"/>
              <w:marRight w:val="75"/>
              <w:marTop w:val="300"/>
              <w:marBottom w:val="75"/>
              <w:divBdr>
                <w:top w:val="none" w:sz="0" w:space="0" w:color="auto"/>
                <w:left w:val="none" w:sz="0" w:space="0" w:color="auto"/>
                <w:bottom w:val="none" w:sz="0" w:space="0" w:color="auto"/>
                <w:right w:val="none" w:sz="0" w:space="0" w:color="auto"/>
              </w:divBdr>
              <w:divsChild>
                <w:div w:id="863128108">
                  <w:marLeft w:val="0"/>
                  <w:marRight w:val="0"/>
                  <w:marTop w:val="0"/>
                  <w:marBottom w:val="0"/>
                  <w:divBdr>
                    <w:top w:val="none" w:sz="0" w:space="0" w:color="auto"/>
                    <w:left w:val="none" w:sz="0" w:space="0" w:color="auto"/>
                    <w:bottom w:val="none" w:sz="0" w:space="0" w:color="auto"/>
                    <w:right w:val="none" w:sz="0" w:space="0" w:color="auto"/>
                  </w:divBdr>
                  <w:divsChild>
                    <w:div w:id="51655324">
                      <w:marLeft w:val="0"/>
                      <w:marRight w:val="0"/>
                      <w:marTop w:val="0"/>
                      <w:marBottom w:val="0"/>
                      <w:divBdr>
                        <w:top w:val="none" w:sz="0" w:space="0" w:color="auto"/>
                        <w:left w:val="none" w:sz="0" w:space="0" w:color="auto"/>
                        <w:bottom w:val="none" w:sz="0" w:space="0" w:color="auto"/>
                        <w:right w:val="none" w:sz="0" w:space="0" w:color="auto"/>
                      </w:divBdr>
                    </w:div>
                    <w:div w:id="347607419">
                      <w:marLeft w:val="300"/>
                      <w:marRight w:val="0"/>
                      <w:marTop w:val="0"/>
                      <w:marBottom w:val="0"/>
                      <w:divBdr>
                        <w:top w:val="none" w:sz="0" w:space="0" w:color="auto"/>
                        <w:left w:val="none" w:sz="0" w:space="0" w:color="auto"/>
                        <w:bottom w:val="none" w:sz="0" w:space="0" w:color="auto"/>
                        <w:right w:val="none" w:sz="0" w:space="0" w:color="auto"/>
                      </w:divBdr>
                    </w:div>
                    <w:div w:id="11274341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064110496">
          <w:marLeft w:val="0"/>
          <w:marRight w:val="0"/>
          <w:marTop w:val="0"/>
          <w:marBottom w:val="0"/>
          <w:divBdr>
            <w:top w:val="none" w:sz="0" w:space="0" w:color="auto"/>
            <w:left w:val="none" w:sz="0" w:space="0" w:color="auto"/>
            <w:bottom w:val="none" w:sz="0" w:space="0" w:color="auto"/>
            <w:right w:val="none" w:sz="0" w:space="0" w:color="auto"/>
          </w:divBdr>
          <w:divsChild>
            <w:div w:id="1795558042">
              <w:marLeft w:val="75"/>
              <w:marRight w:val="75"/>
              <w:marTop w:val="300"/>
              <w:marBottom w:val="75"/>
              <w:divBdr>
                <w:top w:val="none" w:sz="0" w:space="0" w:color="auto"/>
                <w:left w:val="none" w:sz="0" w:space="0" w:color="auto"/>
                <w:bottom w:val="none" w:sz="0" w:space="0" w:color="auto"/>
                <w:right w:val="none" w:sz="0" w:space="0" w:color="auto"/>
              </w:divBdr>
              <w:divsChild>
                <w:div w:id="1530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16028">
          <w:marLeft w:val="0"/>
          <w:marRight w:val="0"/>
          <w:marTop w:val="0"/>
          <w:marBottom w:val="0"/>
          <w:divBdr>
            <w:top w:val="none" w:sz="0" w:space="0" w:color="auto"/>
            <w:left w:val="none" w:sz="0" w:space="0" w:color="auto"/>
            <w:bottom w:val="none" w:sz="0" w:space="0" w:color="auto"/>
            <w:right w:val="none" w:sz="0" w:space="0" w:color="auto"/>
          </w:divBdr>
          <w:divsChild>
            <w:div w:id="226303640">
              <w:marLeft w:val="75"/>
              <w:marRight w:val="75"/>
              <w:marTop w:val="300"/>
              <w:marBottom w:val="75"/>
              <w:divBdr>
                <w:top w:val="none" w:sz="0" w:space="0" w:color="auto"/>
                <w:left w:val="none" w:sz="0" w:space="0" w:color="auto"/>
                <w:bottom w:val="none" w:sz="0" w:space="0" w:color="auto"/>
                <w:right w:val="none" w:sz="0" w:space="0" w:color="auto"/>
              </w:divBdr>
              <w:divsChild>
                <w:div w:id="1644848362">
                  <w:marLeft w:val="0"/>
                  <w:marRight w:val="0"/>
                  <w:marTop w:val="0"/>
                  <w:marBottom w:val="0"/>
                  <w:divBdr>
                    <w:top w:val="none" w:sz="0" w:space="0" w:color="auto"/>
                    <w:left w:val="none" w:sz="0" w:space="0" w:color="auto"/>
                    <w:bottom w:val="none" w:sz="0" w:space="0" w:color="auto"/>
                    <w:right w:val="none" w:sz="0" w:space="0" w:color="auto"/>
                  </w:divBdr>
                  <w:divsChild>
                    <w:div w:id="1625774419">
                      <w:marLeft w:val="0"/>
                      <w:marRight w:val="0"/>
                      <w:marTop w:val="0"/>
                      <w:marBottom w:val="0"/>
                      <w:divBdr>
                        <w:top w:val="none" w:sz="0" w:space="0" w:color="auto"/>
                        <w:left w:val="none" w:sz="0" w:space="0" w:color="auto"/>
                        <w:bottom w:val="none" w:sz="0" w:space="0" w:color="auto"/>
                        <w:right w:val="none" w:sz="0" w:space="0" w:color="auto"/>
                      </w:divBdr>
                      <w:divsChild>
                        <w:div w:id="648175752">
                          <w:marLeft w:val="75"/>
                          <w:marRight w:val="0"/>
                          <w:marTop w:val="0"/>
                          <w:marBottom w:val="0"/>
                          <w:divBdr>
                            <w:top w:val="none" w:sz="0" w:space="0" w:color="auto"/>
                            <w:left w:val="none" w:sz="0" w:space="0" w:color="auto"/>
                            <w:bottom w:val="none" w:sz="0" w:space="0" w:color="auto"/>
                            <w:right w:val="none" w:sz="0" w:space="0" w:color="auto"/>
                          </w:divBdr>
                        </w:div>
                        <w:div w:id="1169713735">
                          <w:marLeft w:val="75"/>
                          <w:marRight w:val="0"/>
                          <w:marTop w:val="0"/>
                          <w:marBottom w:val="0"/>
                          <w:divBdr>
                            <w:top w:val="none" w:sz="0" w:space="0" w:color="auto"/>
                            <w:left w:val="none" w:sz="0" w:space="0" w:color="auto"/>
                            <w:bottom w:val="none" w:sz="0" w:space="0" w:color="auto"/>
                            <w:right w:val="none" w:sz="0" w:space="0" w:color="auto"/>
                          </w:divBdr>
                        </w:div>
                        <w:div w:id="154470896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960203">
          <w:marLeft w:val="0"/>
          <w:marRight w:val="0"/>
          <w:marTop w:val="0"/>
          <w:marBottom w:val="0"/>
          <w:divBdr>
            <w:top w:val="none" w:sz="0" w:space="0" w:color="auto"/>
            <w:left w:val="none" w:sz="0" w:space="0" w:color="auto"/>
            <w:bottom w:val="none" w:sz="0" w:space="0" w:color="auto"/>
            <w:right w:val="none" w:sz="0" w:space="0" w:color="auto"/>
          </w:divBdr>
          <w:divsChild>
            <w:div w:id="1657030616">
              <w:marLeft w:val="75"/>
              <w:marRight w:val="75"/>
              <w:marTop w:val="300"/>
              <w:marBottom w:val="75"/>
              <w:divBdr>
                <w:top w:val="none" w:sz="0" w:space="0" w:color="auto"/>
                <w:left w:val="none" w:sz="0" w:space="0" w:color="auto"/>
                <w:bottom w:val="none" w:sz="0" w:space="0" w:color="auto"/>
                <w:right w:val="none" w:sz="0" w:space="0" w:color="auto"/>
              </w:divBdr>
              <w:divsChild>
                <w:div w:id="1308973355">
                  <w:marLeft w:val="0"/>
                  <w:marRight w:val="0"/>
                  <w:marTop w:val="0"/>
                  <w:marBottom w:val="0"/>
                  <w:divBdr>
                    <w:top w:val="none" w:sz="0" w:space="0" w:color="auto"/>
                    <w:left w:val="none" w:sz="0" w:space="0" w:color="auto"/>
                    <w:bottom w:val="none" w:sz="0" w:space="0" w:color="auto"/>
                    <w:right w:val="none" w:sz="0" w:space="0" w:color="auto"/>
                  </w:divBdr>
                  <w:divsChild>
                    <w:div w:id="1002393351">
                      <w:marLeft w:val="0"/>
                      <w:marRight w:val="0"/>
                      <w:marTop w:val="0"/>
                      <w:marBottom w:val="0"/>
                      <w:divBdr>
                        <w:top w:val="none" w:sz="0" w:space="0" w:color="auto"/>
                        <w:left w:val="none" w:sz="0" w:space="0" w:color="auto"/>
                        <w:bottom w:val="none" w:sz="0" w:space="0" w:color="auto"/>
                        <w:right w:val="none" w:sz="0" w:space="0" w:color="auto"/>
                      </w:divBdr>
                      <w:divsChild>
                        <w:div w:id="74318328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1184398042">
          <w:marLeft w:val="0"/>
          <w:marRight w:val="0"/>
          <w:marTop w:val="0"/>
          <w:marBottom w:val="0"/>
          <w:divBdr>
            <w:top w:val="none" w:sz="0" w:space="0" w:color="auto"/>
            <w:left w:val="none" w:sz="0" w:space="0" w:color="auto"/>
            <w:bottom w:val="none" w:sz="0" w:space="0" w:color="auto"/>
            <w:right w:val="none" w:sz="0" w:space="0" w:color="auto"/>
          </w:divBdr>
          <w:divsChild>
            <w:div w:id="1765998824">
              <w:marLeft w:val="75"/>
              <w:marRight w:val="75"/>
              <w:marTop w:val="300"/>
              <w:marBottom w:val="75"/>
              <w:divBdr>
                <w:top w:val="none" w:sz="0" w:space="0" w:color="auto"/>
                <w:left w:val="none" w:sz="0" w:space="0" w:color="auto"/>
                <w:bottom w:val="none" w:sz="0" w:space="0" w:color="auto"/>
                <w:right w:val="none" w:sz="0" w:space="0" w:color="auto"/>
              </w:divBdr>
              <w:divsChild>
                <w:div w:id="1350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6567">
          <w:marLeft w:val="0"/>
          <w:marRight w:val="0"/>
          <w:marTop w:val="0"/>
          <w:marBottom w:val="0"/>
          <w:divBdr>
            <w:top w:val="none" w:sz="0" w:space="0" w:color="auto"/>
            <w:left w:val="none" w:sz="0" w:space="0" w:color="auto"/>
            <w:bottom w:val="none" w:sz="0" w:space="0" w:color="auto"/>
            <w:right w:val="none" w:sz="0" w:space="0" w:color="auto"/>
          </w:divBdr>
          <w:divsChild>
            <w:div w:id="752507876">
              <w:marLeft w:val="75"/>
              <w:marRight w:val="75"/>
              <w:marTop w:val="300"/>
              <w:marBottom w:val="75"/>
              <w:divBdr>
                <w:top w:val="none" w:sz="0" w:space="0" w:color="auto"/>
                <w:left w:val="none" w:sz="0" w:space="0" w:color="auto"/>
                <w:bottom w:val="none" w:sz="0" w:space="0" w:color="auto"/>
                <w:right w:val="none" w:sz="0" w:space="0" w:color="auto"/>
              </w:divBdr>
              <w:divsChild>
                <w:div w:id="10269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043">
          <w:marLeft w:val="0"/>
          <w:marRight w:val="0"/>
          <w:marTop w:val="0"/>
          <w:marBottom w:val="0"/>
          <w:divBdr>
            <w:top w:val="none" w:sz="0" w:space="0" w:color="auto"/>
            <w:left w:val="none" w:sz="0" w:space="0" w:color="auto"/>
            <w:bottom w:val="none" w:sz="0" w:space="0" w:color="auto"/>
            <w:right w:val="none" w:sz="0" w:space="0" w:color="auto"/>
          </w:divBdr>
          <w:divsChild>
            <w:div w:id="1966353393">
              <w:marLeft w:val="75"/>
              <w:marRight w:val="75"/>
              <w:marTop w:val="300"/>
              <w:marBottom w:val="75"/>
              <w:divBdr>
                <w:top w:val="none" w:sz="0" w:space="0" w:color="auto"/>
                <w:left w:val="none" w:sz="0" w:space="0" w:color="auto"/>
                <w:bottom w:val="none" w:sz="0" w:space="0" w:color="auto"/>
                <w:right w:val="none" w:sz="0" w:space="0" w:color="auto"/>
              </w:divBdr>
              <w:divsChild>
                <w:div w:id="3170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5020">
          <w:marLeft w:val="0"/>
          <w:marRight w:val="0"/>
          <w:marTop w:val="0"/>
          <w:marBottom w:val="0"/>
          <w:divBdr>
            <w:top w:val="none" w:sz="0" w:space="0" w:color="auto"/>
            <w:left w:val="none" w:sz="0" w:space="0" w:color="auto"/>
            <w:bottom w:val="none" w:sz="0" w:space="0" w:color="auto"/>
            <w:right w:val="none" w:sz="0" w:space="0" w:color="auto"/>
          </w:divBdr>
          <w:divsChild>
            <w:div w:id="342979214">
              <w:marLeft w:val="75"/>
              <w:marRight w:val="75"/>
              <w:marTop w:val="300"/>
              <w:marBottom w:val="75"/>
              <w:divBdr>
                <w:top w:val="none" w:sz="0" w:space="0" w:color="auto"/>
                <w:left w:val="none" w:sz="0" w:space="0" w:color="auto"/>
                <w:bottom w:val="none" w:sz="0" w:space="0" w:color="auto"/>
                <w:right w:val="none" w:sz="0" w:space="0" w:color="auto"/>
              </w:divBdr>
              <w:divsChild>
                <w:div w:id="12832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7870">
          <w:marLeft w:val="0"/>
          <w:marRight w:val="0"/>
          <w:marTop w:val="0"/>
          <w:marBottom w:val="0"/>
          <w:divBdr>
            <w:top w:val="none" w:sz="0" w:space="0" w:color="auto"/>
            <w:left w:val="none" w:sz="0" w:space="0" w:color="auto"/>
            <w:bottom w:val="none" w:sz="0" w:space="0" w:color="auto"/>
            <w:right w:val="none" w:sz="0" w:space="0" w:color="auto"/>
          </w:divBdr>
          <w:divsChild>
            <w:div w:id="2140688198">
              <w:marLeft w:val="75"/>
              <w:marRight w:val="75"/>
              <w:marTop w:val="300"/>
              <w:marBottom w:val="75"/>
              <w:divBdr>
                <w:top w:val="none" w:sz="0" w:space="0" w:color="auto"/>
                <w:left w:val="none" w:sz="0" w:space="0" w:color="auto"/>
                <w:bottom w:val="none" w:sz="0" w:space="0" w:color="auto"/>
                <w:right w:val="none" w:sz="0" w:space="0" w:color="auto"/>
              </w:divBdr>
              <w:divsChild>
                <w:div w:id="285737020">
                  <w:marLeft w:val="0"/>
                  <w:marRight w:val="0"/>
                  <w:marTop w:val="0"/>
                  <w:marBottom w:val="0"/>
                  <w:divBdr>
                    <w:top w:val="none" w:sz="0" w:space="0" w:color="auto"/>
                    <w:left w:val="none" w:sz="0" w:space="0" w:color="auto"/>
                    <w:bottom w:val="none" w:sz="0" w:space="0" w:color="auto"/>
                    <w:right w:val="none" w:sz="0" w:space="0" w:color="auto"/>
                  </w:divBdr>
                  <w:divsChild>
                    <w:div w:id="4289583">
                      <w:marLeft w:val="0"/>
                      <w:marRight w:val="0"/>
                      <w:marTop w:val="0"/>
                      <w:marBottom w:val="0"/>
                      <w:divBdr>
                        <w:top w:val="none" w:sz="0" w:space="0" w:color="auto"/>
                        <w:left w:val="none" w:sz="0" w:space="0" w:color="auto"/>
                        <w:bottom w:val="none" w:sz="0" w:space="0" w:color="auto"/>
                        <w:right w:val="none" w:sz="0" w:space="0" w:color="auto"/>
                      </w:divBdr>
                    </w:div>
                    <w:div w:id="1002243923">
                      <w:marLeft w:val="-15"/>
                      <w:marRight w:val="-15"/>
                      <w:marTop w:val="0"/>
                      <w:marBottom w:val="0"/>
                      <w:divBdr>
                        <w:top w:val="none" w:sz="0" w:space="0" w:color="auto"/>
                        <w:left w:val="none" w:sz="0" w:space="0" w:color="auto"/>
                        <w:bottom w:val="none" w:sz="0" w:space="0" w:color="auto"/>
                        <w:right w:val="none" w:sz="0" w:space="0" w:color="auto"/>
                      </w:divBdr>
                    </w:div>
                    <w:div w:id="14800309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98835">
          <w:marLeft w:val="0"/>
          <w:marRight w:val="0"/>
          <w:marTop w:val="0"/>
          <w:marBottom w:val="0"/>
          <w:divBdr>
            <w:top w:val="none" w:sz="0" w:space="0" w:color="auto"/>
            <w:left w:val="none" w:sz="0" w:space="0" w:color="auto"/>
            <w:bottom w:val="none" w:sz="0" w:space="0" w:color="auto"/>
            <w:right w:val="none" w:sz="0" w:space="0" w:color="auto"/>
          </w:divBdr>
          <w:divsChild>
            <w:div w:id="1950818575">
              <w:marLeft w:val="75"/>
              <w:marRight w:val="75"/>
              <w:marTop w:val="300"/>
              <w:marBottom w:val="75"/>
              <w:divBdr>
                <w:top w:val="none" w:sz="0" w:space="0" w:color="auto"/>
                <w:left w:val="none" w:sz="0" w:space="0" w:color="auto"/>
                <w:bottom w:val="none" w:sz="0" w:space="0" w:color="auto"/>
                <w:right w:val="none" w:sz="0" w:space="0" w:color="auto"/>
              </w:divBdr>
              <w:divsChild>
                <w:div w:id="2101825808">
                  <w:marLeft w:val="0"/>
                  <w:marRight w:val="0"/>
                  <w:marTop w:val="0"/>
                  <w:marBottom w:val="0"/>
                  <w:divBdr>
                    <w:top w:val="none" w:sz="0" w:space="0" w:color="auto"/>
                    <w:left w:val="none" w:sz="0" w:space="0" w:color="auto"/>
                    <w:bottom w:val="none" w:sz="0" w:space="0" w:color="auto"/>
                    <w:right w:val="none" w:sz="0" w:space="0" w:color="auto"/>
                  </w:divBdr>
                  <w:divsChild>
                    <w:div w:id="297536421">
                      <w:marLeft w:val="-15"/>
                      <w:marRight w:val="-15"/>
                      <w:marTop w:val="0"/>
                      <w:marBottom w:val="0"/>
                      <w:divBdr>
                        <w:top w:val="none" w:sz="0" w:space="0" w:color="auto"/>
                        <w:left w:val="none" w:sz="0" w:space="0" w:color="auto"/>
                        <w:bottom w:val="none" w:sz="0" w:space="0" w:color="auto"/>
                        <w:right w:val="none" w:sz="0" w:space="0" w:color="auto"/>
                      </w:divBdr>
                    </w:div>
                    <w:div w:id="1349217040">
                      <w:marLeft w:val="0"/>
                      <w:marRight w:val="0"/>
                      <w:marTop w:val="0"/>
                      <w:marBottom w:val="0"/>
                      <w:divBdr>
                        <w:top w:val="none" w:sz="0" w:space="0" w:color="auto"/>
                        <w:left w:val="none" w:sz="0" w:space="0" w:color="auto"/>
                        <w:bottom w:val="none" w:sz="0" w:space="0" w:color="auto"/>
                        <w:right w:val="none" w:sz="0" w:space="0" w:color="auto"/>
                      </w:divBdr>
                    </w:div>
                    <w:div w:id="195752346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358553">
          <w:marLeft w:val="0"/>
          <w:marRight w:val="0"/>
          <w:marTop w:val="0"/>
          <w:marBottom w:val="0"/>
          <w:divBdr>
            <w:top w:val="none" w:sz="0" w:space="0" w:color="auto"/>
            <w:left w:val="none" w:sz="0" w:space="0" w:color="auto"/>
            <w:bottom w:val="none" w:sz="0" w:space="0" w:color="auto"/>
            <w:right w:val="none" w:sz="0" w:space="0" w:color="auto"/>
          </w:divBdr>
          <w:divsChild>
            <w:div w:id="963729347">
              <w:marLeft w:val="75"/>
              <w:marRight w:val="75"/>
              <w:marTop w:val="300"/>
              <w:marBottom w:val="75"/>
              <w:divBdr>
                <w:top w:val="none" w:sz="0" w:space="0" w:color="auto"/>
                <w:left w:val="none" w:sz="0" w:space="0" w:color="auto"/>
                <w:bottom w:val="none" w:sz="0" w:space="0" w:color="auto"/>
                <w:right w:val="none" w:sz="0" w:space="0" w:color="auto"/>
              </w:divBdr>
              <w:divsChild>
                <w:div w:id="193422281">
                  <w:marLeft w:val="0"/>
                  <w:marRight w:val="0"/>
                  <w:marTop w:val="0"/>
                  <w:marBottom w:val="0"/>
                  <w:divBdr>
                    <w:top w:val="none" w:sz="0" w:space="0" w:color="auto"/>
                    <w:left w:val="none" w:sz="0" w:space="0" w:color="auto"/>
                    <w:bottom w:val="none" w:sz="0" w:space="0" w:color="auto"/>
                    <w:right w:val="none" w:sz="0" w:space="0" w:color="auto"/>
                  </w:divBdr>
                  <w:divsChild>
                    <w:div w:id="840003762">
                      <w:marLeft w:val="-15"/>
                      <w:marRight w:val="-15"/>
                      <w:marTop w:val="0"/>
                      <w:marBottom w:val="0"/>
                      <w:divBdr>
                        <w:top w:val="none" w:sz="0" w:space="0" w:color="auto"/>
                        <w:left w:val="none" w:sz="0" w:space="0" w:color="auto"/>
                        <w:bottom w:val="none" w:sz="0" w:space="0" w:color="auto"/>
                        <w:right w:val="none" w:sz="0" w:space="0" w:color="auto"/>
                      </w:divBdr>
                    </w:div>
                    <w:div w:id="2020278892">
                      <w:marLeft w:val="0"/>
                      <w:marRight w:val="0"/>
                      <w:marTop w:val="0"/>
                      <w:marBottom w:val="0"/>
                      <w:divBdr>
                        <w:top w:val="none" w:sz="0" w:space="0" w:color="auto"/>
                        <w:left w:val="none" w:sz="0" w:space="0" w:color="auto"/>
                        <w:bottom w:val="none" w:sz="0" w:space="0" w:color="auto"/>
                        <w:right w:val="none" w:sz="0" w:space="0" w:color="auto"/>
                      </w:divBdr>
                    </w:div>
                    <w:div w:id="20662221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42284">
          <w:marLeft w:val="0"/>
          <w:marRight w:val="0"/>
          <w:marTop w:val="0"/>
          <w:marBottom w:val="0"/>
          <w:divBdr>
            <w:top w:val="none" w:sz="0" w:space="0" w:color="auto"/>
            <w:left w:val="none" w:sz="0" w:space="0" w:color="auto"/>
            <w:bottom w:val="none" w:sz="0" w:space="0" w:color="auto"/>
            <w:right w:val="none" w:sz="0" w:space="0" w:color="auto"/>
          </w:divBdr>
          <w:divsChild>
            <w:div w:id="1182284346">
              <w:marLeft w:val="75"/>
              <w:marRight w:val="75"/>
              <w:marTop w:val="300"/>
              <w:marBottom w:val="75"/>
              <w:divBdr>
                <w:top w:val="none" w:sz="0" w:space="0" w:color="auto"/>
                <w:left w:val="none" w:sz="0" w:space="0" w:color="auto"/>
                <w:bottom w:val="none" w:sz="0" w:space="0" w:color="auto"/>
                <w:right w:val="none" w:sz="0" w:space="0" w:color="auto"/>
              </w:divBdr>
              <w:divsChild>
                <w:div w:id="1703558053">
                  <w:marLeft w:val="0"/>
                  <w:marRight w:val="0"/>
                  <w:marTop w:val="0"/>
                  <w:marBottom w:val="0"/>
                  <w:divBdr>
                    <w:top w:val="none" w:sz="0" w:space="0" w:color="auto"/>
                    <w:left w:val="none" w:sz="0" w:space="0" w:color="auto"/>
                    <w:bottom w:val="none" w:sz="0" w:space="0" w:color="auto"/>
                    <w:right w:val="none" w:sz="0" w:space="0" w:color="auto"/>
                  </w:divBdr>
                  <w:divsChild>
                    <w:div w:id="1850370471">
                      <w:marLeft w:val="0"/>
                      <w:marRight w:val="0"/>
                      <w:marTop w:val="0"/>
                      <w:marBottom w:val="0"/>
                      <w:divBdr>
                        <w:top w:val="none" w:sz="0" w:space="0" w:color="auto"/>
                        <w:left w:val="none" w:sz="0" w:space="0" w:color="auto"/>
                        <w:bottom w:val="none" w:sz="0" w:space="0" w:color="auto"/>
                        <w:right w:val="none" w:sz="0" w:space="0" w:color="auto"/>
                      </w:divBdr>
                      <w:divsChild>
                        <w:div w:id="194622733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1813868692">
          <w:marLeft w:val="0"/>
          <w:marRight w:val="0"/>
          <w:marTop w:val="0"/>
          <w:marBottom w:val="0"/>
          <w:divBdr>
            <w:top w:val="none" w:sz="0" w:space="0" w:color="auto"/>
            <w:left w:val="none" w:sz="0" w:space="0" w:color="auto"/>
            <w:bottom w:val="none" w:sz="0" w:space="0" w:color="auto"/>
            <w:right w:val="none" w:sz="0" w:space="0" w:color="auto"/>
          </w:divBdr>
          <w:divsChild>
            <w:div w:id="1730885505">
              <w:marLeft w:val="75"/>
              <w:marRight w:val="75"/>
              <w:marTop w:val="300"/>
              <w:marBottom w:val="75"/>
              <w:divBdr>
                <w:top w:val="none" w:sz="0" w:space="0" w:color="auto"/>
                <w:left w:val="none" w:sz="0" w:space="0" w:color="auto"/>
                <w:bottom w:val="none" w:sz="0" w:space="0" w:color="auto"/>
                <w:right w:val="none" w:sz="0" w:space="0" w:color="auto"/>
              </w:divBdr>
              <w:divsChild>
                <w:div w:id="526143269">
                  <w:marLeft w:val="0"/>
                  <w:marRight w:val="0"/>
                  <w:marTop w:val="0"/>
                  <w:marBottom w:val="0"/>
                  <w:divBdr>
                    <w:top w:val="none" w:sz="0" w:space="0" w:color="auto"/>
                    <w:left w:val="none" w:sz="0" w:space="0" w:color="auto"/>
                    <w:bottom w:val="none" w:sz="0" w:space="0" w:color="auto"/>
                    <w:right w:val="none" w:sz="0" w:space="0" w:color="auto"/>
                  </w:divBdr>
                  <w:divsChild>
                    <w:div w:id="987903265">
                      <w:marLeft w:val="0"/>
                      <w:marRight w:val="0"/>
                      <w:marTop w:val="0"/>
                      <w:marBottom w:val="0"/>
                      <w:divBdr>
                        <w:top w:val="none" w:sz="0" w:space="0" w:color="auto"/>
                        <w:left w:val="none" w:sz="0" w:space="0" w:color="auto"/>
                        <w:bottom w:val="none" w:sz="0" w:space="0" w:color="auto"/>
                        <w:right w:val="none" w:sz="0" w:space="0" w:color="auto"/>
                      </w:divBdr>
                    </w:div>
                    <w:div w:id="1055353357">
                      <w:marLeft w:val="300"/>
                      <w:marRight w:val="0"/>
                      <w:marTop w:val="0"/>
                      <w:marBottom w:val="0"/>
                      <w:divBdr>
                        <w:top w:val="none" w:sz="0" w:space="0" w:color="auto"/>
                        <w:left w:val="none" w:sz="0" w:space="0" w:color="auto"/>
                        <w:bottom w:val="none" w:sz="0" w:space="0" w:color="auto"/>
                        <w:right w:val="none" w:sz="0" w:space="0" w:color="auto"/>
                      </w:divBdr>
                    </w:div>
                    <w:div w:id="202528247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67082745">
          <w:marLeft w:val="0"/>
          <w:marRight w:val="0"/>
          <w:marTop w:val="0"/>
          <w:marBottom w:val="0"/>
          <w:divBdr>
            <w:top w:val="none" w:sz="0" w:space="0" w:color="auto"/>
            <w:left w:val="none" w:sz="0" w:space="0" w:color="auto"/>
            <w:bottom w:val="none" w:sz="0" w:space="0" w:color="auto"/>
            <w:right w:val="none" w:sz="0" w:space="0" w:color="auto"/>
          </w:divBdr>
          <w:divsChild>
            <w:div w:id="1332290178">
              <w:marLeft w:val="75"/>
              <w:marRight w:val="75"/>
              <w:marTop w:val="300"/>
              <w:marBottom w:val="75"/>
              <w:divBdr>
                <w:top w:val="none" w:sz="0" w:space="0" w:color="auto"/>
                <w:left w:val="none" w:sz="0" w:space="0" w:color="auto"/>
                <w:bottom w:val="none" w:sz="0" w:space="0" w:color="auto"/>
                <w:right w:val="none" w:sz="0" w:space="0" w:color="auto"/>
              </w:divBdr>
              <w:divsChild>
                <w:div w:id="902763870">
                  <w:marLeft w:val="0"/>
                  <w:marRight w:val="0"/>
                  <w:marTop w:val="0"/>
                  <w:marBottom w:val="0"/>
                  <w:divBdr>
                    <w:top w:val="none" w:sz="0" w:space="0" w:color="auto"/>
                    <w:left w:val="none" w:sz="0" w:space="0" w:color="auto"/>
                    <w:bottom w:val="none" w:sz="0" w:space="0" w:color="auto"/>
                    <w:right w:val="none" w:sz="0" w:space="0" w:color="auto"/>
                  </w:divBdr>
                  <w:divsChild>
                    <w:div w:id="958334792">
                      <w:marLeft w:val="-15"/>
                      <w:marRight w:val="-15"/>
                      <w:marTop w:val="0"/>
                      <w:marBottom w:val="0"/>
                      <w:divBdr>
                        <w:top w:val="none" w:sz="0" w:space="0" w:color="auto"/>
                        <w:left w:val="none" w:sz="0" w:space="0" w:color="auto"/>
                        <w:bottom w:val="none" w:sz="0" w:space="0" w:color="auto"/>
                        <w:right w:val="none" w:sz="0" w:space="0" w:color="auto"/>
                      </w:divBdr>
                    </w:div>
                    <w:div w:id="1181551618">
                      <w:marLeft w:val="300"/>
                      <w:marRight w:val="0"/>
                      <w:marTop w:val="0"/>
                      <w:marBottom w:val="0"/>
                      <w:divBdr>
                        <w:top w:val="none" w:sz="0" w:space="0" w:color="auto"/>
                        <w:left w:val="none" w:sz="0" w:space="0" w:color="auto"/>
                        <w:bottom w:val="none" w:sz="0" w:space="0" w:color="auto"/>
                        <w:right w:val="none" w:sz="0" w:space="0" w:color="auto"/>
                      </w:divBdr>
                    </w:div>
                    <w:div w:id="170802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505855">
          <w:marLeft w:val="0"/>
          <w:marRight w:val="0"/>
          <w:marTop w:val="0"/>
          <w:marBottom w:val="0"/>
          <w:divBdr>
            <w:top w:val="none" w:sz="0" w:space="0" w:color="auto"/>
            <w:left w:val="none" w:sz="0" w:space="0" w:color="auto"/>
            <w:bottom w:val="none" w:sz="0" w:space="0" w:color="auto"/>
            <w:right w:val="none" w:sz="0" w:space="0" w:color="auto"/>
          </w:divBdr>
          <w:divsChild>
            <w:div w:id="235014665">
              <w:marLeft w:val="75"/>
              <w:marRight w:val="75"/>
              <w:marTop w:val="300"/>
              <w:marBottom w:val="75"/>
              <w:divBdr>
                <w:top w:val="none" w:sz="0" w:space="0" w:color="auto"/>
                <w:left w:val="none" w:sz="0" w:space="0" w:color="auto"/>
                <w:bottom w:val="none" w:sz="0" w:space="0" w:color="auto"/>
                <w:right w:val="none" w:sz="0" w:space="0" w:color="auto"/>
              </w:divBdr>
              <w:divsChild>
                <w:div w:id="1594631945">
                  <w:marLeft w:val="0"/>
                  <w:marRight w:val="0"/>
                  <w:marTop w:val="0"/>
                  <w:marBottom w:val="0"/>
                  <w:divBdr>
                    <w:top w:val="none" w:sz="0" w:space="0" w:color="auto"/>
                    <w:left w:val="none" w:sz="0" w:space="0" w:color="auto"/>
                    <w:bottom w:val="none" w:sz="0" w:space="0" w:color="auto"/>
                    <w:right w:val="none" w:sz="0" w:space="0" w:color="auto"/>
                  </w:divBdr>
                  <w:divsChild>
                    <w:div w:id="66073884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2056154234">
          <w:marLeft w:val="0"/>
          <w:marRight w:val="0"/>
          <w:marTop w:val="0"/>
          <w:marBottom w:val="0"/>
          <w:divBdr>
            <w:top w:val="none" w:sz="0" w:space="0" w:color="auto"/>
            <w:left w:val="none" w:sz="0" w:space="0" w:color="auto"/>
            <w:bottom w:val="none" w:sz="0" w:space="0" w:color="auto"/>
            <w:right w:val="none" w:sz="0" w:space="0" w:color="auto"/>
          </w:divBdr>
          <w:divsChild>
            <w:div w:id="506362715">
              <w:marLeft w:val="75"/>
              <w:marRight w:val="75"/>
              <w:marTop w:val="300"/>
              <w:marBottom w:val="75"/>
              <w:divBdr>
                <w:top w:val="none" w:sz="0" w:space="0" w:color="auto"/>
                <w:left w:val="none" w:sz="0" w:space="0" w:color="auto"/>
                <w:bottom w:val="none" w:sz="0" w:space="0" w:color="auto"/>
                <w:right w:val="none" w:sz="0" w:space="0" w:color="auto"/>
              </w:divBdr>
              <w:divsChild>
                <w:div w:id="23868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13401">
          <w:marLeft w:val="0"/>
          <w:marRight w:val="0"/>
          <w:marTop w:val="0"/>
          <w:marBottom w:val="0"/>
          <w:divBdr>
            <w:top w:val="none" w:sz="0" w:space="0" w:color="auto"/>
            <w:left w:val="none" w:sz="0" w:space="0" w:color="auto"/>
            <w:bottom w:val="none" w:sz="0" w:space="0" w:color="auto"/>
            <w:right w:val="none" w:sz="0" w:space="0" w:color="auto"/>
          </w:divBdr>
          <w:divsChild>
            <w:div w:id="433788829">
              <w:marLeft w:val="75"/>
              <w:marRight w:val="75"/>
              <w:marTop w:val="300"/>
              <w:marBottom w:val="75"/>
              <w:divBdr>
                <w:top w:val="none" w:sz="0" w:space="0" w:color="auto"/>
                <w:left w:val="none" w:sz="0" w:space="0" w:color="auto"/>
                <w:bottom w:val="none" w:sz="0" w:space="0" w:color="auto"/>
                <w:right w:val="none" w:sz="0" w:space="0" w:color="auto"/>
              </w:divBdr>
              <w:divsChild>
                <w:div w:id="471942016">
                  <w:marLeft w:val="0"/>
                  <w:marRight w:val="0"/>
                  <w:marTop w:val="0"/>
                  <w:marBottom w:val="0"/>
                  <w:divBdr>
                    <w:top w:val="none" w:sz="0" w:space="0" w:color="auto"/>
                    <w:left w:val="none" w:sz="0" w:space="0" w:color="auto"/>
                    <w:bottom w:val="none" w:sz="0" w:space="0" w:color="auto"/>
                    <w:right w:val="none" w:sz="0" w:space="0" w:color="auto"/>
                  </w:divBdr>
                  <w:divsChild>
                    <w:div w:id="1297830868">
                      <w:marLeft w:val="0"/>
                      <w:marRight w:val="0"/>
                      <w:marTop w:val="0"/>
                      <w:marBottom w:val="0"/>
                      <w:divBdr>
                        <w:top w:val="none" w:sz="0" w:space="0" w:color="auto"/>
                        <w:left w:val="none" w:sz="0" w:space="0" w:color="auto"/>
                        <w:bottom w:val="none" w:sz="0" w:space="0" w:color="auto"/>
                        <w:right w:val="none" w:sz="0" w:space="0" w:color="auto"/>
                      </w:divBdr>
                      <w:divsChild>
                        <w:div w:id="912202490">
                          <w:marLeft w:val="75"/>
                          <w:marRight w:val="0"/>
                          <w:marTop w:val="0"/>
                          <w:marBottom w:val="0"/>
                          <w:divBdr>
                            <w:top w:val="none" w:sz="0" w:space="0" w:color="auto"/>
                            <w:left w:val="none" w:sz="0" w:space="0" w:color="auto"/>
                            <w:bottom w:val="none" w:sz="0" w:space="0" w:color="auto"/>
                            <w:right w:val="none" w:sz="0" w:space="0" w:color="auto"/>
                          </w:divBdr>
                        </w:div>
                        <w:div w:id="1684629073">
                          <w:marLeft w:val="75"/>
                          <w:marRight w:val="0"/>
                          <w:marTop w:val="0"/>
                          <w:marBottom w:val="0"/>
                          <w:divBdr>
                            <w:top w:val="none" w:sz="0" w:space="0" w:color="auto"/>
                            <w:left w:val="none" w:sz="0" w:space="0" w:color="auto"/>
                            <w:bottom w:val="none" w:sz="0" w:space="0" w:color="auto"/>
                            <w:right w:val="none" w:sz="0" w:space="0" w:color="auto"/>
                          </w:divBdr>
                        </w:div>
                        <w:div w:id="174221957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833357">
          <w:marLeft w:val="0"/>
          <w:marRight w:val="0"/>
          <w:marTop w:val="0"/>
          <w:marBottom w:val="0"/>
          <w:divBdr>
            <w:top w:val="none" w:sz="0" w:space="0" w:color="auto"/>
            <w:left w:val="none" w:sz="0" w:space="0" w:color="auto"/>
            <w:bottom w:val="none" w:sz="0" w:space="0" w:color="auto"/>
            <w:right w:val="none" w:sz="0" w:space="0" w:color="auto"/>
          </w:divBdr>
          <w:divsChild>
            <w:div w:id="368841299">
              <w:marLeft w:val="75"/>
              <w:marRight w:val="75"/>
              <w:marTop w:val="300"/>
              <w:marBottom w:val="75"/>
              <w:divBdr>
                <w:top w:val="none" w:sz="0" w:space="0" w:color="auto"/>
                <w:left w:val="none" w:sz="0" w:space="0" w:color="auto"/>
                <w:bottom w:val="none" w:sz="0" w:space="0" w:color="auto"/>
                <w:right w:val="none" w:sz="0" w:space="0" w:color="auto"/>
              </w:divBdr>
              <w:divsChild>
                <w:div w:id="41247501">
                  <w:marLeft w:val="0"/>
                  <w:marRight w:val="0"/>
                  <w:marTop w:val="0"/>
                  <w:marBottom w:val="0"/>
                  <w:divBdr>
                    <w:top w:val="none" w:sz="0" w:space="0" w:color="auto"/>
                    <w:left w:val="none" w:sz="0" w:space="0" w:color="auto"/>
                    <w:bottom w:val="none" w:sz="0" w:space="0" w:color="auto"/>
                    <w:right w:val="none" w:sz="0" w:space="0" w:color="auto"/>
                  </w:divBdr>
                  <w:divsChild>
                    <w:div w:id="734009883">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sChild>
    </w:div>
    <w:div w:id="314337053">
      <w:bodyDiv w:val="1"/>
      <w:marLeft w:val="0"/>
      <w:marRight w:val="0"/>
      <w:marTop w:val="0"/>
      <w:marBottom w:val="0"/>
      <w:divBdr>
        <w:top w:val="none" w:sz="0" w:space="0" w:color="auto"/>
        <w:left w:val="none" w:sz="0" w:space="0" w:color="auto"/>
        <w:bottom w:val="none" w:sz="0" w:space="0" w:color="auto"/>
        <w:right w:val="none" w:sz="0" w:space="0" w:color="auto"/>
      </w:divBdr>
    </w:div>
    <w:div w:id="327636205">
      <w:bodyDiv w:val="1"/>
      <w:marLeft w:val="0"/>
      <w:marRight w:val="0"/>
      <w:marTop w:val="0"/>
      <w:marBottom w:val="0"/>
      <w:divBdr>
        <w:top w:val="none" w:sz="0" w:space="0" w:color="auto"/>
        <w:left w:val="none" w:sz="0" w:space="0" w:color="auto"/>
        <w:bottom w:val="none" w:sz="0" w:space="0" w:color="auto"/>
        <w:right w:val="none" w:sz="0" w:space="0" w:color="auto"/>
      </w:divBdr>
      <w:divsChild>
        <w:div w:id="50472211">
          <w:marLeft w:val="0"/>
          <w:marRight w:val="0"/>
          <w:marTop w:val="0"/>
          <w:marBottom w:val="0"/>
          <w:divBdr>
            <w:top w:val="none" w:sz="0" w:space="0" w:color="auto"/>
            <w:left w:val="none" w:sz="0" w:space="0" w:color="auto"/>
            <w:bottom w:val="none" w:sz="0" w:space="0" w:color="auto"/>
            <w:right w:val="none" w:sz="0" w:space="0" w:color="auto"/>
          </w:divBdr>
          <w:divsChild>
            <w:div w:id="568542319">
              <w:marLeft w:val="75"/>
              <w:marRight w:val="75"/>
              <w:marTop w:val="300"/>
              <w:marBottom w:val="75"/>
              <w:divBdr>
                <w:top w:val="none" w:sz="0" w:space="0" w:color="auto"/>
                <w:left w:val="none" w:sz="0" w:space="0" w:color="auto"/>
                <w:bottom w:val="none" w:sz="0" w:space="0" w:color="auto"/>
                <w:right w:val="none" w:sz="0" w:space="0" w:color="auto"/>
              </w:divBdr>
              <w:divsChild>
                <w:div w:id="1871455292">
                  <w:marLeft w:val="0"/>
                  <w:marRight w:val="0"/>
                  <w:marTop w:val="0"/>
                  <w:marBottom w:val="0"/>
                  <w:divBdr>
                    <w:top w:val="none" w:sz="0" w:space="0" w:color="auto"/>
                    <w:left w:val="none" w:sz="0" w:space="0" w:color="auto"/>
                    <w:bottom w:val="none" w:sz="0" w:space="0" w:color="auto"/>
                    <w:right w:val="none" w:sz="0" w:space="0" w:color="auto"/>
                  </w:divBdr>
                  <w:divsChild>
                    <w:div w:id="1105921451">
                      <w:marLeft w:val="0"/>
                      <w:marRight w:val="0"/>
                      <w:marTop w:val="0"/>
                      <w:marBottom w:val="0"/>
                      <w:divBdr>
                        <w:top w:val="none" w:sz="0" w:space="0" w:color="auto"/>
                        <w:left w:val="none" w:sz="0" w:space="0" w:color="auto"/>
                        <w:bottom w:val="none" w:sz="0" w:space="0" w:color="auto"/>
                        <w:right w:val="none" w:sz="0" w:space="0" w:color="auto"/>
                      </w:divBdr>
                    </w:div>
                    <w:div w:id="1699623287">
                      <w:marLeft w:val="-15"/>
                      <w:marRight w:val="-15"/>
                      <w:marTop w:val="0"/>
                      <w:marBottom w:val="0"/>
                      <w:divBdr>
                        <w:top w:val="none" w:sz="0" w:space="0" w:color="auto"/>
                        <w:left w:val="none" w:sz="0" w:space="0" w:color="auto"/>
                        <w:bottom w:val="none" w:sz="0" w:space="0" w:color="auto"/>
                        <w:right w:val="none" w:sz="0" w:space="0" w:color="auto"/>
                      </w:divBdr>
                    </w:div>
                    <w:div w:id="201734538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4936">
          <w:marLeft w:val="0"/>
          <w:marRight w:val="0"/>
          <w:marTop w:val="0"/>
          <w:marBottom w:val="0"/>
          <w:divBdr>
            <w:top w:val="none" w:sz="0" w:space="0" w:color="auto"/>
            <w:left w:val="none" w:sz="0" w:space="0" w:color="auto"/>
            <w:bottom w:val="none" w:sz="0" w:space="0" w:color="auto"/>
            <w:right w:val="none" w:sz="0" w:space="0" w:color="auto"/>
          </w:divBdr>
          <w:divsChild>
            <w:div w:id="1016225892">
              <w:marLeft w:val="75"/>
              <w:marRight w:val="75"/>
              <w:marTop w:val="300"/>
              <w:marBottom w:val="75"/>
              <w:divBdr>
                <w:top w:val="none" w:sz="0" w:space="0" w:color="auto"/>
                <w:left w:val="none" w:sz="0" w:space="0" w:color="auto"/>
                <w:bottom w:val="none" w:sz="0" w:space="0" w:color="auto"/>
                <w:right w:val="none" w:sz="0" w:space="0" w:color="auto"/>
              </w:divBdr>
              <w:divsChild>
                <w:div w:id="1004823610">
                  <w:marLeft w:val="0"/>
                  <w:marRight w:val="0"/>
                  <w:marTop w:val="0"/>
                  <w:marBottom w:val="0"/>
                  <w:divBdr>
                    <w:top w:val="none" w:sz="0" w:space="0" w:color="auto"/>
                    <w:left w:val="none" w:sz="0" w:space="0" w:color="auto"/>
                    <w:bottom w:val="none" w:sz="0" w:space="0" w:color="auto"/>
                    <w:right w:val="none" w:sz="0" w:space="0" w:color="auto"/>
                  </w:divBdr>
                  <w:divsChild>
                    <w:div w:id="417530495">
                      <w:marLeft w:val="300"/>
                      <w:marRight w:val="0"/>
                      <w:marTop w:val="0"/>
                      <w:marBottom w:val="0"/>
                      <w:divBdr>
                        <w:top w:val="none" w:sz="0" w:space="0" w:color="auto"/>
                        <w:left w:val="none" w:sz="0" w:space="0" w:color="auto"/>
                        <w:bottom w:val="none" w:sz="0" w:space="0" w:color="auto"/>
                        <w:right w:val="none" w:sz="0" w:space="0" w:color="auto"/>
                      </w:divBdr>
                    </w:div>
                    <w:div w:id="1427338853">
                      <w:marLeft w:val="0"/>
                      <w:marRight w:val="0"/>
                      <w:marTop w:val="0"/>
                      <w:marBottom w:val="0"/>
                      <w:divBdr>
                        <w:top w:val="none" w:sz="0" w:space="0" w:color="auto"/>
                        <w:left w:val="none" w:sz="0" w:space="0" w:color="auto"/>
                        <w:bottom w:val="none" w:sz="0" w:space="0" w:color="auto"/>
                        <w:right w:val="none" w:sz="0" w:space="0" w:color="auto"/>
                      </w:divBdr>
                    </w:div>
                    <w:div w:id="21433077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06855322">
          <w:marLeft w:val="0"/>
          <w:marRight w:val="0"/>
          <w:marTop w:val="0"/>
          <w:marBottom w:val="0"/>
          <w:divBdr>
            <w:top w:val="none" w:sz="0" w:space="0" w:color="auto"/>
            <w:left w:val="none" w:sz="0" w:space="0" w:color="auto"/>
            <w:bottom w:val="none" w:sz="0" w:space="0" w:color="auto"/>
            <w:right w:val="none" w:sz="0" w:space="0" w:color="auto"/>
          </w:divBdr>
          <w:divsChild>
            <w:div w:id="778262608">
              <w:marLeft w:val="75"/>
              <w:marRight w:val="75"/>
              <w:marTop w:val="300"/>
              <w:marBottom w:val="75"/>
              <w:divBdr>
                <w:top w:val="none" w:sz="0" w:space="0" w:color="auto"/>
                <w:left w:val="none" w:sz="0" w:space="0" w:color="auto"/>
                <w:bottom w:val="none" w:sz="0" w:space="0" w:color="auto"/>
                <w:right w:val="none" w:sz="0" w:space="0" w:color="auto"/>
              </w:divBdr>
              <w:divsChild>
                <w:div w:id="1587420483">
                  <w:marLeft w:val="0"/>
                  <w:marRight w:val="0"/>
                  <w:marTop w:val="0"/>
                  <w:marBottom w:val="0"/>
                  <w:divBdr>
                    <w:top w:val="none" w:sz="0" w:space="0" w:color="auto"/>
                    <w:left w:val="none" w:sz="0" w:space="0" w:color="auto"/>
                    <w:bottom w:val="none" w:sz="0" w:space="0" w:color="auto"/>
                    <w:right w:val="none" w:sz="0" w:space="0" w:color="auto"/>
                  </w:divBdr>
                  <w:divsChild>
                    <w:div w:id="436876177">
                      <w:marLeft w:val="300"/>
                      <w:marRight w:val="0"/>
                      <w:marTop w:val="0"/>
                      <w:marBottom w:val="0"/>
                      <w:divBdr>
                        <w:top w:val="none" w:sz="0" w:space="0" w:color="auto"/>
                        <w:left w:val="none" w:sz="0" w:space="0" w:color="auto"/>
                        <w:bottom w:val="none" w:sz="0" w:space="0" w:color="auto"/>
                        <w:right w:val="none" w:sz="0" w:space="0" w:color="auto"/>
                      </w:divBdr>
                    </w:div>
                    <w:div w:id="657534425">
                      <w:marLeft w:val="-15"/>
                      <w:marRight w:val="-15"/>
                      <w:marTop w:val="0"/>
                      <w:marBottom w:val="0"/>
                      <w:divBdr>
                        <w:top w:val="none" w:sz="0" w:space="0" w:color="auto"/>
                        <w:left w:val="none" w:sz="0" w:space="0" w:color="auto"/>
                        <w:bottom w:val="none" w:sz="0" w:space="0" w:color="auto"/>
                        <w:right w:val="none" w:sz="0" w:space="0" w:color="auto"/>
                      </w:divBdr>
                    </w:div>
                    <w:div w:id="16441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62467">
          <w:marLeft w:val="0"/>
          <w:marRight w:val="0"/>
          <w:marTop w:val="0"/>
          <w:marBottom w:val="0"/>
          <w:divBdr>
            <w:top w:val="none" w:sz="0" w:space="0" w:color="auto"/>
            <w:left w:val="none" w:sz="0" w:space="0" w:color="auto"/>
            <w:bottom w:val="none" w:sz="0" w:space="0" w:color="auto"/>
            <w:right w:val="none" w:sz="0" w:space="0" w:color="auto"/>
          </w:divBdr>
          <w:divsChild>
            <w:div w:id="163791003">
              <w:marLeft w:val="75"/>
              <w:marRight w:val="75"/>
              <w:marTop w:val="300"/>
              <w:marBottom w:val="75"/>
              <w:divBdr>
                <w:top w:val="none" w:sz="0" w:space="0" w:color="auto"/>
                <w:left w:val="none" w:sz="0" w:space="0" w:color="auto"/>
                <w:bottom w:val="none" w:sz="0" w:space="0" w:color="auto"/>
                <w:right w:val="none" w:sz="0" w:space="0" w:color="auto"/>
              </w:divBdr>
              <w:divsChild>
                <w:div w:id="1884902716">
                  <w:marLeft w:val="0"/>
                  <w:marRight w:val="0"/>
                  <w:marTop w:val="0"/>
                  <w:marBottom w:val="0"/>
                  <w:divBdr>
                    <w:top w:val="none" w:sz="0" w:space="0" w:color="auto"/>
                    <w:left w:val="none" w:sz="0" w:space="0" w:color="auto"/>
                    <w:bottom w:val="none" w:sz="0" w:space="0" w:color="auto"/>
                    <w:right w:val="none" w:sz="0" w:space="0" w:color="auto"/>
                  </w:divBdr>
                  <w:divsChild>
                    <w:div w:id="95059403">
                      <w:marLeft w:val="300"/>
                      <w:marRight w:val="0"/>
                      <w:marTop w:val="0"/>
                      <w:marBottom w:val="0"/>
                      <w:divBdr>
                        <w:top w:val="none" w:sz="0" w:space="0" w:color="auto"/>
                        <w:left w:val="none" w:sz="0" w:space="0" w:color="auto"/>
                        <w:bottom w:val="none" w:sz="0" w:space="0" w:color="auto"/>
                        <w:right w:val="none" w:sz="0" w:space="0" w:color="auto"/>
                      </w:divBdr>
                    </w:div>
                    <w:div w:id="400449292">
                      <w:marLeft w:val="0"/>
                      <w:marRight w:val="0"/>
                      <w:marTop w:val="0"/>
                      <w:marBottom w:val="0"/>
                      <w:divBdr>
                        <w:top w:val="none" w:sz="0" w:space="0" w:color="auto"/>
                        <w:left w:val="none" w:sz="0" w:space="0" w:color="auto"/>
                        <w:bottom w:val="none" w:sz="0" w:space="0" w:color="auto"/>
                        <w:right w:val="none" w:sz="0" w:space="0" w:color="auto"/>
                      </w:divBdr>
                    </w:div>
                    <w:div w:id="16658167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6633006">
          <w:marLeft w:val="0"/>
          <w:marRight w:val="0"/>
          <w:marTop w:val="0"/>
          <w:marBottom w:val="0"/>
          <w:divBdr>
            <w:top w:val="none" w:sz="0" w:space="0" w:color="auto"/>
            <w:left w:val="none" w:sz="0" w:space="0" w:color="auto"/>
            <w:bottom w:val="none" w:sz="0" w:space="0" w:color="auto"/>
            <w:right w:val="none" w:sz="0" w:space="0" w:color="auto"/>
          </w:divBdr>
          <w:divsChild>
            <w:div w:id="781808078">
              <w:marLeft w:val="75"/>
              <w:marRight w:val="75"/>
              <w:marTop w:val="300"/>
              <w:marBottom w:val="75"/>
              <w:divBdr>
                <w:top w:val="none" w:sz="0" w:space="0" w:color="auto"/>
                <w:left w:val="none" w:sz="0" w:space="0" w:color="auto"/>
                <w:bottom w:val="none" w:sz="0" w:space="0" w:color="auto"/>
                <w:right w:val="none" w:sz="0" w:space="0" w:color="auto"/>
              </w:divBdr>
              <w:divsChild>
                <w:div w:id="1123036171">
                  <w:marLeft w:val="0"/>
                  <w:marRight w:val="0"/>
                  <w:marTop w:val="0"/>
                  <w:marBottom w:val="0"/>
                  <w:divBdr>
                    <w:top w:val="none" w:sz="0" w:space="0" w:color="auto"/>
                    <w:left w:val="none" w:sz="0" w:space="0" w:color="auto"/>
                    <w:bottom w:val="none" w:sz="0" w:space="0" w:color="auto"/>
                    <w:right w:val="none" w:sz="0" w:space="0" w:color="auto"/>
                  </w:divBdr>
                  <w:divsChild>
                    <w:div w:id="714622826">
                      <w:marLeft w:val="0"/>
                      <w:marRight w:val="0"/>
                      <w:marTop w:val="0"/>
                      <w:marBottom w:val="0"/>
                      <w:divBdr>
                        <w:top w:val="none" w:sz="0" w:space="0" w:color="auto"/>
                        <w:left w:val="none" w:sz="0" w:space="0" w:color="auto"/>
                        <w:bottom w:val="none" w:sz="0" w:space="0" w:color="auto"/>
                        <w:right w:val="none" w:sz="0" w:space="0" w:color="auto"/>
                      </w:divBdr>
                    </w:div>
                    <w:div w:id="1548107966">
                      <w:marLeft w:val="300"/>
                      <w:marRight w:val="0"/>
                      <w:marTop w:val="0"/>
                      <w:marBottom w:val="0"/>
                      <w:divBdr>
                        <w:top w:val="none" w:sz="0" w:space="0" w:color="auto"/>
                        <w:left w:val="none" w:sz="0" w:space="0" w:color="auto"/>
                        <w:bottom w:val="none" w:sz="0" w:space="0" w:color="auto"/>
                        <w:right w:val="none" w:sz="0" w:space="0" w:color="auto"/>
                      </w:divBdr>
                    </w:div>
                    <w:div w:id="180592991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43341211">
          <w:marLeft w:val="0"/>
          <w:marRight w:val="0"/>
          <w:marTop w:val="0"/>
          <w:marBottom w:val="0"/>
          <w:divBdr>
            <w:top w:val="none" w:sz="0" w:space="0" w:color="auto"/>
            <w:left w:val="none" w:sz="0" w:space="0" w:color="auto"/>
            <w:bottom w:val="none" w:sz="0" w:space="0" w:color="auto"/>
            <w:right w:val="none" w:sz="0" w:space="0" w:color="auto"/>
          </w:divBdr>
          <w:divsChild>
            <w:div w:id="1887250642">
              <w:marLeft w:val="75"/>
              <w:marRight w:val="75"/>
              <w:marTop w:val="300"/>
              <w:marBottom w:val="75"/>
              <w:divBdr>
                <w:top w:val="none" w:sz="0" w:space="0" w:color="auto"/>
                <w:left w:val="none" w:sz="0" w:space="0" w:color="auto"/>
                <w:bottom w:val="none" w:sz="0" w:space="0" w:color="auto"/>
                <w:right w:val="none" w:sz="0" w:space="0" w:color="auto"/>
              </w:divBdr>
              <w:divsChild>
                <w:div w:id="421223940">
                  <w:marLeft w:val="0"/>
                  <w:marRight w:val="0"/>
                  <w:marTop w:val="0"/>
                  <w:marBottom w:val="0"/>
                  <w:divBdr>
                    <w:top w:val="none" w:sz="0" w:space="0" w:color="auto"/>
                    <w:left w:val="none" w:sz="0" w:space="0" w:color="auto"/>
                    <w:bottom w:val="none" w:sz="0" w:space="0" w:color="auto"/>
                    <w:right w:val="none" w:sz="0" w:space="0" w:color="auto"/>
                  </w:divBdr>
                  <w:divsChild>
                    <w:div w:id="412550729">
                      <w:marLeft w:val="300"/>
                      <w:marRight w:val="0"/>
                      <w:marTop w:val="0"/>
                      <w:marBottom w:val="0"/>
                      <w:divBdr>
                        <w:top w:val="none" w:sz="0" w:space="0" w:color="auto"/>
                        <w:left w:val="none" w:sz="0" w:space="0" w:color="auto"/>
                        <w:bottom w:val="none" w:sz="0" w:space="0" w:color="auto"/>
                        <w:right w:val="none" w:sz="0" w:space="0" w:color="auto"/>
                      </w:divBdr>
                    </w:div>
                    <w:div w:id="753861480">
                      <w:marLeft w:val="-15"/>
                      <w:marRight w:val="-15"/>
                      <w:marTop w:val="0"/>
                      <w:marBottom w:val="0"/>
                      <w:divBdr>
                        <w:top w:val="none" w:sz="0" w:space="0" w:color="auto"/>
                        <w:left w:val="none" w:sz="0" w:space="0" w:color="auto"/>
                        <w:bottom w:val="none" w:sz="0" w:space="0" w:color="auto"/>
                        <w:right w:val="none" w:sz="0" w:space="0" w:color="auto"/>
                      </w:divBdr>
                    </w:div>
                    <w:div w:id="98103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740377">
          <w:marLeft w:val="0"/>
          <w:marRight w:val="0"/>
          <w:marTop w:val="0"/>
          <w:marBottom w:val="0"/>
          <w:divBdr>
            <w:top w:val="none" w:sz="0" w:space="0" w:color="auto"/>
            <w:left w:val="none" w:sz="0" w:space="0" w:color="auto"/>
            <w:bottom w:val="none" w:sz="0" w:space="0" w:color="auto"/>
            <w:right w:val="none" w:sz="0" w:space="0" w:color="auto"/>
          </w:divBdr>
          <w:divsChild>
            <w:div w:id="76827977">
              <w:marLeft w:val="75"/>
              <w:marRight w:val="75"/>
              <w:marTop w:val="300"/>
              <w:marBottom w:val="75"/>
              <w:divBdr>
                <w:top w:val="none" w:sz="0" w:space="0" w:color="auto"/>
                <w:left w:val="none" w:sz="0" w:space="0" w:color="auto"/>
                <w:bottom w:val="none" w:sz="0" w:space="0" w:color="auto"/>
                <w:right w:val="none" w:sz="0" w:space="0" w:color="auto"/>
              </w:divBdr>
              <w:divsChild>
                <w:div w:id="806320223">
                  <w:marLeft w:val="0"/>
                  <w:marRight w:val="0"/>
                  <w:marTop w:val="0"/>
                  <w:marBottom w:val="0"/>
                  <w:divBdr>
                    <w:top w:val="none" w:sz="0" w:space="0" w:color="auto"/>
                    <w:left w:val="none" w:sz="0" w:space="0" w:color="auto"/>
                    <w:bottom w:val="none" w:sz="0" w:space="0" w:color="auto"/>
                    <w:right w:val="none" w:sz="0" w:space="0" w:color="auto"/>
                  </w:divBdr>
                  <w:divsChild>
                    <w:div w:id="2054882682">
                      <w:marLeft w:val="0"/>
                      <w:marRight w:val="0"/>
                      <w:marTop w:val="0"/>
                      <w:marBottom w:val="0"/>
                      <w:divBdr>
                        <w:top w:val="none" w:sz="0" w:space="0" w:color="auto"/>
                        <w:left w:val="none" w:sz="0" w:space="0" w:color="auto"/>
                        <w:bottom w:val="none" w:sz="0" w:space="0" w:color="auto"/>
                        <w:right w:val="none" w:sz="0" w:space="0" w:color="auto"/>
                      </w:divBdr>
                      <w:divsChild>
                        <w:div w:id="1204370179">
                          <w:marLeft w:val="0"/>
                          <w:marRight w:val="0"/>
                          <w:marTop w:val="0"/>
                          <w:marBottom w:val="192"/>
                          <w:divBdr>
                            <w:top w:val="none" w:sz="0" w:space="0" w:color="auto"/>
                            <w:left w:val="none" w:sz="0" w:space="0" w:color="auto"/>
                            <w:bottom w:val="none" w:sz="0" w:space="0" w:color="auto"/>
                            <w:right w:val="none" w:sz="0" w:space="0" w:color="auto"/>
                          </w:divBdr>
                          <w:divsChild>
                            <w:div w:id="472986539">
                              <w:marLeft w:val="0"/>
                              <w:marRight w:val="0"/>
                              <w:marTop w:val="0"/>
                              <w:marBottom w:val="0"/>
                              <w:divBdr>
                                <w:top w:val="dashed" w:sz="6" w:space="12" w:color="666666"/>
                                <w:left w:val="none" w:sz="0" w:space="0" w:color="auto"/>
                                <w:bottom w:val="none" w:sz="0" w:space="0" w:color="auto"/>
                                <w:right w:val="none" w:sz="0" w:space="0" w:color="auto"/>
                              </w:divBdr>
                            </w:div>
                          </w:divsChild>
                        </w:div>
                      </w:divsChild>
                    </w:div>
                  </w:divsChild>
                </w:div>
              </w:divsChild>
            </w:div>
          </w:divsChild>
        </w:div>
        <w:div w:id="288970918">
          <w:marLeft w:val="0"/>
          <w:marRight w:val="0"/>
          <w:marTop w:val="0"/>
          <w:marBottom w:val="0"/>
          <w:divBdr>
            <w:top w:val="none" w:sz="0" w:space="0" w:color="auto"/>
            <w:left w:val="none" w:sz="0" w:space="0" w:color="auto"/>
            <w:bottom w:val="none" w:sz="0" w:space="0" w:color="auto"/>
            <w:right w:val="none" w:sz="0" w:space="0" w:color="auto"/>
          </w:divBdr>
          <w:divsChild>
            <w:div w:id="961183106">
              <w:marLeft w:val="75"/>
              <w:marRight w:val="75"/>
              <w:marTop w:val="300"/>
              <w:marBottom w:val="75"/>
              <w:divBdr>
                <w:top w:val="none" w:sz="0" w:space="0" w:color="auto"/>
                <w:left w:val="none" w:sz="0" w:space="0" w:color="auto"/>
                <w:bottom w:val="none" w:sz="0" w:space="0" w:color="auto"/>
                <w:right w:val="none" w:sz="0" w:space="0" w:color="auto"/>
              </w:divBdr>
              <w:divsChild>
                <w:div w:id="1649894135">
                  <w:marLeft w:val="0"/>
                  <w:marRight w:val="0"/>
                  <w:marTop w:val="0"/>
                  <w:marBottom w:val="0"/>
                  <w:divBdr>
                    <w:top w:val="none" w:sz="0" w:space="0" w:color="auto"/>
                    <w:left w:val="none" w:sz="0" w:space="0" w:color="auto"/>
                    <w:bottom w:val="none" w:sz="0" w:space="0" w:color="auto"/>
                    <w:right w:val="none" w:sz="0" w:space="0" w:color="auto"/>
                  </w:divBdr>
                  <w:divsChild>
                    <w:div w:id="1036739550">
                      <w:marLeft w:val="0"/>
                      <w:marRight w:val="0"/>
                      <w:marTop w:val="0"/>
                      <w:marBottom w:val="0"/>
                      <w:divBdr>
                        <w:top w:val="none" w:sz="0" w:space="0" w:color="auto"/>
                        <w:left w:val="none" w:sz="0" w:space="0" w:color="auto"/>
                        <w:bottom w:val="none" w:sz="0" w:space="0" w:color="auto"/>
                        <w:right w:val="none" w:sz="0" w:space="0" w:color="auto"/>
                      </w:divBdr>
                      <w:divsChild>
                        <w:div w:id="37439021">
                          <w:marLeft w:val="75"/>
                          <w:marRight w:val="0"/>
                          <w:marTop w:val="0"/>
                          <w:marBottom w:val="0"/>
                          <w:divBdr>
                            <w:top w:val="none" w:sz="0" w:space="0" w:color="auto"/>
                            <w:left w:val="none" w:sz="0" w:space="0" w:color="auto"/>
                            <w:bottom w:val="none" w:sz="0" w:space="0" w:color="auto"/>
                            <w:right w:val="none" w:sz="0" w:space="0" w:color="auto"/>
                          </w:divBdr>
                        </w:div>
                        <w:div w:id="694765860">
                          <w:marLeft w:val="75"/>
                          <w:marRight w:val="0"/>
                          <w:marTop w:val="0"/>
                          <w:marBottom w:val="0"/>
                          <w:divBdr>
                            <w:top w:val="none" w:sz="0" w:space="0" w:color="auto"/>
                            <w:left w:val="none" w:sz="0" w:space="0" w:color="auto"/>
                            <w:bottom w:val="none" w:sz="0" w:space="0" w:color="auto"/>
                            <w:right w:val="none" w:sz="0" w:space="0" w:color="auto"/>
                          </w:divBdr>
                        </w:div>
                        <w:div w:id="130589349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079900">
          <w:marLeft w:val="0"/>
          <w:marRight w:val="0"/>
          <w:marTop w:val="0"/>
          <w:marBottom w:val="0"/>
          <w:divBdr>
            <w:top w:val="none" w:sz="0" w:space="0" w:color="auto"/>
            <w:left w:val="none" w:sz="0" w:space="0" w:color="auto"/>
            <w:bottom w:val="none" w:sz="0" w:space="0" w:color="auto"/>
            <w:right w:val="none" w:sz="0" w:space="0" w:color="auto"/>
          </w:divBdr>
          <w:divsChild>
            <w:div w:id="1191140432">
              <w:marLeft w:val="75"/>
              <w:marRight w:val="75"/>
              <w:marTop w:val="300"/>
              <w:marBottom w:val="75"/>
              <w:divBdr>
                <w:top w:val="none" w:sz="0" w:space="0" w:color="auto"/>
                <w:left w:val="none" w:sz="0" w:space="0" w:color="auto"/>
                <w:bottom w:val="none" w:sz="0" w:space="0" w:color="auto"/>
                <w:right w:val="none" w:sz="0" w:space="0" w:color="auto"/>
              </w:divBdr>
              <w:divsChild>
                <w:div w:id="773401775">
                  <w:marLeft w:val="0"/>
                  <w:marRight w:val="0"/>
                  <w:marTop w:val="0"/>
                  <w:marBottom w:val="0"/>
                  <w:divBdr>
                    <w:top w:val="none" w:sz="0" w:space="0" w:color="auto"/>
                    <w:left w:val="none" w:sz="0" w:space="0" w:color="auto"/>
                    <w:bottom w:val="none" w:sz="0" w:space="0" w:color="auto"/>
                    <w:right w:val="none" w:sz="0" w:space="0" w:color="auto"/>
                  </w:divBdr>
                  <w:divsChild>
                    <w:div w:id="1007487038">
                      <w:marLeft w:val="-15"/>
                      <w:marRight w:val="-15"/>
                      <w:marTop w:val="0"/>
                      <w:marBottom w:val="0"/>
                      <w:divBdr>
                        <w:top w:val="none" w:sz="0" w:space="0" w:color="auto"/>
                        <w:left w:val="none" w:sz="0" w:space="0" w:color="auto"/>
                        <w:bottom w:val="none" w:sz="0" w:space="0" w:color="auto"/>
                        <w:right w:val="none" w:sz="0" w:space="0" w:color="auto"/>
                      </w:divBdr>
                    </w:div>
                    <w:div w:id="1159542419">
                      <w:marLeft w:val="0"/>
                      <w:marRight w:val="0"/>
                      <w:marTop w:val="0"/>
                      <w:marBottom w:val="0"/>
                      <w:divBdr>
                        <w:top w:val="none" w:sz="0" w:space="0" w:color="auto"/>
                        <w:left w:val="none" w:sz="0" w:space="0" w:color="auto"/>
                        <w:bottom w:val="none" w:sz="0" w:space="0" w:color="auto"/>
                        <w:right w:val="none" w:sz="0" w:space="0" w:color="auto"/>
                      </w:divBdr>
                    </w:div>
                    <w:div w:id="12387853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330189">
          <w:marLeft w:val="0"/>
          <w:marRight w:val="0"/>
          <w:marTop w:val="0"/>
          <w:marBottom w:val="0"/>
          <w:divBdr>
            <w:top w:val="none" w:sz="0" w:space="0" w:color="auto"/>
            <w:left w:val="none" w:sz="0" w:space="0" w:color="auto"/>
            <w:bottom w:val="none" w:sz="0" w:space="0" w:color="auto"/>
            <w:right w:val="none" w:sz="0" w:space="0" w:color="auto"/>
          </w:divBdr>
          <w:divsChild>
            <w:div w:id="1487740584">
              <w:marLeft w:val="75"/>
              <w:marRight w:val="75"/>
              <w:marTop w:val="300"/>
              <w:marBottom w:val="75"/>
              <w:divBdr>
                <w:top w:val="none" w:sz="0" w:space="0" w:color="auto"/>
                <w:left w:val="none" w:sz="0" w:space="0" w:color="auto"/>
                <w:bottom w:val="none" w:sz="0" w:space="0" w:color="auto"/>
                <w:right w:val="none" w:sz="0" w:space="0" w:color="auto"/>
              </w:divBdr>
              <w:divsChild>
                <w:div w:id="443962306">
                  <w:marLeft w:val="0"/>
                  <w:marRight w:val="0"/>
                  <w:marTop w:val="0"/>
                  <w:marBottom w:val="0"/>
                  <w:divBdr>
                    <w:top w:val="none" w:sz="0" w:space="0" w:color="auto"/>
                    <w:left w:val="none" w:sz="0" w:space="0" w:color="auto"/>
                    <w:bottom w:val="none" w:sz="0" w:space="0" w:color="auto"/>
                    <w:right w:val="none" w:sz="0" w:space="0" w:color="auto"/>
                  </w:divBdr>
                  <w:divsChild>
                    <w:div w:id="556942842">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472530404">
          <w:marLeft w:val="0"/>
          <w:marRight w:val="0"/>
          <w:marTop w:val="0"/>
          <w:marBottom w:val="0"/>
          <w:divBdr>
            <w:top w:val="none" w:sz="0" w:space="0" w:color="auto"/>
            <w:left w:val="none" w:sz="0" w:space="0" w:color="auto"/>
            <w:bottom w:val="none" w:sz="0" w:space="0" w:color="auto"/>
            <w:right w:val="none" w:sz="0" w:space="0" w:color="auto"/>
          </w:divBdr>
          <w:divsChild>
            <w:div w:id="1763332886">
              <w:marLeft w:val="75"/>
              <w:marRight w:val="75"/>
              <w:marTop w:val="300"/>
              <w:marBottom w:val="75"/>
              <w:divBdr>
                <w:top w:val="none" w:sz="0" w:space="0" w:color="auto"/>
                <w:left w:val="none" w:sz="0" w:space="0" w:color="auto"/>
                <w:bottom w:val="none" w:sz="0" w:space="0" w:color="auto"/>
                <w:right w:val="none" w:sz="0" w:space="0" w:color="auto"/>
              </w:divBdr>
              <w:divsChild>
                <w:div w:id="16112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181285">
          <w:marLeft w:val="0"/>
          <w:marRight w:val="0"/>
          <w:marTop w:val="0"/>
          <w:marBottom w:val="0"/>
          <w:divBdr>
            <w:top w:val="none" w:sz="0" w:space="0" w:color="auto"/>
            <w:left w:val="none" w:sz="0" w:space="0" w:color="auto"/>
            <w:bottom w:val="none" w:sz="0" w:space="0" w:color="auto"/>
            <w:right w:val="none" w:sz="0" w:space="0" w:color="auto"/>
          </w:divBdr>
          <w:divsChild>
            <w:div w:id="1531608947">
              <w:marLeft w:val="75"/>
              <w:marRight w:val="75"/>
              <w:marTop w:val="300"/>
              <w:marBottom w:val="75"/>
              <w:divBdr>
                <w:top w:val="none" w:sz="0" w:space="0" w:color="auto"/>
                <w:left w:val="none" w:sz="0" w:space="0" w:color="auto"/>
                <w:bottom w:val="none" w:sz="0" w:space="0" w:color="auto"/>
                <w:right w:val="none" w:sz="0" w:space="0" w:color="auto"/>
              </w:divBdr>
              <w:divsChild>
                <w:div w:id="16917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05598">
          <w:marLeft w:val="0"/>
          <w:marRight w:val="0"/>
          <w:marTop w:val="0"/>
          <w:marBottom w:val="0"/>
          <w:divBdr>
            <w:top w:val="none" w:sz="0" w:space="0" w:color="auto"/>
            <w:left w:val="none" w:sz="0" w:space="0" w:color="auto"/>
            <w:bottom w:val="none" w:sz="0" w:space="0" w:color="auto"/>
            <w:right w:val="none" w:sz="0" w:space="0" w:color="auto"/>
          </w:divBdr>
          <w:divsChild>
            <w:div w:id="1216813973">
              <w:marLeft w:val="75"/>
              <w:marRight w:val="75"/>
              <w:marTop w:val="300"/>
              <w:marBottom w:val="75"/>
              <w:divBdr>
                <w:top w:val="none" w:sz="0" w:space="0" w:color="auto"/>
                <w:left w:val="none" w:sz="0" w:space="0" w:color="auto"/>
                <w:bottom w:val="none" w:sz="0" w:space="0" w:color="auto"/>
                <w:right w:val="none" w:sz="0" w:space="0" w:color="auto"/>
              </w:divBdr>
              <w:divsChild>
                <w:div w:id="2113043543">
                  <w:marLeft w:val="0"/>
                  <w:marRight w:val="0"/>
                  <w:marTop w:val="0"/>
                  <w:marBottom w:val="0"/>
                  <w:divBdr>
                    <w:top w:val="none" w:sz="0" w:space="0" w:color="auto"/>
                    <w:left w:val="none" w:sz="0" w:space="0" w:color="auto"/>
                    <w:bottom w:val="none" w:sz="0" w:space="0" w:color="auto"/>
                    <w:right w:val="none" w:sz="0" w:space="0" w:color="auto"/>
                  </w:divBdr>
                  <w:divsChild>
                    <w:div w:id="410008330">
                      <w:marLeft w:val="0"/>
                      <w:marRight w:val="0"/>
                      <w:marTop w:val="0"/>
                      <w:marBottom w:val="0"/>
                      <w:divBdr>
                        <w:top w:val="none" w:sz="0" w:space="0" w:color="auto"/>
                        <w:left w:val="none" w:sz="0" w:space="0" w:color="auto"/>
                        <w:bottom w:val="none" w:sz="0" w:space="0" w:color="auto"/>
                        <w:right w:val="none" w:sz="0" w:space="0" w:color="auto"/>
                      </w:divBdr>
                      <w:divsChild>
                        <w:div w:id="780760555">
                          <w:marLeft w:val="75"/>
                          <w:marRight w:val="0"/>
                          <w:marTop w:val="0"/>
                          <w:marBottom w:val="0"/>
                          <w:divBdr>
                            <w:top w:val="none" w:sz="0" w:space="0" w:color="auto"/>
                            <w:left w:val="none" w:sz="0" w:space="0" w:color="auto"/>
                            <w:bottom w:val="none" w:sz="0" w:space="0" w:color="auto"/>
                            <w:right w:val="none" w:sz="0" w:space="0" w:color="auto"/>
                          </w:divBdr>
                        </w:div>
                        <w:div w:id="981620377">
                          <w:marLeft w:val="75"/>
                          <w:marRight w:val="0"/>
                          <w:marTop w:val="0"/>
                          <w:marBottom w:val="0"/>
                          <w:divBdr>
                            <w:top w:val="none" w:sz="0" w:space="0" w:color="auto"/>
                            <w:left w:val="none" w:sz="0" w:space="0" w:color="auto"/>
                            <w:bottom w:val="none" w:sz="0" w:space="0" w:color="auto"/>
                            <w:right w:val="none" w:sz="0" w:space="0" w:color="auto"/>
                          </w:divBdr>
                        </w:div>
                        <w:div w:id="169672981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233260">
          <w:marLeft w:val="0"/>
          <w:marRight w:val="0"/>
          <w:marTop w:val="0"/>
          <w:marBottom w:val="0"/>
          <w:divBdr>
            <w:top w:val="none" w:sz="0" w:space="0" w:color="auto"/>
            <w:left w:val="none" w:sz="0" w:space="0" w:color="auto"/>
            <w:bottom w:val="none" w:sz="0" w:space="0" w:color="auto"/>
            <w:right w:val="none" w:sz="0" w:space="0" w:color="auto"/>
          </w:divBdr>
          <w:divsChild>
            <w:div w:id="1739093141">
              <w:marLeft w:val="75"/>
              <w:marRight w:val="75"/>
              <w:marTop w:val="300"/>
              <w:marBottom w:val="75"/>
              <w:divBdr>
                <w:top w:val="none" w:sz="0" w:space="0" w:color="auto"/>
                <w:left w:val="none" w:sz="0" w:space="0" w:color="auto"/>
                <w:bottom w:val="none" w:sz="0" w:space="0" w:color="auto"/>
                <w:right w:val="none" w:sz="0" w:space="0" w:color="auto"/>
              </w:divBdr>
              <w:divsChild>
                <w:div w:id="121197743">
                  <w:marLeft w:val="0"/>
                  <w:marRight w:val="0"/>
                  <w:marTop w:val="0"/>
                  <w:marBottom w:val="0"/>
                  <w:divBdr>
                    <w:top w:val="none" w:sz="0" w:space="0" w:color="auto"/>
                    <w:left w:val="none" w:sz="0" w:space="0" w:color="auto"/>
                    <w:bottom w:val="none" w:sz="0" w:space="0" w:color="auto"/>
                    <w:right w:val="none" w:sz="0" w:space="0" w:color="auto"/>
                  </w:divBdr>
                  <w:divsChild>
                    <w:div w:id="624238484">
                      <w:marLeft w:val="0"/>
                      <w:marRight w:val="0"/>
                      <w:marTop w:val="0"/>
                      <w:marBottom w:val="0"/>
                      <w:divBdr>
                        <w:top w:val="none" w:sz="0" w:space="0" w:color="auto"/>
                        <w:left w:val="none" w:sz="0" w:space="0" w:color="auto"/>
                        <w:bottom w:val="none" w:sz="0" w:space="0" w:color="auto"/>
                        <w:right w:val="none" w:sz="0" w:space="0" w:color="auto"/>
                      </w:divBdr>
                      <w:divsChild>
                        <w:div w:id="570700129">
                          <w:marLeft w:val="75"/>
                          <w:marRight w:val="0"/>
                          <w:marTop w:val="0"/>
                          <w:marBottom w:val="0"/>
                          <w:divBdr>
                            <w:top w:val="none" w:sz="0" w:space="0" w:color="auto"/>
                            <w:left w:val="none" w:sz="0" w:space="0" w:color="auto"/>
                            <w:bottom w:val="none" w:sz="0" w:space="0" w:color="auto"/>
                            <w:right w:val="none" w:sz="0" w:space="0" w:color="auto"/>
                          </w:divBdr>
                        </w:div>
                        <w:div w:id="1894927349">
                          <w:marLeft w:val="75"/>
                          <w:marRight w:val="0"/>
                          <w:marTop w:val="0"/>
                          <w:marBottom w:val="0"/>
                          <w:divBdr>
                            <w:top w:val="none" w:sz="0" w:space="0" w:color="auto"/>
                            <w:left w:val="none" w:sz="0" w:space="0" w:color="auto"/>
                            <w:bottom w:val="none" w:sz="0" w:space="0" w:color="auto"/>
                            <w:right w:val="none" w:sz="0" w:space="0" w:color="auto"/>
                          </w:divBdr>
                        </w:div>
                        <w:div w:id="19148556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812372">
          <w:marLeft w:val="0"/>
          <w:marRight w:val="0"/>
          <w:marTop w:val="0"/>
          <w:marBottom w:val="0"/>
          <w:divBdr>
            <w:top w:val="none" w:sz="0" w:space="0" w:color="auto"/>
            <w:left w:val="none" w:sz="0" w:space="0" w:color="auto"/>
            <w:bottom w:val="none" w:sz="0" w:space="0" w:color="auto"/>
            <w:right w:val="none" w:sz="0" w:space="0" w:color="auto"/>
          </w:divBdr>
          <w:divsChild>
            <w:div w:id="1009144031">
              <w:marLeft w:val="75"/>
              <w:marRight w:val="75"/>
              <w:marTop w:val="300"/>
              <w:marBottom w:val="75"/>
              <w:divBdr>
                <w:top w:val="none" w:sz="0" w:space="0" w:color="auto"/>
                <w:left w:val="none" w:sz="0" w:space="0" w:color="auto"/>
                <w:bottom w:val="none" w:sz="0" w:space="0" w:color="auto"/>
                <w:right w:val="none" w:sz="0" w:space="0" w:color="auto"/>
              </w:divBdr>
              <w:divsChild>
                <w:div w:id="43105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256982">
          <w:marLeft w:val="0"/>
          <w:marRight w:val="0"/>
          <w:marTop w:val="0"/>
          <w:marBottom w:val="0"/>
          <w:divBdr>
            <w:top w:val="none" w:sz="0" w:space="0" w:color="auto"/>
            <w:left w:val="none" w:sz="0" w:space="0" w:color="auto"/>
            <w:bottom w:val="none" w:sz="0" w:space="0" w:color="auto"/>
            <w:right w:val="none" w:sz="0" w:space="0" w:color="auto"/>
          </w:divBdr>
          <w:divsChild>
            <w:div w:id="768308683">
              <w:marLeft w:val="75"/>
              <w:marRight w:val="75"/>
              <w:marTop w:val="300"/>
              <w:marBottom w:val="75"/>
              <w:divBdr>
                <w:top w:val="none" w:sz="0" w:space="0" w:color="auto"/>
                <w:left w:val="none" w:sz="0" w:space="0" w:color="auto"/>
                <w:bottom w:val="none" w:sz="0" w:space="0" w:color="auto"/>
                <w:right w:val="none" w:sz="0" w:space="0" w:color="auto"/>
              </w:divBdr>
              <w:divsChild>
                <w:div w:id="7633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49029">
          <w:marLeft w:val="0"/>
          <w:marRight w:val="0"/>
          <w:marTop w:val="0"/>
          <w:marBottom w:val="0"/>
          <w:divBdr>
            <w:top w:val="none" w:sz="0" w:space="0" w:color="auto"/>
            <w:left w:val="none" w:sz="0" w:space="0" w:color="auto"/>
            <w:bottom w:val="none" w:sz="0" w:space="0" w:color="auto"/>
            <w:right w:val="none" w:sz="0" w:space="0" w:color="auto"/>
          </w:divBdr>
          <w:divsChild>
            <w:div w:id="2021156218">
              <w:marLeft w:val="75"/>
              <w:marRight w:val="75"/>
              <w:marTop w:val="300"/>
              <w:marBottom w:val="75"/>
              <w:divBdr>
                <w:top w:val="none" w:sz="0" w:space="0" w:color="auto"/>
                <w:left w:val="none" w:sz="0" w:space="0" w:color="auto"/>
                <w:bottom w:val="none" w:sz="0" w:space="0" w:color="auto"/>
                <w:right w:val="none" w:sz="0" w:space="0" w:color="auto"/>
              </w:divBdr>
              <w:divsChild>
                <w:div w:id="1083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79443">
          <w:marLeft w:val="0"/>
          <w:marRight w:val="0"/>
          <w:marTop w:val="0"/>
          <w:marBottom w:val="0"/>
          <w:divBdr>
            <w:top w:val="none" w:sz="0" w:space="0" w:color="auto"/>
            <w:left w:val="none" w:sz="0" w:space="0" w:color="auto"/>
            <w:bottom w:val="none" w:sz="0" w:space="0" w:color="auto"/>
            <w:right w:val="none" w:sz="0" w:space="0" w:color="auto"/>
          </w:divBdr>
          <w:divsChild>
            <w:div w:id="1749764486">
              <w:marLeft w:val="75"/>
              <w:marRight w:val="75"/>
              <w:marTop w:val="300"/>
              <w:marBottom w:val="75"/>
              <w:divBdr>
                <w:top w:val="none" w:sz="0" w:space="0" w:color="auto"/>
                <w:left w:val="none" w:sz="0" w:space="0" w:color="auto"/>
                <w:bottom w:val="none" w:sz="0" w:space="0" w:color="auto"/>
                <w:right w:val="none" w:sz="0" w:space="0" w:color="auto"/>
              </w:divBdr>
              <w:divsChild>
                <w:div w:id="86851561">
                  <w:marLeft w:val="0"/>
                  <w:marRight w:val="0"/>
                  <w:marTop w:val="0"/>
                  <w:marBottom w:val="0"/>
                  <w:divBdr>
                    <w:top w:val="none" w:sz="0" w:space="0" w:color="auto"/>
                    <w:left w:val="none" w:sz="0" w:space="0" w:color="auto"/>
                    <w:bottom w:val="none" w:sz="0" w:space="0" w:color="auto"/>
                    <w:right w:val="none" w:sz="0" w:space="0" w:color="auto"/>
                  </w:divBdr>
                  <w:divsChild>
                    <w:div w:id="1672872810">
                      <w:marLeft w:val="0"/>
                      <w:marRight w:val="0"/>
                      <w:marTop w:val="0"/>
                      <w:marBottom w:val="0"/>
                      <w:divBdr>
                        <w:top w:val="none" w:sz="0" w:space="0" w:color="auto"/>
                        <w:left w:val="none" w:sz="0" w:space="0" w:color="auto"/>
                        <w:bottom w:val="none" w:sz="0" w:space="0" w:color="auto"/>
                        <w:right w:val="none" w:sz="0" w:space="0" w:color="auto"/>
                      </w:divBdr>
                      <w:divsChild>
                        <w:div w:id="1481653445">
                          <w:marLeft w:val="75"/>
                          <w:marRight w:val="0"/>
                          <w:marTop w:val="0"/>
                          <w:marBottom w:val="0"/>
                          <w:divBdr>
                            <w:top w:val="none" w:sz="0" w:space="0" w:color="auto"/>
                            <w:left w:val="none" w:sz="0" w:space="0" w:color="auto"/>
                            <w:bottom w:val="none" w:sz="0" w:space="0" w:color="auto"/>
                            <w:right w:val="none" w:sz="0" w:space="0" w:color="auto"/>
                          </w:divBdr>
                        </w:div>
                        <w:div w:id="1779720819">
                          <w:marLeft w:val="75"/>
                          <w:marRight w:val="0"/>
                          <w:marTop w:val="0"/>
                          <w:marBottom w:val="0"/>
                          <w:divBdr>
                            <w:top w:val="none" w:sz="0" w:space="0" w:color="auto"/>
                            <w:left w:val="none" w:sz="0" w:space="0" w:color="auto"/>
                            <w:bottom w:val="none" w:sz="0" w:space="0" w:color="auto"/>
                            <w:right w:val="none" w:sz="0" w:space="0" w:color="auto"/>
                          </w:divBdr>
                        </w:div>
                        <w:div w:id="194159580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6084">
          <w:marLeft w:val="0"/>
          <w:marRight w:val="0"/>
          <w:marTop w:val="0"/>
          <w:marBottom w:val="0"/>
          <w:divBdr>
            <w:top w:val="none" w:sz="0" w:space="0" w:color="auto"/>
            <w:left w:val="none" w:sz="0" w:space="0" w:color="auto"/>
            <w:bottom w:val="none" w:sz="0" w:space="0" w:color="auto"/>
            <w:right w:val="none" w:sz="0" w:space="0" w:color="auto"/>
          </w:divBdr>
          <w:divsChild>
            <w:div w:id="142547994">
              <w:marLeft w:val="75"/>
              <w:marRight w:val="75"/>
              <w:marTop w:val="300"/>
              <w:marBottom w:val="75"/>
              <w:divBdr>
                <w:top w:val="none" w:sz="0" w:space="0" w:color="auto"/>
                <w:left w:val="none" w:sz="0" w:space="0" w:color="auto"/>
                <w:bottom w:val="none" w:sz="0" w:space="0" w:color="auto"/>
                <w:right w:val="none" w:sz="0" w:space="0" w:color="auto"/>
              </w:divBdr>
              <w:divsChild>
                <w:div w:id="171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865114">
          <w:marLeft w:val="0"/>
          <w:marRight w:val="0"/>
          <w:marTop w:val="0"/>
          <w:marBottom w:val="0"/>
          <w:divBdr>
            <w:top w:val="none" w:sz="0" w:space="0" w:color="auto"/>
            <w:left w:val="none" w:sz="0" w:space="0" w:color="auto"/>
            <w:bottom w:val="none" w:sz="0" w:space="0" w:color="auto"/>
            <w:right w:val="none" w:sz="0" w:space="0" w:color="auto"/>
          </w:divBdr>
          <w:divsChild>
            <w:div w:id="69352176">
              <w:marLeft w:val="75"/>
              <w:marRight w:val="75"/>
              <w:marTop w:val="300"/>
              <w:marBottom w:val="75"/>
              <w:divBdr>
                <w:top w:val="none" w:sz="0" w:space="0" w:color="auto"/>
                <w:left w:val="none" w:sz="0" w:space="0" w:color="auto"/>
                <w:bottom w:val="none" w:sz="0" w:space="0" w:color="auto"/>
                <w:right w:val="none" w:sz="0" w:space="0" w:color="auto"/>
              </w:divBdr>
              <w:divsChild>
                <w:div w:id="978876798">
                  <w:marLeft w:val="0"/>
                  <w:marRight w:val="0"/>
                  <w:marTop w:val="0"/>
                  <w:marBottom w:val="0"/>
                  <w:divBdr>
                    <w:top w:val="none" w:sz="0" w:space="0" w:color="auto"/>
                    <w:left w:val="none" w:sz="0" w:space="0" w:color="auto"/>
                    <w:bottom w:val="none" w:sz="0" w:space="0" w:color="auto"/>
                    <w:right w:val="none" w:sz="0" w:space="0" w:color="auto"/>
                  </w:divBdr>
                  <w:divsChild>
                    <w:div w:id="1113667836">
                      <w:marLeft w:val="0"/>
                      <w:marRight w:val="0"/>
                      <w:marTop w:val="0"/>
                      <w:marBottom w:val="0"/>
                      <w:divBdr>
                        <w:top w:val="none" w:sz="0" w:space="0" w:color="auto"/>
                        <w:left w:val="none" w:sz="0" w:space="0" w:color="auto"/>
                        <w:bottom w:val="none" w:sz="0" w:space="0" w:color="auto"/>
                        <w:right w:val="none" w:sz="0" w:space="0" w:color="auto"/>
                      </w:divBdr>
                      <w:divsChild>
                        <w:div w:id="275717825">
                          <w:marLeft w:val="75"/>
                          <w:marRight w:val="0"/>
                          <w:marTop w:val="0"/>
                          <w:marBottom w:val="0"/>
                          <w:divBdr>
                            <w:top w:val="none" w:sz="0" w:space="0" w:color="auto"/>
                            <w:left w:val="none" w:sz="0" w:space="0" w:color="auto"/>
                            <w:bottom w:val="none" w:sz="0" w:space="0" w:color="auto"/>
                            <w:right w:val="none" w:sz="0" w:space="0" w:color="auto"/>
                          </w:divBdr>
                        </w:div>
                        <w:div w:id="361902505">
                          <w:marLeft w:val="75"/>
                          <w:marRight w:val="0"/>
                          <w:marTop w:val="0"/>
                          <w:marBottom w:val="0"/>
                          <w:divBdr>
                            <w:top w:val="none" w:sz="0" w:space="0" w:color="auto"/>
                            <w:left w:val="none" w:sz="0" w:space="0" w:color="auto"/>
                            <w:bottom w:val="none" w:sz="0" w:space="0" w:color="auto"/>
                            <w:right w:val="none" w:sz="0" w:space="0" w:color="auto"/>
                          </w:divBdr>
                        </w:div>
                        <w:div w:id="897285174">
                          <w:marLeft w:val="75"/>
                          <w:marRight w:val="0"/>
                          <w:marTop w:val="0"/>
                          <w:marBottom w:val="0"/>
                          <w:divBdr>
                            <w:top w:val="none" w:sz="0" w:space="0" w:color="auto"/>
                            <w:left w:val="none" w:sz="0" w:space="0" w:color="auto"/>
                            <w:bottom w:val="none" w:sz="0" w:space="0" w:color="auto"/>
                            <w:right w:val="none" w:sz="0" w:space="0" w:color="auto"/>
                          </w:divBdr>
                        </w:div>
                        <w:div w:id="1120032360">
                          <w:marLeft w:val="75"/>
                          <w:marRight w:val="0"/>
                          <w:marTop w:val="0"/>
                          <w:marBottom w:val="0"/>
                          <w:divBdr>
                            <w:top w:val="none" w:sz="0" w:space="0" w:color="auto"/>
                            <w:left w:val="none" w:sz="0" w:space="0" w:color="auto"/>
                            <w:bottom w:val="none" w:sz="0" w:space="0" w:color="auto"/>
                            <w:right w:val="none" w:sz="0" w:space="0" w:color="auto"/>
                          </w:divBdr>
                        </w:div>
                        <w:div w:id="1553888481">
                          <w:marLeft w:val="75"/>
                          <w:marRight w:val="0"/>
                          <w:marTop w:val="0"/>
                          <w:marBottom w:val="0"/>
                          <w:divBdr>
                            <w:top w:val="none" w:sz="0" w:space="0" w:color="auto"/>
                            <w:left w:val="none" w:sz="0" w:space="0" w:color="auto"/>
                            <w:bottom w:val="none" w:sz="0" w:space="0" w:color="auto"/>
                            <w:right w:val="none" w:sz="0" w:space="0" w:color="auto"/>
                          </w:divBdr>
                        </w:div>
                        <w:div w:id="2027752079">
                          <w:marLeft w:val="75"/>
                          <w:marRight w:val="0"/>
                          <w:marTop w:val="0"/>
                          <w:marBottom w:val="0"/>
                          <w:divBdr>
                            <w:top w:val="none" w:sz="0" w:space="0" w:color="auto"/>
                            <w:left w:val="none" w:sz="0" w:space="0" w:color="auto"/>
                            <w:bottom w:val="none" w:sz="0" w:space="0" w:color="auto"/>
                            <w:right w:val="none" w:sz="0" w:space="0" w:color="auto"/>
                          </w:divBdr>
                        </w:div>
                      </w:divsChild>
                    </w:div>
                    <w:div w:id="1567568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691030207">
          <w:marLeft w:val="0"/>
          <w:marRight w:val="0"/>
          <w:marTop w:val="0"/>
          <w:marBottom w:val="0"/>
          <w:divBdr>
            <w:top w:val="none" w:sz="0" w:space="0" w:color="auto"/>
            <w:left w:val="none" w:sz="0" w:space="0" w:color="auto"/>
            <w:bottom w:val="none" w:sz="0" w:space="0" w:color="auto"/>
            <w:right w:val="none" w:sz="0" w:space="0" w:color="auto"/>
          </w:divBdr>
          <w:divsChild>
            <w:div w:id="81412041">
              <w:marLeft w:val="75"/>
              <w:marRight w:val="75"/>
              <w:marTop w:val="300"/>
              <w:marBottom w:val="75"/>
              <w:divBdr>
                <w:top w:val="none" w:sz="0" w:space="0" w:color="auto"/>
                <w:left w:val="none" w:sz="0" w:space="0" w:color="auto"/>
                <w:bottom w:val="none" w:sz="0" w:space="0" w:color="auto"/>
                <w:right w:val="none" w:sz="0" w:space="0" w:color="auto"/>
              </w:divBdr>
              <w:divsChild>
                <w:div w:id="672994229">
                  <w:marLeft w:val="0"/>
                  <w:marRight w:val="0"/>
                  <w:marTop w:val="0"/>
                  <w:marBottom w:val="0"/>
                  <w:divBdr>
                    <w:top w:val="none" w:sz="0" w:space="0" w:color="auto"/>
                    <w:left w:val="none" w:sz="0" w:space="0" w:color="auto"/>
                    <w:bottom w:val="none" w:sz="0" w:space="0" w:color="auto"/>
                    <w:right w:val="none" w:sz="0" w:space="0" w:color="auto"/>
                  </w:divBdr>
                  <w:divsChild>
                    <w:div w:id="989208343">
                      <w:marLeft w:val="-15"/>
                      <w:marRight w:val="-15"/>
                      <w:marTop w:val="0"/>
                      <w:marBottom w:val="0"/>
                      <w:divBdr>
                        <w:top w:val="none" w:sz="0" w:space="0" w:color="auto"/>
                        <w:left w:val="none" w:sz="0" w:space="0" w:color="auto"/>
                        <w:bottom w:val="none" w:sz="0" w:space="0" w:color="auto"/>
                        <w:right w:val="none" w:sz="0" w:space="0" w:color="auto"/>
                      </w:divBdr>
                    </w:div>
                    <w:div w:id="1043293270">
                      <w:marLeft w:val="0"/>
                      <w:marRight w:val="0"/>
                      <w:marTop w:val="0"/>
                      <w:marBottom w:val="0"/>
                      <w:divBdr>
                        <w:top w:val="none" w:sz="0" w:space="0" w:color="auto"/>
                        <w:left w:val="none" w:sz="0" w:space="0" w:color="auto"/>
                        <w:bottom w:val="none" w:sz="0" w:space="0" w:color="auto"/>
                        <w:right w:val="none" w:sz="0" w:space="0" w:color="auto"/>
                      </w:divBdr>
                    </w:div>
                    <w:div w:id="16875606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563164">
          <w:marLeft w:val="0"/>
          <w:marRight w:val="0"/>
          <w:marTop w:val="0"/>
          <w:marBottom w:val="0"/>
          <w:divBdr>
            <w:top w:val="none" w:sz="0" w:space="0" w:color="auto"/>
            <w:left w:val="none" w:sz="0" w:space="0" w:color="auto"/>
            <w:bottom w:val="none" w:sz="0" w:space="0" w:color="auto"/>
            <w:right w:val="none" w:sz="0" w:space="0" w:color="auto"/>
          </w:divBdr>
          <w:divsChild>
            <w:div w:id="1105349161">
              <w:marLeft w:val="75"/>
              <w:marRight w:val="75"/>
              <w:marTop w:val="300"/>
              <w:marBottom w:val="75"/>
              <w:divBdr>
                <w:top w:val="none" w:sz="0" w:space="0" w:color="auto"/>
                <w:left w:val="none" w:sz="0" w:space="0" w:color="auto"/>
                <w:bottom w:val="none" w:sz="0" w:space="0" w:color="auto"/>
                <w:right w:val="none" w:sz="0" w:space="0" w:color="auto"/>
              </w:divBdr>
              <w:divsChild>
                <w:div w:id="2853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20924">
          <w:marLeft w:val="0"/>
          <w:marRight w:val="0"/>
          <w:marTop w:val="0"/>
          <w:marBottom w:val="0"/>
          <w:divBdr>
            <w:top w:val="none" w:sz="0" w:space="0" w:color="auto"/>
            <w:left w:val="none" w:sz="0" w:space="0" w:color="auto"/>
            <w:bottom w:val="none" w:sz="0" w:space="0" w:color="auto"/>
            <w:right w:val="none" w:sz="0" w:space="0" w:color="auto"/>
          </w:divBdr>
          <w:divsChild>
            <w:div w:id="1966304932">
              <w:marLeft w:val="75"/>
              <w:marRight w:val="75"/>
              <w:marTop w:val="300"/>
              <w:marBottom w:val="75"/>
              <w:divBdr>
                <w:top w:val="none" w:sz="0" w:space="0" w:color="auto"/>
                <w:left w:val="none" w:sz="0" w:space="0" w:color="auto"/>
                <w:bottom w:val="none" w:sz="0" w:space="0" w:color="auto"/>
                <w:right w:val="none" w:sz="0" w:space="0" w:color="auto"/>
              </w:divBdr>
              <w:divsChild>
                <w:div w:id="96397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26448">
          <w:marLeft w:val="0"/>
          <w:marRight w:val="0"/>
          <w:marTop w:val="0"/>
          <w:marBottom w:val="0"/>
          <w:divBdr>
            <w:top w:val="none" w:sz="0" w:space="0" w:color="auto"/>
            <w:left w:val="none" w:sz="0" w:space="0" w:color="auto"/>
            <w:bottom w:val="none" w:sz="0" w:space="0" w:color="auto"/>
            <w:right w:val="none" w:sz="0" w:space="0" w:color="auto"/>
          </w:divBdr>
          <w:divsChild>
            <w:div w:id="2064520038">
              <w:marLeft w:val="75"/>
              <w:marRight w:val="75"/>
              <w:marTop w:val="300"/>
              <w:marBottom w:val="75"/>
              <w:divBdr>
                <w:top w:val="none" w:sz="0" w:space="0" w:color="auto"/>
                <w:left w:val="none" w:sz="0" w:space="0" w:color="auto"/>
                <w:bottom w:val="none" w:sz="0" w:space="0" w:color="auto"/>
                <w:right w:val="none" w:sz="0" w:space="0" w:color="auto"/>
              </w:divBdr>
              <w:divsChild>
                <w:div w:id="887764545">
                  <w:marLeft w:val="0"/>
                  <w:marRight w:val="0"/>
                  <w:marTop w:val="0"/>
                  <w:marBottom w:val="0"/>
                  <w:divBdr>
                    <w:top w:val="none" w:sz="0" w:space="0" w:color="auto"/>
                    <w:left w:val="none" w:sz="0" w:space="0" w:color="auto"/>
                    <w:bottom w:val="none" w:sz="0" w:space="0" w:color="auto"/>
                    <w:right w:val="none" w:sz="0" w:space="0" w:color="auto"/>
                  </w:divBdr>
                  <w:divsChild>
                    <w:div w:id="1948265920">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750812358">
          <w:marLeft w:val="0"/>
          <w:marRight w:val="0"/>
          <w:marTop w:val="0"/>
          <w:marBottom w:val="0"/>
          <w:divBdr>
            <w:top w:val="none" w:sz="0" w:space="0" w:color="auto"/>
            <w:left w:val="none" w:sz="0" w:space="0" w:color="auto"/>
            <w:bottom w:val="none" w:sz="0" w:space="0" w:color="auto"/>
            <w:right w:val="none" w:sz="0" w:space="0" w:color="auto"/>
          </w:divBdr>
          <w:divsChild>
            <w:div w:id="1683631825">
              <w:marLeft w:val="75"/>
              <w:marRight w:val="75"/>
              <w:marTop w:val="300"/>
              <w:marBottom w:val="75"/>
              <w:divBdr>
                <w:top w:val="none" w:sz="0" w:space="0" w:color="auto"/>
                <w:left w:val="none" w:sz="0" w:space="0" w:color="auto"/>
                <w:bottom w:val="none" w:sz="0" w:space="0" w:color="auto"/>
                <w:right w:val="none" w:sz="0" w:space="0" w:color="auto"/>
              </w:divBdr>
              <w:divsChild>
                <w:div w:id="108279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06694">
          <w:marLeft w:val="0"/>
          <w:marRight w:val="0"/>
          <w:marTop w:val="0"/>
          <w:marBottom w:val="0"/>
          <w:divBdr>
            <w:top w:val="none" w:sz="0" w:space="0" w:color="auto"/>
            <w:left w:val="none" w:sz="0" w:space="0" w:color="auto"/>
            <w:bottom w:val="none" w:sz="0" w:space="0" w:color="auto"/>
            <w:right w:val="none" w:sz="0" w:space="0" w:color="auto"/>
          </w:divBdr>
          <w:divsChild>
            <w:div w:id="330258813">
              <w:marLeft w:val="75"/>
              <w:marRight w:val="75"/>
              <w:marTop w:val="300"/>
              <w:marBottom w:val="75"/>
              <w:divBdr>
                <w:top w:val="none" w:sz="0" w:space="0" w:color="auto"/>
                <w:left w:val="none" w:sz="0" w:space="0" w:color="auto"/>
                <w:bottom w:val="none" w:sz="0" w:space="0" w:color="auto"/>
                <w:right w:val="none" w:sz="0" w:space="0" w:color="auto"/>
              </w:divBdr>
              <w:divsChild>
                <w:div w:id="128184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60544">
          <w:marLeft w:val="0"/>
          <w:marRight w:val="0"/>
          <w:marTop w:val="0"/>
          <w:marBottom w:val="0"/>
          <w:divBdr>
            <w:top w:val="none" w:sz="0" w:space="0" w:color="auto"/>
            <w:left w:val="none" w:sz="0" w:space="0" w:color="auto"/>
            <w:bottom w:val="none" w:sz="0" w:space="0" w:color="auto"/>
            <w:right w:val="none" w:sz="0" w:space="0" w:color="auto"/>
          </w:divBdr>
          <w:divsChild>
            <w:div w:id="1066688737">
              <w:marLeft w:val="75"/>
              <w:marRight w:val="75"/>
              <w:marTop w:val="300"/>
              <w:marBottom w:val="75"/>
              <w:divBdr>
                <w:top w:val="none" w:sz="0" w:space="0" w:color="auto"/>
                <w:left w:val="none" w:sz="0" w:space="0" w:color="auto"/>
                <w:bottom w:val="none" w:sz="0" w:space="0" w:color="auto"/>
                <w:right w:val="none" w:sz="0" w:space="0" w:color="auto"/>
              </w:divBdr>
              <w:divsChild>
                <w:div w:id="104768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30519">
          <w:marLeft w:val="0"/>
          <w:marRight w:val="0"/>
          <w:marTop w:val="0"/>
          <w:marBottom w:val="0"/>
          <w:divBdr>
            <w:top w:val="none" w:sz="0" w:space="0" w:color="auto"/>
            <w:left w:val="none" w:sz="0" w:space="0" w:color="auto"/>
            <w:bottom w:val="none" w:sz="0" w:space="0" w:color="auto"/>
            <w:right w:val="none" w:sz="0" w:space="0" w:color="auto"/>
          </w:divBdr>
          <w:divsChild>
            <w:div w:id="1084448519">
              <w:marLeft w:val="75"/>
              <w:marRight w:val="75"/>
              <w:marTop w:val="300"/>
              <w:marBottom w:val="75"/>
              <w:divBdr>
                <w:top w:val="none" w:sz="0" w:space="0" w:color="auto"/>
                <w:left w:val="none" w:sz="0" w:space="0" w:color="auto"/>
                <w:bottom w:val="none" w:sz="0" w:space="0" w:color="auto"/>
                <w:right w:val="none" w:sz="0" w:space="0" w:color="auto"/>
              </w:divBdr>
              <w:divsChild>
                <w:div w:id="138033451">
                  <w:marLeft w:val="0"/>
                  <w:marRight w:val="0"/>
                  <w:marTop w:val="0"/>
                  <w:marBottom w:val="0"/>
                  <w:divBdr>
                    <w:top w:val="none" w:sz="0" w:space="0" w:color="auto"/>
                    <w:left w:val="none" w:sz="0" w:space="0" w:color="auto"/>
                    <w:bottom w:val="none" w:sz="0" w:space="0" w:color="auto"/>
                    <w:right w:val="none" w:sz="0" w:space="0" w:color="auto"/>
                  </w:divBdr>
                  <w:divsChild>
                    <w:div w:id="2103640348">
                      <w:marLeft w:val="0"/>
                      <w:marRight w:val="0"/>
                      <w:marTop w:val="0"/>
                      <w:marBottom w:val="0"/>
                      <w:divBdr>
                        <w:top w:val="none" w:sz="0" w:space="0" w:color="auto"/>
                        <w:left w:val="none" w:sz="0" w:space="0" w:color="auto"/>
                        <w:bottom w:val="none" w:sz="0" w:space="0" w:color="auto"/>
                        <w:right w:val="none" w:sz="0" w:space="0" w:color="auto"/>
                      </w:divBdr>
                      <w:divsChild>
                        <w:div w:id="262882539">
                          <w:marLeft w:val="75"/>
                          <w:marRight w:val="0"/>
                          <w:marTop w:val="0"/>
                          <w:marBottom w:val="0"/>
                          <w:divBdr>
                            <w:top w:val="none" w:sz="0" w:space="0" w:color="auto"/>
                            <w:left w:val="none" w:sz="0" w:space="0" w:color="auto"/>
                            <w:bottom w:val="none" w:sz="0" w:space="0" w:color="auto"/>
                            <w:right w:val="none" w:sz="0" w:space="0" w:color="auto"/>
                          </w:divBdr>
                        </w:div>
                        <w:div w:id="1135561393">
                          <w:marLeft w:val="75"/>
                          <w:marRight w:val="0"/>
                          <w:marTop w:val="0"/>
                          <w:marBottom w:val="0"/>
                          <w:divBdr>
                            <w:top w:val="none" w:sz="0" w:space="0" w:color="auto"/>
                            <w:left w:val="none" w:sz="0" w:space="0" w:color="auto"/>
                            <w:bottom w:val="none" w:sz="0" w:space="0" w:color="auto"/>
                            <w:right w:val="none" w:sz="0" w:space="0" w:color="auto"/>
                          </w:divBdr>
                        </w:div>
                        <w:div w:id="17028265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154300">
          <w:marLeft w:val="0"/>
          <w:marRight w:val="0"/>
          <w:marTop w:val="0"/>
          <w:marBottom w:val="0"/>
          <w:divBdr>
            <w:top w:val="none" w:sz="0" w:space="0" w:color="auto"/>
            <w:left w:val="none" w:sz="0" w:space="0" w:color="auto"/>
            <w:bottom w:val="none" w:sz="0" w:space="0" w:color="auto"/>
            <w:right w:val="none" w:sz="0" w:space="0" w:color="auto"/>
          </w:divBdr>
          <w:divsChild>
            <w:div w:id="697783153">
              <w:marLeft w:val="75"/>
              <w:marRight w:val="75"/>
              <w:marTop w:val="300"/>
              <w:marBottom w:val="75"/>
              <w:divBdr>
                <w:top w:val="none" w:sz="0" w:space="0" w:color="auto"/>
                <w:left w:val="none" w:sz="0" w:space="0" w:color="auto"/>
                <w:bottom w:val="none" w:sz="0" w:space="0" w:color="auto"/>
                <w:right w:val="none" w:sz="0" w:space="0" w:color="auto"/>
              </w:divBdr>
              <w:divsChild>
                <w:div w:id="1094008057">
                  <w:marLeft w:val="0"/>
                  <w:marRight w:val="0"/>
                  <w:marTop w:val="0"/>
                  <w:marBottom w:val="0"/>
                  <w:divBdr>
                    <w:top w:val="none" w:sz="0" w:space="0" w:color="auto"/>
                    <w:left w:val="none" w:sz="0" w:space="0" w:color="auto"/>
                    <w:bottom w:val="none" w:sz="0" w:space="0" w:color="auto"/>
                    <w:right w:val="none" w:sz="0" w:space="0" w:color="auto"/>
                  </w:divBdr>
                  <w:divsChild>
                    <w:div w:id="940917900">
                      <w:marLeft w:val="0"/>
                      <w:marRight w:val="0"/>
                      <w:marTop w:val="0"/>
                      <w:marBottom w:val="0"/>
                      <w:divBdr>
                        <w:top w:val="none" w:sz="0" w:space="0" w:color="auto"/>
                        <w:left w:val="none" w:sz="0" w:space="0" w:color="auto"/>
                        <w:bottom w:val="none" w:sz="0" w:space="0" w:color="auto"/>
                        <w:right w:val="none" w:sz="0" w:space="0" w:color="auto"/>
                      </w:divBdr>
                    </w:div>
                    <w:div w:id="975766176">
                      <w:marLeft w:val="300"/>
                      <w:marRight w:val="0"/>
                      <w:marTop w:val="0"/>
                      <w:marBottom w:val="0"/>
                      <w:divBdr>
                        <w:top w:val="none" w:sz="0" w:space="0" w:color="auto"/>
                        <w:left w:val="none" w:sz="0" w:space="0" w:color="auto"/>
                        <w:bottom w:val="none" w:sz="0" w:space="0" w:color="auto"/>
                        <w:right w:val="none" w:sz="0" w:space="0" w:color="auto"/>
                      </w:divBdr>
                    </w:div>
                    <w:div w:id="12866905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53831064">
          <w:marLeft w:val="0"/>
          <w:marRight w:val="0"/>
          <w:marTop w:val="0"/>
          <w:marBottom w:val="0"/>
          <w:divBdr>
            <w:top w:val="none" w:sz="0" w:space="0" w:color="auto"/>
            <w:left w:val="none" w:sz="0" w:space="0" w:color="auto"/>
            <w:bottom w:val="none" w:sz="0" w:space="0" w:color="auto"/>
            <w:right w:val="none" w:sz="0" w:space="0" w:color="auto"/>
          </w:divBdr>
          <w:divsChild>
            <w:div w:id="2065830574">
              <w:marLeft w:val="75"/>
              <w:marRight w:val="75"/>
              <w:marTop w:val="300"/>
              <w:marBottom w:val="75"/>
              <w:divBdr>
                <w:top w:val="none" w:sz="0" w:space="0" w:color="auto"/>
                <w:left w:val="none" w:sz="0" w:space="0" w:color="auto"/>
                <w:bottom w:val="none" w:sz="0" w:space="0" w:color="auto"/>
                <w:right w:val="none" w:sz="0" w:space="0" w:color="auto"/>
              </w:divBdr>
              <w:divsChild>
                <w:div w:id="175054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47818">
          <w:marLeft w:val="0"/>
          <w:marRight w:val="0"/>
          <w:marTop w:val="0"/>
          <w:marBottom w:val="0"/>
          <w:divBdr>
            <w:top w:val="none" w:sz="0" w:space="0" w:color="auto"/>
            <w:left w:val="none" w:sz="0" w:space="0" w:color="auto"/>
            <w:bottom w:val="none" w:sz="0" w:space="0" w:color="auto"/>
            <w:right w:val="none" w:sz="0" w:space="0" w:color="auto"/>
          </w:divBdr>
          <w:divsChild>
            <w:div w:id="1151412585">
              <w:marLeft w:val="75"/>
              <w:marRight w:val="75"/>
              <w:marTop w:val="300"/>
              <w:marBottom w:val="75"/>
              <w:divBdr>
                <w:top w:val="none" w:sz="0" w:space="0" w:color="auto"/>
                <w:left w:val="none" w:sz="0" w:space="0" w:color="auto"/>
                <w:bottom w:val="none" w:sz="0" w:space="0" w:color="auto"/>
                <w:right w:val="none" w:sz="0" w:space="0" w:color="auto"/>
              </w:divBdr>
              <w:divsChild>
                <w:div w:id="112716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5644">
          <w:marLeft w:val="0"/>
          <w:marRight w:val="0"/>
          <w:marTop w:val="0"/>
          <w:marBottom w:val="0"/>
          <w:divBdr>
            <w:top w:val="none" w:sz="0" w:space="0" w:color="auto"/>
            <w:left w:val="none" w:sz="0" w:space="0" w:color="auto"/>
            <w:bottom w:val="none" w:sz="0" w:space="0" w:color="auto"/>
            <w:right w:val="none" w:sz="0" w:space="0" w:color="auto"/>
          </w:divBdr>
          <w:divsChild>
            <w:div w:id="485902953">
              <w:marLeft w:val="75"/>
              <w:marRight w:val="75"/>
              <w:marTop w:val="300"/>
              <w:marBottom w:val="75"/>
              <w:divBdr>
                <w:top w:val="none" w:sz="0" w:space="0" w:color="auto"/>
                <w:left w:val="none" w:sz="0" w:space="0" w:color="auto"/>
                <w:bottom w:val="none" w:sz="0" w:space="0" w:color="auto"/>
                <w:right w:val="none" w:sz="0" w:space="0" w:color="auto"/>
              </w:divBdr>
              <w:divsChild>
                <w:div w:id="37705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9675">
          <w:marLeft w:val="0"/>
          <w:marRight w:val="0"/>
          <w:marTop w:val="0"/>
          <w:marBottom w:val="0"/>
          <w:divBdr>
            <w:top w:val="none" w:sz="0" w:space="0" w:color="auto"/>
            <w:left w:val="none" w:sz="0" w:space="0" w:color="auto"/>
            <w:bottom w:val="none" w:sz="0" w:space="0" w:color="auto"/>
            <w:right w:val="none" w:sz="0" w:space="0" w:color="auto"/>
          </w:divBdr>
          <w:divsChild>
            <w:div w:id="1727332370">
              <w:marLeft w:val="75"/>
              <w:marRight w:val="75"/>
              <w:marTop w:val="300"/>
              <w:marBottom w:val="75"/>
              <w:divBdr>
                <w:top w:val="none" w:sz="0" w:space="0" w:color="auto"/>
                <w:left w:val="none" w:sz="0" w:space="0" w:color="auto"/>
                <w:bottom w:val="none" w:sz="0" w:space="0" w:color="auto"/>
                <w:right w:val="none" w:sz="0" w:space="0" w:color="auto"/>
              </w:divBdr>
              <w:divsChild>
                <w:div w:id="1440103654">
                  <w:marLeft w:val="0"/>
                  <w:marRight w:val="0"/>
                  <w:marTop w:val="0"/>
                  <w:marBottom w:val="0"/>
                  <w:divBdr>
                    <w:top w:val="none" w:sz="0" w:space="0" w:color="auto"/>
                    <w:left w:val="none" w:sz="0" w:space="0" w:color="auto"/>
                    <w:bottom w:val="none" w:sz="0" w:space="0" w:color="auto"/>
                    <w:right w:val="none" w:sz="0" w:space="0" w:color="auto"/>
                  </w:divBdr>
                  <w:divsChild>
                    <w:div w:id="749883990">
                      <w:marLeft w:val="300"/>
                      <w:marRight w:val="0"/>
                      <w:marTop w:val="0"/>
                      <w:marBottom w:val="0"/>
                      <w:divBdr>
                        <w:top w:val="none" w:sz="0" w:space="0" w:color="auto"/>
                        <w:left w:val="none" w:sz="0" w:space="0" w:color="auto"/>
                        <w:bottom w:val="none" w:sz="0" w:space="0" w:color="auto"/>
                        <w:right w:val="none" w:sz="0" w:space="0" w:color="auto"/>
                      </w:divBdr>
                    </w:div>
                    <w:div w:id="1272543236">
                      <w:marLeft w:val="-15"/>
                      <w:marRight w:val="-15"/>
                      <w:marTop w:val="0"/>
                      <w:marBottom w:val="0"/>
                      <w:divBdr>
                        <w:top w:val="none" w:sz="0" w:space="0" w:color="auto"/>
                        <w:left w:val="none" w:sz="0" w:space="0" w:color="auto"/>
                        <w:bottom w:val="none" w:sz="0" w:space="0" w:color="auto"/>
                        <w:right w:val="none" w:sz="0" w:space="0" w:color="auto"/>
                      </w:divBdr>
                    </w:div>
                    <w:div w:id="187048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59705">
          <w:marLeft w:val="0"/>
          <w:marRight w:val="0"/>
          <w:marTop w:val="0"/>
          <w:marBottom w:val="0"/>
          <w:divBdr>
            <w:top w:val="none" w:sz="0" w:space="0" w:color="auto"/>
            <w:left w:val="none" w:sz="0" w:space="0" w:color="auto"/>
            <w:bottom w:val="none" w:sz="0" w:space="0" w:color="auto"/>
            <w:right w:val="none" w:sz="0" w:space="0" w:color="auto"/>
          </w:divBdr>
          <w:divsChild>
            <w:div w:id="867571415">
              <w:marLeft w:val="75"/>
              <w:marRight w:val="75"/>
              <w:marTop w:val="300"/>
              <w:marBottom w:val="75"/>
              <w:divBdr>
                <w:top w:val="none" w:sz="0" w:space="0" w:color="auto"/>
                <w:left w:val="none" w:sz="0" w:space="0" w:color="auto"/>
                <w:bottom w:val="none" w:sz="0" w:space="0" w:color="auto"/>
                <w:right w:val="none" w:sz="0" w:space="0" w:color="auto"/>
              </w:divBdr>
              <w:divsChild>
                <w:div w:id="1912693068">
                  <w:marLeft w:val="0"/>
                  <w:marRight w:val="0"/>
                  <w:marTop w:val="0"/>
                  <w:marBottom w:val="0"/>
                  <w:divBdr>
                    <w:top w:val="none" w:sz="0" w:space="0" w:color="auto"/>
                    <w:left w:val="none" w:sz="0" w:space="0" w:color="auto"/>
                    <w:bottom w:val="none" w:sz="0" w:space="0" w:color="auto"/>
                    <w:right w:val="none" w:sz="0" w:space="0" w:color="auto"/>
                  </w:divBdr>
                  <w:divsChild>
                    <w:div w:id="1609384407">
                      <w:marLeft w:val="0"/>
                      <w:marRight w:val="0"/>
                      <w:marTop w:val="0"/>
                      <w:marBottom w:val="0"/>
                      <w:divBdr>
                        <w:top w:val="none" w:sz="0" w:space="0" w:color="auto"/>
                        <w:left w:val="none" w:sz="0" w:space="0" w:color="auto"/>
                        <w:bottom w:val="none" w:sz="0" w:space="0" w:color="auto"/>
                        <w:right w:val="none" w:sz="0" w:space="0" w:color="auto"/>
                      </w:divBdr>
                      <w:divsChild>
                        <w:div w:id="767890149">
                          <w:marLeft w:val="0"/>
                          <w:marRight w:val="0"/>
                          <w:marTop w:val="0"/>
                          <w:marBottom w:val="192"/>
                          <w:divBdr>
                            <w:top w:val="none" w:sz="0" w:space="0" w:color="auto"/>
                            <w:left w:val="none" w:sz="0" w:space="0" w:color="auto"/>
                            <w:bottom w:val="none" w:sz="0" w:space="0" w:color="auto"/>
                            <w:right w:val="none" w:sz="0" w:space="0" w:color="auto"/>
                          </w:divBdr>
                          <w:divsChild>
                            <w:div w:id="735972771">
                              <w:marLeft w:val="0"/>
                              <w:marRight w:val="0"/>
                              <w:marTop w:val="0"/>
                              <w:marBottom w:val="0"/>
                              <w:divBdr>
                                <w:top w:val="dashed" w:sz="6" w:space="12" w:color="666666"/>
                                <w:left w:val="none" w:sz="0" w:space="0" w:color="auto"/>
                                <w:bottom w:val="none" w:sz="0" w:space="0" w:color="auto"/>
                                <w:right w:val="none" w:sz="0" w:space="0" w:color="auto"/>
                              </w:divBdr>
                            </w:div>
                          </w:divsChild>
                        </w:div>
                      </w:divsChild>
                    </w:div>
                  </w:divsChild>
                </w:div>
              </w:divsChild>
            </w:div>
          </w:divsChild>
        </w:div>
        <w:div w:id="1002439166">
          <w:marLeft w:val="0"/>
          <w:marRight w:val="0"/>
          <w:marTop w:val="0"/>
          <w:marBottom w:val="0"/>
          <w:divBdr>
            <w:top w:val="none" w:sz="0" w:space="0" w:color="auto"/>
            <w:left w:val="none" w:sz="0" w:space="0" w:color="auto"/>
            <w:bottom w:val="none" w:sz="0" w:space="0" w:color="auto"/>
            <w:right w:val="none" w:sz="0" w:space="0" w:color="auto"/>
          </w:divBdr>
          <w:divsChild>
            <w:div w:id="1227952441">
              <w:marLeft w:val="75"/>
              <w:marRight w:val="75"/>
              <w:marTop w:val="300"/>
              <w:marBottom w:val="75"/>
              <w:divBdr>
                <w:top w:val="none" w:sz="0" w:space="0" w:color="auto"/>
                <w:left w:val="none" w:sz="0" w:space="0" w:color="auto"/>
                <w:bottom w:val="none" w:sz="0" w:space="0" w:color="auto"/>
                <w:right w:val="none" w:sz="0" w:space="0" w:color="auto"/>
              </w:divBdr>
              <w:divsChild>
                <w:div w:id="109643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94433">
          <w:marLeft w:val="0"/>
          <w:marRight w:val="0"/>
          <w:marTop w:val="0"/>
          <w:marBottom w:val="0"/>
          <w:divBdr>
            <w:top w:val="none" w:sz="0" w:space="0" w:color="auto"/>
            <w:left w:val="none" w:sz="0" w:space="0" w:color="auto"/>
            <w:bottom w:val="none" w:sz="0" w:space="0" w:color="auto"/>
            <w:right w:val="none" w:sz="0" w:space="0" w:color="auto"/>
          </w:divBdr>
          <w:divsChild>
            <w:div w:id="1263152466">
              <w:marLeft w:val="75"/>
              <w:marRight w:val="75"/>
              <w:marTop w:val="300"/>
              <w:marBottom w:val="75"/>
              <w:divBdr>
                <w:top w:val="none" w:sz="0" w:space="0" w:color="auto"/>
                <w:left w:val="none" w:sz="0" w:space="0" w:color="auto"/>
                <w:bottom w:val="none" w:sz="0" w:space="0" w:color="auto"/>
                <w:right w:val="none" w:sz="0" w:space="0" w:color="auto"/>
              </w:divBdr>
              <w:divsChild>
                <w:div w:id="19346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763698">
          <w:marLeft w:val="0"/>
          <w:marRight w:val="0"/>
          <w:marTop w:val="0"/>
          <w:marBottom w:val="0"/>
          <w:divBdr>
            <w:top w:val="none" w:sz="0" w:space="0" w:color="auto"/>
            <w:left w:val="none" w:sz="0" w:space="0" w:color="auto"/>
            <w:bottom w:val="none" w:sz="0" w:space="0" w:color="auto"/>
            <w:right w:val="none" w:sz="0" w:space="0" w:color="auto"/>
          </w:divBdr>
          <w:divsChild>
            <w:div w:id="293485837">
              <w:marLeft w:val="75"/>
              <w:marRight w:val="75"/>
              <w:marTop w:val="300"/>
              <w:marBottom w:val="75"/>
              <w:divBdr>
                <w:top w:val="none" w:sz="0" w:space="0" w:color="auto"/>
                <w:left w:val="none" w:sz="0" w:space="0" w:color="auto"/>
                <w:bottom w:val="none" w:sz="0" w:space="0" w:color="auto"/>
                <w:right w:val="none" w:sz="0" w:space="0" w:color="auto"/>
              </w:divBdr>
              <w:divsChild>
                <w:div w:id="1389844683">
                  <w:marLeft w:val="0"/>
                  <w:marRight w:val="0"/>
                  <w:marTop w:val="0"/>
                  <w:marBottom w:val="0"/>
                  <w:divBdr>
                    <w:top w:val="none" w:sz="0" w:space="0" w:color="auto"/>
                    <w:left w:val="none" w:sz="0" w:space="0" w:color="auto"/>
                    <w:bottom w:val="none" w:sz="0" w:space="0" w:color="auto"/>
                    <w:right w:val="none" w:sz="0" w:space="0" w:color="auto"/>
                  </w:divBdr>
                  <w:divsChild>
                    <w:div w:id="798959230">
                      <w:marLeft w:val="-15"/>
                      <w:marRight w:val="-15"/>
                      <w:marTop w:val="0"/>
                      <w:marBottom w:val="0"/>
                      <w:divBdr>
                        <w:top w:val="none" w:sz="0" w:space="0" w:color="auto"/>
                        <w:left w:val="none" w:sz="0" w:space="0" w:color="auto"/>
                        <w:bottom w:val="none" w:sz="0" w:space="0" w:color="auto"/>
                        <w:right w:val="none" w:sz="0" w:space="0" w:color="auto"/>
                      </w:divBdr>
                    </w:div>
                    <w:div w:id="833572264">
                      <w:marLeft w:val="0"/>
                      <w:marRight w:val="0"/>
                      <w:marTop w:val="0"/>
                      <w:marBottom w:val="0"/>
                      <w:divBdr>
                        <w:top w:val="none" w:sz="0" w:space="0" w:color="auto"/>
                        <w:left w:val="none" w:sz="0" w:space="0" w:color="auto"/>
                        <w:bottom w:val="none" w:sz="0" w:space="0" w:color="auto"/>
                        <w:right w:val="none" w:sz="0" w:space="0" w:color="auto"/>
                      </w:divBdr>
                    </w:div>
                    <w:div w:id="12609450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895287">
          <w:marLeft w:val="0"/>
          <w:marRight w:val="0"/>
          <w:marTop w:val="0"/>
          <w:marBottom w:val="0"/>
          <w:divBdr>
            <w:top w:val="none" w:sz="0" w:space="0" w:color="auto"/>
            <w:left w:val="none" w:sz="0" w:space="0" w:color="auto"/>
            <w:bottom w:val="none" w:sz="0" w:space="0" w:color="auto"/>
            <w:right w:val="none" w:sz="0" w:space="0" w:color="auto"/>
          </w:divBdr>
          <w:divsChild>
            <w:div w:id="253129951">
              <w:marLeft w:val="75"/>
              <w:marRight w:val="75"/>
              <w:marTop w:val="300"/>
              <w:marBottom w:val="75"/>
              <w:divBdr>
                <w:top w:val="none" w:sz="0" w:space="0" w:color="auto"/>
                <w:left w:val="none" w:sz="0" w:space="0" w:color="auto"/>
                <w:bottom w:val="none" w:sz="0" w:space="0" w:color="auto"/>
                <w:right w:val="none" w:sz="0" w:space="0" w:color="auto"/>
              </w:divBdr>
              <w:divsChild>
                <w:div w:id="532770954">
                  <w:marLeft w:val="0"/>
                  <w:marRight w:val="0"/>
                  <w:marTop w:val="0"/>
                  <w:marBottom w:val="0"/>
                  <w:divBdr>
                    <w:top w:val="none" w:sz="0" w:space="0" w:color="auto"/>
                    <w:left w:val="none" w:sz="0" w:space="0" w:color="auto"/>
                    <w:bottom w:val="none" w:sz="0" w:space="0" w:color="auto"/>
                    <w:right w:val="none" w:sz="0" w:space="0" w:color="auto"/>
                  </w:divBdr>
                  <w:divsChild>
                    <w:div w:id="193201540">
                      <w:marLeft w:val="0"/>
                      <w:marRight w:val="0"/>
                      <w:marTop w:val="0"/>
                      <w:marBottom w:val="0"/>
                      <w:divBdr>
                        <w:top w:val="none" w:sz="0" w:space="0" w:color="auto"/>
                        <w:left w:val="none" w:sz="0" w:space="0" w:color="auto"/>
                        <w:bottom w:val="none" w:sz="0" w:space="0" w:color="auto"/>
                        <w:right w:val="none" w:sz="0" w:space="0" w:color="auto"/>
                      </w:divBdr>
                      <w:divsChild>
                        <w:div w:id="398211794">
                          <w:marLeft w:val="75"/>
                          <w:marRight w:val="0"/>
                          <w:marTop w:val="0"/>
                          <w:marBottom w:val="0"/>
                          <w:divBdr>
                            <w:top w:val="none" w:sz="0" w:space="0" w:color="auto"/>
                            <w:left w:val="none" w:sz="0" w:space="0" w:color="auto"/>
                            <w:bottom w:val="none" w:sz="0" w:space="0" w:color="auto"/>
                            <w:right w:val="none" w:sz="0" w:space="0" w:color="auto"/>
                          </w:divBdr>
                        </w:div>
                        <w:div w:id="861824685">
                          <w:marLeft w:val="75"/>
                          <w:marRight w:val="0"/>
                          <w:marTop w:val="0"/>
                          <w:marBottom w:val="0"/>
                          <w:divBdr>
                            <w:top w:val="none" w:sz="0" w:space="0" w:color="auto"/>
                            <w:left w:val="none" w:sz="0" w:space="0" w:color="auto"/>
                            <w:bottom w:val="none" w:sz="0" w:space="0" w:color="auto"/>
                            <w:right w:val="none" w:sz="0" w:space="0" w:color="auto"/>
                          </w:divBdr>
                        </w:div>
                        <w:div w:id="162322668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12068">
          <w:marLeft w:val="0"/>
          <w:marRight w:val="0"/>
          <w:marTop w:val="0"/>
          <w:marBottom w:val="0"/>
          <w:divBdr>
            <w:top w:val="none" w:sz="0" w:space="0" w:color="auto"/>
            <w:left w:val="none" w:sz="0" w:space="0" w:color="auto"/>
            <w:bottom w:val="none" w:sz="0" w:space="0" w:color="auto"/>
            <w:right w:val="none" w:sz="0" w:space="0" w:color="auto"/>
          </w:divBdr>
          <w:divsChild>
            <w:div w:id="784926278">
              <w:marLeft w:val="75"/>
              <w:marRight w:val="75"/>
              <w:marTop w:val="300"/>
              <w:marBottom w:val="75"/>
              <w:divBdr>
                <w:top w:val="none" w:sz="0" w:space="0" w:color="auto"/>
                <w:left w:val="none" w:sz="0" w:space="0" w:color="auto"/>
                <w:bottom w:val="none" w:sz="0" w:space="0" w:color="auto"/>
                <w:right w:val="none" w:sz="0" w:space="0" w:color="auto"/>
              </w:divBdr>
              <w:divsChild>
                <w:div w:id="35122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62693">
          <w:marLeft w:val="0"/>
          <w:marRight w:val="0"/>
          <w:marTop w:val="0"/>
          <w:marBottom w:val="0"/>
          <w:divBdr>
            <w:top w:val="none" w:sz="0" w:space="0" w:color="auto"/>
            <w:left w:val="none" w:sz="0" w:space="0" w:color="auto"/>
            <w:bottom w:val="none" w:sz="0" w:space="0" w:color="auto"/>
            <w:right w:val="none" w:sz="0" w:space="0" w:color="auto"/>
          </w:divBdr>
          <w:divsChild>
            <w:div w:id="1605461808">
              <w:marLeft w:val="75"/>
              <w:marRight w:val="75"/>
              <w:marTop w:val="300"/>
              <w:marBottom w:val="75"/>
              <w:divBdr>
                <w:top w:val="none" w:sz="0" w:space="0" w:color="auto"/>
                <w:left w:val="none" w:sz="0" w:space="0" w:color="auto"/>
                <w:bottom w:val="none" w:sz="0" w:space="0" w:color="auto"/>
                <w:right w:val="none" w:sz="0" w:space="0" w:color="auto"/>
              </w:divBdr>
              <w:divsChild>
                <w:div w:id="1163815409">
                  <w:marLeft w:val="0"/>
                  <w:marRight w:val="0"/>
                  <w:marTop w:val="0"/>
                  <w:marBottom w:val="0"/>
                  <w:divBdr>
                    <w:top w:val="none" w:sz="0" w:space="0" w:color="auto"/>
                    <w:left w:val="none" w:sz="0" w:space="0" w:color="auto"/>
                    <w:bottom w:val="none" w:sz="0" w:space="0" w:color="auto"/>
                    <w:right w:val="none" w:sz="0" w:space="0" w:color="auto"/>
                  </w:divBdr>
                  <w:divsChild>
                    <w:div w:id="806825839">
                      <w:marLeft w:val="0"/>
                      <w:marRight w:val="0"/>
                      <w:marTop w:val="0"/>
                      <w:marBottom w:val="0"/>
                      <w:divBdr>
                        <w:top w:val="none" w:sz="0" w:space="0" w:color="auto"/>
                        <w:left w:val="none" w:sz="0" w:space="0" w:color="auto"/>
                        <w:bottom w:val="none" w:sz="0" w:space="0" w:color="auto"/>
                        <w:right w:val="none" w:sz="0" w:space="0" w:color="auto"/>
                      </w:divBdr>
                      <w:divsChild>
                        <w:div w:id="362632539">
                          <w:marLeft w:val="75"/>
                          <w:marRight w:val="0"/>
                          <w:marTop w:val="0"/>
                          <w:marBottom w:val="0"/>
                          <w:divBdr>
                            <w:top w:val="none" w:sz="0" w:space="0" w:color="auto"/>
                            <w:left w:val="none" w:sz="0" w:space="0" w:color="auto"/>
                            <w:bottom w:val="none" w:sz="0" w:space="0" w:color="auto"/>
                            <w:right w:val="none" w:sz="0" w:space="0" w:color="auto"/>
                          </w:divBdr>
                        </w:div>
                        <w:div w:id="409040534">
                          <w:marLeft w:val="75"/>
                          <w:marRight w:val="0"/>
                          <w:marTop w:val="0"/>
                          <w:marBottom w:val="0"/>
                          <w:divBdr>
                            <w:top w:val="none" w:sz="0" w:space="0" w:color="auto"/>
                            <w:left w:val="none" w:sz="0" w:space="0" w:color="auto"/>
                            <w:bottom w:val="none" w:sz="0" w:space="0" w:color="auto"/>
                            <w:right w:val="none" w:sz="0" w:space="0" w:color="auto"/>
                          </w:divBdr>
                        </w:div>
                        <w:div w:id="126950587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871107">
          <w:marLeft w:val="0"/>
          <w:marRight w:val="0"/>
          <w:marTop w:val="0"/>
          <w:marBottom w:val="0"/>
          <w:divBdr>
            <w:top w:val="none" w:sz="0" w:space="0" w:color="auto"/>
            <w:left w:val="none" w:sz="0" w:space="0" w:color="auto"/>
            <w:bottom w:val="none" w:sz="0" w:space="0" w:color="auto"/>
            <w:right w:val="none" w:sz="0" w:space="0" w:color="auto"/>
          </w:divBdr>
          <w:divsChild>
            <w:div w:id="639845416">
              <w:marLeft w:val="75"/>
              <w:marRight w:val="75"/>
              <w:marTop w:val="300"/>
              <w:marBottom w:val="75"/>
              <w:divBdr>
                <w:top w:val="none" w:sz="0" w:space="0" w:color="auto"/>
                <w:left w:val="none" w:sz="0" w:space="0" w:color="auto"/>
                <w:bottom w:val="none" w:sz="0" w:space="0" w:color="auto"/>
                <w:right w:val="none" w:sz="0" w:space="0" w:color="auto"/>
              </w:divBdr>
              <w:divsChild>
                <w:div w:id="35358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88352">
          <w:marLeft w:val="0"/>
          <w:marRight w:val="0"/>
          <w:marTop w:val="0"/>
          <w:marBottom w:val="0"/>
          <w:divBdr>
            <w:top w:val="none" w:sz="0" w:space="0" w:color="auto"/>
            <w:left w:val="none" w:sz="0" w:space="0" w:color="auto"/>
            <w:bottom w:val="none" w:sz="0" w:space="0" w:color="auto"/>
            <w:right w:val="none" w:sz="0" w:space="0" w:color="auto"/>
          </w:divBdr>
          <w:divsChild>
            <w:div w:id="1451164470">
              <w:marLeft w:val="75"/>
              <w:marRight w:val="75"/>
              <w:marTop w:val="300"/>
              <w:marBottom w:val="75"/>
              <w:divBdr>
                <w:top w:val="none" w:sz="0" w:space="0" w:color="auto"/>
                <w:left w:val="none" w:sz="0" w:space="0" w:color="auto"/>
                <w:bottom w:val="none" w:sz="0" w:space="0" w:color="auto"/>
                <w:right w:val="none" w:sz="0" w:space="0" w:color="auto"/>
              </w:divBdr>
              <w:divsChild>
                <w:div w:id="162091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1413">
          <w:marLeft w:val="0"/>
          <w:marRight w:val="0"/>
          <w:marTop w:val="0"/>
          <w:marBottom w:val="0"/>
          <w:divBdr>
            <w:top w:val="none" w:sz="0" w:space="0" w:color="auto"/>
            <w:left w:val="none" w:sz="0" w:space="0" w:color="auto"/>
            <w:bottom w:val="none" w:sz="0" w:space="0" w:color="auto"/>
            <w:right w:val="none" w:sz="0" w:space="0" w:color="auto"/>
          </w:divBdr>
          <w:divsChild>
            <w:div w:id="901136804">
              <w:marLeft w:val="75"/>
              <w:marRight w:val="75"/>
              <w:marTop w:val="300"/>
              <w:marBottom w:val="75"/>
              <w:divBdr>
                <w:top w:val="none" w:sz="0" w:space="0" w:color="auto"/>
                <w:left w:val="none" w:sz="0" w:space="0" w:color="auto"/>
                <w:bottom w:val="none" w:sz="0" w:space="0" w:color="auto"/>
                <w:right w:val="none" w:sz="0" w:space="0" w:color="auto"/>
              </w:divBdr>
              <w:divsChild>
                <w:div w:id="707342484">
                  <w:marLeft w:val="0"/>
                  <w:marRight w:val="0"/>
                  <w:marTop w:val="0"/>
                  <w:marBottom w:val="0"/>
                  <w:divBdr>
                    <w:top w:val="none" w:sz="0" w:space="0" w:color="auto"/>
                    <w:left w:val="none" w:sz="0" w:space="0" w:color="auto"/>
                    <w:bottom w:val="none" w:sz="0" w:space="0" w:color="auto"/>
                    <w:right w:val="none" w:sz="0" w:space="0" w:color="auto"/>
                  </w:divBdr>
                  <w:divsChild>
                    <w:div w:id="421492342">
                      <w:marLeft w:val="300"/>
                      <w:marRight w:val="0"/>
                      <w:marTop w:val="0"/>
                      <w:marBottom w:val="0"/>
                      <w:divBdr>
                        <w:top w:val="none" w:sz="0" w:space="0" w:color="auto"/>
                        <w:left w:val="none" w:sz="0" w:space="0" w:color="auto"/>
                        <w:bottom w:val="none" w:sz="0" w:space="0" w:color="auto"/>
                        <w:right w:val="none" w:sz="0" w:space="0" w:color="auto"/>
                      </w:divBdr>
                    </w:div>
                    <w:div w:id="1109205872">
                      <w:marLeft w:val="0"/>
                      <w:marRight w:val="0"/>
                      <w:marTop w:val="0"/>
                      <w:marBottom w:val="0"/>
                      <w:divBdr>
                        <w:top w:val="none" w:sz="0" w:space="0" w:color="auto"/>
                        <w:left w:val="none" w:sz="0" w:space="0" w:color="auto"/>
                        <w:bottom w:val="none" w:sz="0" w:space="0" w:color="auto"/>
                        <w:right w:val="none" w:sz="0" w:space="0" w:color="auto"/>
                      </w:divBdr>
                    </w:div>
                    <w:div w:id="126341222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96254463">
          <w:marLeft w:val="0"/>
          <w:marRight w:val="0"/>
          <w:marTop w:val="0"/>
          <w:marBottom w:val="0"/>
          <w:divBdr>
            <w:top w:val="none" w:sz="0" w:space="0" w:color="auto"/>
            <w:left w:val="none" w:sz="0" w:space="0" w:color="auto"/>
            <w:bottom w:val="none" w:sz="0" w:space="0" w:color="auto"/>
            <w:right w:val="none" w:sz="0" w:space="0" w:color="auto"/>
          </w:divBdr>
          <w:divsChild>
            <w:div w:id="438255309">
              <w:marLeft w:val="75"/>
              <w:marRight w:val="75"/>
              <w:marTop w:val="300"/>
              <w:marBottom w:val="75"/>
              <w:divBdr>
                <w:top w:val="none" w:sz="0" w:space="0" w:color="auto"/>
                <w:left w:val="none" w:sz="0" w:space="0" w:color="auto"/>
                <w:bottom w:val="none" w:sz="0" w:space="0" w:color="auto"/>
                <w:right w:val="none" w:sz="0" w:space="0" w:color="auto"/>
              </w:divBdr>
              <w:divsChild>
                <w:div w:id="1559509824">
                  <w:marLeft w:val="0"/>
                  <w:marRight w:val="0"/>
                  <w:marTop w:val="0"/>
                  <w:marBottom w:val="0"/>
                  <w:divBdr>
                    <w:top w:val="none" w:sz="0" w:space="0" w:color="auto"/>
                    <w:left w:val="none" w:sz="0" w:space="0" w:color="auto"/>
                    <w:bottom w:val="none" w:sz="0" w:space="0" w:color="auto"/>
                    <w:right w:val="none" w:sz="0" w:space="0" w:color="auto"/>
                  </w:divBdr>
                  <w:divsChild>
                    <w:div w:id="532231788">
                      <w:marLeft w:val="0"/>
                      <w:marRight w:val="0"/>
                      <w:marTop w:val="0"/>
                      <w:marBottom w:val="0"/>
                      <w:divBdr>
                        <w:top w:val="none" w:sz="0" w:space="0" w:color="auto"/>
                        <w:left w:val="none" w:sz="0" w:space="0" w:color="auto"/>
                        <w:bottom w:val="none" w:sz="0" w:space="0" w:color="auto"/>
                        <w:right w:val="none" w:sz="0" w:space="0" w:color="auto"/>
                      </w:divBdr>
                      <w:divsChild>
                        <w:div w:id="24327001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1321271691">
          <w:marLeft w:val="0"/>
          <w:marRight w:val="0"/>
          <w:marTop w:val="0"/>
          <w:marBottom w:val="0"/>
          <w:divBdr>
            <w:top w:val="none" w:sz="0" w:space="0" w:color="auto"/>
            <w:left w:val="none" w:sz="0" w:space="0" w:color="auto"/>
            <w:bottom w:val="none" w:sz="0" w:space="0" w:color="auto"/>
            <w:right w:val="none" w:sz="0" w:space="0" w:color="auto"/>
          </w:divBdr>
          <w:divsChild>
            <w:div w:id="822771152">
              <w:marLeft w:val="75"/>
              <w:marRight w:val="75"/>
              <w:marTop w:val="300"/>
              <w:marBottom w:val="75"/>
              <w:divBdr>
                <w:top w:val="none" w:sz="0" w:space="0" w:color="auto"/>
                <w:left w:val="none" w:sz="0" w:space="0" w:color="auto"/>
                <w:bottom w:val="none" w:sz="0" w:space="0" w:color="auto"/>
                <w:right w:val="none" w:sz="0" w:space="0" w:color="auto"/>
              </w:divBdr>
              <w:divsChild>
                <w:div w:id="1684865979">
                  <w:marLeft w:val="0"/>
                  <w:marRight w:val="0"/>
                  <w:marTop w:val="0"/>
                  <w:marBottom w:val="0"/>
                  <w:divBdr>
                    <w:top w:val="none" w:sz="0" w:space="0" w:color="auto"/>
                    <w:left w:val="none" w:sz="0" w:space="0" w:color="auto"/>
                    <w:bottom w:val="none" w:sz="0" w:space="0" w:color="auto"/>
                    <w:right w:val="none" w:sz="0" w:space="0" w:color="auto"/>
                  </w:divBdr>
                  <w:divsChild>
                    <w:div w:id="382101379">
                      <w:marLeft w:val="0"/>
                      <w:marRight w:val="0"/>
                      <w:marTop w:val="0"/>
                      <w:marBottom w:val="0"/>
                      <w:divBdr>
                        <w:top w:val="none" w:sz="0" w:space="0" w:color="auto"/>
                        <w:left w:val="none" w:sz="0" w:space="0" w:color="auto"/>
                        <w:bottom w:val="none" w:sz="0" w:space="0" w:color="auto"/>
                        <w:right w:val="none" w:sz="0" w:space="0" w:color="auto"/>
                      </w:divBdr>
                    </w:div>
                    <w:div w:id="534930923">
                      <w:marLeft w:val="-15"/>
                      <w:marRight w:val="-15"/>
                      <w:marTop w:val="0"/>
                      <w:marBottom w:val="0"/>
                      <w:divBdr>
                        <w:top w:val="none" w:sz="0" w:space="0" w:color="auto"/>
                        <w:left w:val="none" w:sz="0" w:space="0" w:color="auto"/>
                        <w:bottom w:val="none" w:sz="0" w:space="0" w:color="auto"/>
                        <w:right w:val="none" w:sz="0" w:space="0" w:color="auto"/>
                      </w:divBdr>
                    </w:div>
                    <w:div w:id="105338657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6927">
          <w:marLeft w:val="0"/>
          <w:marRight w:val="0"/>
          <w:marTop w:val="0"/>
          <w:marBottom w:val="0"/>
          <w:divBdr>
            <w:top w:val="none" w:sz="0" w:space="0" w:color="auto"/>
            <w:left w:val="none" w:sz="0" w:space="0" w:color="auto"/>
            <w:bottom w:val="none" w:sz="0" w:space="0" w:color="auto"/>
            <w:right w:val="none" w:sz="0" w:space="0" w:color="auto"/>
          </w:divBdr>
          <w:divsChild>
            <w:div w:id="2105877926">
              <w:marLeft w:val="75"/>
              <w:marRight w:val="75"/>
              <w:marTop w:val="300"/>
              <w:marBottom w:val="75"/>
              <w:divBdr>
                <w:top w:val="none" w:sz="0" w:space="0" w:color="auto"/>
                <w:left w:val="none" w:sz="0" w:space="0" w:color="auto"/>
                <w:bottom w:val="none" w:sz="0" w:space="0" w:color="auto"/>
                <w:right w:val="none" w:sz="0" w:space="0" w:color="auto"/>
              </w:divBdr>
              <w:divsChild>
                <w:div w:id="812915704">
                  <w:marLeft w:val="0"/>
                  <w:marRight w:val="0"/>
                  <w:marTop w:val="0"/>
                  <w:marBottom w:val="0"/>
                  <w:divBdr>
                    <w:top w:val="none" w:sz="0" w:space="0" w:color="auto"/>
                    <w:left w:val="none" w:sz="0" w:space="0" w:color="auto"/>
                    <w:bottom w:val="none" w:sz="0" w:space="0" w:color="auto"/>
                    <w:right w:val="none" w:sz="0" w:space="0" w:color="auto"/>
                  </w:divBdr>
                  <w:divsChild>
                    <w:div w:id="721639311">
                      <w:marLeft w:val="0"/>
                      <w:marRight w:val="0"/>
                      <w:marTop w:val="0"/>
                      <w:marBottom w:val="0"/>
                      <w:divBdr>
                        <w:top w:val="none" w:sz="0" w:space="0" w:color="auto"/>
                        <w:left w:val="none" w:sz="0" w:space="0" w:color="auto"/>
                        <w:bottom w:val="none" w:sz="0" w:space="0" w:color="auto"/>
                        <w:right w:val="none" w:sz="0" w:space="0" w:color="auto"/>
                      </w:divBdr>
                      <w:divsChild>
                        <w:div w:id="959916024">
                          <w:marLeft w:val="75"/>
                          <w:marRight w:val="0"/>
                          <w:marTop w:val="0"/>
                          <w:marBottom w:val="0"/>
                          <w:divBdr>
                            <w:top w:val="none" w:sz="0" w:space="0" w:color="auto"/>
                            <w:left w:val="none" w:sz="0" w:space="0" w:color="auto"/>
                            <w:bottom w:val="none" w:sz="0" w:space="0" w:color="auto"/>
                            <w:right w:val="none" w:sz="0" w:space="0" w:color="auto"/>
                          </w:divBdr>
                        </w:div>
                        <w:div w:id="1626618131">
                          <w:marLeft w:val="75"/>
                          <w:marRight w:val="0"/>
                          <w:marTop w:val="0"/>
                          <w:marBottom w:val="0"/>
                          <w:divBdr>
                            <w:top w:val="none" w:sz="0" w:space="0" w:color="auto"/>
                            <w:left w:val="none" w:sz="0" w:space="0" w:color="auto"/>
                            <w:bottom w:val="none" w:sz="0" w:space="0" w:color="auto"/>
                            <w:right w:val="none" w:sz="0" w:space="0" w:color="auto"/>
                          </w:divBdr>
                        </w:div>
                        <w:div w:id="18198776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127100">
          <w:marLeft w:val="0"/>
          <w:marRight w:val="0"/>
          <w:marTop w:val="0"/>
          <w:marBottom w:val="0"/>
          <w:divBdr>
            <w:top w:val="none" w:sz="0" w:space="0" w:color="auto"/>
            <w:left w:val="none" w:sz="0" w:space="0" w:color="auto"/>
            <w:bottom w:val="none" w:sz="0" w:space="0" w:color="auto"/>
            <w:right w:val="none" w:sz="0" w:space="0" w:color="auto"/>
          </w:divBdr>
          <w:divsChild>
            <w:div w:id="761536863">
              <w:marLeft w:val="75"/>
              <w:marRight w:val="75"/>
              <w:marTop w:val="300"/>
              <w:marBottom w:val="75"/>
              <w:divBdr>
                <w:top w:val="none" w:sz="0" w:space="0" w:color="auto"/>
                <w:left w:val="none" w:sz="0" w:space="0" w:color="auto"/>
                <w:bottom w:val="none" w:sz="0" w:space="0" w:color="auto"/>
                <w:right w:val="none" w:sz="0" w:space="0" w:color="auto"/>
              </w:divBdr>
              <w:divsChild>
                <w:div w:id="851068727">
                  <w:marLeft w:val="0"/>
                  <w:marRight w:val="0"/>
                  <w:marTop w:val="0"/>
                  <w:marBottom w:val="0"/>
                  <w:divBdr>
                    <w:top w:val="none" w:sz="0" w:space="0" w:color="auto"/>
                    <w:left w:val="none" w:sz="0" w:space="0" w:color="auto"/>
                    <w:bottom w:val="none" w:sz="0" w:space="0" w:color="auto"/>
                    <w:right w:val="none" w:sz="0" w:space="0" w:color="auto"/>
                  </w:divBdr>
                  <w:divsChild>
                    <w:div w:id="658463282">
                      <w:marLeft w:val="0"/>
                      <w:marRight w:val="0"/>
                      <w:marTop w:val="0"/>
                      <w:marBottom w:val="0"/>
                      <w:divBdr>
                        <w:top w:val="none" w:sz="0" w:space="0" w:color="auto"/>
                        <w:left w:val="none" w:sz="0" w:space="0" w:color="auto"/>
                        <w:bottom w:val="none" w:sz="0" w:space="0" w:color="auto"/>
                        <w:right w:val="none" w:sz="0" w:space="0" w:color="auto"/>
                      </w:divBdr>
                    </w:div>
                    <w:div w:id="1124693842">
                      <w:marLeft w:val="300"/>
                      <w:marRight w:val="0"/>
                      <w:marTop w:val="0"/>
                      <w:marBottom w:val="0"/>
                      <w:divBdr>
                        <w:top w:val="none" w:sz="0" w:space="0" w:color="auto"/>
                        <w:left w:val="none" w:sz="0" w:space="0" w:color="auto"/>
                        <w:bottom w:val="none" w:sz="0" w:space="0" w:color="auto"/>
                        <w:right w:val="none" w:sz="0" w:space="0" w:color="auto"/>
                      </w:divBdr>
                    </w:div>
                    <w:div w:id="131166590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523202352">
          <w:marLeft w:val="0"/>
          <w:marRight w:val="0"/>
          <w:marTop w:val="0"/>
          <w:marBottom w:val="0"/>
          <w:divBdr>
            <w:top w:val="none" w:sz="0" w:space="0" w:color="auto"/>
            <w:left w:val="none" w:sz="0" w:space="0" w:color="auto"/>
            <w:bottom w:val="none" w:sz="0" w:space="0" w:color="auto"/>
            <w:right w:val="none" w:sz="0" w:space="0" w:color="auto"/>
          </w:divBdr>
          <w:divsChild>
            <w:div w:id="368261513">
              <w:marLeft w:val="75"/>
              <w:marRight w:val="75"/>
              <w:marTop w:val="300"/>
              <w:marBottom w:val="75"/>
              <w:divBdr>
                <w:top w:val="none" w:sz="0" w:space="0" w:color="auto"/>
                <w:left w:val="none" w:sz="0" w:space="0" w:color="auto"/>
                <w:bottom w:val="none" w:sz="0" w:space="0" w:color="auto"/>
                <w:right w:val="none" w:sz="0" w:space="0" w:color="auto"/>
              </w:divBdr>
              <w:divsChild>
                <w:div w:id="628511046">
                  <w:marLeft w:val="0"/>
                  <w:marRight w:val="0"/>
                  <w:marTop w:val="0"/>
                  <w:marBottom w:val="0"/>
                  <w:divBdr>
                    <w:top w:val="none" w:sz="0" w:space="0" w:color="auto"/>
                    <w:left w:val="none" w:sz="0" w:space="0" w:color="auto"/>
                    <w:bottom w:val="none" w:sz="0" w:space="0" w:color="auto"/>
                    <w:right w:val="none" w:sz="0" w:space="0" w:color="auto"/>
                  </w:divBdr>
                  <w:divsChild>
                    <w:div w:id="736783195">
                      <w:marLeft w:val="0"/>
                      <w:marRight w:val="0"/>
                      <w:marTop w:val="0"/>
                      <w:marBottom w:val="0"/>
                      <w:divBdr>
                        <w:top w:val="none" w:sz="0" w:space="0" w:color="auto"/>
                        <w:left w:val="none" w:sz="0" w:space="0" w:color="auto"/>
                        <w:bottom w:val="none" w:sz="0" w:space="0" w:color="auto"/>
                        <w:right w:val="none" w:sz="0" w:space="0" w:color="auto"/>
                      </w:divBdr>
                      <w:divsChild>
                        <w:div w:id="457338640">
                          <w:marLeft w:val="75"/>
                          <w:marRight w:val="0"/>
                          <w:marTop w:val="0"/>
                          <w:marBottom w:val="0"/>
                          <w:divBdr>
                            <w:top w:val="none" w:sz="0" w:space="0" w:color="auto"/>
                            <w:left w:val="none" w:sz="0" w:space="0" w:color="auto"/>
                            <w:bottom w:val="none" w:sz="0" w:space="0" w:color="auto"/>
                            <w:right w:val="none" w:sz="0" w:space="0" w:color="auto"/>
                          </w:divBdr>
                        </w:div>
                        <w:div w:id="1028678760">
                          <w:marLeft w:val="75"/>
                          <w:marRight w:val="0"/>
                          <w:marTop w:val="0"/>
                          <w:marBottom w:val="0"/>
                          <w:divBdr>
                            <w:top w:val="none" w:sz="0" w:space="0" w:color="auto"/>
                            <w:left w:val="none" w:sz="0" w:space="0" w:color="auto"/>
                            <w:bottom w:val="none" w:sz="0" w:space="0" w:color="auto"/>
                            <w:right w:val="none" w:sz="0" w:space="0" w:color="auto"/>
                          </w:divBdr>
                        </w:div>
                        <w:div w:id="13667150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290611">
          <w:marLeft w:val="0"/>
          <w:marRight w:val="0"/>
          <w:marTop w:val="0"/>
          <w:marBottom w:val="0"/>
          <w:divBdr>
            <w:top w:val="none" w:sz="0" w:space="0" w:color="auto"/>
            <w:left w:val="none" w:sz="0" w:space="0" w:color="auto"/>
            <w:bottom w:val="none" w:sz="0" w:space="0" w:color="auto"/>
            <w:right w:val="none" w:sz="0" w:space="0" w:color="auto"/>
          </w:divBdr>
          <w:divsChild>
            <w:div w:id="482114704">
              <w:marLeft w:val="75"/>
              <w:marRight w:val="75"/>
              <w:marTop w:val="300"/>
              <w:marBottom w:val="75"/>
              <w:divBdr>
                <w:top w:val="none" w:sz="0" w:space="0" w:color="auto"/>
                <w:left w:val="none" w:sz="0" w:space="0" w:color="auto"/>
                <w:bottom w:val="none" w:sz="0" w:space="0" w:color="auto"/>
                <w:right w:val="none" w:sz="0" w:space="0" w:color="auto"/>
              </w:divBdr>
              <w:divsChild>
                <w:div w:id="1290864951">
                  <w:marLeft w:val="0"/>
                  <w:marRight w:val="0"/>
                  <w:marTop w:val="0"/>
                  <w:marBottom w:val="0"/>
                  <w:divBdr>
                    <w:top w:val="none" w:sz="0" w:space="0" w:color="auto"/>
                    <w:left w:val="none" w:sz="0" w:space="0" w:color="auto"/>
                    <w:bottom w:val="none" w:sz="0" w:space="0" w:color="auto"/>
                    <w:right w:val="none" w:sz="0" w:space="0" w:color="auto"/>
                  </w:divBdr>
                  <w:divsChild>
                    <w:div w:id="583731991">
                      <w:marLeft w:val="-15"/>
                      <w:marRight w:val="-15"/>
                      <w:marTop w:val="0"/>
                      <w:marBottom w:val="0"/>
                      <w:divBdr>
                        <w:top w:val="none" w:sz="0" w:space="0" w:color="auto"/>
                        <w:left w:val="none" w:sz="0" w:space="0" w:color="auto"/>
                        <w:bottom w:val="none" w:sz="0" w:space="0" w:color="auto"/>
                        <w:right w:val="none" w:sz="0" w:space="0" w:color="auto"/>
                      </w:divBdr>
                    </w:div>
                    <w:div w:id="976181917">
                      <w:marLeft w:val="300"/>
                      <w:marRight w:val="0"/>
                      <w:marTop w:val="0"/>
                      <w:marBottom w:val="0"/>
                      <w:divBdr>
                        <w:top w:val="none" w:sz="0" w:space="0" w:color="auto"/>
                        <w:left w:val="none" w:sz="0" w:space="0" w:color="auto"/>
                        <w:bottom w:val="none" w:sz="0" w:space="0" w:color="auto"/>
                        <w:right w:val="none" w:sz="0" w:space="0" w:color="auto"/>
                      </w:divBdr>
                    </w:div>
                    <w:div w:id="209685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99521">
          <w:marLeft w:val="0"/>
          <w:marRight w:val="0"/>
          <w:marTop w:val="0"/>
          <w:marBottom w:val="0"/>
          <w:divBdr>
            <w:top w:val="none" w:sz="0" w:space="0" w:color="auto"/>
            <w:left w:val="none" w:sz="0" w:space="0" w:color="auto"/>
            <w:bottom w:val="none" w:sz="0" w:space="0" w:color="auto"/>
            <w:right w:val="none" w:sz="0" w:space="0" w:color="auto"/>
          </w:divBdr>
          <w:divsChild>
            <w:div w:id="959338001">
              <w:marLeft w:val="75"/>
              <w:marRight w:val="75"/>
              <w:marTop w:val="300"/>
              <w:marBottom w:val="75"/>
              <w:divBdr>
                <w:top w:val="none" w:sz="0" w:space="0" w:color="auto"/>
                <w:left w:val="none" w:sz="0" w:space="0" w:color="auto"/>
                <w:bottom w:val="none" w:sz="0" w:space="0" w:color="auto"/>
                <w:right w:val="none" w:sz="0" w:space="0" w:color="auto"/>
              </w:divBdr>
              <w:divsChild>
                <w:div w:id="1818835423">
                  <w:marLeft w:val="0"/>
                  <w:marRight w:val="0"/>
                  <w:marTop w:val="0"/>
                  <w:marBottom w:val="0"/>
                  <w:divBdr>
                    <w:top w:val="none" w:sz="0" w:space="0" w:color="auto"/>
                    <w:left w:val="none" w:sz="0" w:space="0" w:color="auto"/>
                    <w:bottom w:val="none" w:sz="0" w:space="0" w:color="auto"/>
                    <w:right w:val="none" w:sz="0" w:space="0" w:color="auto"/>
                  </w:divBdr>
                  <w:divsChild>
                    <w:div w:id="274140173">
                      <w:marLeft w:val="300"/>
                      <w:marRight w:val="0"/>
                      <w:marTop w:val="0"/>
                      <w:marBottom w:val="0"/>
                      <w:divBdr>
                        <w:top w:val="none" w:sz="0" w:space="0" w:color="auto"/>
                        <w:left w:val="none" w:sz="0" w:space="0" w:color="auto"/>
                        <w:bottom w:val="none" w:sz="0" w:space="0" w:color="auto"/>
                        <w:right w:val="none" w:sz="0" w:space="0" w:color="auto"/>
                      </w:divBdr>
                    </w:div>
                    <w:div w:id="513150519">
                      <w:marLeft w:val="-15"/>
                      <w:marRight w:val="-15"/>
                      <w:marTop w:val="0"/>
                      <w:marBottom w:val="0"/>
                      <w:divBdr>
                        <w:top w:val="none" w:sz="0" w:space="0" w:color="auto"/>
                        <w:left w:val="none" w:sz="0" w:space="0" w:color="auto"/>
                        <w:bottom w:val="none" w:sz="0" w:space="0" w:color="auto"/>
                        <w:right w:val="none" w:sz="0" w:space="0" w:color="auto"/>
                      </w:divBdr>
                    </w:div>
                    <w:div w:id="160144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48944">
          <w:marLeft w:val="0"/>
          <w:marRight w:val="0"/>
          <w:marTop w:val="0"/>
          <w:marBottom w:val="0"/>
          <w:divBdr>
            <w:top w:val="none" w:sz="0" w:space="0" w:color="auto"/>
            <w:left w:val="none" w:sz="0" w:space="0" w:color="auto"/>
            <w:bottom w:val="none" w:sz="0" w:space="0" w:color="auto"/>
            <w:right w:val="none" w:sz="0" w:space="0" w:color="auto"/>
          </w:divBdr>
          <w:divsChild>
            <w:div w:id="1802528401">
              <w:marLeft w:val="75"/>
              <w:marRight w:val="75"/>
              <w:marTop w:val="300"/>
              <w:marBottom w:val="75"/>
              <w:divBdr>
                <w:top w:val="none" w:sz="0" w:space="0" w:color="auto"/>
                <w:left w:val="none" w:sz="0" w:space="0" w:color="auto"/>
                <w:bottom w:val="none" w:sz="0" w:space="0" w:color="auto"/>
                <w:right w:val="none" w:sz="0" w:space="0" w:color="auto"/>
              </w:divBdr>
              <w:divsChild>
                <w:div w:id="6796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4582">
          <w:marLeft w:val="0"/>
          <w:marRight w:val="0"/>
          <w:marTop w:val="0"/>
          <w:marBottom w:val="0"/>
          <w:divBdr>
            <w:top w:val="none" w:sz="0" w:space="0" w:color="auto"/>
            <w:left w:val="none" w:sz="0" w:space="0" w:color="auto"/>
            <w:bottom w:val="none" w:sz="0" w:space="0" w:color="auto"/>
            <w:right w:val="none" w:sz="0" w:space="0" w:color="auto"/>
          </w:divBdr>
          <w:divsChild>
            <w:div w:id="1558011663">
              <w:marLeft w:val="75"/>
              <w:marRight w:val="75"/>
              <w:marTop w:val="300"/>
              <w:marBottom w:val="75"/>
              <w:divBdr>
                <w:top w:val="none" w:sz="0" w:space="0" w:color="auto"/>
                <w:left w:val="none" w:sz="0" w:space="0" w:color="auto"/>
                <w:bottom w:val="none" w:sz="0" w:space="0" w:color="auto"/>
                <w:right w:val="none" w:sz="0" w:space="0" w:color="auto"/>
              </w:divBdr>
              <w:divsChild>
                <w:div w:id="1740902941">
                  <w:marLeft w:val="0"/>
                  <w:marRight w:val="0"/>
                  <w:marTop w:val="0"/>
                  <w:marBottom w:val="0"/>
                  <w:divBdr>
                    <w:top w:val="none" w:sz="0" w:space="0" w:color="auto"/>
                    <w:left w:val="none" w:sz="0" w:space="0" w:color="auto"/>
                    <w:bottom w:val="none" w:sz="0" w:space="0" w:color="auto"/>
                    <w:right w:val="none" w:sz="0" w:space="0" w:color="auto"/>
                  </w:divBdr>
                  <w:divsChild>
                    <w:div w:id="951982154">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671642502">
          <w:marLeft w:val="0"/>
          <w:marRight w:val="0"/>
          <w:marTop w:val="0"/>
          <w:marBottom w:val="0"/>
          <w:divBdr>
            <w:top w:val="none" w:sz="0" w:space="0" w:color="auto"/>
            <w:left w:val="none" w:sz="0" w:space="0" w:color="auto"/>
            <w:bottom w:val="none" w:sz="0" w:space="0" w:color="auto"/>
            <w:right w:val="none" w:sz="0" w:space="0" w:color="auto"/>
          </w:divBdr>
          <w:divsChild>
            <w:div w:id="348410234">
              <w:marLeft w:val="75"/>
              <w:marRight w:val="75"/>
              <w:marTop w:val="300"/>
              <w:marBottom w:val="75"/>
              <w:divBdr>
                <w:top w:val="none" w:sz="0" w:space="0" w:color="auto"/>
                <w:left w:val="none" w:sz="0" w:space="0" w:color="auto"/>
                <w:bottom w:val="none" w:sz="0" w:space="0" w:color="auto"/>
                <w:right w:val="none" w:sz="0" w:space="0" w:color="auto"/>
              </w:divBdr>
              <w:divsChild>
                <w:div w:id="15592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6130">
          <w:marLeft w:val="0"/>
          <w:marRight w:val="0"/>
          <w:marTop w:val="0"/>
          <w:marBottom w:val="0"/>
          <w:divBdr>
            <w:top w:val="none" w:sz="0" w:space="0" w:color="auto"/>
            <w:left w:val="none" w:sz="0" w:space="0" w:color="auto"/>
            <w:bottom w:val="none" w:sz="0" w:space="0" w:color="auto"/>
            <w:right w:val="none" w:sz="0" w:space="0" w:color="auto"/>
          </w:divBdr>
          <w:divsChild>
            <w:div w:id="124280004">
              <w:marLeft w:val="75"/>
              <w:marRight w:val="75"/>
              <w:marTop w:val="300"/>
              <w:marBottom w:val="75"/>
              <w:divBdr>
                <w:top w:val="none" w:sz="0" w:space="0" w:color="auto"/>
                <w:left w:val="none" w:sz="0" w:space="0" w:color="auto"/>
                <w:bottom w:val="none" w:sz="0" w:space="0" w:color="auto"/>
                <w:right w:val="none" w:sz="0" w:space="0" w:color="auto"/>
              </w:divBdr>
              <w:divsChild>
                <w:div w:id="826243771">
                  <w:marLeft w:val="0"/>
                  <w:marRight w:val="0"/>
                  <w:marTop w:val="0"/>
                  <w:marBottom w:val="0"/>
                  <w:divBdr>
                    <w:top w:val="none" w:sz="0" w:space="0" w:color="auto"/>
                    <w:left w:val="none" w:sz="0" w:space="0" w:color="auto"/>
                    <w:bottom w:val="none" w:sz="0" w:space="0" w:color="auto"/>
                    <w:right w:val="none" w:sz="0" w:space="0" w:color="auto"/>
                  </w:divBdr>
                  <w:divsChild>
                    <w:div w:id="780804771">
                      <w:marLeft w:val="0"/>
                      <w:marRight w:val="0"/>
                      <w:marTop w:val="0"/>
                      <w:marBottom w:val="0"/>
                      <w:divBdr>
                        <w:top w:val="dashed" w:sz="6" w:space="12" w:color="666666"/>
                        <w:left w:val="none" w:sz="0" w:space="0" w:color="auto"/>
                        <w:bottom w:val="none" w:sz="0" w:space="0" w:color="auto"/>
                        <w:right w:val="none" w:sz="0" w:space="0" w:color="auto"/>
                      </w:divBdr>
                    </w:div>
                    <w:div w:id="1210070051">
                      <w:marLeft w:val="0"/>
                      <w:marRight w:val="0"/>
                      <w:marTop w:val="0"/>
                      <w:marBottom w:val="0"/>
                      <w:divBdr>
                        <w:top w:val="none" w:sz="0" w:space="0" w:color="auto"/>
                        <w:left w:val="none" w:sz="0" w:space="0" w:color="auto"/>
                        <w:bottom w:val="none" w:sz="0" w:space="0" w:color="auto"/>
                        <w:right w:val="none" w:sz="0" w:space="0" w:color="auto"/>
                      </w:divBdr>
                      <w:divsChild>
                        <w:div w:id="996764058">
                          <w:marLeft w:val="75"/>
                          <w:marRight w:val="0"/>
                          <w:marTop w:val="0"/>
                          <w:marBottom w:val="0"/>
                          <w:divBdr>
                            <w:top w:val="none" w:sz="0" w:space="0" w:color="auto"/>
                            <w:left w:val="none" w:sz="0" w:space="0" w:color="auto"/>
                            <w:bottom w:val="none" w:sz="0" w:space="0" w:color="auto"/>
                            <w:right w:val="none" w:sz="0" w:space="0" w:color="auto"/>
                          </w:divBdr>
                        </w:div>
                        <w:div w:id="1636644876">
                          <w:marLeft w:val="75"/>
                          <w:marRight w:val="0"/>
                          <w:marTop w:val="0"/>
                          <w:marBottom w:val="0"/>
                          <w:divBdr>
                            <w:top w:val="none" w:sz="0" w:space="0" w:color="auto"/>
                            <w:left w:val="none" w:sz="0" w:space="0" w:color="auto"/>
                            <w:bottom w:val="none" w:sz="0" w:space="0" w:color="auto"/>
                            <w:right w:val="none" w:sz="0" w:space="0" w:color="auto"/>
                          </w:divBdr>
                        </w:div>
                        <w:div w:id="16917569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686802">
          <w:marLeft w:val="0"/>
          <w:marRight w:val="0"/>
          <w:marTop w:val="0"/>
          <w:marBottom w:val="0"/>
          <w:divBdr>
            <w:top w:val="none" w:sz="0" w:space="0" w:color="auto"/>
            <w:left w:val="none" w:sz="0" w:space="0" w:color="auto"/>
            <w:bottom w:val="none" w:sz="0" w:space="0" w:color="auto"/>
            <w:right w:val="none" w:sz="0" w:space="0" w:color="auto"/>
          </w:divBdr>
          <w:divsChild>
            <w:div w:id="516694348">
              <w:marLeft w:val="75"/>
              <w:marRight w:val="75"/>
              <w:marTop w:val="300"/>
              <w:marBottom w:val="75"/>
              <w:divBdr>
                <w:top w:val="none" w:sz="0" w:space="0" w:color="auto"/>
                <w:left w:val="none" w:sz="0" w:space="0" w:color="auto"/>
                <w:bottom w:val="none" w:sz="0" w:space="0" w:color="auto"/>
                <w:right w:val="none" w:sz="0" w:space="0" w:color="auto"/>
              </w:divBdr>
              <w:divsChild>
                <w:div w:id="1576092367">
                  <w:marLeft w:val="0"/>
                  <w:marRight w:val="0"/>
                  <w:marTop w:val="0"/>
                  <w:marBottom w:val="0"/>
                  <w:divBdr>
                    <w:top w:val="none" w:sz="0" w:space="0" w:color="auto"/>
                    <w:left w:val="none" w:sz="0" w:space="0" w:color="auto"/>
                    <w:bottom w:val="none" w:sz="0" w:space="0" w:color="auto"/>
                    <w:right w:val="none" w:sz="0" w:space="0" w:color="auto"/>
                  </w:divBdr>
                  <w:divsChild>
                    <w:div w:id="269894852">
                      <w:marLeft w:val="-15"/>
                      <w:marRight w:val="-15"/>
                      <w:marTop w:val="0"/>
                      <w:marBottom w:val="0"/>
                      <w:divBdr>
                        <w:top w:val="none" w:sz="0" w:space="0" w:color="auto"/>
                        <w:left w:val="none" w:sz="0" w:space="0" w:color="auto"/>
                        <w:bottom w:val="none" w:sz="0" w:space="0" w:color="auto"/>
                        <w:right w:val="none" w:sz="0" w:space="0" w:color="auto"/>
                      </w:divBdr>
                    </w:div>
                    <w:div w:id="658315885">
                      <w:marLeft w:val="0"/>
                      <w:marRight w:val="0"/>
                      <w:marTop w:val="0"/>
                      <w:marBottom w:val="0"/>
                      <w:divBdr>
                        <w:top w:val="none" w:sz="0" w:space="0" w:color="auto"/>
                        <w:left w:val="none" w:sz="0" w:space="0" w:color="auto"/>
                        <w:bottom w:val="none" w:sz="0" w:space="0" w:color="auto"/>
                        <w:right w:val="none" w:sz="0" w:space="0" w:color="auto"/>
                      </w:divBdr>
                    </w:div>
                    <w:div w:id="146593192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51077">
          <w:marLeft w:val="0"/>
          <w:marRight w:val="0"/>
          <w:marTop w:val="0"/>
          <w:marBottom w:val="0"/>
          <w:divBdr>
            <w:top w:val="none" w:sz="0" w:space="0" w:color="auto"/>
            <w:left w:val="none" w:sz="0" w:space="0" w:color="auto"/>
            <w:bottom w:val="none" w:sz="0" w:space="0" w:color="auto"/>
            <w:right w:val="none" w:sz="0" w:space="0" w:color="auto"/>
          </w:divBdr>
          <w:divsChild>
            <w:div w:id="1716584841">
              <w:marLeft w:val="75"/>
              <w:marRight w:val="75"/>
              <w:marTop w:val="300"/>
              <w:marBottom w:val="75"/>
              <w:divBdr>
                <w:top w:val="none" w:sz="0" w:space="0" w:color="auto"/>
                <w:left w:val="none" w:sz="0" w:space="0" w:color="auto"/>
                <w:bottom w:val="none" w:sz="0" w:space="0" w:color="auto"/>
                <w:right w:val="none" w:sz="0" w:space="0" w:color="auto"/>
              </w:divBdr>
              <w:divsChild>
                <w:div w:id="44932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503296">
          <w:marLeft w:val="0"/>
          <w:marRight w:val="0"/>
          <w:marTop w:val="0"/>
          <w:marBottom w:val="0"/>
          <w:divBdr>
            <w:top w:val="none" w:sz="0" w:space="0" w:color="auto"/>
            <w:left w:val="none" w:sz="0" w:space="0" w:color="auto"/>
            <w:bottom w:val="none" w:sz="0" w:space="0" w:color="auto"/>
            <w:right w:val="none" w:sz="0" w:space="0" w:color="auto"/>
          </w:divBdr>
          <w:divsChild>
            <w:div w:id="2101874969">
              <w:marLeft w:val="75"/>
              <w:marRight w:val="75"/>
              <w:marTop w:val="300"/>
              <w:marBottom w:val="75"/>
              <w:divBdr>
                <w:top w:val="none" w:sz="0" w:space="0" w:color="auto"/>
                <w:left w:val="none" w:sz="0" w:space="0" w:color="auto"/>
                <w:bottom w:val="none" w:sz="0" w:space="0" w:color="auto"/>
                <w:right w:val="none" w:sz="0" w:space="0" w:color="auto"/>
              </w:divBdr>
              <w:divsChild>
                <w:div w:id="94123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7221">
          <w:marLeft w:val="0"/>
          <w:marRight w:val="0"/>
          <w:marTop w:val="0"/>
          <w:marBottom w:val="0"/>
          <w:divBdr>
            <w:top w:val="none" w:sz="0" w:space="0" w:color="auto"/>
            <w:left w:val="none" w:sz="0" w:space="0" w:color="auto"/>
            <w:bottom w:val="none" w:sz="0" w:space="0" w:color="auto"/>
            <w:right w:val="none" w:sz="0" w:space="0" w:color="auto"/>
          </w:divBdr>
          <w:divsChild>
            <w:div w:id="894900058">
              <w:marLeft w:val="75"/>
              <w:marRight w:val="75"/>
              <w:marTop w:val="300"/>
              <w:marBottom w:val="75"/>
              <w:divBdr>
                <w:top w:val="none" w:sz="0" w:space="0" w:color="auto"/>
                <w:left w:val="none" w:sz="0" w:space="0" w:color="auto"/>
                <w:bottom w:val="none" w:sz="0" w:space="0" w:color="auto"/>
                <w:right w:val="none" w:sz="0" w:space="0" w:color="auto"/>
              </w:divBdr>
              <w:divsChild>
                <w:div w:id="21159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233875">
          <w:marLeft w:val="0"/>
          <w:marRight w:val="0"/>
          <w:marTop w:val="0"/>
          <w:marBottom w:val="0"/>
          <w:divBdr>
            <w:top w:val="none" w:sz="0" w:space="0" w:color="auto"/>
            <w:left w:val="none" w:sz="0" w:space="0" w:color="auto"/>
            <w:bottom w:val="none" w:sz="0" w:space="0" w:color="auto"/>
            <w:right w:val="none" w:sz="0" w:space="0" w:color="auto"/>
          </w:divBdr>
          <w:divsChild>
            <w:div w:id="693382373">
              <w:marLeft w:val="75"/>
              <w:marRight w:val="75"/>
              <w:marTop w:val="300"/>
              <w:marBottom w:val="75"/>
              <w:divBdr>
                <w:top w:val="none" w:sz="0" w:space="0" w:color="auto"/>
                <w:left w:val="none" w:sz="0" w:space="0" w:color="auto"/>
                <w:bottom w:val="none" w:sz="0" w:space="0" w:color="auto"/>
                <w:right w:val="none" w:sz="0" w:space="0" w:color="auto"/>
              </w:divBdr>
              <w:divsChild>
                <w:div w:id="796293126">
                  <w:marLeft w:val="0"/>
                  <w:marRight w:val="0"/>
                  <w:marTop w:val="0"/>
                  <w:marBottom w:val="0"/>
                  <w:divBdr>
                    <w:top w:val="none" w:sz="0" w:space="0" w:color="auto"/>
                    <w:left w:val="none" w:sz="0" w:space="0" w:color="auto"/>
                    <w:bottom w:val="none" w:sz="0" w:space="0" w:color="auto"/>
                    <w:right w:val="none" w:sz="0" w:space="0" w:color="auto"/>
                  </w:divBdr>
                  <w:divsChild>
                    <w:div w:id="1369061057">
                      <w:marLeft w:val="300"/>
                      <w:marRight w:val="0"/>
                      <w:marTop w:val="0"/>
                      <w:marBottom w:val="0"/>
                      <w:divBdr>
                        <w:top w:val="none" w:sz="0" w:space="0" w:color="auto"/>
                        <w:left w:val="none" w:sz="0" w:space="0" w:color="auto"/>
                        <w:bottom w:val="none" w:sz="0" w:space="0" w:color="auto"/>
                        <w:right w:val="none" w:sz="0" w:space="0" w:color="auto"/>
                      </w:divBdr>
                    </w:div>
                    <w:div w:id="1482112194">
                      <w:marLeft w:val="-15"/>
                      <w:marRight w:val="-15"/>
                      <w:marTop w:val="0"/>
                      <w:marBottom w:val="0"/>
                      <w:divBdr>
                        <w:top w:val="none" w:sz="0" w:space="0" w:color="auto"/>
                        <w:left w:val="none" w:sz="0" w:space="0" w:color="auto"/>
                        <w:bottom w:val="none" w:sz="0" w:space="0" w:color="auto"/>
                        <w:right w:val="none" w:sz="0" w:space="0" w:color="auto"/>
                      </w:divBdr>
                    </w:div>
                    <w:div w:id="20904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07589">
          <w:marLeft w:val="0"/>
          <w:marRight w:val="0"/>
          <w:marTop w:val="0"/>
          <w:marBottom w:val="0"/>
          <w:divBdr>
            <w:top w:val="none" w:sz="0" w:space="0" w:color="auto"/>
            <w:left w:val="none" w:sz="0" w:space="0" w:color="auto"/>
            <w:bottom w:val="none" w:sz="0" w:space="0" w:color="auto"/>
            <w:right w:val="none" w:sz="0" w:space="0" w:color="auto"/>
          </w:divBdr>
          <w:divsChild>
            <w:div w:id="1835532745">
              <w:marLeft w:val="75"/>
              <w:marRight w:val="75"/>
              <w:marTop w:val="300"/>
              <w:marBottom w:val="75"/>
              <w:divBdr>
                <w:top w:val="none" w:sz="0" w:space="0" w:color="auto"/>
                <w:left w:val="none" w:sz="0" w:space="0" w:color="auto"/>
                <w:bottom w:val="none" w:sz="0" w:space="0" w:color="auto"/>
                <w:right w:val="none" w:sz="0" w:space="0" w:color="auto"/>
              </w:divBdr>
              <w:divsChild>
                <w:div w:id="169028564">
                  <w:marLeft w:val="0"/>
                  <w:marRight w:val="0"/>
                  <w:marTop w:val="0"/>
                  <w:marBottom w:val="0"/>
                  <w:divBdr>
                    <w:top w:val="none" w:sz="0" w:space="0" w:color="auto"/>
                    <w:left w:val="none" w:sz="0" w:space="0" w:color="auto"/>
                    <w:bottom w:val="none" w:sz="0" w:space="0" w:color="auto"/>
                    <w:right w:val="none" w:sz="0" w:space="0" w:color="auto"/>
                  </w:divBdr>
                  <w:divsChild>
                    <w:div w:id="391272575">
                      <w:marLeft w:val="-15"/>
                      <w:marRight w:val="-15"/>
                      <w:marTop w:val="0"/>
                      <w:marBottom w:val="0"/>
                      <w:divBdr>
                        <w:top w:val="none" w:sz="0" w:space="0" w:color="auto"/>
                        <w:left w:val="none" w:sz="0" w:space="0" w:color="auto"/>
                        <w:bottom w:val="none" w:sz="0" w:space="0" w:color="auto"/>
                        <w:right w:val="none" w:sz="0" w:space="0" w:color="auto"/>
                      </w:divBdr>
                    </w:div>
                    <w:div w:id="436947049">
                      <w:marLeft w:val="0"/>
                      <w:marRight w:val="0"/>
                      <w:marTop w:val="0"/>
                      <w:marBottom w:val="0"/>
                      <w:divBdr>
                        <w:top w:val="none" w:sz="0" w:space="0" w:color="auto"/>
                        <w:left w:val="none" w:sz="0" w:space="0" w:color="auto"/>
                        <w:bottom w:val="none" w:sz="0" w:space="0" w:color="auto"/>
                        <w:right w:val="none" w:sz="0" w:space="0" w:color="auto"/>
                      </w:divBdr>
                    </w:div>
                    <w:div w:id="2049182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91080">
          <w:marLeft w:val="0"/>
          <w:marRight w:val="0"/>
          <w:marTop w:val="0"/>
          <w:marBottom w:val="0"/>
          <w:divBdr>
            <w:top w:val="none" w:sz="0" w:space="0" w:color="auto"/>
            <w:left w:val="none" w:sz="0" w:space="0" w:color="auto"/>
            <w:bottom w:val="none" w:sz="0" w:space="0" w:color="auto"/>
            <w:right w:val="none" w:sz="0" w:space="0" w:color="auto"/>
          </w:divBdr>
          <w:divsChild>
            <w:div w:id="285543995">
              <w:marLeft w:val="75"/>
              <w:marRight w:val="75"/>
              <w:marTop w:val="300"/>
              <w:marBottom w:val="75"/>
              <w:divBdr>
                <w:top w:val="none" w:sz="0" w:space="0" w:color="auto"/>
                <w:left w:val="none" w:sz="0" w:space="0" w:color="auto"/>
                <w:bottom w:val="none" w:sz="0" w:space="0" w:color="auto"/>
                <w:right w:val="none" w:sz="0" w:space="0" w:color="auto"/>
              </w:divBdr>
              <w:divsChild>
                <w:div w:id="32887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79869">
          <w:marLeft w:val="0"/>
          <w:marRight w:val="0"/>
          <w:marTop w:val="0"/>
          <w:marBottom w:val="0"/>
          <w:divBdr>
            <w:top w:val="none" w:sz="0" w:space="0" w:color="auto"/>
            <w:left w:val="none" w:sz="0" w:space="0" w:color="auto"/>
            <w:bottom w:val="none" w:sz="0" w:space="0" w:color="auto"/>
            <w:right w:val="none" w:sz="0" w:space="0" w:color="auto"/>
          </w:divBdr>
          <w:divsChild>
            <w:div w:id="1967352185">
              <w:marLeft w:val="75"/>
              <w:marRight w:val="75"/>
              <w:marTop w:val="300"/>
              <w:marBottom w:val="75"/>
              <w:divBdr>
                <w:top w:val="none" w:sz="0" w:space="0" w:color="auto"/>
                <w:left w:val="none" w:sz="0" w:space="0" w:color="auto"/>
                <w:bottom w:val="none" w:sz="0" w:space="0" w:color="auto"/>
                <w:right w:val="none" w:sz="0" w:space="0" w:color="auto"/>
              </w:divBdr>
              <w:divsChild>
                <w:div w:id="1028482872">
                  <w:marLeft w:val="0"/>
                  <w:marRight w:val="0"/>
                  <w:marTop w:val="0"/>
                  <w:marBottom w:val="0"/>
                  <w:divBdr>
                    <w:top w:val="none" w:sz="0" w:space="0" w:color="auto"/>
                    <w:left w:val="none" w:sz="0" w:space="0" w:color="auto"/>
                    <w:bottom w:val="none" w:sz="0" w:space="0" w:color="auto"/>
                    <w:right w:val="none" w:sz="0" w:space="0" w:color="auto"/>
                  </w:divBdr>
                  <w:divsChild>
                    <w:div w:id="186450242">
                      <w:marLeft w:val="0"/>
                      <w:marRight w:val="0"/>
                      <w:marTop w:val="0"/>
                      <w:marBottom w:val="0"/>
                      <w:divBdr>
                        <w:top w:val="none" w:sz="0" w:space="0" w:color="auto"/>
                        <w:left w:val="none" w:sz="0" w:space="0" w:color="auto"/>
                        <w:bottom w:val="none" w:sz="0" w:space="0" w:color="auto"/>
                        <w:right w:val="none" w:sz="0" w:space="0" w:color="auto"/>
                      </w:divBdr>
                      <w:divsChild>
                        <w:div w:id="116602937">
                          <w:marLeft w:val="75"/>
                          <w:marRight w:val="0"/>
                          <w:marTop w:val="0"/>
                          <w:marBottom w:val="0"/>
                          <w:divBdr>
                            <w:top w:val="none" w:sz="0" w:space="0" w:color="auto"/>
                            <w:left w:val="none" w:sz="0" w:space="0" w:color="auto"/>
                            <w:bottom w:val="none" w:sz="0" w:space="0" w:color="auto"/>
                            <w:right w:val="none" w:sz="0" w:space="0" w:color="auto"/>
                          </w:divBdr>
                        </w:div>
                        <w:div w:id="960963966">
                          <w:marLeft w:val="75"/>
                          <w:marRight w:val="0"/>
                          <w:marTop w:val="0"/>
                          <w:marBottom w:val="0"/>
                          <w:divBdr>
                            <w:top w:val="none" w:sz="0" w:space="0" w:color="auto"/>
                            <w:left w:val="none" w:sz="0" w:space="0" w:color="auto"/>
                            <w:bottom w:val="none" w:sz="0" w:space="0" w:color="auto"/>
                            <w:right w:val="none" w:sz="0" w:space="0" w:color="auto"/>
                          </w:divBdr>
                        </w:div>
                        <w:div w:id="154039010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50825">
          <w:marLeft w:val="0"/>
          <w:marRight w:val="0"/>
          <w:marTop w:val="0"/>
          <w:marBottom w:val="0"/>
          <w:divBdr>
            <w:top w:val="none" w:sz="0" w:space="0" w:color="auto"/>
            <w:left w:val="none" w:sz="0" w:space="0" w:color="auto"/>
            <w:bottom w:val="none" w:sz="0" w:space="0" w:color="auto"/>
            <w:right w:val="none" w:sz="0" w:space="0" w:color="auto"/>
          </w:divBdr>
          <w:divsChild>
            <w:div w:id="1555699927">
              <w:marLeft w:val="75"/>
              <w:marRight w:val="75"/>
              <w:marTop w:val="300"/>
              <w:marBottom w:val="75"/>
              <w:divBdr>
                <w:top w:val="none" w:sz="0" w:space="0" w:color="auto"/>
                <w:left w:val="none" w:sz="0" w:space="0" w:color="auto"/>
                <w:bottom w:val="none" w:sz="0" w:space="0" w:color="auto"/>
                <w:right w:val="none" w:sz="0" w:space="0" w:color="auto"/>
              </w:divBdr>
              <w:divsChild>
                <w:div w:id="201617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1894">
          <w:marLeft w:val="0"/>
          <w:marRight w:val="0"/>
          <w:marTop w:val="0"/>
          <w:marBottom w:val="0"/>
          <w:divBdr>
            <w:top w:val="none" w:sz="0" w:space="0" w:color="auto"/>
            <w:left w:val="none" w:sz="0" w:space="0" w:color="auto"/>
            <w:bottom w:val="none" w:sz="0" w:space="0" w:color="auto"/>
            <w:right w:val="none" w:sz="0" w:space="0" w:color="auto"/>
          </w:divBdr>
          <w:divsChild>
            <w:div w:id="1257245483">
              <w:marLeft w:val="75"/>
              <w:marRight w:val="75"/>
              <w:marTop w:val="300"/>
              <w:marBottom w:val="75"/>
              <w:divBdr>
                <w:top w:val="none" w:sz="0" w:space="0" w:color="auto"/>
                <w:left w:val="none" w:sz="0" w:space="0" w:color="auto"/>
                <w:bottom w:val="none" w:sz="0" w:space="0" w:color="auto"/>
                <w:right w:val="none" w:sz="0" w:space="0" w:color="auto"/>
              </w:divBdr>
              <w:divsChild>
                <w:div w:id="1225797380">
                  <w:marLeft w:val="0"/>
                  <w:marRight w:val="0"/>
                  <w:marTop w:val="0"/>
                  <w:marBottom w:val="0"/>
                  <w:divBdr>
                    <w:top w:val="none" w:sz="0" w:space="0" w:color="auto"/>
                    <w:left w:val="none" w:sz="0" w:space="0" w:color="auto"/>
                    <w:bottom w:val="none" w:sz="0" w:space="0" w:color="auto"/>
                    <w:right w:val="none" w:sz="0" w:space="0" w:color="auto"/>
                  </w:divBdr>
                  <w:divsChild>
                    <w:div w:id="201720901">
                      <w:marLeft w:val="300"/>
                      <w:marRight w:val="0"/>
                      <w:marTop w:val="0"/>
                      <w:marBottom w:val="0"/>
                      <w:divBdr>
                        <w:top w:val="none" w:sz="0" w:space="0" w:color="auto"/>
                        <w:left w:val="none" w:sz="0" w:space="0" w:color="auto"/>
                        <w:bottom w:val="none" w:sz="0" w:space="0" w:color="auto"/>
                        <w:right w:val="none" w:sz="0" w:space="0" w:color="auto"/>
                      </w:divBdr>
                    </w:div>
                    <w:div w:id="1531408921">
                      <w:marLeft w:val="-15"/>
                      <w:marRight w:val="-15"/>
                      <w:marTop w:val="0"/>
                      <w:marBottom w:val="0"/>
                      <w:divBdr>
                        <w:top w:val="none" w:sz="0" w:space="0" w:color="auto"/>
                        <w:left w:val="none" w:sz="0" w:space="0" w:color="auto"/>
                        <w:bottom w:val="none" w:sz="0" w:space="0" w:color="auto"/>
                        <w:right w:val="none" w:sz="0" w:space="0" w:color="auto"/>
                      </w:divBdr>
                    </w:div>
                    <w:div w:id="154162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421013">
          <w:marLeft w:val="0"/>
          <w:marRight w:val="0"/>
          <w:marTop w:val="0"/>
          <w:marBottom w:val="0"/>
          <w:divBdr>
            <w:top w:val="none" w:sz="0" w:space="0" w:color="auto"/>
            <w:left w:val="none" w:sz="0" w:space="0" w:color="auto"/>
            <w:bottom w:val="none" w:sz="0" w:space="0" w:color="auto"/>
            <w:right w:val="none" w:sz="0" w:space="0" w:color="auto"/>
          </w:divBdr>
          <w:divsChild>
            <w:div w:id="1796556368">
              <w:marLeft w:val="75"/>
              <w:marRight w:val="75"/>
              <w:marTop w:val="300"/>
              <w:marBottom w:val="75"/>
              <w:divBdr>
                <w:top w:val="none" w:sz="0" w:space="0" w:color="auto"/>
                <w:left w:val="none" w:sz="0" w:space="0" w:color="auto"/>
                <w:bottom w:val="none" w:sz="0" w:space="0" w:color="auto"/>
                <w:right w:val="none" w:sz="0" w:space="0" w:color="auto"/>
              </w:divBdr>
              <w:divsChild>
                <w:div w:id="827139838">
                  <w:marLeft w:val="0"/>
                  <w:marRight w:val="0"/>
                  <w:marTop w:val="0"/>
                  <w:marBottom w:val="0"/>
                  <w:divBdr>
                    <w:top w:val="none" w:sz="0" w:space="0" w:color="auto"/>
                    <w:left w:val="none" w:sz="0" w:space="0" w:color="auto"/>
                    <w:bottom w:val="none" w:sz="0" w:space="0" w:color="auto"/>
                    <w:right w:val="none" w:sz="0" w:space="0" w:color="auto"/>
                  </w:divBdr>
                  <w:divsChild>
                    <w:div w:id="368801913">
                      <w:marLeft w:val="0"/>
                      <w:marRight w:val="0"/>
                      <w:marTop w:val="0"/>
                      <w:marBottom w:val="0"/>
                      <w:divBdr>
                        <w:top w:val="none" w:sz="0" w:space="0" w:color="auto"/>
                        <w:left w:val="none" w:sz="0" w:space="0" w:color="auto"/>
                        <w:bottom w:val="none" w:sz="0" w:space="0" w:color="auto"/>
                        <w:right w:val="none" w:sz="0" w:space="0" w:color="auto"/>
                      </w:divBdr>
                    </w:div>
                    <w:div w:id="1018577795">
                      <w:marLeft w:val="-15"/>
                      <w:marRight w:val="-15"/>
                      <w:marTop w:val="0"/>
                      <w:marBottom w:val="0"/>
                      <w:divBdr>
                        <w:top w:val="none" w:sz="0" w:space="0" w:color="auto"/>
                        <w:left w:val="none" w:sz="0" w:space="0" w:color="auto"/>
                        <w:bottom w:val="none" w:sz="0" w:space="0" w:color="auto"/>
                        <w:right w:val="none" w:sz="0" w:space="0" w:color="auto"/>
                      </w:divBdr>
                    </w:div>
                    <w:div w:id="140117839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044354">
          <w:marLeft w:val="0"/>
          <w:marRight w:val="0"/>
          <w:marTop w:val="0"/>
          <w:marBottom w:val="0"/>
          <w:divBdr>
            <w:top w:val="none" w:sz="0" w:space="0" w:color="auto"/>
            <w:left w:val="none" w:sz="0" w:space="0" w:color="auto"/>
            <w:bottom w:val="none" w:sz="0" w:space="0" w:color="auto"/>
            <w:right w:val="none" w:sz="0" w:space="0" w:color="auto"/>
          </w:divBdr>
          <w:divsChild>
            <w:div w:id="1498763606">
              <w:marLeft w:val="75"/>
              <w:marRight w:val="75"/>
              <w:marTop w:val="300"/>
              <w:marBottom w:val="75"/>
              <w:divBdr>
                <w:top w:val="none" w:sz="0" w:space="0" w:color="auto"/>
                <w:left w:val="none" w:sz="0" w:space="0" w:color="auto"/>
                <w:bottom w:val="none" w:sz="0" w:space="0" w:color="auto"/>
                <w:right w:val="none" w:sz="0" w:space="0" w:color="auto"/>
              </w:divBdr>
              <w:divsChild>
                <w:div w:id="105468582">
                  <w:marLeft w:val="0"/>
                  <w:marRight w:val="0"/>
                  <w:marTop w:val="0"/>
                  <w:marBottom w:val="0"/>
                  <w:divBdr>
                    <w:top w:val="none" w:sz="0" w:space="0" w:color="auto"/>
                    <w:left w:val="none" w:sz="0" w:space="0" w:color="auto"/>
                    <w:bottom w:val="none" w:sz="0" w:space="0" w:color="auto"/>
                    <w:right w:val="none" w:sz="0" w:space="0" w:color="auto"/>
                  </w:divBdr>
                  <w:divsChild>
                    <w:div w:id="980766152">
                      <w:marLeft w:val="300"/>
                      <w:marRight w:val="0"/>
                      <w:marTop w:val="0"/>
                      <w:marBottom w:val="0"/>
                      <w:divBdr>
                        <w:top w:val="none" w:sz="0" w:space="0" w:color="auto"/>
                        <w:left w:val="none" w:sz="0" w:space="0" w:color="auto"/>
                        <w:bottom w:val="none" w:sz="0" w:space="0" w:color="auto"/>
                        <w:right w:val="none" w:sz="0" w:space="0" w:color="auto"/>
                      </w:divBdr>
                    </w:div>
                    <w:div w:id="1057120972">
                      <w:marLeft w:val="-15"/>
                      <w:marRight w:val="-15"/>
                      <w:marTop w:val="0"/>
                      <w:marBottom w:val="0"/>
                      <w:divBdr>
                        <w:top w:val="none" w:sz="0" w:space="0" w:color="auto"/>
                        <w:left w:val="none" w:sz="0" w:space="0" w:color="auto"/>
                        <w:bottom w:val="none" w:sz="0" w:space="0" w:color="auto"/>
                        <w:right w:val="none" w:sz="0" w:space="0" w:color="auto"/>
                      </w:divBdr>
                    </w:div>
                    <w:div w:id="117122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651547">
      <w:bodyDiv w:val="1"/>
      <w:marLeft w:val="0"/>
      <w:marRight w:val="0"/>
      <w:marTop w:val="0"/>
      <w:marBottom w:val="0"/>
      <w:divBdr>
        <w:top w:val="none" w:sz="0" w:space="0" w:color="auto"/>
        <w:left w:val="none" w:sz="0" w:space="0" w:color="auto"/>
        <w:bottom w:val="none" w:sz="0" w:space="0" w:color="auto"/>
        <w:right w:val="none" w:sz="0" w:space="0" w:color="auto"/>
      </w:divBdr>
    </w:div>
    <w:div w:id="366875200">
      <w:bodyDiv w:val="1"/>
      <w:marLeft w:val="0"/>
      <w:marRight w:val="0"/>
      <w:marTop w:val="0"/>
      <w:marBottom w:val="0"/>
      <w:divBdr>
        <w:top w:val="none" w:sz="0" w:space="0" w:color="auto"/>
        <w:left w:val="none" w:sz="0" w:space="0" w:color="auto"/>
        <w:bottom w:val="none" w:sz="0" w:space="0" w:color="auto"/>
        <w:right w:val="none" w:sz="0" w:space="0" w:color="auto"/>
      </w:divBdr>
      <w:divsChild>
        <w:div w:id="1988708815">
          <w:marLeft w:val="-15"/>
          <w:marRight w:val="-15"/>
          <w:marTop w:val="0"/>
          <w:marBottom w:val="0"/>
          <w:divBdr>
            <w:top w:val="none" w:sz="0" w:space="0" w:color="auto"/>
            <w:left w:val="none" w:sz="0" w:space="0" w:color="auto"/>
            <w:bottom w:val="none" w:sz="0" w:space="0" w:color="auto"/>
            <w:right w:val="none" w:sz="0" w:space="0" w:color="auto"/>
          </w:divBdr>
        </w:div>
      </w:divsChild>
    </w:div>
    <w:div w:id="368185969">
      <w:bodyDiv w:val="1"/>
      <w:marLeft w:val="0"/>
      <w:marRight w:val="0"/>
      <w:marTop w:val="0"/>
      <w:marBottom w:val="0"/>
      <w:divBdr>
        <w:top w:val="none" w:sz="0" w:space="0" w:color="auto"/>
        <w:left w:val="none" w:sz="0" w:space="0" w:color="auto"/>
        <w:bottom w:val="none" w:sz="0" w:space="0" w:color="auto"/>
        <w:right w:val="none" w:sz="0" w:space="0" w:color="auto"/>
      </w:divBdr>
    </w:div>
    <w:div w:id="427577004">
      <w:bodyDiv w:val="1"/>
      <w:marLeft w:val="0"/>
      <w:marRight w:val="0"/>
      <w:marTop w:val="0"/>
      <w:marBottom w:val="0"/>
      <w:divBdr>
        <w:top w:val="none" w:sz="0" w:space="0" w:color="auto"/>
        <w:left w:val="none" w:sz="0" w:space="0" w:color="auto"/>
        <w:bottom w:val="none" w:sz="0" w:space="0" w:color="auto"/>
        <w:right w:val="none" w:sz="0" w:space="0" w:color="auto"/>
      </w:divBdr>
    </w:div>
    <w:div w:id="428622497">
      <w:bodyDiv w:val="1"/>
      <w:marLeft w:val="0"/>
      <w:marRight w:val="0"/>
      <w:marTop w:val="0"/>
      <w:marBottom w:val="0"/>
      <w:divBdr>
        <w:top w:val="none" w:sz="0" w:space="0" w:color="auto"/>
        <w:left w:val="none" w:sz="0" w:space="0" w:color="auto"/>
        <w:bottom w:val="none" w:sz="0" w:space="0" w:color="auto"/>
        <w:right w:val="none" w:sz="0" w:space="0" w:color="auto"/>
      </w:divBdr>
    </w:div>
    <w:div w:id="503785294">
      <w:bodyDiv w:val="1"/>
      <w:marLeft w:val="0"/>
      <w:marRight w:val="0"/>
      <w:marTop w:val="0"/>
      <w:marBottom w:val="0"/>
      <w:divBdr>
        <w:top w:val="none" w:sz="0" w:space="0" w:color="auto"/>
        <w:left w:val="none" w:sz="0" w:space="0" w:color="auto"/>
        <w:bottom w:val="none" w:sz="0" w:space="0" w:color="auto"/>
        <w:right w:val="none" w:sz="0" w:space="0" w:color="auto"/>
      </w:divBdr>
    </w:div>
    <w:div w:id="545679968">
      <w:bodyDiv w:val="1"/>
      <w:marLeft w:val="0"/>
      <w:marRight w:val="0"/>
      <w:marTop w:val="0"/>
      <w:marBottom w:val="0"/>
      <w:divBdr>
        <w:top w:val="none" w:sz="0" w:space="0" w:color="auto"/>
        <w:left w:val="none" w:sz="0" w:space="0" w:color="auto"/>
        <w:bottom w:val="none" w:sz="0" w:space="0" w:color="auto"/>
        <w:right w:val="none" w:sz="0" w:space="0" w:color="auto"/>
      </w:divBdr>
      <w:divsChild>
        <w:div w:id="707609652">
          <w:marLeft w:val="-15"/>
          <w:marRight w:val="-15"/>
          <w:marTop w:val="0"/>
          <w:marBottom w:val="0"/>
          <w:divBdr>
            <w:top w:val="none" w:sz="0" w:space="0" w:color="auto"/>
            <w:left w:val="none" w:sz="0" w:space="0" w:color="auto"/>
            <w:bottom w:val="none" w:sz="0" w:space="0" w:color="auto"/>
            <w:right w:val="none" w:sz="0" w:space="0" w:color="auto"/>
          </w:divBdr>
        </w:div>
      </w:divsChild>
    </w:div>
    <w:div w:id="548999830">
      <w:bodyDiv w:val="1"/>
      <w:marLeft w:val="0"/>
      <w:marRight w:val="0"/>
      <w:marTop w:val="0"/>
      <w:marBottom w:val="0"/>
      <w:divBdr>
        <w:top w:val="none" w:sz="0" w:space="0" w:color="auto"/>
        <w:left w:val="none" w:sz="0" w:space="0" w:color="auto"/>
        <w:bottom w:val="none" w:sz="0" w:space="0" w:color="auto"/>
        <w:right w:val="none" w:sz="0" w:space="0" w:color="auto"/>
      </w:divBdr>
    </w:div>
    <w:div w:id="557012334">
      <w:bodyDiv w:val="1"/>
      <w:marLeft w:val="0"/>
      <w:marRight w:val="0"/>
      <w:marTop w:val="0"/>
      <w:marBottom w:val="0"/>
      <w:divBdr>
        <w:top w:val="none" w:sz="0" w:space="0" w:color="auto"/>
        <w:left w:val="none" w:sz="0" w:space="0" w:color="auto"/>
        <w:bottom w:val="none" w:sz="0" w:space="0" w:color="auto"/>
        <w:right w:val="none" w:sz="0" w:space="0" w:color="auto"/>
      </w:divBdr>
    </w:div>
    <w:div w:id="614753588">
      <w:bodyDiv w:val="1"/>
      <w:marLeft w:val="0"/>
      <w:marRight w:val="0"/>
      <w:marTop w:val="0"/>
      <w:marBottom w:val="0"/>
      <w:divBdr>
        <w:top w:val="none" w:sz="0" w:space="0" w:color="auto"/>
        <w:left w:val="none" w:sz="0" w:space="0" w:color="auto"/>
        <w:bottom w:val="none" w:sz="0" w:space="0" w:color="auto"/>
        <w:right w:val="none" w:sz="0" w:space="0" w:color="auto"/>
      </w:divBdr>
    </w:div>
    <w:div w:id="659701205">
      <w:bodyDiv w:val="1"/>
      <w:marLeft w:val="0"/>
      <w:marRight w:val="0"/>
      <w:marTop w:val="0"/>
      <w:marBottom w:val="0"/>
      <w:divBdr>
        <w:top w:val="none" w:sz="0" w:space="0" w:color="auto"/>
        <w:left w:val="none" w:sz="0" w:space="0" w:color="auto"/>
        <w:bottom w:val="none" w:sz="0" w:space="0" w:color="auto"/>
        <w:right w:val="none" w:sz="0" w:space="0" w:color="auto"/>
      </w:divBdr>
    </w:div>
    <w:div w:id="687832282">
      <w:bodyDiv w:val="1"/>
      <w:marLeft w:val="0"/>
      <w:marRight w:val="0"/>
      <w:marTop w:val="0"/>
      <w:marBottom w:val="0"/>
      <w:divBdr>
        <w:top w:val="none" w:sz="0" w:space="0" w:color="auto"/>
        <w:left w:val="none" w:sz="0" w:space="0" w:color="auto"/>
        <w:bottom w:val="none" w:sz="0" w:space="0" w:color="auto"/>
        <w:right w:val="none" w:sz="0" w:space="0" w:color="auto"/>
      </w:divBdr>
    </w:div>
    <w:div w:id="794257689">
      <w:bodyDiv w:val="1"/>
      <w:marLeft w:val="0"/>
      <w:marRight w:val="0"/>
      <w:marTop w:val="0"/>
      <w:marBottom w:val="0"/>
      <w:divBdr>
        <w:top w:val="none" w:sz="0" w:space="0" w:color="auto"/>
        <w:left w:val="none" w:sz="0" w:space="0" w:color="auto"/>
        <w:bottom w:val="none" w:sz="0" w:space="0" w:color="auto"/>
        <w:right w:val="none" w:sz="0" w:space="0" w:color="auto"/>
      </w:divBdr>
    </w:div>
    <w:div w:id="828864229">
      <w:bodyDiv w:val="1"/>
      <w:marLeft w:val="0"/>
      <w:marRight w:val="0"/>
      <w:marTop w:val="0"/>
      <w:marBottom w:val="0"/>
      <w:divBdr>
        <w:top w:val="none" w:sz="0" w:space="0" w:color="auto"/>
        <w:left w:val="none" w:sz="0" w:space="0" w:color="auto"/>
        <w:bottom w:val="none" w:sz="0" w:space="0" w:color="auto"/>
        <w:right w:val="none" w:sz="0" w:space="0" w:color="auto"/>
      </w:divBdr>
    </w:div>
    <w:div w:id="1048452560">
      <w:bodyDiv w:val="1"/>
      <w:marLeft w:val="0"/>
      <w:marRight w:val="0"/>
      <w:marTop w:val="0"/>
      <w:marBottom w:val="0"/>
      <w:divBdr>
        <w:top w:val="none" w:sz="0" w:space="0" w:color="auto"/>
        <w:left w:val="none" w:sz="0" w:space="0" w:color="auto"/>
        <w:bottom w:val="none" w:sz="0" w:space="0" w:color="auto"/>
        <w:right w:val="none" w:sz="0" w:space="0" w:color="auto"/>
      </w:divBdr>
      <w:divsChild>
        <w:div w:id="903027725">
          <w:marLeft w:val="-15"/>
          <w:marRight w:val="-15"/>
          <w:marTop w:val="0"/>
          <w:marBottom w:val="0"/>
          <w:divBdr>
            <w:top w:val="none" w:sz="0" w:space="0" w:color="auto"/>
            <w:left w:val="none" w:sz="0" w:space="0" w:color="auto"/>
            <w:bottom w:val="none" w:sz="0" w:space="0" w:color="auto"/>
            <w:right w:val="none" w:sz="0" w:space="0" w:color="auto"/>
          </w:divBdr>
        </w:div>
      </w:divsChild>
    </w:div>
    <w:div w:id="1057900124">
      <w:bodyDiv w:val="1"/>
      <w:marLeft w:val="0"/>
      <w:marRight w:val="0"/>
      <w:marTop w:val="0"/>
      <w:marBottom w:val="0"/>
      <w:divBdr>
        <w:top w:val="none" w:sz="0" w:space="0" w:color="auto"/>
        <w:left w:val="none" w:sz="0" w:space="0" w:color="auto"/>
        <w:bottom w:val="none" w:sz="0" w:space="0" w:color="auto"/>
        <w:right w:val="none" w:sz="0" w:space="0" w:color="auto"/>
      </w:divBdr>
      <w:divsChild>
        <w:div w:id="148795553">
          <w:marLeft w:val="0"/>
          <w:marRight w:val="0"/>
          <w:marTop w:val="0"/>
          <w:marBottom w:val="0"/>
          <w:divBdr>
            <w:top w:val="none" w:sz="0" w:space="0" w:color="auto"/>
            <w:left w:val="none" w:sz="0" w:space="0" w:color="auto"/>
            <w:bottom w:val="none" w:sz="0" w:space="0" w:color="auto"/>
            <w:right w:val="none" w:sz="0" w:space="0" w:color="auto"/>
          </w:divBdr>
          <w:divsChild>
            <w:div w:id="204755407">
              <w:marLeft w:val="75"/>
              <w:marRight w:val="75"/>
              <w:marTop w:val="300"/>
              <w:marBottom w:val="75"/>
              <w:divBdr>
                <w:top w:val="none" w:sz="0" w:space="0" w:color="auto"/>
                <w:left w:val="none" w:sz="0" w:space="0" w:color="auto"/>
                <w:bottom w:val="none" w:sz="0" w:space="0" w:color="auto"/>
                <w:right w:val="none" w:sz="0" w:space="0" w:color="auto"/>
              </w:divBdr>
              <w:divsChild>
                <w:div w:id="1172065412">
                  <w:marLeft w:val="0"/>
                  <w:marRight w:val="0"/>
                  <w:marTop w:val="0"/>
                  <w:marBottom w:val="0"/>
                  <w:divBdr>
                    <w:top w:val="none" w:sz="0" w:space="0" w:color="auto"/>
                    <w:left w:val="none" w:sz="0" w:space="0" w:color="auto"/>
                    <w:bottom w:val="none" w:sz="0" w:space="0" w:color="auto"/>
                    <w:right w:val="none" w:sz="0" w:space="0" w:color="auto"/>
                  </w:divBdr>
                  <w:divsChild>
                    <w:div w:id="1447655057">
                      <w:marLeft w:val="0"/>
                      <w:marRight w:val="0"/>
                      <w:marTop w:val="0"/>
                      <w:marBottom w:val="0"/>
                      <w:divBdr>
                        <w:top w:val="none" w:sz="0" w:space="0" w:color="auto"/>
                        <w:left w:val="none" w:sz="0" w:space="0" w:color="auto"/>
                        <w:bottom w:val="none" w:sz="0" w:space="0" w:color="auto"/>
                        <w:right w:val="none" w:sz="0" w:space="0" w:color="auto"/>
                      </w:divBdr>
                      <w:divsChild>
                        <w:div w:id="568074587">
                          <w:marLeft w:val="75"/>
                          <w:marRight w:val="0"/>
                          <w:marTop w:val="0"/>
                          <w:marBottom w:val="0"/>
                          <w:divBdr>
                            <w:top w:val="none" w:sz="0" w:space="0" w:color="auto"/>
                            <w:left w:val="none" w:sz="0" w:space="0" w:color="auto"/>
                            <w:bottom w:val="none" w:sz="0" w:space="0" w:color="auto"/>
                            <w:right w:val="none" w:sz="0" w:space="0" w:color="auto"/>
                          </w:divBdr>
                        </w:div>
                        <w:div w:id="757361126">
                          <w:marLeft w:val="75"/>
                          <w:marRight w:val="0"/>
                          <w:marTop w:val="0"/>
                          <w:marBottom w:val="0"/>
                          <w:divBdr>
                            <w:top w:val="none" w:sz="0" w:space="0" w:color="auto"/>
                            <w:left w:val="none" w:sz="0" w:space="0" w:color="auto"/>
                            <w:bottom w:val="none" w:sz="0" w:space="0" w:color="auto"/>
                            <w:right w:val="none" w:sz="0" w:space="0" w:color="auto"/>
                          </w:divBdr>
                        </w:div>
                        <w:div w:id="9442633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99108">
          <w:marLeft w:val="0"/>
          <w:marRight w:val="0"/>
          <w:marTop w:val="0"/>
          <w:marBottom w:val="0"/>
          <w:divBdr>
            <w:top w:val="none" w:sz="0" w:space="0" w:color="auto"/>
            <w:left w:val="none" w:sz="0" w:space="0" w:color="auto"/>
            <w:bottom w:val="none" w:sz="0" w:space="0" w:color="auto"/>
            <w:right w:val="none" w:sz="0" w:space="0" w:color="auto"/>
          </w:divBdr>
          <w:divsChild>
            <w:div w:id="674966528">
              <w:marLeft w:val="75"/>
              <w:marRight w:val="75"/>
              <w:marTop w:val="300"/>
              <w:marBottom w:val="75"/>
              <w:divBdr>
                <w:top w:val="none" w:sz="0" w:space="0" w:color="auto"/>
                <w:left w:val="none" w:sz="0" w:space="0" w:color="auto"/>
                <w:bottom w:val="none" w:sz="0" w:space="0" w:color="auto"/>
                <w:right w:val="none" w:sz="0" w:space="0" w:color="auto"/>
              </w:divBdr>
              <w:divsChild>
                <w:div w:id="1617062533">
                  <w:marLeft w:val="0"/>
                  <w:marRight w:val="0"/>
                  <w:marTop w:val="0"/>
                  <w:marBottom w:val="0"/>
                  <w:divBdr>
                    <w:top w:val="none" w:sz="0" w:space="0" w:color="auto"/>
                    <w:left w:val="none" w:sz="0" w:space="0" w:color="auto"/>
                    <w:bottom w:val="none" w:sz="0" w:space="0" w:color="auto"/>
                    <w:right w:val="none" w:sz="0" w:space="0" w:color="auto"/>
                  </w:divBdr>
                  <w:divsChild>
                    <w:div w:id="1243833383">
                      <w:marLeft w:val="0"/>
                      <w:marRight w:val="0"/>
                      <w:marTop w:val="0"/>
                      <w:marBottom w:val="0"/>
                      <w:divBdr>
                        <w:top w:val="none" w:sz="0" w:space="0" w:color="auto"/>
                        <w:left w:val="none" w:sz="0" w:space="0" w:color="auto"/>
                        <w:bottom w:val="none" w:sz="0" w:space="0" w:color="auto"/>
                        <w:right w:val="none" w:sz="0" w:space="0" w:color="auto"/>
                      </w:divBdr>
                      <w:divsChild>
                        <w:div w:id="490826574">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162551415">
          <w:marLeft w:val="0"/>
          <w:marRight w:val="0"/>
          <w:marTop w:val="0"/>
          <w:marBottom w:val="0"/>
          <w:divBdr>
            <w:top w:val="none" w:sz="0" w:space="0" w:color="auto"/>
            <w:left w:val="none" w:sz="0" w:space="0" w:color="auto"/>
            <w:bottom w:val="none" w:sz="0" w:space="0" w:color="auto"/>
            <w:right w:val="none" w:sz="0" w:space="0" w:color="auto"/>
          </w:divBdr>
          <w:divsChild>
            <w:div w:id="438835912">
              <w:marLeft w:val="75"/>
              <w:marRight w:val="75"/>
              <w:marTop w:val="300"/>
              <w:marBottom w:val="75"/>
              <w:divBdr>
                <w:top w:val="none" w:sz="0" w:space="0" w:color="auto"/>
                <w:left w:val="none" w:sz="0" w:space="0" w:color="auto"/>
                <w:bottom w:val="none" w:sz="0" w:space="0" w:color="auto"/>
                <w:right w:val="none" w:sz="0" w:space="0" w:color="auto"/>
              </w:divBdr>
              <w:divsChild>
                <w:div w:id="1654672817">
                  <w:marLeft w:val="0"/>
                  <w:marRight w:val="0"/>
                  <w:marTop w:val="0"/>
                  <w:marBottom w:val="0"/>
                  <w:divBdr>
                    <w:top w:val="none" w:sz="0" w:space="0" w:color="auto"/>
                    <w:left w:val="none" w:sz="0" w:space="0" w:color="auto"/>
                    <w:bottom w:val="none" w:sz="0" w:space="0" w:color="auto"/>
                    <w:right w:val="none" w:sz="0" w:space="0" w:color="auto"/>
                  </w:divBdr>
                  <w:divsChild>
                    <w:div w:id="715589330">
                      <w:marLeft w:val="0"/>
                      <w:marRight w:val="0"/>
                      <w:marTop w:val="0"/>
                      <w:marBottom w:val="0"/>
                      <w:divBdr>
                        <w:top w:val="none" w:sz="0" w:space="0" w:color="auto"/>
                        <w:left w:val="none" w:sz="0" w:space="0" w:color="auto"/>
                        <w:bottom w:val="none" w:sz="0" w:space="0" w:color="auto"/>
                        <w:right w:val="none" w:sz="0" w:space="0" w:color="auto"/>
                      </w:divBdr>
                    </w:div>
                    <w:div w:id="962421613">
                      <w:marLeft w:val="300"/>
                      <w:marRight w:val="0"/>
                      <w:marTop w:val="0"/>
                      <w:marBottom w:val="0"/>
                      <w:divBdr>
                        <w:top w:val="none" w:sz="0" w:space="0" w:color="auto"/>
                        <w:left w:val="none" w:sz="0" w:space="0" w:color="auto"/>
                        <w:bottom w:val="none" w:sz="0" w:space="0" w:color="auto"/>
                        <w:right w:val="none" w:sz="0" w:space="0" w:color="auto"/>
                      </w:divBdr>
                    </w:div>
                    <w:div w:id="148624044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321010435">
          <w:marLeft w:val="0"/>
          <w:marRight w:val="0"/>
          <w:marTop w:val="0"/>
          <w:marBottom w:val="0"/>
          <w:divBdr>
            <w:top w:val="none" w:sz="0" w:space="0" w:color="auto"/>
            <w:left w:val="none" w:sz="0" w:space="0" w:color="auto"/>
            <w:bottom w:val="none" w:sz="0" w:space="0" w:color="auto"/>
            <w:right w:val="none" w:sz="0" w:space="0" w:color="auto"/>
          </w:divBdr>
          <w:divsChild>
            <w:div w:id="498155625">
              <w:marLeft w:val="75"/>
              <w:marRight w:val="75"/>
              <w:marTop w:val="300"/>
              <w:marBottom w:val="75"/>
              <w:divBdr>
                <w:top w:val="none" w:sz="0" w:space="0" w:color="auto"/>
                <w:left w:val="none" w:sz="0" w:space="0" w:color="auto"/>
                <w:bottom w:val="none" w:sz="0" w:space="0" w:color="auto"/>
                <w:right w:val="none" w:sz="0" w:space="0" w:color="auto"/>
              </w:divBdr>
              <w:divsChild>
                <w:div w:id="346759014">
                  <w:marLeft w:val="0"/>
                  <w:marRight w:val="0"/>
                  <w:marTop w:val="0"/>
                  <w:marBottom w:val="0"/>
                  <w:divBdr>
                    <w:top w:val="none" w:sz="0" w:space="0" w:color="auto"/>
                    <w:left w:val="none" w:sz="0" w:space="0" w:color="auto"/>
                    <w:bottom w:val="none" w:sz="0" w:space="0" w:color="auto"/>
                    <w:right w:val="none" w:sz="0" w:space="0" w:color="auto"/>
                  </w:divBdr>
                  <w:divsChild>
                    <w:div w:id="752900399">
                      <w:marLeft w:val="300"/>
                      <w:marRight w:val="0"/>
                      <w:marTop w:val="0"/>
                      <w:marBottom w:val="0"/>
                      <w:divBdr>
                        <w:top w:val="none" w:sz="0" w:space="0" w:color="auto"/>
                        <w:left w:val="none" w:sz="0" w:space="0" w:color="auto"/>
                        <w:bottom w:val="none" w:sz="0" w:space="0" w:color="auto"/>
                        <w:right w:val="none" w:sz="0" w:space="0" w:color="auto"/>
                      </w:divBdr>
                    </w:div>
                    <w:div w:id="811557216">
                      <w:marLeft w:val="-15"/>
                      <w:marRight w:val="-15"/>
                      <w:marTop w:val="0"/>
                      <w:marBottom w:val="0"/>
                      <w:divBdr>
                        <w:top w:val="none" w:sz="0" w:space="0" w:color="auto"/>
                        <w:left w:val="none" w:sz="0" w:space="0" w:color="auto"/>
                        <w:bottom w:val="none" w:sz="0" w:space="0" w:color="auto"/>
                        <w:right w:val="none" w:sz="0" w:space="0" w:color="auto"/>
                      </w:divBdr>
                    </w:div>
                    <w:div w:id="137241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418586">
          <w:marLeft w:val="0"/>
          <w:marRight w:val="0"/>
          <w:marTop w:val="0"/>
          <w:marBottom w:val="0"/>
          <w:divBdr>
            <w:top w:val="none" w:sz="0" w:space="0" w:color="auto"/>
            <w:left w:val="none" w:sz="0" w:space="0" w:color="auto"/>
            <w:bottom w:val="none" w:sz="0" w:space="0" w:color="auto"/>
            <w:right w:val="none" w:sz="0" w:space="0" w:color="auto"/>
          </w:divBdr>
          <w:divsChild>
            <w:div w:id="1804536343">
              <w:marLeft w:val="75"/>
              <w:marRight w:val="75"/>
              <w:marTop w:val="300"/>
              <w:marBottom w:val="75"/>
              <w:divBdr>
                <w:top w:val="none" w:sz="0" w:space="0" w:color="auto"/>
                <w:left w:val="none" w:sz="0" w:space="0" w:color="auto"/>
                <w:bottom w:val="none" w:sz="0" w:space="0" w:color="auto"/>
                <w:right w:val="none" w:sz="0" w:space="0" w:color="auto"/>
              </w:divBdr>
              <w:divsChild>
                <w:div w:id="5326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78546">
          <w:marLeft w:val="0"/>
          <w:marRight w:val="0"/>
          <w:marTop w:val="0"/>
          <w:marBottom w:val="0"/>
          <w:divBdr>
            <w:top w:val="none" w:sz="0" w:space="0" w:color="auto"/>
            <w:left w:val="none" w:sz="0" w:space="0" w:color="auto"/>
            <w:bottom w:val="none" w:sz="0" w:space="0" w:color="auto"/>
            <w:right w:val="none" w:sz="0" w:space="0" w:color="auto"/>
          </w:divBdr>
          <w:divsChild>
            <w:div w:id="647443477">
              <w:marLeft w:val="75"/>
              <w:marRight w:val="75"/>
              <w:marTop w:val="300"/>
              <w:marBottom w:val="75"/>
              <w:divBdr>
                <w:top w:val="none" w:sz="0" w:space="0" w:color="auto"/>
                <w:left w:val="none" w:sz="0" w:space="0" w:color="auto"/>
                <w:bottom w:val="none" w:sz="0" w:space="0" w:color="auto"/>
                <w:right w:val="none" w:sz="0" w:space="0" w:color="auto"/>
              </w:divBdr>
              <w:divsChild>
                <w:div w:id="1788041557">
                  <w:marLeft w:val="0"/>
                  <w:marRight w:val="0"/>
                  <w:marTop w:val="0"/>
                  <w:marBottom w:val="0"/>
                  <w:divBdr>
                    <w:top w:val="none" w:sz="0" w:space="0" w:color="auto"/>
                    <w:left w:val="none" w:sz="0" w:space="0" w:color="auto"/>
                    <w:bottom w:val="none" w:sz="0" w:space="0" w:color="auto"/>
                    <w:right w:val="none" w:sz="0" w:space="0" w:color="auto"/>
                  </w:divBdr>
                  <w:divsChild>
                    <w:div w:id="278875688">
                      <w:marLeft w:val="0"/>
                      <w:marRight w:val="0"/>
                      <w:marTop w:val="0"/>
                      <w:marBottom w:val="0"/>
                      <w:divBdr>
                        <w:top w:val="none" w:sz="0" w:space="0" w:color="auto"/>
                        <w:left w:val="none" w:sz="0" w:space="0" w:color="auto"/>
                        <w:bottom w:val="none" w:sz="0" w:space="0" w:color="auto"/>
                        <w:right w:val="none" w:sz="0" w:space="0" w:color="auto"/>
                      </w:divBdr>
                      <w:divsChild>
                        <w:div w:id="251623502">
                          <w:marLeft w:val="75"/>
                          <w:marRight w:val="0"/>
                          <w:marTop w:val="0"/>
                          <w:marBottom w:val="0"/>
                          <w:divBdr>
                            <w:top w:val="none" w:sz="0" w:space="0" w:color="auto"/>
                            <w:left w:val="none" w:sz="0" w:space="0" w:color="auto"/>
                            <w:bottom w:val="none" w:sz="0" w:space="0" w:color="auto"/>
                            <w:right w:val="none" w:sz="0" w:space="0" w:color="auto"/>
                          </w:divBdr>
                        </w:div>
                        <w:div w:id="1809129221">
                          <w:marLeft w:val="75"/>
                          <w:marRight w:val="0"/>
                          <w:marTop w:val="0"/>
                          <w:marBottom w:val="0"/>
                          <w:divBdr>
                            <w:top w:val="none" w:sz="0" w:space="0" w:color="auto"/>
                            <w:left w:val="none" w:sz="0" w:space="0" w:color="auto"/>
                            <w:bottom w:val="none" w:sz="0" w:space="0" w:color="auto"/>
                            <w:right w:val="none" w:sz="0" w:space="0" w:color="auto"/>
                          </w:divBdr>
                        </w:div>
                        <w:div w:id="213675332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296632">
          <w:marLeft w:val="0"/>
          <w:marRight w:val="0"/>
          <w:marTop w:val="0"/>
          <w:marBottom w:val="0"/>
          <w:divBdr>
            <w:top w:val="none" w:sz="0" w:space="0" w:color="auto"/>
            <w:left w:val="none" w:sz="0" w:space="0" w:color="auto"/>
            <w:bottom w:val="none" w:sz="0" w:space="0" w:color="auto"/>
            <w:right w:val="none" w:sz="0" w:space="0" w:color="auto"/>
          </w:divBdr>
          <w:divsChild>
            <w:div w:id="862522139">
              <w:marLeft w:val="75"/>
              <w:marRight w:val="75"/>
              <w:marTop w:val="300"/>
              <w:marBottom w:val="75"/>
              <w:divBdr>
                <w:top w:val="none" w:sz="0" w:space="0" w:color="auto"/>
                <w:left w:val="none" w:sz="0" w:space="0" w:color="auto"/>
                <w:bottom w:val="none" w:sz="0" w:space="0" w:color="auto"/>
                <w:right w:val="none" w:sz="0" w:space="0" w:color="auto"/>
              </w:divBdr>
              <w:divsChild>
                <w:div w:id="2006279286">
                  <w:marLeft w:val="0"/>
                  <w:marRight w:val="0"/>
                  <w:marTop w:val="0"/>
                  <w:marBottom w:val="0"/>
                  <w:divBdr>
                    <w:top w:val="none" w:sz="0" w:space="0" w:color="auto"/>
                    <w:left w:val="none" w:sz="0" w:space="0" w:color="auto"/>
                    <w:bottom w:val="none" w:sz="0" w:space="0" w:color="auto"/>
                    <w:right w:val="none" w:sz="0" w:space="0" w:color="auto"/>
                  </w:divBdr>
                  <w:divsChild>
                    <w:div w:id="221718310">
                      <w:marLeft w:val="300"/>
                      <w:marRight w:val="0"/>
                      <w:marTop w:val="0"/>
                      <w:marBottom w:val="0"/>
                      <w:divBdr>
                        <w:top w:val="none" w:sz="0" w:space="0" w:color="auto"/>
                        <w:left w:val="none" w:sz="0" w:space="0" w:color="auto"/>
                        <w:bottom w:val="none" w:sz="0" w:space="0" w:color="auto"/>
                        <w:right w:val="none" w:sz="0" w:space="0" w:color="auto"/>
                      </w:divBdr>
                    </w:div>
                    <w:div w:id="1336303645">
                      <w:marLeft w:val="-15"/>
                      <w:marRight w:val="-15"/>
                      <w:marTop w:val="0"/>
                      <w:marBottom w:val="0"/>
                      <w:divBdr>
                        <w:top w:val="none" w:sz="0" w:space="0" w:color="auto"/>
                        <w:left w:val="none" w:sz="0" w:space="0" w:color="auto"/>
                        <w:bottom w:val="none" w:sz="0" w:space="0" w:color="auto"/>
                        <w:right w:val="none" w:sz="0" w:space="0" w:color="auto"/>
                      </w:divBdr>
                    </w:div>
                    <w:div w:id="16860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524799">
          <w:marLeft w:val="0"/>
          <w:marRight w:val="0"/>
          <w:marTop w:val="0"/>
          <w:marBottom w:val="0"/>
          <w:divBdr>
            <w:top w:val="none" w:sz="0" w:space="0" w:color="auto"/>
            <w:left w:val="none" w:sz="0" w:space="0" w:color="auto"/>
            <w:bottom w:val="none" w:sz="0" w:space="0" w:color="auto"/>
            <w:right w:val="none" w:sz="0" w:space="0" w:color="auto"/>
          </w:divBdr>
          <w:divsChild>
            <w:div w:id="1649364491">
              <w:marLeft w:val="75"/>
              <w:marRight w:val="75"/>
              <w:marTop w:val="300"/>
              <w:marBottom w:val="75"/>
              <w:divBdr>
                <w:top w:val="none" w:sz="0" w:space="0" w:color="auto"/>
                <w:left w:val="none" w:sz="0" w:space="0" w:color="auto"/>
                <w:bottom w:val="none" w:sz="0" w:space="0" w:color="auto"/>
                <w:right w:val="none" w:sz="0" w:space="0" w:color="auto"/>
              </w:divBdr>
              <w:divsChild>
                <w:div w:id="1594899813">
                  <w:marLeft w:val="0"/>
                  <w:marRight w:val="0"/>
                  <w:marTop w:val="0"/>
                  <w:marBottom w:val="0"/>
                  <w:divBdr>
                    <w:top w:val="none" w:sz="0" w:space="0" w:color="auto"/>
                    <w:left w:val="none" w:sz="0" w:space="0" w:color="auto"/>
                    <w:bottom w:val="none" w:sz="0" w:space="0" w:color="auto"/>
                    <w:right w:val="none" w:sz="0" w:space="0" w:color="auto"/>
                  </w:divBdr>
                  <w:divsChild>
                    <w:div w:id="2060594308">
                      <w:marLeft w:val="0"/>
                      <w:marRight w:val="0"/>
                      <w:marTop w:val="0"/>
                      <w:marBottom w:val="0"/>
                      <w:divBdr>
                        <w:top w:val="none" w:sz="0" w:space="0" w:color="auto"/>
                        <w:left w:val="none" w:sz="0" w:space="0" w:color="auto"/>
                        <w:bottom w:val="none" w:sz="0" w:space="0" w:color="auto"/>
                        <w:right w:val="none" w:sz="0" w:space="0" w:color="auto"/>
                      </w:divBdr>
                      <w:divsChild>
                        <w:div w:id="206601">
                          <w:marLeft w:val="75"/>
                          <w:marRight w:val="0"/>
                          <w:marTop w:val="0"/>
                          <w:marBottom w:val="0"/>
                          <w:divBdr>
                            <w:top w:val="none" w:sz="0" w:space="0" w:color="auto"/>
                            <w:left w:val="none" w:sz="0" w:space="0" w:color="auto"/>
                            <w:bottom w:val="none" w:sz="0" w:space="0" w:color="auto"/>
                            <w:right w:val="none" w:sz="0" w:space="0" w:color="auto"/>
                          </w:divBdr>
                        </w:div>
                        <w:div w:id="163672120">
                          <w:marLeft w:val="75"/>
                          <w:marRight w:val="0"/>
                          <w:marTop w:val="0"/>
                          <w:marBottom w:val="0"/>
                          <w:divBdr>
                            <w:top w:val="none" w:sz="0" w:space="0" w:color="auto"/>
                            <w:left w:val="none" w:sz="0" w:space="0" w:color="auto"/>
                            <w:bottom w:val="none" w:sz="0" w:space="0" w:color="auto"/>
                            <w:right w:val="none" w:sz="0" w:space="0" w:color="auto"/>
                          </w:divBdr>
                        </w:div>
                        <w:div w:id="112643310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764063">
          <w:marLeft w:val="0"/>
          <w:marRight w:val="0"/>
          <w:marTop w:val="0"/>
          <w:marBottom w:val="0"/>
          <w:divBdr>
            <w:top w:val="none" w:sz="0" w:space="0" w:color="auto"/>
            <w:left w:val="none" w:sz="0" w:space="0" w:color="auto"/>
            <w:bottom w:val="none" w:sz="0" w:space="0" w:color="auto"/>
            <w:right w:val="none" w:sz="0" w:space="0" w:color="auto"/>
          </w:divBdr>
          <w:divsChild>
            <w:div w:id="339478820">
              <w:marLeft w:val="75"/>
              <w:marRight w:val="75"/>
              <w:marTop w:val="300"/>
              <w:marBottom w:val="75"/>
              <w:divBdr>
                <w:top w:val="none" w:sz="0" w:space="0" w:color="auto"/>
                <w:left w:val="none" w:sz="0" w:space="0" w:color="auto"/>
                <w:bottom w:val="none" w:sz="0" w:space="0" w:color="auto"/>
                <w:right w:val="none" w:sz="0" w:space="0" w:color="auto"/>
              </w:divBdr>
              <w:divsChild>
                <w:div w:id="103157825">
                  <w:marLeft w:val="0"/>
                  <w:marRight w:val="0"/>
                  <w:marTop w:val="0"/>
                  <w:marBottom w:val="0"/>
                  <w:divBdr>
                    <w:top w:val="none" w:sz="0" w:space="0" w:color="auto"/>
                    <w:left w:val="none" w:sz="0" w:space="0" w:color="auto"/>
                    <w:bottom w:val="none" w:sz="0" w:space="0" w:color="auto"/>
                    <w:right w:val="none" w:sz="0" w:space="0" w:color="auto"/>
                  </w:divBdr>
                  <w:divsChild>
                    <w:div w:id="483552513">
                      <w:marLeft w:val="0"/>
                      <w:marRight w:val="0"/>
                      <w:marTop w:val="0"/>
                      <w:marBottom w:val="0"/>
                      <w:divBdr>
                        <w:top w:val="none" w:sz="0" w:space="0" w:color="auto"/>
                        <w:left w:val="none" w:sz="0" w:space="0" w:color="auto"/>
                        <w:bottom w:val="none" w:sz="0" w:space="0" w:color="auto"/>
                        <w:right w:val="none" w:sz="0" w:space="0" w:color="auto"/>
                      </w:divBdr>
                    </w:div>
                    <w:div w:id="1807777691">
                      <w:marLeft w:val="-15"/>
                      <w:marRight w:val="-15"/>
                      <w:marTop w:val="0"/>
                      <w:marBottom w:val="0"/>
                      <w:divBdr>
                        <w:top w:val="none" w:sz="0" w:space="0" w:color="auto"/>
                        <w:left w:val="none" w:sz="0" w:space="0" w:color="auto"/>
                        <w:bottom w:val="none" w:sz="0" w:space="0" w:color="auto"/>
                        <w:right w:val="none" w:sz="0" w:space="0" w:color="auto"/>
                      </w:divBdr>
                    </w:div>
                    <w:div w:id="191477932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390796">
          <w:marLeft w:val="0"/>
          <w:marRight w:val="0"/>
          <w:marTop w:val="0"/>
          <w:marBottom w:val="0"/>
          <w:divBdr>
            <w:top w:val="none" w:sz="0" w:space="0" w:color="auto"/>
            <w:left w:val="none" w:sz="0" w:space="0" w:color="auto"/>
            <w:bottom w:val="none" w:sz="0" w:space="0" w:color="auto"/>
            <w:right w:val="none" w:sz="0" w:space="0" w:color="auto"/>
          </w:divBdr>
          <w:divsChild>
            <w:div w:id="525800477">
              <w:marLeft w:val="75"/>
              <w:marRight w:val="75"/>
              <w:marTop w:val="300"/>
              <w:marBottom w:val="75"/>
              <w:divBdr>
                <w:top w:val="none" w:sz="0" w:space="0" w:color="auto"/>
                <w:left w:val="none" w:sz="0" w:space="0" w:color="auto"/>
                <w:bottom w:val="none" w:sz="0" w:space="0" w:color="auto"/>
                <w:right w:val="none" w:sz="0" w:space="0" w:color="auto"/>
              </w:divBdr>
              <w:divsChild>
                <w:div w:id="1692561573">
                  <w:marLeft w:val="0"/>
                  <w:marRight w:val="0"/>
                  <w:marTop w:val="0"/>
                  <w:marBottom w:val="0"/>
                  <w:divBdr>
                    <w:top w:val="none" w:sz="0" w:space="0" w:color="auto"/>
                    <w:left w:val="none" w:sz="0" w:space="0" w:color="auto"/>
                    <w:bottom w:val="none" w:sz="0" w:space="0" w:color="auto"/>
                    <w:right w:val="none" w:sz="0" w:space="0" w:color="auto"/>
                  </w:divBdr>
                  <w:divsChild>
                    <w:div w:id="68577812">
                      <w:marLeft w:val="0"/>
                      <w:marRight w:val="0"/>
                      <w:marTop w:val="0"/>
                      <w:marBottom w:val="0"/>
                      <w:divBdr>
                        <w:top w:val="none" w:sz="0" w:space="0" w:color="auto"/>
                        <w:left w:val="none" w:sz="0" w:space="0" w:color="auto"/>
                        <w:bottom w:val="none" w:sz="0" w:space="0" w:color="auto"/>
                        <w:right w:val="none" w:sz="0" w:space="0" w:color="auto"/>
                      </w:divBdr>
                    </w:div>
                    <w:div w:id="521553687">
                      <w:marLeft w:val="300"/>
                      <w:marRight w:val="0"/>
                      <w:marTop w:val="0"/>
                      <w:marBottom w:val="0"/>
                      <w:divBdr>
                        <w:top w:val="none" w:sz="0" w:space="0" w:color="auto"/>
                        <w:left w:val="none" w:sz="0" w:space="0" w:color="auto"/>
                        <w:bottom w:val="none" w:sz="0" w:space="0" w:color="auto"/>
                        <w:right w:val="none" w:sz="0" w:space="0" w:color="auto"/>
                      </w:divBdr>
                    </w:div>
                    <w:div w:id="20311076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99849058">
          <w:marLeft w:val="0"/>
          <w:marRight w:val="0"/>
          <w:marTop w:val="0"/>
          <w:marBottom w:val="0"/>
          <w:divBdr>
            <w:top w:val="none" w:sz="0" w:space="0" w:color="auto"/>
            <w:left w:val="none" w:sz="0" w:space="0" w:color="auto"/>
            <w:bottom w:val="none" w:sz="0" w:space="0" w:color="auto"/>
            <w:right w:val="none" w:sz="0" w:space="0" w:color="auto"/>
          </w:divBdr>
          <w:divsChild>
            <w:div w:id="936906277">
              <w:marLeft w:val="75"/>
              <w:marRight w:val="75"/>
              <w:marTop w:val="300"/>
              <w:marBottom w:val="75"/>
              <w:divBdr>
                <w:top w:val="none" w:sz="0" w:space="0" w:color="auto"/>
                <w:left w:val="none" w:sz="0" w:space="0" w:color="auto"/>
                <w:bottom w:val="none" w:sz="0" w:space="0" w:color="auto"/>
                <w:right w:val="none" w:sz="0" w:space="0" w:color="auto"/>
              </w:divBdr>
              <w:divsChild>
                <w:div w:id="284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21404">
          <w:marLeft w:val="0"/>
          <w:marRight w:val="0"/>
          <w:marTop w:val="0"/>
          <w:marBottom w:val="0"/>
          <w:divBdr>
            <w:top w:val="none" w:sz="0" w:space="0" w:color="auto"/>
            <w:left w:val="none" w:sz="0" w:space="0" w:color="auto"/>
            <w:bottom w:val="none" w:sz="0" w:space="0" w:color="auto"/>
            <w:right w:val="none" w:sz="0" w:space="0" w:color="auto"/>
          </w:divBdr>
          <w:divsChild>
            <w:div w:id="919827926">
              <w:marLeft w:val="75"/>
              <w:marRight w:val="75"/>
              <w:marTop w:val="300"/>
              <w:marBottom w:val="75"/>
              <w:divBdr>
                <w:top w:val="none" w:sz="0" w:space="0" w:color="auto"/>
                <w:left w:val="none" w:sz="0" w:space="0" w:color="auto"/>
                <w:bottom w:val="none" w:sz="0" w:space="0" w:color="auto"/>
                <w:right w:val="none" w:sz="0" w:space="0" w:color="auto"/>
              </w:divBdr>
              <w:divsChild>
                <w:div w:id="147548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23583">
          <w:marLeft w:val="0"/>
          <w:marRight w:val="0"/>
          <w:marTop w:val="0"/>
          <w:marBottom w:val="0"/>
          <w:divBdr>
            <w:top w:val="none" w:sz="0" w:space="0" w:color="auto"/>
            <w:left w:val="none" w:sz="0" w:space="0" w:color="auto"/>
            <w:bottom w:val="none" w:sz="0" w:space="0" w:color="auto"/>
            <w:right w:val="none" w:sz="0" w:space="0" w:color="auto"/>
          </w:divBdr>
          <w:divsChild>
            <w:div w:id="440996877">
              <w:marLeft w:val="75"/>
              <w:marRight w:val="75"/>
              <w:marTop w:val="300"/>
              <w:marBottom w:val="75"/>
              <w:divBdr>
                <w:top w:val="none" w:sz="0" w:space="0" w:color="auto"/>
                <w:left w:val="none" w:sz="0" w:space="0" w:color="auto"/>
                <w:bottom w:val="none" w:sz="0" w:space="0" w:color="auto"/>
                <w:right w:val="none" w:sz="0" w:space="0" w:color="auto"/>
              </w:divBdr>
              <w:divsChild>
                <w:div w:id="131797811">
                  <w:marLeft w:val="0"/>
                  <w:marRight w:val="0"/>
                  <w:marTop w:val="0"/>
                  <w:marBottom w:val="0"/>
                  <w:divBdr>
                    <w:top w:val="none" w:sz="0" w:space="0" w:color="auto"/>
                    <w:left w:val="none" w:sz="0" w:space="0" w:color="auto"/>
                    <w:bottom w:val="none" w:sz="0" w:space="0" w:color="auto"/>
                    <w:right w:val="none" w:sz="0" w:space="0" w:color="auto"/>
                  </w:divBdr>
                  <w:divsChild>
                    <w:div w:id="560989253">
                      <w:marLeft w:val="0"/>
                      <w:marRight w:val="0"/>
                      <w:marTop w:val="0"/>
                      <w:marBottom w:val="0"/>
                      <w:divBdr>
                        <w:top w:val="none" w:sz="0" w:space="0" w:color="auto"/>
                        <w:left w:val="none" w:sz="0" w:space="0" w:color="auto"/>
                        <w:bottom w:val="none" w:sz="0" w:space="0" w:color="auto"/>
                        <w:right w:val="none" w:sz="0" w:space="0" w:color="auto"/>
                      </w:divBdr>
                    </w:div>
                    <w:div w:id="1564172605">
                      <w:marLeft w:val="300"/>
                      <w:marRight w:val="0"/>
                      <w:marTop w:val="0"/>
                      <w:marBottom w:val="0"/>
                      <w:divBdr>
                        <w:top w:val="none" w:sz="0" w:space="0" w:color="auto"/>
                        <w:left w:val="none" w:sz="0" w:space="0" w:color="auto"/>
                        <w:bottom w:val="none" w:sz="0" w:space="0" w:color="auto"/>
                        <w:right w:val="none" w:sz="0" w:space="0" w:color="auto"/>
                      </w:divBdr>
                    </w:div>
                    <w:div w:id="2096973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090546271">
          <w:marLeft w:val="0"/>
          <w:marRight w:val="0"/>
          <w:marTop w:val="0"/>
          <w:marBottom w:val="0"/>
          <w:divBdr>
            <w:top w:val="none" w:sz="0" w:space="0" w:color="auto"/>
            <w:left w:val="none" w:sz="0" w:space="0" w:color="auto"/>
            <w:bottom w:val="none" w:sz="0" w:space="0" w:color="auto"/>
            <w:right w:val="none" w:sz="0" w:space="0" w:color="auto"/>
          </w:divBdr>
          <w:divsChild>
            <w:div w:id="1872374185">
              <w:marLeft w:val="75"/>
              <w:marRight w:val="75"/>
              <w:marTop w:val="300"/>
              <w:marBottom w:val="75"/>
              <w:divBdr>
                <w:top w:val="none" w:sz="0" w:space="0" w:color="auto"/>
                <w:left w:val="none" w:sz="0" w:space="0" w:color="auto"/>
                <w:bottom w:val="none" w:sz="0" w:space="0" w:color="auto"/>
                <w:right w:val="none" w:sz="0" w:space="0" w:color="auto"/>
              </w:divBdr>
              <w:divsChild>
                <w:div w:id="1248734514">
                  <w:marLeft w:val="0"/>
                  <w:marRight w:val="0"/>
                  <w:marTop w:val="0"/>
                  <w:marBottom w:val="0"/>
                  <w:divBdr>
                    <w:top w:val="none" w:sz="0" w:space="0" w:color="auto"/>
                    <w:left w:val="none" w:sz="0" w:space="0" w:color="auto"/>
                    <w:bottom w:val="none" w:sz="0" w:space="0" w:color="auto"/>
                    <w:right w:val="none" w:sz="0" w:space="0" w:color="auto"/>
                  </w:divBdr>
                  <w:divsChild>
                    <w:div w:id="190305472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262184250">
          <w:marLeft w:val="0"/>
          <w:marRight w:val="0"/>
          <w:marTop w:val="0"/>
          <w:marBottom w:val="0"/>
          <w:divBdr>
            <w:top w:val="none" w:sz="0" w:space="0" w:color="auto"/>
            <w:left w:val="none" w:sz="0" w:space="0" w:color="auto"/>
            <w:bottom w:val="none" w:sz="0" w:space="0" w:color="auto"/>
            <w:right w:val="none" w:sz="0" w:space="0" w:color="auto"/>
          </w:divBdr>
          <w:divsChild>
            <w:div w:id="1880780449">
              <w:marLeft w:val="75"/>
              <w:marRight w:val="75"/>
              <w:marTop w:val="300"/>
              <w:marBottom w:val="75"/>
              <w:divBdr>
                <w:top w:val="none" w:sz="0" w:space="0" w:color="auto"/>
                <w:left w:val="none" w:sz="0" w:space="0" w:color="auto"/>
                <w:bottom w:val="none" w:sz="0" w:space="0" w:color="auto"/>
                <w:right w:val="none" w:sz="0" w:space="0" w:color="auto"/>
              </w:divBdr>
              <w:divsChild>
                <w:div w:id="19413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5266">
          <w:marLeft w:val="0"/>
          <w:marRight w:val="0"/>
          <w:marTop w:val="0"/>
          <w:marBottom w:val="0"/>
          <w:divBdr>
            <w:top w:val="none" w:sz="0" w:space="0" w:color="auto"/>
            <w:left w:val="none" w:sz="0" w:space="0" w:color="auto"/>
            <w:bottom w:val="none" w:sz="0" w:space="0" w:color="auto"/>
            <w:right w:val="none" w:sz="0" w:space="0" w:color="auto"/>
          </w:divBdr>
          <w:divsChild>
            <w:div w:id="476386651">
              <w:marLeft w:val="75"/>
              <w:marRight w:val="75"/>
              <w:marTop w:val="300"/>
              <w:marBottom w:val="75"/>
              <w:divBdr>
                <w:top w:val="none" w:sz="0" w:space="0" w:color="auto"/>
                <w:left w:val="none" w:sz="0" w:space="0" w:color="auto"/>
                <w:bottom w:val="none" w:sz="0" w:space="0" w:color="auto"/>
                <w:right w:val="none" w:sz="0" w:space="0" w:color="auto"/>
              </w:divBdr>
              <w:divsChild>
                <w:div w:id="1668828863">
                  <w:marLeft w:val="0"/>
                  <w:marRight w:val="0"/>
                  <w:marTop w:val="0"/>
                  <w:marBottom w:val="0"/>
                  <w:divBdr>
                    <w:top w:val="none" w:sz="0" w:space="0" w:color="auto"/>
                    <w:left w:val="none" w:sz="0" w:space="0" w:color="auto"/>
                    <w:bottom w:val="none" w:sz="0" w:space="0" w:color="auto"/>
                    <w:right w:val="none" w:sz="0" w:space="0" w:color="auto"/>
                  </w:divBdr>
                  <w:divsChild>
                    <w:div w:id="1739670705">
                      <w:marLeft w:val="0"/>
                      <w:marRight w:val="0"/>
                      <w:marTop w:val="0"/>
                      <w:marBottom w:val="0"/>
                      <w:divBdr>
                        <w:top w:val="none" w:sz="0" w:space="0" w:color="auto"/>
                        <w:left w:val="none" w:sz="0" w:space="0" w:color="auto"/>
                        <w:bottom w:val="none" w:sz="0" w:space="0" w:color="auto"/>
                        <w:right w:val="none" w:sz="0" w:space="0" w:color="auto"/>
                      </w:divBdr>
                      <w:divsChild>
                        <w:div w:id="1540973725">
                          <w:marLeft w:val="75"/>
                          <w:marRight w:val="0"/>
                          <w:marTop w:val="0"/>
                          <w:marBottom w:val="0"/>
                          <w:divBdr>
                            <w:top w:val="none" w:sz="0" w:space="0" w:color="auto"/>
                            <w:left w:val="none" w:sz="0" w:space="0" w:color="auto"/>
                            <w:bottom w:val="none" w:sz="0" w:space="0" w:color="auto"/>
                            <w:right w:val="none" w:sz="0" w:space="0" w:color="auto"/>
                          </w:divBdr>
                        </w:div>
                        <w:div w:id="1632052496">
                          <w:marLeft w:val="75"/>
                          <w:marRight w:val="0"/>
                          <w:marTop w:val="0"/>
                          <w:marBottom w:val="0"/>
                          <w:divBdr>
                            <w:top w:val="none" w:sz="0" w:space="0" w:color="auto"/>
                            <w:left w:val="none" w:sz="0" w:space="0" w:color="auto"/>
                            <w:bottom w:val="none" w:sz="0" w:space="0" w:color="auto"/>
                            <w:right w:val="none" w:sz="0" w:space="0" w:color="auto"/>
                          </w:divBdr>
                        </w:div>
                        <w:div w:id="200042670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272081">
          <w:marLeft w:val="0"/>
          <w:marRight w:val="0"/>
          <w:marTop w:val="0"/>
          <w:marBottom w:val="0"/>
          <w:divBdr>
            <w:top w:val="none" w:sz="0" w:space="0" w:color="auto"/>
            <w:left w:val="none" w:sz="0" w:space="0" w:color="auto"/>
            <w:bottom w:val="none" w:sz="0" w:space="0" w:color="auto"/>
            <w:right w:val="none" w:sz="0" w:space="0" w:color="auto"/>
          </w:divBdr>
          <w:divsChild>
            <w:div w:id="1707101982">
              <w:marLeft w:val="75"/>
              <w:marRight w:val="75"/>
              <w:marTop w:val="300"/>
              <w:marBottom w:val="75"/>
              <w:divBdr>
                <w:top w:val="none" w:sz="0" w:space="0" w:color="auto"/>
                <w:left w:val="none" w:sz="0" w:space="0" w:color="auto"/>
                <w:bottom w:val="none" w:sz="0" w:space="0" w:color="auto"/>
                <w:right w:val="none" w:sz="0" w:space="0" w:color="auto"/>
              </w:divBdr>
              <w:divsChild>
                <w:div w:id="1009983476">
                  <w:marLeft w:val="0"/>
                  <w:marRight w:val="0"/>
                  <w:marTop w:val="0"/>
                  <w:marBottom w:val="0"/>
                  <w:divBdr>
                    <w:top w:val="none" w:sz="0" w:space="0" w:color="auto"/>
                    <w:left w:val="none" w:sz="0" w:space="0" w:color="auto"/>
                    <w:bottom w:val="none" w:sz="0" w:space="0" w:color="auto"/>
                    <w:right w:val="none" w:sz="0" w:space="0" w:color="auto"/>
                  </w:divBdr>
                  <w:divsChild>
                    <w:div w:id="338045232">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436025516">
          <w:marLeft w:val="0"/>
          <w:marRight w:val="0"/>
          <w:marTop w:val="0"/>
          <w:marBottom w:val="0"/>
          <w:divBdr>
            <w:top w:val="none" w:sz="0" w:space="0" w:color="auto"/>
            <w:left w:val="none" w:sz="0" w:space="0" w:color="auto"/>
            <w:bottom w:val="none" w:sz="0" w:space="0" w:color="auto"/>
            <w:right w:val="none" w:sz="0" w:space="0" w:color="auto"/>
          </w:divBdr>
          <w:divsChild>
            <w:div w:id="239146531">
              <w:marLeft w:val="75"/>
              <w:marRight w:val="75"/>
              <w:marTop w:val="300"/>
              <w:marBottom w:val="75"/>
              <w:divBdr>
                <w:top w:val="none" w:sz="0" w:space="0" w:color="auto"/>
                <w:left w:val="none" w:sz="0" w:space="0" w:color="auto"/>
                <w:bottom w:val="none" w:sz="0" w:space="0" w:color="auto"/>
                <w:right w:val="none" w:sz="0" w:space="0" w:color="auto"/>
              </w:divBdr>
              <w:divsChild>
                <w:div w:id="2143032245">
                  <w:marLeft w:val="0"/>
                  <w:marRight w:val="0"/>
                  <w:marTop w:val="0"/>
                  <w:marBottom w:val="0"/>
                  <w:divBdr>
                    <w:top w:val="none" w:sz="0" w:space="0" w:color="auto"/>
                    <w:left w:val="none" w:sz="0" w:space="0" w:color="auto"/>
                    <w:bottom w:val="none" w:sz="0" w:space="0" w:color="auto"/>
                    <w:right w:val="none" w:sz="0" w:space="0" w:color="auto"/>
                  </w:divBdr>
                  <w:divsChild>
                    <w:div w:id="1093669202">
                      <w:marLeft w:val="0"/>
                      <w:marRight w:val="0"/>
                      <w:marTop w:val="0"/>
                      <w:marBottom w:val="0"/>
                      <w:divBdr>
                        <w:top w:val="none" w:sz="0" w:space="0" w:color="auto"/>
                        <w:left w:val="none" w:sz="0" w:space="0" w:color="auto"/>
                        <w:bottom w:val="none" w:sz="0" w:space="0" w:color="auto"/>
                        <w:right w:val="none" w:sz="0" w:space="0" w:color="auto"/>
                      </w:divBdr>
                      <w:divsChild>
                        <w:div w:id="150177637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1450708725">
          <w:marLeft w:val="0"/>
          <w:marRight w:val="0"/>
          <w:marTop w:val="0"/>
          <w:marBottom w:val="0"/>
          <w:divBdr>
            <w:top w:val="none" w:sz="0" w:space="0" w:color="auto"/>
            <w:left w:val="none" w:sz="0" w:space="0" w:color="auto"/>
            <w:bottom w:val="none" w:sz="0" w:space="0" w:color="auto"/>
            <w:right w:val="none" w:sz="0" w:space="0" w:color="auto"/>
          </w:divBdr>
          <w:divsChild>
            <w:div w:id="2080711618">
              <w:marLeft w:val="75"/>
              <w:marRight w:val="75"/>
              <w:marTop w:val="300"/>
              <w:marBottom w:val="75"/>
              <w:divBdr>
                <w:top w:val="none" w:sz="0" w:space="0" w:color="auto"/>
                <w:left w:val="none" w:sz="0" w:space="0" w:color="auto"/>
                <w:bottom w:val="none" w:sz="0" w:space="0" w:color="auto"/>
                <w:right w:val="none" w:sz="0" w:space="0" w:color="auto"/>
              </w:divBdr>
              <w:divsChild>
                <w:div w:id="123011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5229">
          <w:marLeft w:val="0"/>
          <w:marRight w:val="0"/>
          <w:marTop w:val="0"/>
          <w:marBottom w:val="0"/>
          <w:divBdr>
            <w:top w:val="none" w:sz="0" w:space="0" w:color="auto"/>
            <w:left w:val="none" w:sz="0" w:space="0" w:color="auto"/>
            <w:bottom w:val="none" w:sz="0" w:space="0" w:color="auto"/>
            <w:right w:val="none" w:sz="0" w:space="0" w:color="auto"/>
          </w:divBdr>
          <w:divsChild>
            <w:div w:id="1782725148">
              <w:marLeft w:val="75"/>
              <w:marRight w:val="75"/>
              <w:marTop w:val="300"/>
              <w:marBottom w:val="75"/>
              <w:divBdr>
                <w:top w:val="none" w:sz="0" w:space="0" w:color="auto"/>
                <w:left w:val="none" w:sz="0" w:space="0" w:color="auto"/>
                <w:bottom w:val="none" w:sz="0" w:space="0" w:color="auto"/>
                <w:right w:val="none" w:sz="0" w:space="0" w:color="auto"/>
              </w:divBdr>
              <w:divsChild>
                <w:div w:id="898790160">
                  <w:marLeft w:val="0"/>
                  <w:marRight w:val="0"/>
                  <w:marTop w:val="0"/>
                  <w:marBottom w:val="0"/>
                  <w:divBdr>
                    <w:top w:val="none" w:sz="0" w:space="0" w:color="auto"/>
                    <w:left w:val="none" w:sz="0" w:space="0" w:color="auto"/>
                    <w:bottom w:val="none" w:sz="0" w:space="0" w:color="auto"/>
                    <w:right w:val="none" w:sz="0" w:space="0" w:color="auto"/>
                  </w:divBdr>
                  <w:divsChild>
                    <w:div w:id="244608726">
                      <w:marLeft w:val="-15"/>
                      <w:marRight w:val="-15"/>
                      <w:marTop w:val="0"/>
                      <w:marBottom w:val="0"/>
                      <w:divBdr>
                        <w:top w:val="none" w:sz="0" w:space="0" w:color="auto"/>
                        <w:left w:val="none" w:sz="0" w:space="0" w:color="auto"/>
                        <w:bottom w:val="none" w:sz="0" w:space="0" w:color="auto"/>
                        <w:right w:val="none" w:sz="0" w:space="0" w:color="auto"/>
                      </w:divBdr>
                    </w:div>
                    <w:div w:id="619993826">
                      <w:marLeft w:val="0"/>
                      <w:marRight w:val="0"/>
                      <w:marTop w:val="0"/>
                      <w:marBottom w:val="0"/>
                      <w:divBdr>
                        <w:top w:val="none" w:sz="0" w:space="0" w:color="auto"/>
                        <w:left w:val="none" w:sz="0" w:space="0" w:color="auto"/>
                        <w:bottom w:val="none" w:sz="0" w:space="0" w:color="auto"/>
                        <w:right w:val="none" w:sz="0" w:space="0" w:color="auto"/>
                      </w:divBdr>
                    </w:div>
                    <w:div w:id="7495023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27463">
          <w:marLeft w:val="0"/>
          <w:marRight w:val="0"/>
          <w:marTop w:val="0"/>
          <w:marBottom w:val="0"/>
          <w:divBdr>
            <w:top w:val="none" w:sz="0" w:space="0" w:color="auto"/>
            <w:left w:val="none" w:sz="0" w:space="0" w:color="auto"/>
            <w:bottom w:val="none" w:sz="0" w:space="0" w:color="auto"/>
            <w:right w:val="none" w:sz="0" w:space="0" w:color="auto"/>
          </w:divBdr>
          <w:divsChild>
            <w:div w:id="408041091">
              <w:marLeft w:val="75"/>
              <w:marRight w:val="75"/>
              <w:marTop w:val="300"/>
              <w:marBottom w:val="75"/>
              <w:divBdr>
                <w:top w:val="none" w:sz="0" w:space="0" w:color="auto"/>
                <w:left w:val="none" w:sz="0" w:space="0" w:color="auto"/>
                <w:bottom w:val="none" w:sz="0" w:space="0" w:color="auto"/>
                <w:right w:val="none" w:sz="0" w:space="0" w:color="auto"/>
              </w:divBdr>
              <w:divsChild>
                <w:div w:id="2045595160">
                  <w:marLeft w:val="0"/>
                  <w:marRight w:val="0"/>
                  <w:marTop w:val="0"/>
                  <w:marBottom w:val="0"/>
                  <w:divBdr>
                    <w:top w:val="none" w:sz="0" w:space="0" w:color="auto"/>
                    <w:left w:val="none" w:sz="0" w:space="0" w:color="auto"/>
                    <w:bottom w:val="none" w:sz="0" w:space="0" w:color="auto"/>
                    <w:right w:val="none" w:sz="0" w:space="0" w:color="auto"/>
                  </w:divBdr>
                  <w:divsChild>
                    <w:div w:id="829563779">
                      <w:marLeft w:val="0"/>
                      <w:marRight w:val="0"/>
                      <w:marTop w:val="0"/>
                      <w:marBottom w:val="0"/>
                      <w:divBdr>
                        <w:top w:val="none" w:sz="0" w:space="0" w:color="auto"/>
                        <w:left w:val="none" w:sz="0" w:space="0" w:color="auto"/>
                        <w:bottom w:val="none" w:sz="0" w:space="0" w:color="auto"/>
                        <w:right w:val="none" w:sz="0" w:space="0" w:color="auto"/>
                      </w:divBdr>
                      <w:divsChild>
                        <w:div w:id="11415651">
                          <w:marLeft w:val="75"/>
                          <w:marRight w:val="0"/>
                          <w:marTop w:val="0"/>
                          <w:marBottom w:val="0"/>
                          <w:divBdr>
                            <w:top w:val="none" w:sz="0" w:space="0" w:color="auto"/>
                            <w:left w:val="none" w:sz="0" w:space="0" w:color="auto"/>
                            <w:bottom w:val="none" w:sz="0" w:space="0" w:color="auto"/>
                            <w:right w:val="none" w:sz="0" w:space="0" w:color="auto"/>
                          </w:divBdr>
                        </w:div>
                        <w:div w:id="176619550">
                          <w:marLeft w:val="75"/>
                          <w:marRight w:val="0"/>
                          <w:marTop w:val="0"/>
                          <w:marBottom w:val="0"/>
                          <w:divBdr>
                            <w:top w:val="none" w:sz="0" w:space="0" w:color="auto"/>
                            <w:left w:val="none" w:sz="0" w:space="0" w:color="auto"/>
                            <w:bottom w:val="none" w:sz="0" w:space="0" w:color="auto"/>
                            <w:right w:val="none" w:sz="0" w:space="0" w:color="auto"/>
                          </w:divBdr>
                        </w:div>
                        <w:div w:id="24557544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468279">
          <w:marLeft w:val="0"/>
          <w:marRight w:val="0"/>
          <w:marTop w:val="0"/>
          <w:marBottom w:val="0"/>
          <w:divBdr>
            <w:top w:val="none" w:sz="0" w:space="0" w:color="auto"/>
            <w:left w:val="none" w:sz="0" w:space="0" w:color="auto"/>
            <w:bottom w:val="none" w:sz="0" w:space="0" w:color="auto"/>
            <w:right w:val="none" w:sz="0" w:space="0" w:color="auto"/>
          </w:divBdr>
          <w:divsChild>
            <w:div w:id="2033333811">
              <w:marLeft w:val="75"/>
              <w:marRight w:val="75"/>
              <w:marTop w:val="300"/>
              <w:marBottom w:val="75"/>
              <w:divBdr>
                <w:top w:val="none" w:sz="0" w:space="0" w:color="auto"/>
                <w:left w:val="none" w:sz="0" w:space="0" w:color="auto"/>
                <w:bottom w:val="none" w:sz="0" w:space="0" w:color="auto"/>
                <w:right w:val="none" w:sz="0" w:space="0" w:color="auto"/>
              </w:divBdr>
              <w:divsChild>
                <w:div w:id="469829732">
                  <w:marLeft w:val="0"/>
                  <w:marRight w:val="0"/>
                  <w:marTop w:val="0"/>
                  <w:marBottom w:val="0"/>
                  <w:divBdr>
                    <w:top w:val="none" w:sz="0" w:space="0" w:color="auto"/>
                    <w:left w:val="none" w:sz="0" w:space="0" w:color="auto"/>
                    <w:bottom w:val="none" w:sz="0" w:space="0" w:color="auto"/>
                    <w:right w:val="none" w:sz="0" w:space="0" w:color="auto"/>
                  </w:divBdr>
                  <w:divsChild>
                    <w:div w:id="759759809">
                      <w:marLeft w:val="-15"/>
                      <w:marRight w:val="-15"/>
                      <w:marTop w:val="0"/>
                      <w:marBottom w:val="0"/>
                      <w:divBdr>
                        <w:top w:val="none" w:sz="0" w:space="0" w:color="auto"/>
                        <w:left w:val="none" w:sz="0" w:space="0" w:color="auto"/>
                        <w:bottom w:val="none" w:sz="0" w:space="0" w:color="auto"/>
                        <w:right w:val="none" w:sz="0" w:space="0" w:color="auto"/>
                      </w:divBdr>
                    </w:div>
                    <w:div w:id="1520510449">
                      <w:marLeft w:val="300"/>
                      <w:marRight w:val="0"/>
                      <w:marTop w:val="0"/>
                      <w:marBottom w:val="0"/>
                      <w:divBdr>
                        <w:top w:val="none" w:sz="0" w:space="0" w:color="auto"/>
                        <w:left w:val="none" w:sz="0" w:space="0" w:color="auto"/>
                        <w:bottom w:val="none" w:sz="0" w:space="0" w:color="auto"/>
                        <w:right w:val="none" w:sz="0" w:space="0" w:color="auto"/>
                      </w:divBdr>
                    </w:div>
                    <w:div w:id="207272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13691">
          <w:marLeft w:val="0"/>
          <w:marRight w:val="0"/>
          <w:marTop w:val="0"/>
          <w:marBottom w:val="0"/>
          <w:divBdr>
            <w:top w:val="none" w:sz="0" w:space="0" w:color="auto"/>
            <w:left w:val="none" w:sz="0" w:space="0" w:color="auto"/>
            <w:bottom w:val="none" w:sz="0" w:space="0" w:color="auto"/>
            <w:right w:val="none" w:sz="0" w:space="0" w:color="auto"/>
          </w:divBdr>
          <w:divsChild>
            <w:div w:id="945769190">
              <w:marLeft w:val="75"/>
              <w:marRight w:val="75"/>
              <w:marTop w:val="300"/>
              <w:marBottom w:val="75"/>
              <w:divBdr>
                <w:top w:val="none" w:sz="0" w:space="0" w:color="auto"/>
                <w:left w:val="none" w:sz="0" w:space="0" w:color="auto"/>
                <w:bottom w:val="none" w:sz="0" w:space="0" w:color="auto"/>
                <w:right w:val="none" w:sz="0" w:space="0" w:color="auto"/>
              </w:divBdr>
              <w:divsChild>
                <w:div w:id="2140566084">
                  <w:marLeft w:val="0"/>
                  <w:marRight w:val="0"/>
                  <w:marTop w:val="0"/>
                  <w:marBottom w:val="0"/>
                  <w:divBdr>
                    <w:top w:val="none" w:sz="0" w:space="0" w:color="auto"/>
                    <w:left w:val="none" w:sz="0" w:space="0" w:color="auto"/>
                    <w:bottom w:val="none" w:sz="0" w:space="0" w:color="auto"/>
                    <w:right w:val="none" w:sz="0" w:space="0" w:color="auto"/>
                  </w:divBdr>
                  <w:divsChild>
                    <w:div w:id="531697421">
                      <w:marLeft w:val="-15"/>
                      <w:marRight w:val="-15"/>
                      <w:marTop w:val="0"/>
                      <w:marBottom w:val="0"/>
                      <w:divBdr>
                        <w:top w:val="none" w:sz="0" w:space="0" w:color="auto"/>
                        <w:left w:val="none" w:sz="0" w:space="0" w:color="auto"/>
                        <w:bottom w:val="none" w:sz="0" w:space="0" w:color="auto"/>
                        <w:right w:val="none" w:sz="0" w:space="0" w:color="auto"/>
                      </w:divBdr>
                    </w:div>
                    <w:div w:id="547840090">
                      <w:marLeft w:val="300"/>
                      <w:marRight w:val="0"/>
                      <w:marTop w:val="0"/>
                      <w:marBottom w:val="0"/>
                      <w:divBdr>
                        <w:top w:val="none" w:sz="0" w:space="0" w:color="auto"/>
                        <w:left w:val="none" w:sz="0" w:space="0" w:color="auto"/>
                        <w:bottom w:val="none" w:sz="0" w:space="0" w:color="auto"/>
                        <w:right w:val="none" w:sz="0" w:space="0" w:color="auto"/>
                      </w:divBdr>
                    </w:div>
                    <w:div w:id="214515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411421">
          <w:marLeft w:val="0"/>
          <w:marRight w:val="0"/>
          <w:marTop w:val="0"/>
          <w:marBottom w:val="0"/>
          <w:divBdr>
            <w:top w:val="none" w:sz="0" w:space="0" w:color="auto"/>
            <w:left w:val="none" w:sz="0" w:space="0" w:color="auto"/>
            <w:bottom w:val="none" w:sz="0" w:space="0" w:color="auto"/>
            <w:right w:val="none" w:sz="0" w:space="0" w:color="auto"/>
          </w:divBdr>
          <w:divsChild>
            <w:div w:id="409427914">
              <w:marLeft w:val="75"/>
              <w:marRight w:val="75"/>
              <w:marTop w:val="300"/>
              <w:marBottom w:val="75"/>
              <w:divBdr>
                <w:top w:val="none" w:sz="0" w:space="0" w:color="auto"/>
                <w:left w:val="none" w:sz="0" w:space="0" w:color="auto"/>
                <w:bottom w:val="none" w:sz="0" w:space="0" w:color="auto"/>
                <w:right w:val="none" w:sz="0" w:space="0" w:color="auto"/>
              </w:divBdr>
              <w:divsChild>
                <w:div w:id="18136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22591">
          <w:marLeft w:val="0"/>
          <w:marRight w:val="0"/>
          <w:marTop w:val="0"/>
          <w:marBottom w:val="0"/>
          <w:divBdr>
            <w:top w:val="none" w:sz="0" w:space="0" w:color="auto"/>
            <w:left w:val="none" w:sz="0" w:space="0" w:color="auto"/>
            <w:bottom w:val="none" w:sz="0" w:space="0" w:color="auto"/>
            <w:right w:val="none" w:sz="0" w:space="0" w:color="auto"/>
          </w:divBdr>
          <w:divsChild>
            <w:div w:id="728040841">
              <w:marLeft w:val="75"/>
              <w:marRight w:val="75"/>
              <w:marTop w:val="300"/>
              <w:marBottom w:val="75"/>
              <w:divBdr>
                <w:top w:val="none" w:sz="0" w:space="0" w:color="auto"/>
                <w:left w:val="none" w:sz="0" w:space="0" w:color="auto"/>
                <w:bottom w:val="none" w:sz="0" w:space="0" w:color="auto"/>
                <w:right w:val="none" w:sz="0" w:space="0" w:color="auto"/>
              </w:divBdr>
              <w:divsChild>
                <w:div w:id="16799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44787">
          <w:marLeft w:val="0"/>
          <w:marRight w:val="0"/>
          <w:marTop w:val="0"/>
          <w:marBottom w:val="0"/>
          <w:divBdr>
            <w:top w:val="none" w:sz="0" w:space="0" w:color="auto"/>
            <w:left w:val="none" w:sz="0" w:space="0" w:color="auto"/>
            <w:bottom w:val="none" w:sz="0" w:space="0" w:color="auto"/>
            <w:right w:val="none" w:sz="0" w:space="0" w:color="auto"/>
          </w:divBdr>
          <w:divsChild>
            <w:div w:id="31737554">
              <w:marLeft w:val="75"/>
              <w:marRight w:val="75"/>
              <w:marTop w:val="300"/>
              <w:marBottom w:val="75"/>
              <w:divBdr>
                <w:top w:val="none" w:sz="0" w:space="0" w:color="auto"/>
                <w:left w:val="none" w:sz="0" w:space="0" w:color="auto"/>
                <w:bottom w:val="none" w:sz="0" w:space="0" w:color="auto"/>
                <w:right w:val="none" w:sz="0" w:space="0" w:color="auto"/>
              </w:divBdr>
              <w:divsChild>
                <w:div w:id="89963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9769">
          <w:marLeft w:val="0"/>
          <w:marRight w:val="0"/>
          <w:marTop w:val="0"/>
          <w:marBottom w:val="0"/>
          <w:divBdr>
            <w:top w:val="none" w:sz="0" w:space="0" w:color="auto"/>
            <w:left w:val="none" w:sz="0" w:space="0" w:color="auto"/>
            <w:bottom w:val="none" w:sz="0" w:space="0" w:color="auto"/>
            <w:right w:val="none" w:sz="0" w:space="0" w:color="auto"/>
          </w:divBdr>
          <w:divsChild>
            <w:div w:id="432093511">
              <w:marLeft w:val="75"/>
              <w:marRight w:val="75"/>
              <w:marTop w:val="300"/>
              <w:marBottom w:val="75"/>
              <w:divBdr>
                <w:top w:val="none" w:sz="0" w:space="0" w:color="auto"/>
                <w:left w:val="none" w:sz="0" w:space="0" w:color="auto"/>
                <w:bottom w:val="none" w:sz="0" w:space="0" w:color="auto"/>
                <w:right w:val="none" w:sz="0" w:space="0" w:color="auto"/>
              </w:divBdr>
              <w:divsChild>
                <w:div w:id="17517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99697">
      <w:bodyDiv w:val="1"/>
      <w:marLeft w:val="0"/>
      <w:marRight w:val="0"/>
      <w:marTop w:val="0"/>
      <w:marBottom w:val="0"/>
      <w:divBdr>
        <w:top w:val="none" w:sz="0" w:space="0" w:color="auto"/>
        <w:left w:val="none" w:sz="0" w:space="0" w:color="auto"/>
        <w:bottom w:val="none" w:sz="0" w:space="0" w:color="auto"/>
        <w:right w:val="none" w:sz="0" w:space="0" w:color="auto"/>
      </w:divBdr>
      <w:divsChild>
        <w:div w:id="1339653150">
          <w:marLeft w:val="-15"/>
          <w:marRight w:val="-15"/>
          <w:marTop w:val="0"/>
          <w:marBottom w:val="0"/>
          <w:divBdr>
            <w:top w:val="none" w:sz="0" w:space="0" w:color="auto"/>
            <w:left w:val="none" w:sz="0" w:space="0" w:color="auto"/>
            <w:bottom w:val="none" w:sz="0" w:space="0" w:color="auto"/>
            <w:right w:val="none" w:sz="0" w:space="0" w:color="auto"/>
          </w:divBdr>
        </w:div>
      </w:divsChild>
    </w:div>
    <w:div w:id="1060861766">
      <w:bodyDiv w:val="1"/>
      <w:marLeft w:val="0"/>
      <w:marRight w:val="0"/>
      <w:marTop w:val="0"/>
      <w:marBottom w:val="0"/>
      <w:divBdr>
        <w:top w:val="none" w:sz="0" w:space="0" w:color="auto"/>
        <w:left w:val="none" w:sz="0" w:space="0" w:color="auto"/>
        <w:bottom w:val="none" w:sz="0" w:space="0" w:color="auto"/>
        <w:right w:val="none" w:sz="0" w:space="0" w:color="auto"/>
      </w:divBdr>
    </w:div>
    <w:div w:id="1088387992">
      <w:bodyDiv w:val="1"/>
      <w:marLeft w:val="0"/>
      <w:marRight w:val="0"/>
      <w:marTop w:val="0"/>
      <w:marBottom w:val="0"/>
      <w:divBdr>
        <w:top w:val="none" w:sz="0" w:space="0" w:color="auto"/>
        <w:left w:val="none" w:sz="0" w:space="0" w:color="auto"/>
        <w:bottom w:val="none" w:sz="0" w:space="0" w:color="auto"/>
        <w:right w:val="none" w:sz="0" w:space="0" w:color="auto"/>
      </w:divBdr>
    </w:div>
    <w:div w:id="1137339531">
      <w:bodyDiv w:val="1"/>
      <w:marLeft w:val="0"/>
      <w:marRight w:val="0"/>
      <w:marTop w:val="0"/>
      <w:marBottom w:val="0"/>
      <w:divBdr>
        <w:top w:val="none" w:sz="0" w:space="0" w:color="auto"/>
        <w:left w:val="none" w:sz="0" w:space="0" w:color="auto"/>
        <w:bottom w:val="none" w:sz="0" w:space="0" w:color="auto"/>
        <w:right w:val="none" w:sz="0" w:space="0" w:color="auto"/>
      </w:divBdr>
    </w:div>
    <w:div w:id="1271276615">
      <w:bodyDiv w:val="1"/>
      <w:marLeft w:val="0"/>
      <w:marRight w:val="0"/>
      <w:marTop w:val="0"/>
      <w:marBottom w:val="0"/>
      <w:divBdr>
        <w:top w:val="none" w:sz="0" w:space="0" w:color="auto"/>
        <w:left w:val="none" w:sz="0" w:space="0" w:color="auto"/>
        <w:bottom w:val="none" w:sz="0" w:space="0" w:color="auto"/>
        <w:right w:val="none" w:sz="0" w:space="0" w:color="auto"/>
      </w:divBdr>
      <w:divsChild>
        <w:div w:id="481627312">
          <w:marLeft w:val="0"/>
          <w:marRight w:val="0"/>
          <w:marTop w:val="0"/>
          <w:marBottom w:val="0"/>
          <w:divBdr>
            <w:top w:val="none" w:sz="0" w:space="0" w:color="auto"/>
            <w:left w:val="none" w:sz="0" w:space="0" w:color="auto"/>
            <w:bottom w:val="none" w:sz="0" w:space="0" w:color="auto"/>
            <w:right w:val="none" w:sz="0" w:space="0" w:color="auto"/>
          </w:divBdr>
        </w:div>
      </w:divsChild>
    </w:div>
    <w:div w:id="1274052293">
      <w:bodyDiv w:val="1"/>
      <w:marLeft w:val="0"/>
      <w:marRight w:val="0"/>
      <w:marTop w:val="0"/>
      <w:marBottom w:val="0"/>
      <w:divBdr>
        <w:top w:val="none" w:sz="0" w:space="0" w:color="auto"/>
        <w:left w:val="none" w:sz="0" w:space="0" w:color="auto"/>
        <w:bottom w:val="none" w:sz="0" w:space="0" w:color="auto"/>
        <w:right w:val="none" w:sz="0" w:space="0" w:color="auto"/>
      </w:divBdr>
    </w:div>
    <w:div w:id="1274946288">
      <w:bodyDiv w:val="1"/>
      <w:marLeft w:val="0"/>
      <w:marRight w:val="0"/>
      <w:marTop w:val="0"/>
      <w:marBottom w:val="0"/>
      <w:divBdr>
        <w:top w:val="none" w:sz="0" w:space="0" w:color="auto"/>
        <w:left w:val="none" w:sz="0" w:space="0" w:color="auto"/>
        <w:bottom w:val="none" w:sz="0" w:space="0" w:color="auto"/>
        <w:right w:val="none" w:sz="0" w:space="0" w:color="auto"/>
      </w:divBdr>
    </w:div>
    <w:div w:id="1280064756">
      <w:bodyDiv w:val="1"/>
      <w:marLeft w:val="0"/>
      <w:marRight w:val="0"/>
      <w:marTop w:val="0"/>
      <w:marBottom w:val="0"/>
      <w:divBdr>
        <w:top w:val="none" w:sz="0" w:space="0" w:color="auto"/>
        <w:left w:val="none" w:sz="0" w:space="0" w:color="auto"/>
        <w:bottom w:val="none" w:sz="0" w:space="0" w:color="auto"/>
        <w:right w:val="none" w:sz="0" w:space="0" w:color="auto"/>
      </w:divBdr>
    </w:div>
    <w:div w:id="1310673019">
      <w:bodyDiv w:val="1"/>
      <w:marLeft w:val="0"/>
      <w:marRight w:val="0"/>
      <w:marTop w:val="0"/>
      <w:marBottom w:val="0"/>
      <w:divBdr>
        <w:top w:val="none" w:sz="0" w:space="0" w:color="auto"/>
        <w:left w:val="none" w:sz="0" w:space="0" w:color="auto"/>
        <w:bottom w:val="none" w:sz="0" w:space="0" w:color="auto"/>
        <w:right w:val="none" w:sz="0" w:space="0" w:color="auto"/>
      </w:divBdr>
    </w:div>
    <w:div w:id="1348825624">
      <w:bodyDiv w:val="1"/>
      <w:marLeft w:val="0"/>
      <w:marRight w:val="0"/>
      <w:marTop w:val="0"/>
      <w:marBottom w:val="0"/>
      <w:divBdr>
        <w:top w:val="none" w:sz="0" w:space="0" w:color="auto"/>
        <w:left w:val="none" w:sz="0" w:space="0" w:color="auto"/>
        <w:bottom w:val="none" w:sz="0" w:space="0" w:color="auto"/>
        <w:right w:val="none" w:sz="0" w:space="0" w:color="auto"/>
      </w:divBdr>
    </w:div>
    <w:div w:id="1366176644">
      <w:bodyDiv w:val="1"/>
      <w:marLeft w:val="0"/>
      <w:marRight w:val="0"/>
      <w:marTop w:val="0"/>
      <w:marBottom w:val="0"/>
      <w:divBdr>
        <w:top w:val="none" w:sz="0" w:space="0" w:color="auto"/>
        <w:left w:val="none" w:sz="0" w:space="0" w:color="auto"/>
        <w:bottom w:val="none" w:sz="0" w:space="0" w:color="auto"/>
        <w:right w:val="none" w:sz="0" w:space="0" w:color="auto"/>
      </w:divBdr>
    </w:div>
    <w:div w:id="1402680470">
      <w:bodyDiv w:val="1"/>
      <w:marLeft w:val="0"/>
      <w:marRight w:val="0"/>
      <w:marTop w:val="0"/>
      <w:marBottom w:val="0"/>
      <w:divBdr>
        <w:top w:val="none" w:sz="0" w:space="0" w:color="auto"/>
        <w:left w:val="none" w:sz="0" w:space="0" w:color="auto"/>
        <w:bottom w:val="none" w:sz="0" w:space="0" w:color="auto"/>
        <w:right w:val="none" w:sz="0" w:space="0" w:color="auto"/>
      </w:divBdr>
    </w:div>
    <w:div w:id="1413240332">
      <w:bodyDiv w:val="1"/>
      <w:marLeft w:val="0"/>
      <w:marRight w:val="0"/>
      <w:marTop w:val="0"/>
      <w:marBottom w:val="0"/>
      <w:divBdr>
        <w:top w:val="none" w:sz="0" w:space="0" w:color="auto"/>
        <w:left w:val="none" w:sz="0" w:space="0" w:color="auto"/>
        <w:bottom w:val="none" w:sz="0" w:space="0" w:color="auto"/>
        <w:right w:val="none" w:sz="0" w:space="0" w:color="auto"/>
      </w:divBdr>
    </w:div>
    <w:div w:id="1415859805">
      <w:bodyDiv w:val="1"/>
      <w:marLeft w:val="0"/>
      <w:marRight w:val="0"/>
      <w:marTop w:val="0"/>
      <w:marBottom w:val="0"/>
      <w:divBdr>
        <w:top w:val="none" w:sz="0" w:space="0" w:color="auto"/>
        <w:left w:val="none" w:sz="0" w:space="0" w:color="auto"/>
        <w:bottom w:val="none" w:sz="0" w:space="0" w:color="auto"/>
        <w:right w:val="none" w:sz="0" w:space="0" w:color="auto"/>
      </w:divBdr>
    </w:div>
    <w:div w:id="1512331754">
      <w:bodyDiv w:val="1"/>
      <w:marLeft w:val="0"/>
      <w:marRight w:val="0"/>
      <w:marTop w:val="0"/>
      <w:marBottom w:val="0"/>
      <w:divBdr>
        <w:top w:val="none" w:sz="0" w:space="0" w:color="auto"/>
        <w:left w:val="none" w:sz="0" w:space="0" w:color="auto"/>
        <w:bottom w:val="none" w:sz="0" w:space="0" w:color="auto"/>
        <w:right w:val="none" w:sz="0" w:space="0" w:color="auto"/>
      </w:divBdr>
      <w:divsChild>
        <w:div w:id="4982555">
          <w:marLeft w:val="0"/>
          <w:marRight w:val="0"/>
          <w:marTop w:val="0"/>
          <w:marBottom w:val="0"/>
          <w:divBdr>
            <w:top w:val="none" w:sz="0" w:space="0" w:color="auto"/>
            <w:left w:val="none" w:sz="0" w:space="0" w:color="auto"/>
            <w:bottom w:val="none" w:sz="0" w:space="0" w:color="auto"/>
            <w:right w:val="none" w:sz="0" w:space="0" w:color="auto"/>
          </w:divBdr>
          <w:divsChild>
            <w:div w:id="1430157701">
              <w:marLeft w:val="75"/>
              <w:marRight w:val="75"/>
              <w:marTop w:val="300"/>
              <w:marBottom w:val="75"/>
              <w:divBdr>
                <w:top w:val="none" w:sz="0" w:space="0" w:color="auto"/>
                <w:left w:val="none" w:sz="0" w:space="0" w:color="auto"/>
                <w:bottom w:val="none" w:sz="0" w:space="0" w:color="auto"/>
                <w:right w:val="none" w:sz="0" w:space="0" w:color="auto"/>
              </w:divBdr>
              <w:divsChild>
                <w:div w:id="1990013928">
                  <w:marLeft w:val="0"/>
                  <w:marRight w:val="0"/>
                  <w:marTop w:val="0"/>
                  <w:marBottom w:val="0"/>
                  <w:divBdr>
                    <w:top w:val="none" w:sz="0" w:space="0" w:color="auto"/>
                    <w:left w:val="none" w:sz="0" w:space="0" w:color="auto"/>
                    <w:bottom w:val="none" w:sz="0" w:space="0" w:color="auto"/>
                    <w:right w:val="none" w:sz="0" w:space="0" w:color="auto"/>
                  </w:divBdr>
                  <w:divsChild>
                    <w:div w:id="391343658">
                      <w:marLeft w:val="300"/>
                      <w:marRight w:val="0"/>
                      <w:marTop w:val="0"/>
                      <w:marBottom w:val="0"/>
                      <w:divBdr>
                        <w:top w:val="none" w:sz="0" w:space="0" w:color="auto"/>
                        <w:left w:val="none" w:sz="0" w:space="0" w:color="auto"/>
                        <w:bottom w:val="none" w:sz="0" w:space="0" w:color="auto"/>
                        <w:right w:val="none" w:sz="0" w:space="0" w:color="auto"/>
                      </w:divBdr>
                    </w:div>
                    <w:div w:id="824511774">
                      <w:marLeft w:val="-15"/>
                      <w:marRight w:val="-15"/>
                      <w:marTop w:val="0"/>
                      <w:marBottom w:val="0"/>
                      <w:divBdr>
                        <w:top w:val="none" w:sz="0" w:space="0" w:color="auto"/>
                        <w:left w:val="none" w:sz="0" w:space="0" w:color="auto"/>
                        <w:bottom w:val="none" w:sz="0" w:space="0" w:color="auto"/>
                        <w:right w:val="none" w:sz="0" w:space="0" w:color="auto"/>
                      </w:divBdr>
                    </w:div>
                    <w:div w:id="143801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338">
          <w:marLeft w:val="0"/>
          <w:marRight w:val="0"/>
          <w:marTop w:val="0"/>
          <w:marBottom w:val="0"/>
          <w:divBdr>
            <w:top w:val="none" w:sz="0" w:space="0" w:color="auto"/>
            <w:left w:val="none" w:sz="0" w:space="0" w:color="auto"/>
            <w:bottom w:val="none" w:sz="0" w:space="0" w:color="auto"/>
            <w:right w:val="none" w:sz="0" w:space="0" w:color="auto"/>
          </w:divBdr>
          <w:divsChild>
            <w:div w:id="2123383049">
              <w:marLeft w:val="75"/>
              <w:marRight w:val="75"/>
              <w:marTop w:val="300"/>
              <w:marBottom w:val="75"/>
              <w:divBdr>
                <w:top w:val="none" w:sz="0" w:space="0" w:color="auto"/>
                <w:left w:val="none" w:sz="0" w:space="0" w:color="auto"/>
                <w:bottom w:val="none" w:sz="0" w:space="0" w:color="auto"/>
                <w:right w:val="none" w:sz="0" w:space="0" w:color="auto"/>
              </w:divBdr>
              <w:divsChild>
                <w:div w:id="869995765">
                  <w:marLeft w:val="0"/>
                  <w:marRight w:val="0"/>
                  <w:marTop w:val="0"/>
                  <w:marBottom w:val="0"/>
                  <w:divBdr>
                    <w:top w:val="none" w:sz="0" w:space="0" w:color="auto"/>
                    <w:left w:val="none" w:sz="0" w:space="0" w:color="auto"/>
                    <w:bottom w:val="none" w:sz="0" w:space="0" w:color="auto"/>
                    <w:right w:val="none" w:sz="0" w:space="0" w:color="auto"/>
                  </w:divBdr>
                  <w:divsChild>
                    <w:div w:id="845023794">
                      <w:marLeft w:val="0"/>
                      <w:marRight w:val="0"/>
                      <w:marTop w:val="0"/>
                      <w:marBottom w:val="0"/>
                      <w:divBdr>
                        <w:top w:val="none" w:sz="0" w:space="0" w:color="auto"/>
                        <w:left w:val="none" w:sz="0" w:space="0" w:color="auto"/>
                        <w:bottom w:val="none" w:sz="0" w:space="0" w:color="auto"/>
                        <w:right w:val="none" w:sz="0" w:space="0" w:color="auto"/>
                      </w:divBdr>
                      <w:divsChild>
                        <w:div w:id="1579707299">
                          <w:marLeft w:val="75"/>
                          <w:marRight w:val="0"/>
                          <w:marTop w:val="0"/>
                          <w:marBottom w:val="0"/>
                          <w:divBdr>
                            <w:top w:val="none" w:sz="0" w:space="0" w:color="auto"/>
                            <w:left w:val="none" w:sz="0" w:space="0" w:color="auto"/>
                            <w:bottom w:val="none" w:sz="0" w:space="0" w:color="auto"/>
                            <w:right w:val="none" w:sz="0" w:space="0" w:color="auto"/>
                          </w:divBdr>
                        </w:div>
                        <w:div w:id="1716932416">
                          <w:marLeft w:val="75"/>
                          <w:marRight w:val="0"/>
                          <w:marTop w:val="0"/>
                          <w:marBottom w:val="0"/>
                          <w:divBdr>
                            <w:top w:val="none" w:sz="0" w:space="0" w:color="auto"/>
                            <w:left w:val="none" w:sz="0" w:space="0" w:color="auto"/>
                            <w:bottom w:val="none" w:sz="0" w:space="0" w:color="auto"/>
                            <w:right w:val="none" w:sz="0" w:space="0" w:color="auto"/>
                          </w:divBdr>
                        </w:div>
                        <w:div w:id="211939980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66108">
          <w:marLeft w:val="0"/>
          <w:marRight w:val="0"/>
          <w:marTop w:val="0"/>
          <w:marBottom w:val="0"/>
          <w:divBdr>
            <w:top w:val="none" w:sz="0" w:space="0" w:color="auto"/>
            <w:left w:val="none" w:sz="0" w:space="0" w:color="auto"/>
            <w:bottom w:val="none" w:sz="0" w:space="0" w:color="auto"/>
            <w:right w:val="none" w:sz="0" w:space="0" w:color="auto"/>
          </w:divBdr>
          <w:divsChild>
            <w:div w:id="1108432468">
              <w:marLeft w:val="75"/>
              <w:marRight w:val="75"/>
              <w:marTop w:val="300"/>
              <w:marBottom w:val="75"/>
              <w:divBdr>
                <w:top w:val="none" w:sz="0" w:space="0" w:color="auto"/>
                <w:left w:val="none" w:sz="0" w:space="0" w:color="auto"/>
                <w:bottom w:val="none" w:sz="0" w:space="0" w:color="auto"/>
                <w:right w:val="none" w:sz="0" w:space="0" w:color="auto"/>
              </w:divBdr>
              <w:divsChild>
                <w:div w:id="14614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3045">
          <w:marLeft w:val="0"/>
          <w:marRight w:val="0"/>
          <w:marTop w:val="0"/>
          <w:marBottom w:val="0"/>
          <w:divBdr>
            <w:top w:val="none" w:sz="0" w:space="0" w:color="auto"/>
            <w:left w:val="none" w:sz="0" w:space="0" w:color="auto"/>
            <w:bottom w:val="none" w:sz="0" w:space="0" w:color="auto"/>
            <w:right w:val="none" w:sz="0" w:space="0" w:color="auto"/>
          </w:divBdr>
          <w:divsChild>
            <w:div w:id="102305553">
              <w:marLeft w:val="75"/>
              <w:marRight w:val="75"/>
              <w:marTop w:val="300"/>
              <w:marBottom w:val="75"/>
              <w:divBdr>
                <w:top w:val="none" w:sz="0" w:space="0" w:color="auto"/>
                <w:left w:val="none" w:sz="0" w:space="0" w:color="auto"/>
                <w:bottom w:val="none" w:sz="0" w:space="0" w:color="auto"/>
                <w:right w:val="none" w:sz="0" w:space="0" w:color="auto"/>
              </w:divBdr>
              <w:divsChild>
                <w:div w:id="2535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8658">
          <w:marLeft w:val="0"/>
          <w:marRight w:val="0"/>
          <w:marTop w:val="0"/>
          <w:marBottom w:val="0"/>
          <w:divBdr>
            <w:top w:val="none" w:sz="0" w:space="0" w:color="auto"/>
            <w:left w:val="none" w:sz="0" w:space="0" w:color="auto"/>
            <w:bottom w:val="none" w:sz="0" w:space="0" w:color="auto"/>
            <w:right w:val="none" w:sz="0" w:space="0" w:color="auto"/>
          </w:divBdr>
          <w:divsChild>
            <w:div w:id="1106540125">
              <w:marLeft w:val="75"/>
              <w:marRight w:val="75"/>
              <w:marTop w:val="300"/>
              <w:marBottom w:val="75"/>
              <w:divBdr>
                <w:top w:val="none" w:sz="0" w:space="0" w:color="auto"/>
                <w:left w:val="none" w:sz="0" w:space="0" w:color="auto"/>
                <w:bottom w:val="none" w:sz="0" w:space="0" w:color="auto"/>
                <w:right w:val="none" w:sz="0" w:space="0" w:color="auto"/>
              </w:divBdr>
              <w:divsChild>
                <w:div w:id="1929538312">
                  <w:marLeft w:val="0"/>
                  <w:marRight w:val="0"/>
                  <w:marTop w:val="0"/>
                  <w:marBottom w:val="0"/>
                  <w:divBdr>
                    <w:top w:val="none" w:sz="0" w:space="0" w:color="auto"/>
                    <w:left w:val="none" w:sz="0" w:space="0" w:color="auto"/>
                    <w:bottom w:val="none" w:sz="0" w:space="0" w:color="auto"/>
                    <w:right w:val="none" w:sz="0" w:space="0" w:color="auto"/>
                  </w:divBdr>
                  <w:divsChild>
                    <w:div w:id="404452586">
                      <w:marLeft w:val="300"/>
                      <w:marRight w:val="0"/>
                      <w:marTop w:val="0"/>
                      <w:marBottom w:val="0"/>
                      <w:divBdr>
                        <w:top w:val="none" w:sz="0" w:space="0" w:color="auto"/>
                        <w:left w:val="none" w:sz="0" w:space="0" w:color="auto"/>
                        <w:bottom w:val="none" w:sz="0" w:space="0" w:color="auto"/>
                        <w:right w:val="none" w:sz="0" w:space="0" w:color="auto"/>
                      </w:divBdr>
                    </w:div>
                    <w:div w:id="793985112">
                      <w:marLeft w:val="0"/>
                      <w:marRight w:val="0"/>
                      <w:marTop w:val="0"/>
                      <w:marBottom w:val="0"/>
                      <w:divBdr>
                        <w:top w:val="none" w:sz="0" w:space="0" w:color="auto"/>
                        <w:left w:val="none" w:sz="0" w:space="0" w:color="auto"/>
                        <w:bottom w:val="none" w:sz="0" w:space="0" w:color="auto"/>
                        <w:right w:val="none" w:sz="0" w:space="0" w:color="auto"/>
                      </w:divBdr>
                    </w:div>
                    <w:div w:id="21261467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71843966">
          <w:marLeft w:val="0"/>
          <w:marRight w:val="0"/>
          <w:marTop w:val="0"/>
          <w:marBottom w:val="0"/>
          <w:divBdr>
            <w:top w:val="none" w:sz="0" w:space="0" w:color="auto"/>
            <w:left w:val="none" w:sz="0" w:space="0" w:color="auto"/>
            <w:bottom w:val="none" w:sz="0" w:space="0" w:color="auto"/>
            <w:right w:val="none" w:sz="0" w:space="0" w:color="auto"/>
          </w:divBdr>
          <w:divsChild>
            <w:div w:id="811482226">
              <w:marLeft w:val="75"/>
              <w:marRight w:val="75"/>
              <w:marTop w:val="300"/>
              <w:marBottom w:val="75"/>
              <w:divBdr>
                <w:top w:val="none" w:sz="0" w:space="0" w:color="auto"/>
                <w:left w:val="none" w:sz="0" w:space="0" w:color="auto"/>
                <w:bottom w:val="none" w:sz="0" w:space="0" w:color="auto"/>
                <w:right w:val="none" w:sz="0" w:space="0" w:color="auto"/>
              </w:divBdr>
              <w:divsChild>
                <w:div w:id="1306740469">
                  <w:marLeft w:val="0"/>
                  <w:marRight w:val="0"/>
                  <w:marTop w:val="0"/>
                  <w:marBottom w:val="0"/>
                  <w:divBdr>
                    <w:top w:val="none" w:sz="0" w:space="0" w:color="auto"/>
                    <w:left w:val="none" w:sz="0" w:space="0" w:color="auto"/>
                    <w:bottom w:val="none" w:sz="0" w:space="0" w:color="auto"/>
                    <w:right w:val="none" w:sz="0" w:space="0" w:color="auto"/>
                  </w:divBdr>
                  <w:divsChild>
                    <w:div w:id="298148462">
                      <w:marLeft w:val="0"/>
                      <w:marRight w:val="0"/>
                      <w:marTop w:val="0"/>
                      <w:marBottom w:val="0"/>
                      <w:divBdr>
                        <w:top w:val="none" w:sz="0" w:space="0" w:color="auto"/>
                        <w:left w:val="none" w:sz="0" w:space="0" w:color="auto"/>
                        <w:bottom w:val="none" w:sz="0" w:space="0" w:color="auto"/>
                        <w:right w:val="none" w:sz="0" w:space="0" w:color="auto"/>
                      </w:divBdr>
                      <w:divsChild>
                        <w:div w:id="802625896">
                          <w:marLeft w:val="75"/>
                          <w:marRight w:val="0"/>
                          <w:marTop w:val="0"/>
                          <w:marBottom w:val="0"/>
                          <w:divBdr>
                            <w:top w:val="none" w:sz="0" w:space="0" w:color="auto"/>
                            <w:left w:val="none" w:sz="0" w:space="0" w:color="auto"/>
                            <w:bottom w:val="none" w:sz="0" w:space="0" w:color="auto"/>
                            <w:right w:val="none" w:sz="0" w:space="0" w:color="auto"/>
                          </w:divBdr>
                        </w:div>
                        <w:div w:id="1151756345">
                          <w:marLeft w:val="75"/>
                          <w:marRight w:val="0"/>
                          <w:marTop w:val="0"/>
                          <w:marBottom w:val="0"/>
                          <w:divBdr>
                            <w:top w:val="none" w:sz="0" w:space="0" w:color="auto"/>
                            <w:left w:val="none" w:sz="0" w:space="0" w:color="auto"/>
                            <w:bottom w:val="none" w:sz="0" w:space="0" w:color="auto"/>
                            <w:right w:val="none" w:sz="0" w:space="0" w:color="auto"/>
                          </w:divBdr>
                        </w:div>
                        <w:div w:id="131244710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40998">
          <w:marLeft w:val="0"/>
          <w:marRight w:val="0"/>
          <w:marTop w:val="0"/>
          <w:marBottom w:val="0"/>
          <w:divBdr>
            <w:top w:val="none" w:sz="0" w:space="0" w:color="auto"/>
            <w:left w:val="none" w:sz="0" w:space="0" w:color="auto"/>
            <w:bottom w:val="none" w:sz="0" w:space="0" w:color="auto"/>
            <w:right w:val="none" w:sz="0" w:space="0" w:color="auto"/>
          </w:divBdr>
          <w:divsChild>
            <w:div w:id="608393926">
              <w:marLeft w:val="75"/>
              <w:marRight w:val="75"/>
              <w:marTop w:val="300"/>
              <w:marBottom w:val="75"/>
              <w:divBdr>
                <w:top w:val="none" w:sz="0" w:space="0" w:color="auto"/>
                <w:left w:val="none" w:sz="0" w:space="0" w:color="auto"/>
                <w:bottom w:val="none" w:sz="0" w:space="0" w:color="auto"/>
                <w:right w:val="none" w:sz="0" w:space="0" w:color="auto"/>
              </w:divBdr>
              <w:divsChild>
                <w:div w:id="1656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4327">
          <w:marLeft w:val="0"/>
          <w:marRight w:val="0"/>
          <w:marTop w:val="0"/>
          <w:marBottom w:val="0"/>
          <w:divBdr>
            <w:top w:val="none" w:sz="0" w:space="0" w:color="auto"/>
            <w:left w:val="none" w:sz="0" w:space="0" w:color="auto"/>
            <w:bottom w:val="none" w:sz="0" w:space="0" w:color="auto"/>
            <w:right w:val="none" w:sz="0" w:space="0" w:color="auto"/>
          </w:divBdr>
          <w:divsChild>
            <w:div w:id="747271276">
              <w:marLeft w:val="75"/>
              <w:marRight w:val="75"/>
              <w:marTop w:val="300"/>
              <w:marBottom w:val="75"/>
              <w:divBdr>
                <w:top w:val="none" w:sz="0" w:space="0" w:color="auto"/>
                <w:left w:val="none" w:sz="0" w:space="0" w:color="auto"/>
                <w:bottom w:val="none" w:sz="0" w:space="0" w:color="auto"/>
                <w:right w:val="none" w:sz="0" w:space="0" w:color="auto"/>
              </w:divBdr>
              <w:divsChild>
                <w:div w:id="1969697616">
                  <w:marLeft w:val="0"/>
                  <w:marRight w:val="0"/>
                  <w:marTop w:val="0"/>
                  <w:marBottom w:val="0"/>
                  <w:divBdr>
                    <w:top w:val="none" w:sz="0" w:space="0" w:color="auto"/>
                    <w:left w:val="none" w:sz="0" w:space="0" w:color="auto"/>
                    <w:bottom w:val="none" w:sz="0" w:space="0" w:color="auto"/>
                    <w:right w:val="none" w:sz="0" w:space="0" w:color="auto"/>
                  </w:divBdr>
                  <w:divsChild>
                    <w:div w:id="35009442">
                      <w:marLeft w:val="300"/>
                      <w:marRight w:val="0"/>
                      <w:marTop w:val="0"/>
                      <w:marBottom w:val="0"/>
                      <w:divBdr>
                        <w:top w:val="none" w:sz="0" w:space="0" w:color="auto"/>
                        <w:left w:val="none" w:sz="0" w:space="0" w:color="auto"/>
                        <w:bottom w:val="none" w:sz="0" w:space="0" w:color="auto"/>
                        <w:right w:val="none" w:sz="0" w:space="0" w:color="auto"/>
                      </w:divBdr>
                    </w:div>
                    <w:div w:id="799878362">
                      <w:marLeft w:val="-15"/>
                      <w:marRight w:val="-15"/>
                      <w:marTop w:val="0"/>
                      <w:marBottom w:val="0"/>
                      <w:divBdr>
                        <w:top w:val="none" w:sz="0" w:space="0" w:color="auto"/>
                        <w:left w:val="none" w:sz="0" w:space="0" w:color="auto"/>
                        <w:bottom w:val="none" w:sz="0" w:space="0" w:color="auto"/>
                        <w:right w:val="none" w:sz="0" w:space="0" w:color="auto"/>
                      </w:divBdr>
                    </w:div>
                    <w:div w:id="12495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05090">
          <w:marLeft w:val="0"/>
          <w:marRight w:val="0"/>
          <w:marTop w:val="0"/>
          <w:marBottom w:val="0"/>
          <w:divBdr>
            <w:top w:val="none" w:sz="0" w:space="0" w:color="auto"/>
            <w:left w:val="none" w:sz="0" w:space="0" w:color="auto"/>
            <w:bottom w:val="none" w:sz="0" w:space="0" w:color="auto"/>
            <w:right w:val="none" w:sz="0" w:space="0" w:color="auto"/>
          </w:divBdr>
          <w:divsChild>
            <w:div w:id="1000893992">
              <w:marLeft w:val="75"/>
              <w:marRight w:val="75"/>
              <w:marTop w:val="300"/>
              <w:marBottom w:val="75"/>
              <w:divBdr>
                <w:top w:val="none" w:sz="0" w:space="0" w:color="auto"/>
                <w:left w:val="none" w:sz="0" w:space="0" w:color="auto"/>
                <w:bottom w:val="none" w:sz="0" w:space="0" w:color="auto"/>
                <w:right w:val="none" w:sz="0" w:space="0" w:color="auto"/>
              </w:divBdr>
              <w:divsChild>
                <w:div w:id="662470650">
                  <w:marLeft w:val="0"/>
                  <w:marRight w:val="0"/>
                  <w:marTop w:val="0"/>
                  <w:marBottom w:val="0"/>
                  <w:divBdr>
                    <w:top w:val="none" w:sz="0" w:space="0" w:color="auto"/>
                    <w:left w:val="none" w:sz="0" w:space="0" w:color="auto"/>
                    <w:bottom w:val="none" w:sz="0" w:space="0" w:color="auto"/>
                    <w:right w:val="none" w:sz="0" w:space="0" w:color="auto"/>
                  </w:divBdr>
                  <w:divsChild>
                    <w:div w:id="781875796">
                      <w:marLeft w:val="0"/>
                      <w:marRight w:val="0"/>
                      <w:marTop w:val="0"/>
                      <w:marBottom w:val="0"/>
                      <w:divBdr>
                        <w:top w:val="none" w:sz="0" w:space="0" w:color="auto"/>
                        <w:left w:val="none" w:sz="0" w:space="0" w:color="auto"/>
                        <w:bottom w:val="none" w:sz="0" w:space="0" w:color="auto"/>
                        <w:right w:val="none" w:sz="0" w:space="0" w:color="auto"/>
                      </w:divBdr>
                      <w:divsChild>
                        <w:div w:id="122036330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 w:id="279607591">
          <w:marLeft w:val="0"/>
          <w:marRight w:val="0"/>
          <w:marTop w:val="0"/>
          <w:marBottom w:val="0"/>
          <w:divBdr>
            <w:top w:val="none" w:sz="0" w:space="0" w:color="auto"/>
            <w:left w:val="none" w:sz="0" w:space="0" w:color="auto"/>
            <w:bottom w:val="none" w:sz="0" w:space="0" w:color="auto"/>
            <w:right w:val="none" w:sz="0" w:space="0" w:color="auto"/>
          </w:divBdr>
          <w:divsChild>
            <w:div w:id="1254048486">
              <w:marLeft w:val="75"/>
              <w:marRight w:val="75"/>
              <w:marTop w:val="300"/>
              <w:marBottom w:val="75"/>
              <w:divBdr>
                <w:top w:val="none" w:sz="0" w:space="0" w:color="auto"/>
                <w:left w:val="none" w:sz="0" w:space="0" w:color="auto"/>
                <w:bottom w:val="none" w:sz="0" w:space="0" w:color="auto"/>
                <w:right w:val="none" w:sz="0" w:space="0" w:color="auto"/>
              </w:divBdr>
              <w:divsChild>
                <w:div w:id="16116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937842">
          <w:marLeft w:val="0"/>
          <w:marRight w:val="0"/>
          <w:marTop w:val="0"/>
          <w:marBottom w:val="0"/>
          <w:divBdr>
            <w:top w:val="none" w:sz="0" w:space="0" w:color="auto"/>
            <w:left w:val="none" w:sz="0" w:space="0" w:color="auto"/>
            <w:bottom w:val="none" w:sz="0" w:space="0" w:color="auto"/>
            <w:right w:val="none" w:sz="0" w:space="0" w:color="auto"/>
          </w:divBdr>
          <w:divsChild>
            <w:div w:id="1215508494">
              <w:marLeft w:val="75"/>
              <w:marRight w:val="75"/>
              <w:marTop w:val="300"/>
              <w:marBottom w:val="75"/>
              <w:divBdr>
                <w:top w:val="none" w:sz="0" w:space="0" w:color="auto"/>
                <w:left w:val="none" w:sz="0" w:space="0" w:color="auto"/>
                <w:bottom w:val="none" w:sz="0" w:space="0" w:color="auto"/>
                <w:right w:val="none" w:sz="0" w:space="0" w:color="auto"/>
              </w:divBdr>
              <w:divsChild>
                <w:div w:id="855923083">
                  <w:marLeft w:val="0"/>
                  <w:marRight w:val="0"/>
                  <w:marTop w:val="0"/>
                  <w:marBottom w:val="0"/>
                  <w:divBdr>
                    <w:top w:val="none" w:sz="0" w:space="0" w:color="auto"/>
                    <w:left w:val="none" w:sz="0" w:space="0" w:color="auto"/>
                    <w:bottom w:val="none" w:sz="0" w:space="0" w:color="auto"/>
                    <w:right w:val="none" w:sz="0" w:space="0" w:color="auto"/>
                  </w:divBdr>
                  <w:divsChild>
                    <w:div w:id="433133964">
                      <w:marLeft w:val="-15"/>
                      <w:marRight w:val="-15"/>
                      <w:marTop w:val="0"/>
                      <w:marBottom w:val="0"/>
                      <w:divBdr>
                        <w:top w:val="none" w:sz="0" w:space="0" w:color="auto"/>
                        <w:left w:val="none" w:sz="0" w:space="0" w:color="auto"/>
                        <w:bottom w:val="none" w:sz="0" w:space="0" w:color="auto"/>
                        <w:right w:val="none" w:sz="0" w:space="0" w:color="auto"/>
                      </w:divBdr>
                    </w:div>
                    <w:div w:id="684408167">
                      <w:marLeft w:val="0"/>
                      <w:marRight w:val="0"/>
                      <w:marTop w:val="0"/>
                      <w:marBottom w:val="0"/>
                      <w:divBdr>
                        <w:top w:val="none" w:sz="0" w:space="0" w:color="auto"/>
                        <w:left w:val="none" w:sz="0" w:space="0" w:color="auto"/>
                        <w:bottom w:val="none" w:sz="0" w:space="0" w:color="auto"/>
                        <w:right w:val="none" w:sz="0" w:space="0" w:color="auto"/>
                      </w:divBdr>
                      <w:divsChild>
                        <w:div w:id="428088953">
                          <w:marLeft w:val="75"/>
                          <w:marRight w:val="0"/>
                          <w:marTop w:val="0"/>
                          <w:marBottom w:val="0"/>
                          <w:divBdr>
                            <w:top w:val="none" w:sz="0" w:space="0" w:color="auto"/>
                            <w:left w:val="none" w:sz="0" w:space="0" w:color="auto"/>
                            <w:bottom w:val="none" w:sz="0" w:space="0" w:color="auto"/>
                            <w:right w:val="none" w:sz="0" w:space="0" w:color="auto"/>
                          </w:divBdr>
                        </w:div>
                        <w:div w:id="693649991">
                          <w:marLeft w:val="75"/>
                          <w:marRight w:val="0"/>
                          <w:marTop w:val="0"/>
                          <w:marBottom w:val="0"/>
                          <w:divBdr>
                            <w:top w:val="none" w:sz="0" w:space="0" w:color="auto"/>
                            <w:left w:val="none" w:sz="0" w:space="0" w:color="auto"/>
                            <w:bottom w:val="none" w:sz="0" w:space="0" w:color="auto"/>
                            <w:right w:val="none" w:sz="0" w:space="0" w:color="auto"/>
                          </w:divBdr>
                        </w:div>
                        <w:div w:id="697581799">
                          <w:marLeft w:val="75"/>
                          <w:marRight w:val="0"/>
                          <w:marTop w:val="0"/>
                          <w:marBottom w:val="0"/>
                          <w:divBdr>
                            <w:top w:val="none" w:sz="0" w:space="0" w:color="auto"/>
                            <w:left w:val="none" w:sz="0" w:space="0" w:color="auto"/>
                            <w:bottom w:val="none" w:sz="0" w:space="0" w:color="auto"/>
                            <w:right w:val="none" w:sz="0" w:space="0" w:color="auto"/>
                          </w:divBdr>
                        </w:div>
                        <w:div w:id="819734274">
                          <w:marLeft w:val="75"/>
                          <w:marRight w:val="0"/>
                          <w:marTop w:val="0"/>
                          <w:marBottom w:val="0"/>
                          <w:divBdr>
                            <w:top w:val="none" w:sz="0" w:space="0" w:color="auto"/>
                            <w:left w:val="none" w:sz="0" w:space="0" w:color="auto"/>
                            <w:bottom w:val="none" w:sz="0" w:space="0" w:color="auto"/>
                            <w:right w:val="none" w:sz="0" w:space="0" w:color="auto"/>
                          </w:divBdr>
                        </w:div>
                        <w:div w:id="1756247154">
                          <w:marLeft w:val="75"/>
                          <w:marRight w:val="0"/>
                          <w:marTop w:val="0"/>
                          <w:marBottom w:val="0"/>
                          <w:divBdr>
                            <w:top w:val="none" w:sz="0" w:space="0" w:color="auto"/>
                            <w:left w:val="none" w:sz="0" w:space="0" w:color="auto"/>
                            <w:bottom w:val="none" w:sz="0" w:space="0" w:color="auto"/>
                            <w:right w:val="none" w:sz="0" w:space="0" w:color="auto"/>
                          </w:divBdr>
                        </w:div>
                        <w:div w:id="20737717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616093">
          <w:marLeft w:val="0"/>
          <w:marRight w:val="0"/>
          <w:marTop w:val="0"/>
          <w:marBottom w:val="0"/>
          <w:divBdr>
            <w:top w:val="none" w:sz="0" w:space="0" w:color="auto"/>
            <w:left w:val="none" w:sz="0" w:space="0" w:color="auto"/>
            <w:bottom w:val="none" w:sz="0" w:space="0" w:color="auto"/>
            <w:right w:val="none" w:sz="0" w:space="0" w:color="auto"/>
          </w:divBdr>
          <w:divsChild>
            <w:div w:id="1256867195">
              <w:marLeft w:val="75"/>
              <w:marRight w:val="75"/>
              <w:marTop w:val="300"/>
              <w:marBottom w:val="75"/>
              <w:divBdr>
                <w:top w:val="none" w:sz="0" w:space="0" w:color="auto"/>
                <w:left w:val="none" w:sz="0" w:space="0" w:color="auto"/>
                <w:bottom w:val="none" w:sz="0" w:space="0" w:color="auto"/>
                <w:right w:val="none" w:sz="0" w:space="0" w:color="auto"/>
              </w:divBdr>
              <w:divsChild>
                <w:div w:id="1463228773">
                  <w:marLeft w:val="0"/>
                  <w:marRight w:val="0"/>
                  <w:marTop w:val="0"/>
                  <w:marBottom w:val="0"/>
                  <w:divBdr>
                    <w:top w:val="none" w:sz="0" w:space="0" w:color="auto"/>
                    <w:left w:val="none" w:sz="0" w:space="0" w:color="auto"/>
                    <w:bottom w:val="none" w:sz="0" w:space="0" w:color="auto"/>
                    <w:right w:val="none" w:sz="0" w:space="0" w:color="auto"/>
                  </w:divBdr>
                  <w:divsChild>
                    <w:div w:id="1198204239">
                      <w:marLeft w:val="0"/>
                      <w:marRight w:val="0"/>
                      <w:marTop w:val="0"/>
                      <w:marBottom w:val="0"/>
                      <w:divBdr>
                        <w:top w:val="none" w:sz="0" w:space="0" w:color="auto"/>
                        <w:left w:val="none" w:sz="0" w:space="0" w:color="auto"/>
                        <w:bottom w:val="none" w:sz="0" w:space="0" w:color="auto"/>
                        <w:right w:val="none" w:sz="0" w:space="0" w:color="auto"/>
                      </w:divBdr>
                      <w:divsChild>
                        <w:div w:id="653603181">
                          <w:marLeft w:val="75"/>
                          <w:marRight w:val="0"/>
                          <w:marTop w:val="0"/>
                          <w:marBottom w:val="0"/>
                          <w:divBdr>
                            <w:top w:val="none" w:sz="0" w:space="0" w:color="auto"/>
                            <w:left w:val="none" w:sz="0" w:space="0" w:color="auto"/>
                            <w:bottom w:val="none" w:sz="0" w:space="0" w:color="auto"/>
                            <w:right w:val="none" w:sz="0" w:space="0" w:color="auto"/>
                          </w:divBdr>
                        </w:div>
                        <w:div w:id="799306052">
                          <w:marLeft w:val="75"/>
                          <w:marRight w:val="0"/>
                          <w:marTop w:val="0"/>
                          <w:marBottom w:val="0"/>
                          <w:divBdr>
                            <w:top w:val="none" w:sz="0" w:space="0" w:color="auto"/>
                            <w:left w:val="none" w:sz="0" w:space="0" w:color="auto"/>
                            <w:bottom w:val="none" w:sz="0" w:space="0" w:color="auto"/>
                            <w:right w:val="none" w:sz="0" w:space="0" w:color="auto"/>
                          </w:divBdr>
                        </w:div>
                        <w:div w:id="149791874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750033">
          <w:marLeft w:val="0"/>
          <w:marRight w:val="0"/>
          <w:marTop w:val="0"/>
          <w:marBottom w:val="0"/>
          <w:divBdr>
            <w:top w:val="none" w:sz="0" w:space="0" w:color="auto"/>
            <w:left w:val="none" w:sz="0" w:space="0" w:color="auto"/>
            <w:bottom w:val="none" w:sz="0" w:space="0" w:color="auto"/>
            <w:right w:val="none" w:sz="0" w:space="0" w:color="auto"/>
          </w:divBdr>
          <w:divsChild>
            <w:div w:id="1432431533">
              <w:marLeft w:val="75"/>
              <w:marRight w:val="75"/>
              <w:marTop w:val="300"/>
              <w:marBottom w:val="75"/>
              <w:divBdr>
                <w:top w:val="none" w:sz="0" w:space="0" w:color="auto"/>
                <w:left w:val="none" w:sz="0" w:space="0" w:color="auto"/>
                <w:bottom w:val="none" w:sz="0" w:space="0" w:color="auto"/>
                <w:right w:val="none" w:sz="0" w:space="0" w:color="auto"/>
              </w:divBdr>
              <w:divsChild>
                <w:div w:id="598567452">
                  <w:marLeft w:val="0"/>
                  <w:marRight w:val="0"/>
                  <w:marTop w:val="0"/>
                  <w:marBottom w:val="0"/>
                  <w:divBdr>
                    <w:top w:val="none" w:sz="0" w:space="0" w:color="auto"/>
                    <w:left w:val="none" w:sz="0" w:space="0" w:color="auto"/>
                    <w:bottom w:val="none" w:sz="0" w:space="0" w:color="auto"/>
                    <w:right w:val="none" w:sz="0" w:space="0" w:color="auto"/>
                  </w:divBdr>
                  <w:divsChild>
                    <w:div w:id="104470688">
                      <w:marLeft w:val="-15"/>
                      <w:marRight w:val="-15"/>
                      <w:marTop w:val="0"/>
                      <w:marBottom w:val="0"/>
                      <w:divBdr>
                        <w:top w:val="none" w:sz="0" w:space="0" w:color="auto"/>
                        <w:left w:val="none" w:sz="0" w:space="0" w:color="auto"/>
                        <w:bottom w:val="none" w:sz="0" w:space="0" w:color="auto"/>
                        <w:right w:val="none" w:sz="0" w:space="0" w:color="auto"/>
                      </w:divBdr>
                    </w:div>
                    <w:div w:id="793913620">
                      <w:marLeft w:val="0"/>
                      <w:marRight w:val="0"/>
                      <w:marTop w:val="0"/>
                      <w:marBottom w:val="0"/>
                      <w:divBdr>
                        <w:top w:val="none" w:sz="0" w:space="0" w:color="auto"/>
                        <w:left w:val="none" w:sz="0" w:space="0" w:color="auto"/>
                        <w:bottom w:val="none" w:sz="0" w:space="0" w:color="auto"/>
                        <w:right w:val="none" w:sz="0" w:space="0" w:color="auto"/>
                      </w:divBdr>
                    </w:div>
                    <w:div w:id="209073735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613091">
          <w:marLeft w:val="0"/>
          <w:marRight w:val="0"/>
          <w:marTop w:val="0"/>
          <w:marBottom w:val="0"/>
          <w:divBdr>
            <w:top w:val="none" w:sz="0" w:space="0" w:color="auto"/>
            <w:left w:val="none" w:sz="0" w:space="0" w:color="auto"/>
            <w:bottom w:val="none" w:sz="0" w:space="0" w:color="auto"/>
            <w:right w:val="none" w:sz="0" w:space="0" w:color="auto"/>
          </w:divBdr>
          <w:divsChild>
            <w:div w:id="602038536">
              <w:marLeft w:val="75"/>
              <w:marRight w:val="75"/>
              <w:marTop w:val="300"/>
              <w:marBottom w:val="75"/>
              <w:divBdr>
                <w:top w:val="none" w:sz="0" w:space="0" w:color="auto"/>
                <w:left w:val="none" w:sz="0" w:space="0" w:color="auto"/>
                <w:bottom w:val="none" w:sz="0" w:space="0" w:color="auto"/>
                <w:right w:val="none" w:sz="0" w:space="0" w:color="auto"/>
              </w:divBdr>
              <w:divsChild>
                <w:div w:id="7344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97331">
          <w:marLeft w:val="0"/>
          <w:marRight w:val="0"/>
          <w:marTop w:val="0"/>
          <w:marBottom w:val="0"/>
          <w:divBdr>
            <w:top w:val="none" w:sz="0" w:space="0" w:color="auto"/>
            <w:left w:val="none" w:sz="0" w:space="0" w:color="auto"/>
            <w:bottom w:val="none" w:sz="0" w:space="0" w:color="auto"/>
            <w:right w:val="none" w:sz="0" w:space="0" w:color="auto"/>
          </w:divBdr>
          <w:divsChild>
            <w:div w:id="194346884">
              <w:marLeft w:val="75"/>
              <w:marRight w:val="75"/>
              <w:marTop w:val="300"/>
              <w:marBottom w:val="75"/>
              <w:divBdr>
                <w:top w:val="none" w:sz="0" w:space="0" w:color="auto"/>
                <w:left w:val="none" w:sz="0" w:space="0" w:color="auto"/>
                <w:bottom w:val="none" w:sz="0" w:space="0" w:color="auto"/>
                <w:right w:val="none" w:sz="0" w:space="0" w:color="auto"/>
              </w:divBdr>
              <w:divsChild>
                <w:div w:id="7607891">
                  <w:marLeft w:val="0"/>
                  <w:marRight w:val="0"/>
                  <w:marTop w:val="0"/>
                  <w:marBottom w:val="0"/>
                  <w:divBdr>
                    <w:top w:val="none" w:sz="0" w:space="0" w:color="auto"/>
                    <w:left w:val="none" w:sz="0" w:space="0" w:color="auto"/>
                    <w:bottom w:val="none" w:sz="0" w:space="0" w:color="auto"/>
                    <w:right w:val="none" w:sz="0" w:space="0" w:color="auto"/>
                  </w:divBdr>
                  <w:divsChild>
                    <w:div w:id="191461458">
                      <w:marLeft w:val="0"/>
                      <w:marRight w:val="0"/>
                      <w:marTop w:val="0"/>
                      <w:marBottom w:val="0"/>
                      <w:divBdr>
                        <w:top w:val="none" w:sz="0" w:space="0" w:color="auto"/>
                        <w:left w:val="none" w:sz="0" w:space="0" w:color="auto"/>
                        <w:bottom w:val="none" w:sz="0" w:space="0" w:color="auto"/>
                        <w:right w:val="none" w:sz="0" w:space="0" w:color="auto"/>
                      </w:divBdr>
                      <w:divsChild>
                        <w:div w:id="1921284275">
                          <w:marLeft w:val="0"/>
                          <w:marRight w:val="0"/>
                          <w:marTop w:val="0"/>
                          <w:marBottom w:val="192"/>
                          <w:divBdr>
                            <w:top w:val="none" w:sz="0" w:space="0" w:color="auto"/>
                            <w:left w:val="none" w:sz="0" w:space="0" w:color="auto"/>
                            <w:bottom w:val="none" w:sz="0" w:space="0" w:color="auto"/>
                            <w:right w:val="none" w:sz="0" w:space="0" w:color="auto"/>
                          </w:divBdr>
                          <w:divsChild>
                            <w:div w:id="1160267160">
                              <w:marLeft w:val="0"/>
                              <w:marRight w:val="0"/>
                              <w:marTop w:val="0"/>
                              <w:marBottom w:val="0"/>
                              <w:divBdr>
                                <w:top w:val="dashed" w:sz="6" w:space="12" w:color="666666"/>
                                <w:left w:val="none" w:sz="0" w:space="0" w:color="auto"/>
                                <w:bottom w:val="none" w:sz="0" w:space="0" w:color="auto"/>
                                <w:right w:val="none" w:sz="0" w:space="0" w:color="auto"/>
                              </w:divBdr>
                            </w:div>
                          </w:divsChild>
                        </w:div>
                      </w:divsChild>
                    </w:div>
                  </w:divsChild>
                </w:div>
              </w:divsChild>
            </w:div>
          </w:divsChild>
        </w:div>
        <w:div w:id="340744060">
          <w:marLeft w:val="0"/>
          <w:marRight w:val="0"/>
          <w:marTop w:val="0"/>
          <w:marBottom w:val="0"/>
          <w:divBdr>
            <w:top w:val="none" w:sz="0" w:space="0" w:color="auto"/>
            <w:left w:val="none" w:sz="0" w:space="0" w:color="auto"/>
            <w:bottom w:val="none" w:sz="0" w:space="0" w:color="auto"/>
            <w:right w:val="none" w:sz="0" w:space="0" w:color="auto"/>
          </w:divBdr>
          <w:divsChild>
            <w:div w:id="81538482">
              <w:marLeft w:val="75"/>
              <w:marRight w:val="75"/>
              <w:marTop w:val="300"/>
              <w:marBottom w:val="75"/>
              <w:divBdr>
                <w:top w:val="none" w:sz="0" w:space="0" w:color="auto"/>
                <w:left w:val="none" w:sz="0" w:space="0" w:color="auto"/>
                <w:bottom w:val="none" w:sz="0" w:space="0" w:color="auto"/>
                <w:right w:val="none" w:sz="0" w:space="0" w:color="auto"/>
              </w:divBdr>
              <w:divsChild>
                <w:div w:id="186524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2215">
          <w:marLeft w:val="0"/>
          <w:marRight w:val="0"/>
          <w:marTop w:val="0"/>
          <w:marBottom w:val="0"/>
          <w:divBdr>
            <w:top w:val="none" w:sz="0" w:space="0" w:color="auto"/>
            <w:left w:val="none" w:sz="0" w:space="0" w:color="auto"/>
            <w:bottom w:val="none" w:sz="0" w:space="0" w:color="auto"/>
            <w:right w:val="none" w:sz="0" w:space="0" w:color="auto"/>
          </w:divBdr>
          <w:divsChild>
            <w:div w:id="1074203436">
              <w:marLeft w:val="75"/>
              <w:marRight w:val="75"/>
              <w:marTop w:val="300"/>
              <w:marBottom w:val="75"/>
              <w:divBdr>
                <w:top w:val="none" w:sz="0" w:space="0" w:color="auto"/>
                <w:left w:val="none" w:sz="0" w:space="0" w:color="auto"/>
                <w:bottom w:val="none" w:sz="0" w:space="0" w:color="auto"/>
                <w:right w:val="none" w:sz="0" w:space="0" w:color="auto"/>
              </w:divBdr>
              <w:divsChild>
                <w:div w:id="4720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761852">
          <w:marLeft w:val="0"/>
          <w:marRight w:val="0"/>
          <w:marTop w:val="0"/>
          <w:marBottom w:val="0"/>
          <w:divBdr>
            <w:top w:val="none" w:sz="0" w:space="0" w:color="auto"/>
            <w:left w:val="none" w:sz="0" w:space="0" w:color="auto"/>
            <w:bottom w:val="none" w:sz="0" w:space="0" w:color="auto"/>
            <w:right w:val="none" w:sz="0" w:space="0" w:color="auto"/>
          </w:divBdr>
          <w:divsChild>
            <w:div w:id="1033768438">
              <w:marLeft w:val="75"/>
              <w:marRight w:val="75"/>
              <w:marTop w:val="300"/>
              <w:marBottom w:val="75"/>
              <w:divBdr>
                <w:top w:val="none" w:sz="0" w:space="0" w:color="auto"/>
                <w:left w:val="none" w:sz="0" w:space="0" w:color="auto"/>
                <w:bottom w:val="none" w:sz="0" w:space="0" w:color="auto"/>
                <w:right w:val="none" w:sz="0" w:space="0" w:color="auto"/>
              </w:divBdr>
              <w:divsChild>
                <w:div w:id="768887354">
                  <w:marLeft w:val="0"/>
                  <w:marRight w:val="0"/>
                  <w:marTop w:val="0"/>
                  <w:marBottom w:val="0"/>
                  <w:divBdr>
                    <w:top w:val="none" w:sz="0" w:space="0" w:color="auto"/>
                    <w:left w:val="none" w:sz="0" w:space="0" w:color="auto"/>
                    <w:bottom w:val="none" w:sz="0" w:space="0" w:color="auto"/>
                    <w:right w:val="none" w:sz="0" w:space="0" w:color="auto"/>
                  </w:divBdr>
                  <w:divsChild>
                    <w:div w:id="573128568">
                      <w:marLeft w:val="0"/>
                      <w:marRight w:val="0"/>
                      <w:marTop w:val="0"/>
                      <w:marBottom w:val="0"/>
                      <w:divBdr>
                        <w:top w:val="none" w:sz="0" w:space="0" w:color="auto"/>
                        <w:left w:val="none" w:sz="0" w:space="0" w:color="auto"/>
                        <w:bottom w:val="none" w:sz="0" w:space="0" w:color="auto"/>
                        <w:right w:val="none" w:sz="0" w:space="0" w:color="auto"/>
                      </w:divBdr>
                    </w:div>
                    <w:div w:id="1196962076">
                      <w:marLeft w:val="-15"/>
                      <w:marRight w:val="-15"/>
                      <w:marTop w:val="0"/>
                      <w:marBottom w:val="0"/>
                      <w:divBdr>
                        <w:top w:val="none" w:sz="0" w:space="0" w:color="auto"/>
                        <w:left w:val="none" w:sz="0" w:space="0" w:color="auto"/>
                        <w:bottom w:val="none" w:sz="0" w:space="0" w:color="auto"/>
                        <w:right w:val="none" w:sz="0" w:space="0" w:color="auto"/>
                      </w:divBdr>
                    </w:div>
                    <w:div w:id="19295777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0929">
          <w:marLeft w:val="0"/>
          <w:marRight w:val="0"/>
          <w:marTop w:val="0"/>
          <w:marBottom w:val="0"/>
          <w:divBdr>
            <w:top w:val="none" w:sz="0" w:space="0" w:color="auto"/>
            <w:left w:val="none" w:sz="0" w:space="0" w:color="auto"/>
            <w:bottom w:val="none" w:sz="0" w:space="0" w:color="auto"/>
            <w:right w:val="none" w:sz="0" w:space="0" w:color="auto"/>
          </w:divBdr>
          <w:divsChild>
            <w:div w:id="1450734357">
              <w:marLeft w:val="75"/>
              <w:marRight w:val="75"/>
              <w:marTop w:val="300"/>
              <w:marBottom w:val="75"/>
              <w:divBdr>
                <w:top w:val="none" w:sz="0" w:space="0" w:color="auto"/>
                <w:left w:val="none" w:sz="0" w:space="0" w:color="auto"/>
                <w:bottom w:val="none" w:sz="0" w:space="0" w:color="auto"/>
                <w:right w:val="none" w:sz="0" w:space="0" w:color="auto"/>
              </w:divBdr>
              <w:divsChild>
                <w:div w:id="9861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6955">
          <w:marLeft w:val="0"/>
          <w:marRight w:val="0"/>
          <w:marTop w:val="0"/>
          <w:marBottom w:val="0"/>
          <w:divBdr>
            <w:top w:val="none" w:sz="0" w:space="0" w:color="auto"/>
            <w:left w:val="none" w:sz="0" w:space="0" w:color="auto"/>
            <w:bottom w:val="none" w:sz="0" w:space="0" w:color="auto"/>
            <w:right w:val="none" w:sz="0" w:space="0" w:color="auto"/>
          </w:divBdr>
          <w:divsChild>
            <w:div w:id="1327778615">
              <w:marLeft w:val="75"/>
              <w:marRight w:val="75"/>
              <w:marTop w:val="300"/>
              <w:marBottom w:val="75"/>
              <w:divBdr>
                <w:top w:val="none" w:sz="0" w:space="0" w:color="auto"/>
                <w:left w:val="none" w:sz="0" w:space="0" w:color="auto"/>
                <w:bottom w:val="none" w:sz="0" w:space="0" w:color="auto"/>
                <w:right w:val="none" w:sz="0" w:space="0" w:color="auto"/>
              </w:divBdr>
              <w:divsChild>
                <w:div w:id="16448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90037">
          <w:marLeft w:val="0"/>
          <w:marRight w:val="0"/>
          <w:marTop w:val="0"/>
          <w:marBottom w:val="0"/>
          <w:divBdr>
            <w:top w:val="none" w:sz="0" w:space="0" w:color="auto"/>
            <w:left w:val="none" w:sz="0" w:space="0" w:color="auto"/>
            <w:bottom w:val="none" w:sz="0" w:space="0" w:color="auto"/>
            <w:right w:val="none" w:sz="0" w:space="0" w:color="auto"/>
          </w:divBdr>
          <w:divsChild>
            <w:div w:id="1988509147">
              <w:marLeft w:val="75"/>
              <w:marRight w:val="75"/>
              <w:marTop w:val="300"/>
              <w:marBottom w:val="75"/>
              <w:divBdr>
                <w:top w:val="none" w:sz="0" w:space="0" w:color="auto"/>
                <w:left w:val="none" w:sz="0" w:space="0" w:color="auto"/>
                <w:bottom w:val="none" w:sz="0" w:space="0" w:color="auto"/>
                <w:right w:val="none" w:sz="0" w:space="0" w:color="auto"/>
              </w:divBdr>
              <w:divsChild>
                <w:div w:id="39848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19412">
          <w:marLeft w:val="0"/>
          <w:marRight w:val="0"/>
          <w:marTop w:val="0"/>
          <w:marBottom w:val="0"/>
          <w:divBdr>
            <w:top w:val="none" w:sz="0" w:space="0" w:color="auto"/>
            <w:left w:val="none" w:sz="0" w:space="0" w:color="auto"/>
            <w:bottom w:val="none" w:sz="0" w:space="0" w:color="auto"/>
            <w:right w:val="none" w:sz="0" w:space="0" w:color="auto"/>
          </w:divBdr>
          <w:divsChild>
            <w:div w:id="1523207621">
              <w:marLeft w:val="75"/>
              <w:marRight w:val="75"/>
              <w:marTop w:val="300"/>
              <w:marBottom w:val="75"/>
              <w:divBdr>
                <w:top w:val="none" w:sz="0" w:space="0" w:color="auto"/>
                <w:left w:val="none" w:sz="0" w:space="0" w:color="auto"/>
                <w:bottom w:val="none" w:sz="0" w:space="0" w:color="auto"/>
                <w:right w:val="none" w:sz="0" w:space="0" w:color="auto"/>
              </w:divBdr>
              <w:divsChild>
                <w:div w:id="604852255">
                  <w:marLeft w:val="0"/>
                  <w:marRight w:val="0"/>
                  <w:marTop w:val="0"/>
                  <w:marBottom w:val="0"/>
                  <w:divBdr>
                    <w:top w:val="none" w:sz="0" w:space="0" w:color="auto"/>
                    <w:left w:val="none" w:sz="0" w:space="0" w:color="auto"/>
                    <w:bottom w:val="none" w:sz="0" w:space="0" w:color="auto"/>
                    <w:right w:val="none" w:sz="0" w:space="0" w:color="auto"/>
                  </w:divBdr>
                  <w:divsChild>
                    <w:div w:id="512426602">
                      <w:marLeft w:val="300"/>
                      <w:marRight w:val="0"/>
                      <w:marTop w:val="0"/>
                      <w:marBottom w:val="0"/>
                      <w:divBdr>
                        <w:top w:val="none" w:sz="0" w:space="0" w:color="auto"/>
                        <w:left w:val="none" w:sz="0" w:space="0" w:color="auto"/>
                        <w:bottom w:val="none" w:sz="0" w:space="0" w:color="auto"/>
                        <w:right w:val="none" w:sz="0" w:space="0" w:color="auto"/>
                      </w:divBdr>
                    </w:div>
                    <w:div w:id="1161892444">
                      <w:marLeft w:val="-15"/>
                      <w:marRight w:val="-15"/>
                      <w:marTop w:val="0"/>
                      <w:marBottom w:val="0"/>
                      <w:divBdr>
                        <w:top w:val="none" w:sz="0" w:space="0" w:color="auto"/>
                        <w:left w:val="none" w:sz="0" w:space="0" w:color="auto"/>
                        <w:bottom w:val="none" w:sz="0" w:space="0" w:color="auto"/>
                        <w:right w:val="none" w:sz="0" w:space="0" w:color="auto"/>
                      </w:divBdr>
                    </w:div>
                    <w:div w:id="188163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46117">
          <w:marLeft w:val="0"/>
          <w:marRight w:val="0"/>
          <w:marTop w:val="0"/>
          <w:marBottom w:val="0"/>
          <w:divBdr>
            <w:top w:val="none" w:sz="0" w:space="0" w:color="auto"/>
            <w:left w:val="none" w:sz="0" w:space="0" w:color="auto"/>
            <w:bottom w:val="none" w:sz="0" w:space="0" w:color="auto"/>
            <w:right w:val="none" w:sz="0" w:space="0" w:color="auto"/>
          </w:divBdr>
          <w:divsChild>
            <w:div w:id="2131237170">
              <w:marLeft w:val="75"/>
              <w:marRight w:val="75"/>
              <w:marTop w:val="300"/>
              <w:marBottom w:val="75"/>
              <w:divBdr>
                <w:top w:val="none" w:sz="0" w:space="0" w:color="auto"/>
                <w:left w:val="none" w:sz="0" w:space="0" w:color="auto"/>
                <w:bottom w:val="none" w:sz="0" w:space="0" w:color="auto"/>
                <w:right w:val="none" w:sz="0" w:space="0" w:color="auto"/>
              </w:divBdr>
              <w:divsChild>
                <w:div w:id="320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02843">
          <w:marLeft w:val="0"/>
          <w:marRight w:val="0"/>
          <w:marTop w:val="0"/>
          <w:marBottom w:val="0"/>
          <w:divBdr>
            <w:top w:val="none" w:sz="0" w:space="0" w:color="auto"/>
            <w:left w:val="none" w:sz="0" w:space="0" w:color="auto"/>
            <w:bottom w:val="none" w:sz="0" w:space="0" w:color="auto"/>
            <w:right w:val="none" w:sz="0" w:space="0" w:color="auto"/>
          </w:divBdr>
          <w:divsChild>
            <w:div w:id="1603301775">
              <w:marLeft w:val="75"/>
              <w:marRight w:val="75"/>
              <w:marTop w:val="300"/>
              <w:marBottom w:val="75"/>
              <w:divBdr>
                <w:top w:val="none" w:sz="0" w:space="0" w:color="auto"/>
                <w:left w:val="none" w:sz="0" w:space="0" w:color="auto"/>
                <w:bottom w:val="none" w:sz="0" w:space="0" w:color="auto"/>
                <w:right w:val="none" w:sz="0" w:space="0" w:color="auto"/>
              </w:divBdr>
              <w:divsChild>
                <w:div w:id="1010136658">
                  <w:marLeft w:val="0"/>
                  <w:marRight w:val="0"/>
                  <w:marTop w:val="0"/>
                  <w:marBottom w:val="0"/>
                  <w:divBdr>
                    <w:top w:val="none" w:sz="0" w:space="0" w:color="auto"/>
                    <w:left w:val="none" w:sz="0" w:space="0" w:color="auto"/>
                    <w:bottom w:val="none" w:sz="0" w:space="0" w:color="auto"/>
                    <w:right w:val="none" w:sz="0" w:space="0" w:color="auto"/>
                  </w:divBdr>
                  <w:divsChild>
                    <w:div w:id="252011884">
                      <w:marLeft w:val="-15"/>
                      <w:marRight w:val="-15"/>
                      <w:marTop w:val="0"/>
                      <w:marBottom w:val="0"/>
                      <w:divBdr>
                        <w:top w:val="none" w:sz="0" w:space="0" w:color="auto"/>
                        <w:left w:val="none" w:sz="0" w:space="0" w:color="auto"/>
                        <w:bottom w:val="none" w:sz="0" w:space="0" w:color="auto"/>
                        <w:right w:val="none" w:sz="0" w:space="0" w:color="auto"/>
                      </w:divBdr>
                    </w:div>
                    <w:div w:id="1288122102">
                      <w:marLeft w:val="300"/>
                      <w:marRight w:val="0"/>
                      <w:marTop w:val="0"/>
                      <w:marBottom w:val="0"/>
                      <w:divBdr>
                        <w:top w:val="none" w:sz="0" w:space="0" w:color="auto"/>
                        <w:left w:val="none" w:sz="0" w:space="0" w:color="auto"/>
                        <w:bottom w:val="none" w:sz="0" w:space="0" w:color="auto"/>
                        <w:right w:val="none" w:sz="0" w:space="0" w:color="auto"/>
                      </w:divBdr>
                    </w:div>
                    <w:div w:id="201696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3516">
          <w:marLeft w:val="0"/>
          <w:marRight w:val="0"/>
          <w:marTop w:val="0"/>
          <w:marBottom w:val="0"/>
          <w:divBdr>
            <w:top w:val="none" w:sz="0" w:space="0" w:color="auto"/>
            <w:left w:val="none" w:sz="0" w:space="0" w:color="auto"/>
            <w:bottom w:val="none" w:sz="0" w:space="0" w:color="auto"/>
            <w:right w:val="none" w:sz="0" w:space="0" w:color="auto"/>
          </w:divBdr>
          <w:divsChild>
            <w:div w:id="980883258">
              <w:marLeft w:val="75"/>
              <w:marRight w:val="75"/>
              <w:marTop w:val="300"/>
              <w:marBottom w:val="75"/>
              <w:divBdr>
                <w:top w:val="none" w:sz="0" w:space="0" w:color="auto"/>
                <w:left w:val="none" w:sz="0" w:space="0" w:color="auto"/>
                <w:bottom w:val="none" w:sz="0" w:space="0" w:color="auto"/>
                <w:right w:val="none" w:sz="0" w:space="0" w:color="auto"/>
              </w:divBdr>
              <w:divsChild>
                <w:div w:id="1035272777">
                  <w:marLeft w:val="0"/>
                  <w:marRight w:val="0"/>
                  <w:marTop w:val="0"/>
                  <w:marBottom w:val="0"/>
                  <w:divBdr>
                    <w:top w:val="none" w:sz="0" w:space="0" w:color="auto"/>
                    <w:left w:val="none" w:sz="0" w:space="0" w:color="auto"/>
                    <w:bottom w:val="none" w:sz="0" w:space="0" w:color="auto"/>
                    <w:right w:val="none" w:sz="0" w:space="0" w:color="auto"/>
                  </w:divBdr>
                  <w:divsChild>
                    <w:div w:id="1098672822">
                      <w:marLeft w:val="0"/>
                      <w:marRight w:val="0"/>
                      <w:marTop w:val="0"/>
                      <w:marBottom w:val="0"/>
                      <w:divBdr>
                        <w:top w:val="none" w:sz="0" w:space="0" w:color="auto"/>
                        <w:left w:val="none" w:sz="0" w:space="0" w:color="auto"/>
                        <w:bottom w:val="none" w:sz="0" w:space="0" w:color="auto"/>
                        <w:right w:val="none" w:sz="0" w:space="0" w:color="auto"/>
                      </w:divBdr>
                    </w:div>
                    <w:div w:id="1977642160">
                      <w:marLeft w:val="-15"/>
                      <w:marRight w:val="-15"/>
                      <w:marTop w:val="0"/>
                      <w:marBottom w:val="0"/>
                      <w:divBdr>
                        <w:top w:val="none" w:sz="0" w:space="0" w:color="auto"/>
                        <w:left w:val="none" w:sz="0" w:space="0" w:color="auto"/>
                        <w:bottom w:val="none" w:sz="0" w:space="0" w:color="auto"/>
                        <w:right w:val="none" w:sz="0" w:space="0" w:color="auto"/>
                      </w:divBdr>
                    </w:div>
                    <w:div w:id="20056656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2304">
          <w:marLeft w:val="0"/>
          <w:marRight w:val="0"/>
          <w:marTop w:val="0"/>
          <w:marBottom w:val="0"/>
          <w:divBdr>
            <w:top w:val="none" w:sz="0" w:space="0" w:color="auto"/>
            <w:left w:val="none" w:sz="0" w:space="0" w:color="auto"/>
            <w:bottom w:val="none" w:sz="0" w:space="0" w:color="auto"/>
            <w:right w:val="none" w:sz="0" w:space="0" w:color="auto"/>
          </w:divBdr>
          <w:divsChild>
            <w:div w:id="1855069481">
              <w:marLeft w:val="75"/>
              <w:marRight w:val="75"/>
              <w:marTop w:val="300"/>
              <w:marBottom w:val="75"/>
              <w:divBdr>
                <w:top w:val="none" w:sz="0" w:space="0" w:color="auto"/>
                <w:left w:val="none" w:sz="0" w:space="0" w:color="auto"/>
                <w:bottom w:val="none" w:sz="0" w:space="0" w:color="auto"/>
                <w:right w:val="none" w:sz="0" w:space="0" w:color="auto"/>
              </w:divBdr>
              <w:divsChild>
                <w:div w:id="630668158">
                  <w:marLeft w:val="0"/>
                  <w:marRight w:val="0"/>
                  <w:marTop w:val="0"/>
                  <w:marBottom w:val="0"/>
                  <w:divBdr>
                    <w:top w:val="none" w:sz="0" w:space="0" w:color="auto"/>
                    <w:left w:val="none" w:sz="0" w:space="0" w:color="auto"/>
                    <w:bottom w:val="none" w:sz="0" w:space="0" w:color="auto"/>
                    <w:right w:val="none" w:sz="0" w:space="0" w:color="auto"/>
                  </w:divBdr>
                  <w:divsChild>
                    <w:div w:id="1060399899">
                      <w:marLeft w:val="0"/>
                      <w:marRight w:val="0"/>
                      <w:marTop w:val="0"/>
                      <w:marBottom w:val="0"/>
                      <w:divBdr>
                        <w:top w:val="none" w:sz="0" w:space="0" w:color="auto"/>
                        <w:left w:val="none" w:sz="0" w:space="0" w:color="auto"/>
                        <w:bottom w:val="none" w:sz="0" w:space="0" w:color="auto"/>
                        <w:right w:val="none" w:sz="0" w:space="0" w:color="auto"/>
                      </w:divBdr>
                      <w:divsChild>
                        <w:div w:id="87120079">
                          <w:marLeft w:val="75"/>
                          <w:marRight w:val="0"/>
                          <w:marTop w:val="0"/>
                          <w:marBottom w:val="0"/>
                          <w:divBdr>
                            <w:top w:val="none" w:sz="0" w:space="0" w:color="auto"/>
                            <w:left w:val="none" w:sz="0" w:space="0" w:color="auto"/>
                            <w:bottom w:val="none" w:sz="0" w:space="0" w:color="auto"/>
                            <w:right w:val="none" w:sz="0" w:space="0" w:color="auto"/>
                          </w:divBdr>
                        </w:div>
                        <w:div w:id="245311870">
                          <w:marLeft w:val="75"/>
                          <w:marRight w:val="0"/>
                          <w:marTop w:val="0"/>
                          <w:marBottom w:val="0"/>
                          <w:divBdr>
                            <w:top w:val="none" w:sz="0" w:space="0" w:color="auto"/>
                            <w:left w:val="none" w:sz="0" w:space="0" w:color="auto"/>
                            <w:bottom w:val="none" w:sz="0" w:space="0" w:color="auto"/>
                            <w:right w:val="none" w:sz="0" w:space="0" w:color="auto"/>
                          </w:divBdr>
                        </w:div>
                        <w:div w:id="134586040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874176">
          <w:marLeft w:val="0"/>
          <w:marRight w:val="0"/>
          <w:marTop w:val="0"/>
          <w:marBottom w:val="0"/>
          <w:divBdr>
            <w:top w:val="none" w:sz="0" w:space="0" w:color="auto"/>
            <w:left w:val="none" w:sz="0" w:space="0" w:color="auto"/>
            <w:bottom w:val="none" w:sz="0" w:space="0" w:color="auto"/>
            <w:right w:val="none" w:sz="0" w:space="0" w:color="auto"/>
          </w:divBdr>
          <w:divsChild>
            <w:div w:id="2034186959">
              <w:marLeft w:val="75"/>
              <w:marRight w:val="75"/>
              <w:marTop w:val="300"/>
              <w:marBottom w:val="75"/>
              <w:divBdr>
                <w:top w:val="none" w:sz="0" w:space="0" w:color="auto"/>
                <w:left w:val="none" w:sz="0" w:space="0" w:color="auto"/>
                <w:bottom w:val="none" w:sz="0" w:space="0" w:color="auto"/>
                <w:right w:val="none" w:sz="0" w:space="0" w:color="auto"/>
              </w:divBdr>
              <w:divsChild>
                <w:div w:id="1966230696">
                  <w:marLeft w:val="0"/>
                  <w:marRight w:val="0"/>
                  <w:marTop w:val="0"/>
                  <w:marBottom w:val="0"/>
                  <w:divBdr>
                    <w:top w:val="none" w:sz="0" w:space="0" w:color="auto"/>
                    <w:left w:val="none" w:sz="0" w:space="0" w:color="auto"/>
                    <w:bottom w:val="none" w:sz="0" w:space="0" w:color="auto"/>
                    <w:right w:val="none" w:sz="0" w:space="0" w:color="auto"/>
                  </w:divBdr>
                  <w:divsChild>
                    <w:div w:id="1545017682">
                      <w:marLeft w:val="0"/>
                      <w:marRight w:val="0"/>
                      <w:marTop w:val="0"/>
                      <w:marBottom w:val="0"/>
                      <w:divBdr>
                        <w:top w:val="none" w:sz="0" w:space="0" w:color="auto"/>
                        <w:left w:val="none" w:sz="0" w:space="0" w:color="auto"/>
                        <w:bottom w:val="none" w:sz="0" w:space="0" w:color="auto"/>
                        <w:right w:val="none" w:sz="0" w:space="0" w:color="auto"/>
                      </w:divBdr>
                      <w:divsChild>
                        <w:div w:id="416754647">
                          <w:marLeft w:val="75"/>
                          <w:marRight w:val="0"/>
                          <w:marTop w:val="0"/>
                          <w:marBottom w:val="0"/>
                          <w:divBdr>
                            <w:top w:val="none" w:sz="0" w:space="0" w:color="auto"/>
                            <w:left w:val="none" w:sz="0" w:space="0" w:color="auto"/>
                            <w:bottom w:val="none" w:sz="0" w:space="0" w:color="auto"/>
                            <w:right w:val="none" w:sz="0" w:space="0" w:color="auto"/>
                          </w:divBdr>
                        </w:div>
                        <w:div w:id="1607273517">
                          <w:marLeft w:val="75"/>
                          <w:marRight w:val="0"/>
                          <w:marTop w:val="0"/>
                          <w:marBottom w:val="0"/>
                          <w:divBdr>
                            <w:top w:val="none" w:sz="0" w:space="0" w:color="auto"/>
                            <w:left w:val="none" w:sz="0" w:space="0" w:color="auto"/>
                            <w:bottom w:val="none" w:sz="0" w:space="0" w:color="auto"/>
                            <w:right w:val="none" w:sz="0" w:space="0" w:color="auto"/>
                          </w:divBdr>
                        </w:div>
                        <w:div w:id="19180082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960893">
          <w:marLeft w:val="0"/>
          <w:marRight w:val="0"/>
          <w:marTop w:val="0"/>
          <w:marBottom w:val="0"/>
          <w:divBdr>
            <w:top w:val="none" w:sz="0" w:space="0" w:color="auto"/>
            <w:left w:val="none" w:sz="0" w:space="0" w:color="auto"/>
            <w:bottom w:val="none" w:sz="0" w:space="0" w:color="auto"/>
            <w:right w:val="none" w:sz="0" w:space="0" w:color="auto"/>
          </w:divBdr>
          <w:divsChild>
            <w:div w:id="1815029657">
              <w:marLeft w:val="75"/>
              <w:marRight w:val="75"/>
              <w:marTop w:val="300"/>
              <w:marBottom w:val="75"/>
              <w:divBdr>
                <w:top w:val="none" w:sz="0" w:space="0" w:color="auto"/>
                <w:left w:val="none" w:sz="0" w:space="0" w:color="auto"/>
                <w:bottom w:val="none" w:sz="0" w:space="0" w:color="auto"/>
                <w:right w:val="none" w:sz="0" w:space="0" w:color="auto"/>
              </w:divBdr>
              <w:divsChild>
                <w:div w:id="1688094184">
                  <w:marLeft w:val="0"/>
                  <w:marRight w:val="0"/>
                  <w:marTop w:val="0"/>
                  <w:marBottom w:val="0"/>
                  <w:divBdr>
                    <w:top w:val="none" w:sz="0" w:space="0" w:color="auto"/>
                    <w:left w:val="none" w:sz="0" w:space="0" w:color="auto"/>
                    <w:bottom w:val="none" w:sz="0" w:space="0" w:color="auto"/>
                    <w:right w:val="none" w:sz="0" w:space="0" w:color="auto"/>
                  </w:divBdr>
                  <w:divsChild>
                    <w:div w:id="1702898470">
                      <w:marLeft w:val="0"/>
                      <w:marRight w:val="0"/>
                      <w:marTop w:val="0"/>
                      <w:marBottom w:val="0"/>
                      <w:divBdr>
                        <w:top w:val="none" w:sz="0" w:space="0" w:color="auto"/>
                        <w:left w:val="none" w:sz="0" w:space="0" w:color="auto"/>
                        <w:bottom w:val="none" w:sz="0" w:space="0" w:color="auto"/>
                        <w:right w:val="none" w:sz="0" w:space="0" w:color="auto"/>
                      </w:divBdr>
                      <w:divsChild>
                        <w:div w:id="115411297">
                          <w:marLeft w:val="75"/>
                          <w:marRight w:val="0"/>
                          <w:marTop w:val="0"/>
                          <w:marBottom w:val="0"/>
                          <w:divBdr>
                            <w:top w:val="none" w:sz="0" w:space="0" w:color="auto"/>
                            <w:left w:val="none" w:sz="0" w:space="0" w:color="auto"/>
                            <w:bottom w:val="none" w:sz="0" w:space="0" w:color="auto"/>
                            <w:right w:val="none" w:sz="0" w:space="0" w:color="auto"/>
                          </w:divBdr>
                        </w:div>
                        <w:div w:id="1353727990">
                          <w:marLeft w:val="75"/>
                          <w:marRight w:val="0"/>
                          <w:marTop w:val="0"/>
                          <w:marBottom w:val="0"/>
                          <w:divBdr>
                            <w:top w:val="none" w:sz="0" w:space="0" w:color="auto"/>
                            <w:left w:val="none" w:sz="0" w:space="0" w:color="auto"/>
                            <w:bottom w:val="none" w:sz="0" w:space="0" w:color="auto"/>
                            <w:right w:val="none" w:sz="0" w:space="0" w:color="auto"/>
                          </w:divBdr>
                        </w:div>
                        <w:div w:id="140372379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62141">
          <w:marLeft w:val="0"/>
          <w:marRight w:val="0"/>
          <w:marTop w:val="0"/>
          <w:marBottom w:val="0"/>
          <w:divBdr>
            <w:top w:val="none" w:sz="0" w:space="0" w:color="auto"/>
            <w:left w:val="none" w:sz="0" w:space="0" w:color="auto"/>
            <w:bottom w:val="none" w:sz="0" w:space="0" w:color="auto"/>
            <w:right w:val="none" w:sz="0" w:space="0" w:color="auto"/>
          </w:divBdr>
          <w:divsChild>
            <w:div w:id="884487713">
              <w:marLeft w:val="75"/>
              <w:marRight w:val="75"/>
              <w:marTop w:val="300"/>
              <w:marBottom w:val="75"/>
              <w:divBdr>
                <w:top w:val="none" w:sz="0" w:space="0" w:color="auto"/>
                <w:left w:val="none" w:sz="0" w:space="0" w:color="auto"/>
                <w:bottom w:val="none" w:sz="0" w:space="0" w:color="auto"/>
                <w:right w:val="none" w:sz="0" w:space="0" w:color="auto"/>
              </w:divBdr>
              <w:divsChild>
                <w:div w:id="3513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79083">
          <w:marLeft w:val="0"/>
          <w:marRight w:val="0"/>
          <w:marTop w:val="0"/>
          <w:marBottom w:val="0"/>
          <w:divBdr>
            <w:top w:val="none" w:sz="0" w:space="0" w:color="auto"/>
            <w:left w:val="none" w:sz="0" w:space="0" w:color="auto"/>
            <w:bottom w:val="none" w:sz="0" w:space="0" w:color="auto"/>
            <w:right w:val="none" w:sz="0" w:space="0" w:color="auto"/>
          </w:divBdr>
          <w:divsChild>
            <w:div w:id="2005352344">
              <w:marLeft w:val="75"/>
              <w:marRight w:val="75"/>
              <w:marTop w:val="300"/>
              <w:marBottom w:val="75"/>
              <w:divBdr>
                <w:top w:val="none" w:sz="0" w:space="0" w:color="auto"/>
                <w:left w:val="none" w:sz="0" w:space="0" w:color="auto"/>
                <w:bottom w:val="none" w:sz="0" w:space="0" w:color="auto"/>
                <w:right w:val="none" w:sz="0" w:space="0" w:color="auto"/>
              </w:divBdr>
              <w:divsChild>
                <w:div w:id="74866688">
                  <w:marLeft w:val="0"/>
                  <w:marRight w:val="0"/>
                  <w:marTop w:val="0"/>
                  <w:marBottom w:val="0"/>
                  <w:divBdr>
                    <w:top w:val="none" w:sz="0" w:space="0" w:color="auto"/>
                    <w:left w:val="none" w:sz="0" w:space="0" w:color="auto"/>
                    <w:bottom w:val="none" w:sz="0" w:space="0" w:color="auto"/>
                    <w:right w:val="none" w:sz="0" w:space="0" w:color="auto"/>
                  </w:divBdr>
                  <w:divsChild>
                    <w:div w:id="1253472201">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045375745">
          <w:marLeft w:val="0"/>
          <w:marRight w:val="0"/>
          <w:marTop w:val="0"/>
          <w:marBottom w:val="0"/>
          <w:divBdr>
            <w:top w:val="none" w:sz="0" w:space="0" w:color="auto"/>
            <w:left w:val="none" w:sz="0" w:space="0" w:color="auto"/>
            <w:bottom w:val="none" w:sz="0" w:space="0" w:color="auto"/>
            <w:right w:val="none" w:sz="0" w:space="0" w:color="auto"/>
          </w:divBdr>
          <w:divsChild>
            <w:div w:id="305551755">
              <w:marLeft w:val="75"/>
              <w:marRight w:val="75"/>
              <w:marTop w:val="300"/>
              <w:marBottom w:val="75"/>
              <w:divBdr>
                <w:top w:val="none" w:sz="0" w:space="0" w:color="auto"/>
                <w:left w:val="none" w:sz="0" w:space="0" w:color="auto"/>
                <w:bottom w:val="none" w:sz="0" w:space="0" w:color="auto"/>
                <w:right w:val="none" w:sz="0" w:space="0" w:color="auto"/>
              </w:divBdr>
              <w:divsChild>
                <w:div w:id="96707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464">
          <w:marLeft w:val="0"/>
          <w:marRight w:val="0"/>
          <w:marTop w:val="0"/>
          <w:marBottom w:val="0"/>
          <w:divBdr>
            <w:top w:val="none" w:sz="0" w:space="0" w:color="auto"/>
            <w:left w:val="none" w:sz="0" w:space="0" w:color="auto"/>
            <w:bottom w:val="none" w:sz="0" w:space="0" w:color="auto"/>
            <w:right w:val="none" w:sz="0" w:space="0" w:color="auto"/>
          </w:divBdr>
          <w:divsChild>
            <w:div w:id="1522084064">
              <w:marLeft w:val="75"/>
              <w:marRight w:val="75"/>
              <w:marTop w:val="300"/>
              <w:marBottom w:val="75"/>
              <w:divBdr>
                <w:top w:val="none" w:sz="0" w:space="0" w:color="auto"/>
                <w:left w:val="none" w:sz="0" w:space="0" w:color="auto"/>
                <w:bottom w:val="none" w:sz="0" w:space="0" w:color="auto"/>
                <w:right w:val="none" w:sz="0" w:space="0" w:color="auto"/>
              </w:divBdr>
              <w:divsChild>
                <w:div w:id="62531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099175">
          <w:marLeft w:val="0"/>
          <w:marRight w:val="0"/>
          <w:marTop w:val="0"/>
          <w:marBottom w:val="0"/>
          <w:divBdr>
            <w:top w:val="none" w:sz="0" w:space="0" w:color="auto"/>
            <w:left w:val="none" w:sz="0" w:space="0" w:color="auto"/>
            <w:bottom w:val="none" w:sz="0" w:space="0" w:color="auto"/>
            <w:right w:val="none" w:sz="0" w:space="0" w:color="auto"/>
          </w:divBdr>
          <w:divsChild>
            <w:div w:id="1802378771">
              <w:marLeft w:val="75"/>
              <w:marRight w:val="75"/>
              <w:marTop w:val="300"/>
              <w:marBottom w:val="75"/>
              <w:divBdr>
                <w:top w:val="none" w:sz="0" w:space="0" w:color="auto"/>
                <w:left w:val="none" w:sz="0" w:space="0" w:color="auto"/>
                <w:bottom w:val="none" w:sz="0" w:space="0" w:color="auto"/>
                <w:right w:val="none" w:sz="0" w:space="0" w:color="auto"/>
              </w:divBdr>
              <w:divsChild>
                <w:div w:id="33627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46435">
          <w:marLeft w:val="0"/>
          <w:marRight w:val="0"/>
          <w:marTop w:val="0"/>
          <w:marBottom w:val="0"/>
          <w:divBdr>
            <w:top w:val="none" w:sz="0" w:space="0" w:color="auto"/>
            <w:left w:val="none" w:sz="0" w:space="0" w:color="auto"/>
            <w:bottom w:val="none" w:sz="0" w:space="0" w:color="auto"/>
            <w:right w:val="none" w:sz="0" w:space="0" w:color="auto"/>
          </w:divBdr>
          <w:divsChild>
            <w:div w:id="649863486">
              <w:marLeft w:val="75"/>
              <w:marRight w:val="75"/>
              <w:marTop w:val="300"/>
              <w:marBottom w:val="75"/>
              <w:divBdr>
                <w:top w:val="none" w:sz="0" w:space="0" w:color="auto"/>
                <w:left w:val="none" w:sz="0" w:space="0" w:color="auto"/>
                <w:bottom w:val="none" w:sz="0" w:space="0" w:color="auto"/>
                <w:right w:val="none" w:sz="0" w:space="0" w:color="auto"/>
              </w:divBdr>
              <w:divsChild>
                <w:div w:id="1707173736">
                  <w:marLeft w:val="0"/>
                  <w:marRight w:val="0"/>
                  <w:marTop w:val="0"/>
                  <w:marBottom w:val="0"/>
                  <w:divBdr>
                    <w:top w:val="none" w:sz="0" w:space="0" w:color="auto"/>
                    <w:left w:val="none" w:sz="0" w:space="0" w:color="auto"/>
                    <w:bottom w:val="none" w:sz="0" w:space="0" w:color="auto"/>
                    <w:right w:val="none" w:sz="0" w:space="0" w:color="auto"/>
                  </w:divBdr>
                  <w:divsChild>
                    <w:div w:id="1432361395">
                      <w:marLeft w:val="0"/>
                      <w:marRight w:val="0"/>
                      <w:marTop w:val="0"/>
                      <w:marBottom w:val="0"/>
                      <w:divBdr>
                        <w:top w:val="none" w:sz="0" w:space="0" w:color="auto"/>
                        <w:left w:val="none" w:sz="0" w:space="0" w:color="auto"/>
                        <w:bottom w:val="none" w:sz="0" w:space="0" w:color="auto"/>
                        <w:right w:val="none" w:sz="0" w:space="0" w:color="auto"/>
                      </w:divBdr>
                      <w:divsChild>
                        <w:div w:id="557858074">
                          <w:marLeft w:val="75"/>
                          <w:marRight w:val="0"/>
                          <w:marTop w:val="0"/>
                          <w:marBottom w:val="0"/>
                          <w:divBdr>
                            <w:top w:val="none" w:sz="0" w:space="0" w:color="auto"/>
                            <w:left w:val="none" w:sz="0" w:space="0" w:color="auto"/>
                            <w:bottom w:val="none" w:sz="0" w:space="0" w:color="auto"/>
                            <w:right w:val="none" w:sz="0" w:space="0" w:color="auto"/>
                          </w:divBdr>
                        </w:div>
                        <w:div w:id="869604632">
                          <w:marLeft w:val="75"/>
                          <w:marRight w:val="0"/>
                          <w:marTop w:val="0"/>
                          <w:marBottom w:val="0"/>
                          <w:divBdr>
                            <w:top w:val="none" w:sz="0" w:space="0" w:color="auto"/>
                            <w:left w:val="none" w:sz="0" w:space="0" w:color="auto"/>
                            <w:bottom w:val="none" w:sz="0" w:space="0" w:color="auto"/>
                            <w:right w:val="none" w:sz="0" w:space="0" w:color="auto"/>
                          </w:divBdr>
                        </w:div>
                        <w:div w:id="124780901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628203">
          <w:marLeft w:val="0"/>
          <w:marRight w:val="0"/>
          <w:marTop w:val="0"/>
          <w:marBottom w:val="0"/>
          <w:divBdr>
            <w:top w:val="none" w:sz="0" w:space="0" w:color="auto"/>
            <w:left w:val="none" w:sz="0" w:space="0" w:color="auto"/>
            <w:bottom w:val="none" w:sz="0" w:space="0" w:color="auto"/>
            <w:right w:val="none" w:sz="0" w:space="0" w:color="auto"/>
          </w:divBdr>
          <w:divsChild>
            <w:div w:id="971907239">
              <w:marLeft w:val="75"/>
              <w:marRight w:val="75"/>
              <w:marTop w:val="300"/>
              <w:marBottom w:val="75"/>
              <w:divBdr>
                <w:top w:val="none" w:sz="0" w:space="0" w:color="auto"/>
                <w:left w:val="none" w:sz="0" w:space="0" w:color="auto"/>
                <w:bottom w:val="none" w:sz="0" w:space="0" w:color="auto"/>
                <w:right w:val="none" w:sz="0" w:space="0" w:color="auto"/>
              </w:divBdr>
              <w:divsChild>
                <w:div w:id="2121563606">
                  <w:marLeft w:val="0"/>
                  <w:marRight w:val="0"/>
                  <w:marTop w:val="0"/>
                  <w:marBottom w:val="0"/>
                  <w:divBdr>
                    <w:top w:val="none" w:sz="0" w:space="0" w:color="auto"/>
                    <w:left w:val="none" w:sz="0" w:space="0" w:color="auto"/>
                    <w:bottom w:val="none" w:sz="0" w:space="0" w:color="auto"/>
                    <w:right w:val="none" w:sz="0" w:space="0" w:color="auto"/>
                  </w:divBdr>
                  <w:divsChild>
                    <w:div w:id="1193493512">
                      <w:marLeft w:val="0"/>
                      <w:marRight w:val="0"/>
                      <w:marTop w:val="0"/>
                      <w:marBottom w:val="0"/>
                      <w:divBdr>
                        <w:top w:val="none" w:sz="0" w:space="0" w:color="auto"/>
                        <w:left w:val="none" w:sz="0" w:space="0" w:color="auto"/>
                        <w:bottom w:val="none" w:sz="0" w:space="0" w:color="auto"/>
                        <w:right w:val="none" w:sz="0" w:space="0" w:color="auto"/>
                      </w:divBdr>
                      <w:divsChild>
                        <w:div w:id="72167960">
                          <w:marLeft w:val="75"/>
                          <w:marRight w:val="0"/>
                          <w:marTop w:val="0"/>
                          <w:marBottom w:val="0"/>
                          <w:divBdr>
                            <w:top w:val="none" w:sz="0" w:space="0" w:color="auto"/>
                            <w:left w:val="none" w:sz="0" w:space="0" w:color="auto"/>
                            <w:bottom w:val="none" w:sz="0" w:space="0" w:color="auto"/>
                            <w:right w:val="none" w:sz="0" w:space="0" w:color="auto"/>
                          </w:divBdr>
                        </w:div>
                        <w:div w:id="1195732851">
                          <w:marLeft w:val="75"/>
                          <w:marRight w:val="0"/>
                          <w:marTop w:val="0"/>
                          <w:marBottom w:val="0"/>
                          <w:divBdr>
                            <w:top w:val="none" w:sz="0" w:space="0" w:color="auto"/>
                            <w:left w:val="none" w:sz="0" w:space="0" w:color="auto"/>
                            <w:bottom w:val="none" w:sz="0" w:space="0" w:color="auto"/>
                            <w:right w:val="none" w:sz="0" w:space="0" w:color="auto"/>
                          </w:divBdr>
                        </w:div>
                        <w:div w:id="19941397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460619">
          <w:marLeft w:val="0"/>
          <w:marRight w:val="0"/>
          <w:marTop w:val="0"/>
          <w:marBottom w:val="0"/>
          <w:divBdr>
            <w:top w:val="none" w:sz="0" w:space="0" w:color="auto"/>
            <w:left w:val="none" w:sz="0" w:space="0" w:color="auto"/>
            <w:bottom w:val="none" w:sz="0" w:space="0" w:color="auto"/>
            <w:right w:val="none" w:sz="0" w:space="0" w:color="auto"/>
          </w:divBdr>
          <w:divsChild>
            <w:div w:id="830171399">
              <w:marLeft w:val="75"/>
              <w:marRight w:val="75"/>
              <w:marTop w:val="300"/>
              <w:marBottom w:val="75"/>
              <w:divBdr>
                <w:top w:val="none" w:sz="0" w:space="0" w:color="auto"/>
                <w:left w:val="none" w:sz="0" w:space="0" w:color="auto"/>
                <w:bottom w:val="none" w:sz="0" w:space="0" w:color="auto"/>
                <w:right w:val="none" w:sz="0" w:space="0" w:color="auto"/>
              </w:divBdr>
              <w:divsChild>
                <w:div w:id="1936356978">
                  <w:marLeft w:val="0"/>
                  <w:marRight w:val="0"/>
                  <w:marTop w:val="0"/>
                  <w:marBottom w:val="0"/>
                  <w:divBdr>
                    <w:top w:val="none" w:sz="0" w:space="0" w:color="auto"/>
                    <w:left w:val="none" w:sz="0" w:space="0" w:color="auto"/>
                    <w:bottom w:val="none" w:sz="0" w:space="0" w:color="auto"/>
                    <w:right w:val="none" w:sz="0" w:space="0" w:color="auto"/>
                  </w:divBdr>
                  <w:divsChild>
                    <w:div w:id="696389219">
                      <w:marLeft w:val="300"/>
                      <w:marRight w:val="0"/>
                      <w:marTop w:val="0"/>
                      <w:marBottom w:val="0"/>
                      <w:divBdr>
                        <w:top w:val="none" w:sz="0" w:space="0" w:color="auto"/>
                        <w:left w:val="none" w:sz="0" w:space="0" w:color="auto"/>
                        <w:bottom w:val="none" w:sz="0" w:space="0" w:color="auto"/>
                        <w:right w:val="none" w:sz="0" w:space="0" w:color="auto"/>
                      </w:divBdr>
                    </w:div>
                    <w:div w:id="1383360016">
                      <w:marLeft w:val="0"/>
                      <w:marRight w:val="0"/>
                      <w:marTop w:val="0"/>
                      <w:marBottom w:val="0"/>
                      <w:divBdr>
                        <w:top w:val="none" w:sz="0" w:space="0" w:color="auto"/>
                        <w:left w:val="none" w:sz="0" w:space="0" w:color="auto"/>
                        <w:bottom w:val="none" w:sz="0" w:space="0" w:color="auto"/>
                        <w:right w:val="none" w:sz="0" w:space="0" w:color="auto"/>
                      </w:divBdr>
                    </w:div>
                    <w:div w:id="174830726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65454910">
          <w:marLeft w:val="0"/>
          <w:marRight w:val="0"/>
          <w:marTop w:val="0"/>
          <w:marBottom w:val="0"/>
          <w:divBdr>
            <w:top w:val="none" w:sz="0" w:space="0" w:color="auto"/>
            <w:left w:val="none" w:sz="0" w:space="0" w:color="auto"/>
            <w:bottom w:val="none" w:sz="0" w:space="0" w:color="auto"/>
            <w:right w:val="none" w:sz="0" w:space="0" w:color="auto"/>
          </w:divBdr>
          <w:divsChild>
            <w:div w:id="890731647">
              <w:marLeft w:val="75"/>
              <w:marRight w:val="75"/>
              <w:marTop w:val="300"/>
              <w:marBottom w:val="75"/>
              <w:divBdr>
                <w:top w:val="none" w:sz="0" w:space="0" w:color="auto"/>
                <w:left w:val="none" w:sz="0" w:space="0" w:color="auto"/>
                <w:bottom w:val="none" w:sz="0" w:space="0" w:color="auto"/>
                <w:right w:val="none" w:sz="0" w:space="0" w:color="auto"/>
              </w:divBdr>
              <w:divsChild>
                <w:div w:id="136232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61503">
          <w:marLeft w:val="0"/>
          <w:marRight w:val="0"/>
          <w:marTop w:val="0"/>
          <w:marBottom w:val="0"/>
          <w:divBdr>
            <w:top w:val="none" w:sz="0" w:space="0" w:color="auto"/>
            <w:left w:val="none" w:sz="0" w:space="0" w:color="auto"/>
            <w:bottom w:val="none" w:sz="0" w:space="0" w:color="auto"/>
            <w:right w:val="none" w:sz="0" w:space="0" w:color="auto"/>
          </w:divBdr>
          <w:divsChild>
            <w:div w:id="2123723336">
              <w:marLeft w:val="75"/>
              <w:marRight w:val="75"/>
              <w:marTop w:val="300"/>
              <w:marBottom w:val="75"/>
              <w:divBdr>
                <w:top w:val="none" w:sz="0" w:space="0" w:color="auto"/>
                <w:left w:val="none" w:sz="0" w:space="0" w:color="auto"/>
                <w:bottom w:val="none" w:sz="0" w:space="0" w:color="auto"/>
                <w:right w:val="none" w:sz="0" w:space="0" w:color="auto"/>
              </w:divBdr>
              <w:divsChild>
                <w:div w:id="2098206138">
                  <w:marLeft w:val="0"/>
                  <w:marRight w:val="0"/>
                  <w:marTop w:val="0"/>
                  <w:marBottom w:val="0"/>
                  <w:divBdr>
                    <w:top w:val="none" w:sz="0" w:space="0" w:color="auto"/>
                    <w:left w:val="none" w:sz="0" w:space="0" w:color="auto"/>
                    <w:bottom w:val="none" w:sz="0" w:space="0" w:color="auto"/>
                    <w:right w:val="none" w:sz="0" w:space="0" w:color="auto"/>
                  </w:divBdr>
                  <w:divsChild>
                    <w:div w:id="1800613988">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352679077">
          <w:marLeft w:val="0"/>
          <w:marRight w:val="0"/>
          <w:marTop w:val="0"/>
          <w:marBottom w:val="0"/>
          <w:divBdr>
            <w:top w:val="none" w:sz="0" w:space="0" w:color="auto"/>
            <w:left w:val="none" w:sz="0" w:space="0" w:color="auto"/>
            <w:bottom w:val="none" w:sz="0" w:space="0" w:color="auto"/>
            <w:right w:val="none" w:sz="0" w:space="0" w:color="auto"/>
          </w:divBdr>
          <w:divsChild>
            <w:div w:id="578446789">
              <w:marLeft w:val="75"/>
              <w:marRight w:val="75"/>
              <w:marTop w:val="300"/>
              <w:marBottom w:val="75"/>
              <w:divBdr>
                <w:top w:val="none" w:sz="0" w:space="0" w:color="auto"/>
                <w:left w:val="none" w:sz="0" w:space="0" w:color="auto"/>
                <w:bottom w:val="none" w:sz="0" w:space="0" w:color="auto"/>
                <w:right w:val="none" w:sz="0" w:space="0" w:color="auto"/>
              </w:divBdr>
              <w:divsChild>
                <w:div w:id="440955679">
                  <w:marLeft w:val="0"/>
                  <w:marRight w:val="0"/>
                  <w:marTop w:val="0"/>
                  <w:marBottom w:val="0"/>
                  <w:divBdr>
                    <w:top w:val="none" w:sz="0" w:space="0" w:color="auto"/>
                    <w:left w:val="none" w:sz="0" w:space="0" w:color="auto"/>
                    <w:bottom w:val="none" w:sz="0" w:space="0" w:color="auto"/>
                    <w:right w:val="none" w:sz="0" w:space="0" w:color="auto"/>
                  </w:divBdr>
                  <w:divsChild>
                    <w:div w:id="122357620">
                      <w:marLeft w:val="0"/>
                      <w:marRight w:val="0"/>
                      <w:marTop w:val="0"/>
                      <w:marBottom w:val="0"/>
                      <w:divBdr>
                        <w:top w:val="none" w:sz="0" w:space="0" w:color="auto"/>
                        <w:left w:val="none" w:sz="0" w:space="0" w:color="auto"/>
                        <w:bottom w:val="none" w:sz="0" w:space="0" w:color="auto"/>
                        <w:right w:val="none" w:sz="0" w:space="0" w:color="auto"/>
                      </w:divBdr>
                    </w:div>
                    <w:div w:id="172962710">
                      <w:marLeft w:val="300"/>
                      <w:marRight w:val="0"/>
                      <w:marTop w:val="0"/>
                      <w:marBottom w:val="0"/>
                      <w:divBdr>
                        <w:top w:val="none" w:sz="0" w:space="0" w:color="auto"/>
                        <w:left w:val="none" w:sz="0" w:space="0" w:color="auto"/>
                        <w:bottom w:val="none" w:sz="0" w:space="0" w:color="auto"/>
                        <w:right w:val="none" w:sz="0" w:space="0" w:color="auto"/>
                      </w:divBdr>
                    </w:div>
                    <w:div w:id="19461833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354762509">
          <w:marLeft w:val="0"/>
          <w:marRight w:val="0"/>
          <w:marTop w:val="0"/>
          <w:marBottom w:val="0"/>
          <w:divBdr>
            <w:top w:val="none" w:sz="0" w:space="0" w:color="auto"/>
            <w:left w:val="none" w:sz="0" w:space="0" w:color="auto"/>
            <w:bottom w:val="none" w:sz="0" w:space="0" w:color="auto"/>
            <w:right w:val="none" w:sz="0" w:space="0" w:color="auto"/>
          </w:divBdr>
          <w:divsChild>
            <w:div w:id="1241914285">
              <w:marLeft w:val="75"/>
              <w:marRight w:val="75"/>
              <w:marTop w:val="300"/>
              <w:marBottom w:val="75"/>
              <w:divBdr>
                <w:top w:val="none" w:sz="0" w:space="0" w:color="auto"/>
                <w:left w:val="none" w:sz="0" w:space="0" w:color="auto"/>
                <w:bottom w:val="none" w:sz="0" w:space="0" w:color="auto"/>
                <w:right w:val="none" w:sz="0" w:space="0" w:color="auto"/>
              </w:divBdr>
              <w:divsChild>
                <w:div w:id="1732772919">
                  <w:marLeft w:val="0"/>
                  <w:marRight w:val="0"/>
                  <w:marTop w:val="0"/>
                  <w:marBottom w:val="0"/>
                  <w:divBdr>
                    <w:top w:val="none" w:sz="0" w:space="0" w:color="auto"/>
                    <w:left w:val="none" w:sz="0" w:space="0" w:color="auto"/>
                    <w:bottom w:val="none" w:sz="0" w:space="0" w:color="auto"/>
                    <w:right w:val="none" w:sz="0" w:space="0" w:color="auto"/>
                  </w:divBdr>
                  <w:divsChild>
                    <w:div w:id="1342001574">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387726742">
          <w:marLeft w:val="0"/>
          <w:marRight w:val="0"/>
          <w:marTop w:val="0"/>
          <w:marBottom w:val="0"/>
          <w:divBdr>
            <w:top w:val="none" w:sz="0" w:space="0" w:color="auto"/>
            <w:left w:val="none" w:sz="0" w:space="0" w:color="auto"/>
            <w:bottom w:val="none" w:sz="0" w:space="0" w:color="auto"/>
            <w:right w:val="none" w:sz="0" w:space="0" w:color="auto"/>
          </w:divBdr>
          <w:divsChild>
            <w:div w:id="427503902">
              <w:marLeft w:val="75"/>
              <w:marRight w:val="75"/>
              <w:marTop w:val="300"/>
              <w:marBottom w:val="75"/>
              <w:divBdr>
                <w:top w:val="none" w:sz="0" w:space="0" w:color="auto"/>
                <w:left w:val="none" w:sz="0" w:space="0" w:color="auto"/>
                <w:bottom w:val="none" w:sz="0" w:space="0" w:color="auto"/>
                <w:right w:val="none" w:sz="0" w:space="0" w:color="auto"/>
              </w:divBdr>
              <w:divsChild>
                <w:div w:id="512033162">
                  <w:marLeft w:val="0"/>
                  <w:marRight w:val="0"/>
                  <w:marTop w:val="0"/>
                  <w:marBottom w:val="0"/>
                  <w:divBdr>
                    <w:top w:val="none" w:sz="0" w:space="0" w:color="auto"/>
                    <w:left w:val="none" w:sz="0" w:space="0" w:color="auto"/>
                    <w:bottom w:val="none" w:sz="0" w:space="0" w:color="auto"/>
                    <w:right w:val="none" w:sz="0" w:space="0" w:color="auto"/>
                  </w:divBdr>
                  <w:divsChild>
                    <w:div w:id="1249729386">
                      <w:marLeft w:val="300"/>
                      <w:marRight w:val="0"/>
                      <w:marTop w:val="0"/>
                      <w:marBottom w:val="0"/>
                      <w:divBdr>
                        <w:top w:val="none" w:sz="0" w:space="0" w:color="auto"/>
                        <w:left w:val="none" w:sz="0" w:space="0" w:color="auto"/>
                        <w:bottom w:val="none" w:sz="0" w:space="0" w:color="auto"/>
                        <w:right w:val="none" w:sz="0" w:space="0" w:color="auto"/>
                      </w:divBdr>
                    </w:div>
                    <w:div w:id="1589072243">
                      <w:marLeft w:val="0"/>
                      <w:marRight w:val="0"/>
                      <w:marTop w:val="0"/>
                      <w:marBottom w:val="0"/>
                      <w:divBdr>
                        <w:top w:val="none" w:sz="0" w:space="0" w:color="auto"/>
                        <w:left w:val="none" w:sz="0" w:space="0" w:color="auto"/>
                        <w:bottom w:val="none" w:sz="0" w:space="0" w:color="auto"/>
                        <w:right w:val="none" w:sz="0" w:space="0" w:color="auto"/>
                      </w:divBdr>
                    </w:div>
                    <w:div w:id="203496409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399326474">
          <w:marLeft w:val="0"/>
          <w:marRight w:val="0"/>
          <w:marTop w:val="0"/>
          <w:marBottom w:val="0"/>
          <w:divBdr>
            <w:top w:val="none" w:sz="0" w:space="0" w:color="auto"/>
            <w:left w:val="none" w:sz="0" w:space="0" w:color="auto"/>
            <w:bottom w:val="none" w:sz="0" w:space="0" w:color="auto"/>
            <w:right w:val="none" w:sz="0" w:space="0" w:color="auto"/>
          </w:divBdr>
          <w:divsChild>
            <w:div w:id="2025204895">
              <w:marLeft w:val="75"/>
              <w:marRight w:val="75"/>
              <w:marTop w:val="300"/>
              <w:marBottom w:val="75"/>
              <w:divBdr>
                <w:top w:val="none" w:sz="0" w:space="0" w:color="auto"/>
                <w:left w:val="none" w:sz="0" w:space="0" w:color="auto"/>
                <w:bottom w:val="none" w:sz="0" w:space="0" w:color="auto"/>
                <w:right w:val="none" w:sz="0" w:space="0" w:color="auto"/>
              </w:divBdr>
              <w:divsChild>
                <w:div w:id="187880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1172">
          <w:marLeft w:val="0"/>
          <w:marRight w:val="0"/>
          <w:marTop w:val="0"/>
          <w:marBottom w:val="0"/>
          <w:divBdr>
            <w:top w:val="none" w:sz="0" w:space="0" w:color="auto"/>
            <w:left w:val="none" w:sz="0" w:space="0" w:color="auto"/>
            <w:bottom w:val="none" w:sz="0" w:space="0" w:color="auto"/>
            <w:right w:val="none" w:sz="0" w:space="0" w:color="auto"/>
          </w:divBdr>
          <w:divsChild>
            <w:div w:id="1162619509">
              <w:marLeft w:val="75"/>
              <w:marRight w:val="75"/>
              <w:marTop w:val="300"/>
              <w:marBottom w:val="75"/>
              <w:divBdr>
                <w:top w:val="none" w:sz="0" w:space="0" w:color="auto"/>
                <w:left w:val="none" w:sz="0" w:space="0" w:color="auto"/>
                <w:bottom w:val="none" w:sz="0" w:space="0" w:color="auto"/>
                <w:right w:val="none" w:sz="0" w:space="0" w:color="auto"/>
              </w:divBdr>
              <w:divsChild>
                <w:div w:id="204821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6124">
          <w:marLeft w:val="0"/>
          <w:marRight w:val="0"/>
          <w:marTop w:val="0"/>
          <w:marBottom w:val="0"/>
          <w:divBdr>
            <w:top w:val="none" w:sz="0" w:space="0" w:color="auto"/>
            <w:left w:val="none" w:sz="0" w:space="0" w:color="auto"/>
            <w:bottom w:val="none" w:sz="0" w:space="0" w:color="auto"/>
            <w:right w:val="none" w:sz="0" w:space="0" w:color="auto"/>
          </w:divBdr>
          <w:divsChild>
            <w:div w:id="720636621">
              <w:marLeft w:val="75"/>
              <w:marRight w:val="75"/>
              <w:marTop w:val="300"/>
              <w:marBottom w:val="75"/>
              <w:divBdr>
                <w:top w:val="none" w:sz="0" w:space="0" w:color="auto"/>
                <w:left w:val="none" w:sz="0" w:space="0" w:color="auto"/>
                <w:bottom w:val="none" w:sz="0" w:space="0" w:color="auto"/>
                <w:right w:val="none" w:sz="0" w:space="0" w:color="auto"/>
              </w:divBdr>
              <w:divsChild>
                <w:div w:id="77989749">
                  <w:marLeft w:val="0"/>
                  <w:marRight w:val="0"/>
                  <w:marTop w:val="0"/>
                  <w:marBottom w:val="0"/>
                  <w:divBdr>
                    <w:top w:val="none" w:sz="0" w:space="0" w:color="auto"/>
                    <w:left w:val="none" w:sz="0" w:space="0" w:color="auto"/>
                    <w:bottom w:val="none" w:sz="0" w:space="0" w:color="auto"/>
                    <w:right w:val="none" w:sz="0" w:space="0" w:color="auto"/>
                  </w:divBdr>
                  <w:divsChild>
                    <w:div w:id="272440862">
                      <w:marLeft w:val="300"/>
                      <w:marRight w:val="0"/>
                      <w:marTop w:val="0"/>
                      <w:marBottom w:val="0"/>
                      <w:divBdr>
                        <w:top w:val="none" w:sz="0" w:space="0" w:color="auto"/>
                        <w:left w:val="none" w:sz="0" w:space="0" w:color="auto"/>
                        <w:bottom w:val="none" w:sz="0" w:space="0" w:color="auto"/>
                        <w:right w:val="none" w:sz="0" w:space="0" w:color="auto"/>
                      </w:divBdr>
                    </w:div>
                    <w:div w:id="1191988332">
                      <w:marLeft w:val="-15"/>
                      <w:marRight w:val="-15"/>
                      <w:marTop w:val="0"/>
                      <w:marBottom w:val="0"/>
                      <w:divBdr>
                        <w:top w:val="none" w:sz="0" w:space="0" w:color="auto"/>
                        <w:left w:val="none" w:sz="0" w:space="0" w:color="auto"/>
                        <w:bottom w:val="none" w:sz="0" w:space="0" w:color="auto"/>
                        <w:right w:val="none" w:sz="0" w:space="0" w:color="auto"/>
                      </w:divBdr>
                    </w:div>
                    <w:div w:id="18719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47697">
          <w:marLeft w:val="0"/>
          <w:marRight w:val="0"/>
          <w:marTop w:val="0"/>
          <w:marBottom w:val="0"/>
          <w:divBdr>
            <w:top w:val="none" w:sz="0" w:space="0" w:color="auto"/>
            <w:left w:val="none" w:sz="0" w:space="0" w:color="auto"/>
            <w:bottom w:val="none" w:sz="0" w:space="0" w:color="auto"/>
            <w:right w:val="none" w:sz="0" w:space="0" w:color="auto"/>
          </w:divBdr>
          <w:divsChild>
            <w:div w:id="983973731">
              <w:marLeft w:val="75"/>
              <w:marRight w:val="75"/>
              <w:marTop w:val="300"/>
              <w:marBottom w:val="75"/>
              <w:divBdr>
                <w:top w:val="none" w:sz="0" w:space="0" w:color="auto"/>
                <w:left w:val="none" w:sz="0" w:space="0" w:color="auto"/>
                <w:bottom w:val="none" w:sz="0" w:space="0" w:color="auto"/>
                <w:right w:val="none" w:sz="0" w:space="0" w:color="auto"/>
              </w:divBdr>
              <w:divsChild>
                <w:div w:id="4993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68437">
          <w:marLeft w:val="0"/>
          <w:marRight w:val="0"/>
          <w:marTop w:val="0"/>
          <w:marBottom w:val="0"/>
          <w:divBdr>
            <w:top w:val="none" w:sz="0" w:space="0" w:color="auto"/>
            <w:left w:val="none" w:sz="0" w:space="0" w:color="auto"/>
            <w:bottom w:val="none" w:sz="0" w:space="0" w:color="auto"/>
            <w:right w:val="none" w:sz="0" w:space="0" w:color="auto"/>
          </w:divBdr>
          <w:divsChild>
            <w:div w:id="1816529666">
              <w:marLeft w:val="75"/>
              <w:marRight w:val="75"/>
              <w:marTop w:val="300"/>
              <w:marBottom w:val="75"/>
              <w:divBdr>
                <w:top w:val="none" w:sz="0" w:space="0" w:color="auto"/>
                <w:left w:val="none" w:sz="0" w:space="0" w:color="auto"/>
                <w:bottom w:val="none" w:sz="0" w:space="0" w:color="auto"/>
                <w:right w:val="none" w:sz="0" w:space="0" w:color="auto"/>
              </w:divBdr>
              <w:divsChild>
                <w:div w:id="1823160510">
                  <w:marLeft w:val="0"/>
                  <w:marRight w:val="0"/>
                  <w:marTop w:val="0"/>
                  <w:marBottom w:val="0"/>
                  <w:divBdr>
                    <w:top w:val="none" w:sz="0" w:space="0" w:color="auto"/>
                    <w:left w:val="none" w:sz="0" w:space="0" w:color="auto"/>
                    <w:bottom w:val="none" w:sz="0" w:space="0" w:color="auto"/>
                    <w:right w:val="none" w:sz="0" w:space="0" w:color="auto"/>
                  </w:divBdr>
                  <w:divsChild>
                    <w:div w:id="305742599">
                      <w:marLeft w:val="300"/>
                      <w:marRight w:val="0"/>
                      <w:marTop w:val="0"/>
                      <w:marBottom w:val="0"/>
                      <w:divBdr>
                        <w:top w:val="none" w:sz="0" w:space="0" w:color="auto"/>
                        <w:left w:val="none" w:sz="0" w:space="0" w:color="auto"/>
                        <w:bottom w:val="none" w:sz="0" w:space="0" w:color="auto"/>
                        <w:right w:val="none" w:sz="0" w:space="0" w:color="auto"/>
                      </w:divBdr>
                    </w:div>
                    <w:div w:id="1555964373">
                      <w:marLeft w:val="-15"/>
                      <w:marRight w:val="-15"/>
                      <w:marTop w:val="0"/>
                      <w:marBottom w:val="0"/>
                      <w:divBdr>
                        <w:top w:val="none" w:sz="0" w:space="0" w:color="auto"/>
                        <w:left w:val="none" w:sz="0" w:space="0" w:color="auto"/>
                        <w:bottom w:val="none" w:sz="0" w:space="0" w:color="auto"/>
                        <w:right w:val="none" w:sz="0" w:space="0" w:color="auto"/>
                      </w:divBdr>
                    </w:div>
                    <w:div w:id="19804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971693">
          <w:marLeft w:val="0"/>
          <w:marRight w:val="0"/>
          <w:marTop w:val="0"/>
          <w:marBottom w:val="0"/>
          <w:divBdr>
            <w:top w:val="none" w:sz="0" w:space="0" w:color="auto"/>
            <w:left w:val="none" w:sz="0" w:space="0" w:color="auto"/>
            <w:bottom w:val="none" w:sz="0" w:space="0" w:color="auto"/>
            <w:right w:val="none" w:sz="0" w:space="0" w:color="auto"/>
          </w:divBdr>
          <w:divsChild>
            <w:div w:id="1796366986">
              <w:marLeft w:val="75"/>
              <w:marRight w:val="75"/>
              <w:marTop w:val="300"/>
              <w:marBottom w:val="75"/>
              <w:divBdr>
                <w:top w:val="none" w:sz="0" w:space="0" w:color="auto"/>
                <w:left w:val="none" w:sz="0" w:space="0" w:color="auto"/>
                <w:bottom w:val="none" w:sz="0" w:space="0" w:color="auto"/>
                <w:right w:val="none" w:sz="0" w:space="0" w:color="auto"/>
              </w:divBdr>
              <w:divsChild>
                <w:div w:id="1308782269">
                  <w:marLeft w:val="0"/>
                  <w:marRight w:val="0"/>
                  <w:marTop w:val="0"/>
                  <w:marBottom w:val="0"/>
                  <w:divBdr>
                    <w:top w:val="none" w:sz="0" w:space="0" w:color="auto"/>
                    <w:left w:val="none" w:sz="0" w:space="0" w:color="auto"/>
                    <w:bottom w:val="none" w:sz="0" w:space="0" w:color="auto"/>
                    <w:right w:val="none" w:sz="0" w:space="0" w:color="auto"/>
                  </w:divBdr>
                  <w:divsChild>
                    <w:div w:id="295915929">
                      <w:marLeft w:val="-15"/>
                      <w:marRight w:val="-15"/>
                      <w:marTop w:val="0"/>
                      <w:marBottom w:val="0"/>
                      <w:divBdr>
                        <w:top w:val="none" w:sz="0" w:space="0" w:color="auto"/>
                        <w:left w:val="none" w:sz="0" w:space="0" w:color="auto"/>
                        <w:bottom w:val="none" w:sz="0" w:space="0" w:color="auto"/>
                        <w:right w:val="none" w:sz="0" w:space="0" w:color="auto"/>
                      </w:divBdr>
                    </w:div>
                    <w:div w:id="1583489665">
                      <w:marLeft w:val="300"/>
                      <w:marRight w:val="0"/>
                      <w:marTop w:val="0"/>
                      <w:marBottom w:val="0"/>
                      <w:divBdr>
                        <w:top w:val="none" w:sz="0" w:space="0" w:color="auto"/>
                        <w:left w:val="none" w:sz="0" w:space="0" w:color="auto"/>
                        <w:bottom w:val="none" w:sz="0" w:space="0" w:color="auto"/>
                        <w:right w:val="none" w:sz="0" w:space="0" w:color="auto"/>
                      </w:divBdr>
                    </w:div>
                    <w:div w:id="194245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742353">
          <w:marLeft w:val="0"/>
          <w:marRight w:val="0"/>
          <w:marTop w:val="0"/>
          <w:marBottom w:val="0"/>
          <w:divBdr>
            <w:top w:val="none" w:sz="0" w:space="0" w:color="auto"/>
            <w:left w:val="none" w:sz="0" w:space="0" w:color="auto"/>
            <w:bottom w:val="none" w:sz="0" w:space="0" w:color="auto"/>
            <w:right w:val="none" w:sz="0" w:space="0" w:color="auto"/>
          </w:divBdr>
          <w:divsChild>
            <w:div w:id="633760127">
              <w:marLeft w:val="75"/>
              <w:marRight w:val="75"/>
              <w:marTop w:val="300"/>
              <w:marBottom w:val="75"/>
              <w:divBdr>
                <w:top w:val="none" w:sz="0" w:space="0" w:color="auto"/>
                <w:left w:val="none" w:sz="0" w:space="0" w:color="auto"/>
                <w:bottom w:val="none" w:sz="0" w:space="0" w:color="auto"/>
                <w:right w:val="none" w:sz="0" w:space="0" w:color="auto"/>
              </w:divBdr>
              <w:divsChild>
                <w:div w:id="48463194">
                  <w:marLeft w:val="0"/>
                  <w:marRight w:val="0"/>
                  <w:marTop w:val="0"/>
                  <w:marBottom w:val="0"/>
                  <w:divBdr>
                    <w:top w:val="none" w:sz="0" w:space="0" w:color="auto"/>
                    <w:left w:val="none" w:sz="0" w:space="0" w:color="auto"/>
                    <w:bottom w:val="none" w:sz="0" w:space="0" w:color="auto"/>
                    <w:right w:val="none" w:sz="0" w:space="0" w:color="auto"/>
                  </w:divBdr>
                  <w:divsChild>
                    <w:div w:id="60712173">
                      <w:marLeft w:val="300"/>
                      <w:marRight w:val="0"/>
                      <w:marTop w:val="0"/>
                      <w:marBottom w:val="0"/>
                      <w:divBdr>
                        <w:top w:val="none" w:sz="0" w:space="0" w:color="auto"/>
                        <w:left w:val="none" w:sz="0" w:space="0" w:color="auto"/>
                        <w:bottom w:val="none" w:sz="0" w:space="0" w:color="auto"/>
                        <w:right w:val="none" w:sz="0" w:space="0" w:color="auto"/>
                      </w:divBdr>
                    </w:div>
                    <w:div w:id="234822945">
                      <w:marLeft w:val="0"/>
                      <w:marRight w:val="0"/>
                      <w:marTop w:val="0"/>
                      <w:marBottom w:val="0"/>
                      <w:divBdr>
                        <w:top w:val="none" w:sz="0" w:space="0" w:color="auto"/>
                        <w:left w:val="none" w:sz="0" w:space="0" w:color="auto"/>
                        <w:bottom w:val="none" w:sz="0" w:space="0" w:color="auto"/>
                        <w:right w:val="none" w:sz="0" w:space="0" w:color="auto"/>
                      </w:divBdr>
                    </w:div>
                    <w:div w:id="6893784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569992513">
          <w:marLeft w:val="0"/>
          <w:marRight w:val="0"/>
          <w:marTop w:val="0"/>
          <w:marBottom w:val="0"/>
          <w:divBdr>
            <w:top w:val="none" w:sz="0" w:space="0" w:color="auto"/>
            <w:left w:val="none" w:sz="0" w:space="0" w:color="auto"/>
            <w:bottom w:val="none" w:sz="0" w:space="0" w:color="auto"/>
            <w:right w:val="none" w:sz="0" w:space="0" w:color="auto"/>
          </w:divBdr>
          <w:divsChild>
            <w:div w:id="1196964880">
              <w:marLeft w:val="75"/>
              <w:marRight w:val="75"/>
              <w:marTop w:val="300"/>
              <w:marBottom w:val="75"/>
              <w:divBdr>
                <w:top w:val="none" w:sz="0" w:space="0" w:color="auto"/>
                <w:left w:val="none" w:sz="0" w:space="0" w:color="auto"/>
                <w:bottom w:val="none" w:sz="0" w:space="0" w:color="auto"/>
                <w:right w:val="none" w:sz="0" w:space="0" w:color="auto"/>
              </w:divBdr>
              <w:divsChild>
                <w:div w:id="1140609675">
                  <w:marLeft w:val="0"/>
                  <w:marRight w:val="0"/>
                  <w:marTop w:val="0"/>
                  <w:marBottom w:val="0"/>
                  <w:divBdr>
                    <w:top w:val="none" w:sz="0" w:space="0" w:color="auto"/>
                    <w:left w:val="none" w:sz="0" w:space="0" w:color="auto"/>
                    <w:bottom w:val="none" w:sz="0" w:space="0" w:color="auto"/>
                    <w:right w:val="none" w:sz="0" w:space="0" w:color="auto"/>
                  </w:divBdr>
                  <w:divsChild>
                    <w:div w:id="1240409075">
                      <w:marLeft w:val="0"/>
                      <w:marRight w:val="0"/>
                      <w:marTop w:val="0"/>
                      <w:marBottom w:val="0"/>
                      <w:divBdr>
                        <w:top w:val="none" w:sz="0" w:space="0" w:color="auto"/>
                        <w:left w:val="none" w:sz="0" w:space="0" w:color="auto"/>
                        <w:bottom w:val="none" w:sz="0" w:space="0" w:color="auto"/>
                        <w:right w:val="none" w:sz="0" w:space="0" w:color="auto"/>
                      </w:divBdr>
                      <w:divsChild>
                        <w:div w:id="1759979431">
                          <w:marLeft w:val="0"/>
                          <w:marRight w:val="0"/>
                          <w:marTop w:val="0"/>
                          <w:marBottom w:val="192"/>
                          <w:divBdr>
                            <w:top w:val="none" w:sz="0" w:space="0" w:color="auto"/>
                            <w:left w:val="none" w:sz="0" w:space="0" w:color="auto"/>
                            <w:bottom w:val="none" w:sz="0" w:space="0" w:color="auto"/>
                            <w:right w:val="none" w:sz="0" w:space="0" w:color="auto"/>
                          </w:divBdr>
                          <w:divsChild>
                            <w:div w:id="1778060288">
                              <w:marLeft w:val="0"/>
                              <w:marRight w:val="0"/>
                              <w:marTop w:val="0"/>
                              <w:marBottom w:val="0"/>
                              <w:divBdr>
                                <w:top w:val="dashed" w:sz="6" w:space="12" w:color="666666"/>
                                <w:left w:val="none" w:sz="0" w:space="0" w:color="auto"/>
                                <w:bottom w:val="none" w:sz="0" w:space="0" w:color="auto"/>
                                <w:right w:val="none" w:sz="0" w:space="0" w:color="auto"/>
                              </w:divBdr>
                            </w:div>
                          </w:divsChild>
                        </w:div>
                      </w:divsChild>
                    </w:div>
                  </w:divsChild>
                </w:div>
              </w:divsChild>
            </w:div>
          </w:divsChild>
        </w:div>
        <w:div w:id="1595016733">
          <w:marLeft w:val="0"/>
          <w:marRight w:val="0"/>
          <w:marTop w:val="0"/>
          <w:marBottom w:val="0"/>
          <w:divBdr>
            <w:top w:val="none" w:sz="0" w:space="0" w:color="auto"/>
            <w:left w:val="none" w:sz="0" w:space="0" w:color="auto"/>
            <w:bottom w:val="none" w:sz="0" w:space="0" w:color="auto"/>
            <w:right w:val="none" w:sz="0" w:space="0" w:color="auto"/>
          </w:divBdr>
          <w:divsChild>
            <w:div w:id="895625348">
              <w:marLeft w:val="75"/>
              <w:marRight w:val="75"/>
              <w:marTop w:val="300"/>
              <w:marBottom w:val="75"/>
              <w:divBdr>
                <w:top w:val="none" w:sz="0" w:space="0" w:color="auto"/>
                <w:left w:val="none" w:sz="0" w:space="0" w:color="auto"/>
                <w:bottom w:val="none" w:sz="0" w:space="0" w:color="auto"/>
                <w:right w:val="none" w:sz="0" w:space="0" w:color="auto"/>
              </w:divBdr>
              <w:divsChild>
                <w:div w:id="8253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9813">
          <w:marLeft w:val="0"/>
          <w:marRight w:val="0"/>
          <w:marTop w:val="0"/>
          <w:marBottom w:val="0"/>
          <w:divBdr>
            <w:top w:val="none" w:sz="0" w:space="0" w:color="auto"/>
            <w:left w:val="none" w:sz="0" w:space="0" w:color="auto"/>
            <w:bottom w:val="none" w:sz="0" w:space="0" w:color="auto"/>
            <w:right w:val="none" w:sz="0" w:space="0" w:color="auto"/>
          </w:divBdr>
          <w:divsChild>
            <w:div w:id="267585285">
              <w:marLeft w:val="75"/>
              <w:marRight w:val="75"/>
              <w:marTop w:val="300"/>
              <w:marBottom w:val="75"/>
              <w:divBdr>
                <w:top w:val="none" w:sz="0" w:space="0" w:color="auto"/>
                <w:left w:val="none" w:sz="0" w:space="0" w:color="auto"/>
                <w:bottom w:val="none" w:sz="0" w:space="0" w:color="auto"/>
                <w:right w:val="none" w:sz="0" w:space="0" w:color="auto"/>
              </w:divBdr>
              <w:divsChild>
                <w:div w:id="1860772083">
                  <w:marLeft w:val="0"/>
                  <w:marRight w:val="0"/>
                  <w:marTop w:val="0"/>
                  <w:marBottom w:val="0"/>
                  <w:divBdr>
                    <w:top w:val="none" w:sz="0" w:space="0" w:color="auto"/>
                    <w:left w:val="none" w:sz="0" w:space="0" w:color="auto"/>
                    <w:bottom w:val="none" w:sz="0" w:space="0" w:color="auto"/>
                    <w:right w:val="none" w:sz="0" w:space="0" w:color="auto"/>
                  </w:divBdr>
                  <w:divsChild>
                    <w:div w:id="576674188">
                      <w:marLeft w:val="-15"/>
                      <w:marRight w:val="-15"/>
                      <w:marTop w:val="0"/>
                      <w:marBottom w:val="0"/>
                      <w:divBdr>
                        <w:top w:val="none" w:sz="0" w:space="0" w:color="auto"/>
                        <w:left w:val="none" w:sz="0" w:space="0" w:color="auto"/>
                        <w:bottom w:val="none" w:sz="0" w:space="0" w:color="auto"/>
                        <w:right w:val="none" w:sz="0" w:space="0" w:color="auto"/>
                      </w:divBdr>
                    </w:div>
                    <w:div w:id="725370334">
                      <w:marLeft w:val="300"/>
                      <w:marRight w:val="0"/>
                      <w:marTop w:val="0"/>
                      <w:marBottom w:val="0"/>
                      <w:divBdr>
                        <w:top w:val="none" w:sz="0" w:space="0" w:color="auto"/>
                        <w:left w:val="none" w:sz="0" w:space="0" w:color="auto"/>
                        <w:bottom w:val="none" w:sz="0" w:space="0" w:color="auto"/>
                        <w:right w:val="none" w:sz="0" w:space="0" w:color="auto"/>
                      </w:divBdr>
                    </w:div>
                    <w:div w:id="19023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7669">
          <w:marLeft w:val="0"/>
          <w:marRight w:val="0"/>
          <w:marTop w:val="0"/>
          <w:marBottom w:val="0"/>
          <w:divBdr>
            <w:top w:val="none" w:sz="0" w:space="0" w:color="auto"/>
            <w:left w:val="none" w:sz="0" w:space="0" w:color="auto"/>
            <w:bottom w:val="none" w:sz="0" w:space="0" w:color="auto"/>
            <w:right w:val="none" w:sz="0" w:space="0" w:color="auto"/>
          </w:divBdr>
          <w:divsChild>
            <w:div w:id="157891981">
              <w:marLeft w:val="75"/>
              <w:marRight w:val="75"/>
              <w:marTop w:val="300"/>
              <w:marBottom w:val="75"/>
              <w:divBdr>
                <w:top w:val="none" w:sz="0" w:space="0" w:color="auto"/>
                <w:left w:val="none" w:sz="0" w:space="0" w:color="auto"/>
                <w:bottom w:val="none" w:sz="0" w:space="0" w:color="auto"/>
                <w:right w:val="none" w:sz="0" w:space="0" w:color="auto"/>
              </w:divBdr>
              <w:divsChild>
                <w:div w:id="14027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10560">
          <w:marLeft w:val="0"/>
          <w:marRight w:val="0"/>
          <w:marTop w:val="0"/>
          <w:marBottom w:val="0"/>
          <w:divBdr>
            <w:top w:val="none" w:sz="0" w:space="0" w:color="auto"/>
            <w:left w:val="none" w:sz="0" w:space="0" w:color="auto"/>
            <w:bottom w:val="none" w:sz="0" w:space="0" w:color="auto"/>
            <w:right w:val="none" w:sz="0" w:space="0" w:color="auto"/>
          </w:divBdr>
          <w:divsChild>
            <w:div w:id="1294949021">
              <w:marLeft w:val="75"/>
              <w:marRight w:val="75"/>
              <w:marTop w:val="300"/>
              <w:marBottom w:val="75"/>
              <w:divBdr>
                <w:top w:val="none" w:sz="0" w:space="0" w:color="auto"/>
                <w:left w:val="none" w:sz="0" w:space="0" w:color="auto"/>
                <w:bottom w:val="none" w:sz="0" w:space="0" w:color="auto"/>
                <w:right w:val="none" w:sz="0" w:space="0" w:color="auto"/>
              </w:divBdr>
              <w:divsChild>
                <w:div w:id="586040934">
                  <w:marLeft w:val="0"/>
                  <w:marRight w:val="0"/>
                  <w:marTop w:val="0"/>
                  <w:marBottom w:val="0"/>
                  <w:divBdr>
                    <w:top w:val="none" w:sz="0" w:space="0" w:color="auto"/>
                    <w:left w:val="none" w:sz="0" w:space="0" w:color="auto"/>
                    <w:bottom w:val="none" w:sz="0" w:space="0" w:color="auto"/>
                    <w:right w:val="none" w:sz="0" w:space="0" w:color="auto"/>
                  </w:divBdr>
                  <w:divsChild>
                    <w:div w:id="216278611">
                      <w:marLeft w:val="0"/>
                      <w:marRight w:val="0"/>
                      <w:marTop w:val="0"/>
                      <w:marBottom w:val="0"/>
                      <w:divBdr>
                        <w:top w:val="none" w:sz="0" w:space="0" w:color="auto"/>
                        <w:left w:val="none" w:sz="0" w:space="0" w:color="auto"/>
                        <w:bottom w:val="none" w:sz="0" w:space="0" w:color="auto"/>
                        <w:right w:val="none" w:sz="0" w:space="0" w:color="auto"/>
                      </w:divBdr>
                    </w:div>
                    <w:div w:id="324358003">
                      <w:marLeft w:val="-15"/>
                      <w:marRight w:val="-15"/>
                      <w:marTop w:val="0"/>
                      <w:marBottom w:val="0"/>
                      <w:divBdr>
                        <w:top w:val="none" w:sz="0" w:space="0" w:color="auto"/>
                        <w:left w:val="none" w:sz="0" w:space="0" w:color="auto"/>
                        <w:bottom w:val="none" w:sz="0" w:space="0" w:color="auto"/>
                        <w:right w:val="none" w:sz="0" w:space="0" w:color="auto"/>
                      </w:divBdr>
                    </w:div>
                    <w:div w:id="16461627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05771">
          <w:marLeft w:val="0"/>
          <w:marRight w:val="0"/>
          <w:marTop w:val="0"/>
          <w:marBottom w:val="0"/>
          <w:divBdr>
            <w:top w:val="none" w:sz="0" w:space="0" w:color="auto"/>
            <w:left w:val="none" w:sz="0" w:space="0" w:color="auto"/>
            <w:bottom w:val="none" w:sz="0" w:space="0" w:color="auto"/>
            <w:right w:val="none" w:sz="0" w:space="0" w:color="auto"/>
          </w:divBdr>
          <w:divsChild>
            <w:div w:id="829490612">
              <w:marLeft w:val="75"/>
              <w:marRight w:val="75"/>
              <w:marTop w:val="300"/>
              <w:marBottom w:val="75"/>
              <w:divBdr>
                <w:top w:val="none" w:sz="0" w:space="0" w:color="auto"/>
                <w:left w:val="none" w:sz="0" w:space="0" w:color="auto"/>
                <w:bottom w:val="none" w:sz="0" w:space="0" w:color="auto"/>
                <w:right w:val="none" w:sz="0" w:space="0" w:color="auto"/>
              </w:divBdr>
              <w:divsChild>
                <w:div w:id="1938170070">
                  <w:marLeft w:val="0"/>
                  <w:marRight w:val="0"/>
                  <w:marTop w:val="0"/>
                  <w:marBottom w:val="0"/>
                  <w:divBdr>
                    <w:top w:val="none" w:sz="0" w:space="0" w:color="auto"/>
                    <w:left w:val="none" w:sz="0" w:space="0" w:color="auto"/>
                    <w:bottom w:val="none" w:sz="0" w:space="0" w:color="auto"/>
                    <w:right w:val="none" w:sz="0" w:space="0" w:color="auto"/>
                  </w:divBdr>
                  <w:divsChild>
                    <w:div w:id="553201339">
                      <w:marLeft w:val="-15"/>
                      <w:marRight w:val="-15"/>
                      <w:marTop w:val="0"/>
                      <w:marBottom w:val="0"/>
                      <w:divBdr>
                        <w:top w:val="none" w:sz="0" w:space="0" w:color="auto"/>
                        <w:left w:val="none" w:sz="0" w:space="0" w:color="auto"/>
                        <w:bottom w:val="none" w:sz="0" w:space="0" w:color="auto"/>
                        <w:right w:val="none" w:sz="0" w:space="0" w:color="auto"/>
                      </w:divBdr>
                    </w:div>
                    <w:div w:id="1332682287">
                      <w:marLeft w:val="300"/>
                      <w:marRight w:val="0"/>
                      <w:marTop w:val="0"/>
                      <w:marBottom w:val="0"/>
                      <w:divBdr>
                        <w:top w:val="none" w:sz="0" w:space="0" w:color="auto"/>
                        <w:left w:val="none" w:sz="0" w:space="0" w:color="auto"/>
                        <w:bottom w:val="none" w:sz="0" w:space="0" w:color="auto"/>
                        <w:right w:val="none" w:sz="0" w:space="0" w:color="auto"/>
                      </w:divBdr>
                    </w:div>
                    <w:div w:id="14910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072728">
          <w:marLeft w:val="0"/>
          <w:marRight w:val="0"/>
          <w:marTop w:val="0"/>
          <w:marBottom w:val="0"/>
          <w:divBdr>
            <w:top w:val="none" w:sz="0" w:space="0" w:color="auto"/>
            <w:left w:val="none" w:sz="0" w:space="0" w:color="auto"/>
            <w:bottom w:val="none" w:sz="0" w:space="0" w:color="auto"/>
            <w:right w:val="none" w:sz="0" w:space="0" w:color="auto"/>
          </w:divBdr>
          <w:divsChild>
            <w:div w:id="169880338">
              <w:marLeft w:val="75"/>
              <w:marRight w:val="75"/>
              <w:marTop w:val="300"/>
              <w:marBottom w:val="75"/>
              <w:divBdr>
                <w:top w:val="none" w:sz="0" w:space="0" w:color="auto"/>
                <w:left w:val="none" w:sz="0" w:space="0" w:color="auto"/>
                <w:bottom w:val="none" w:sz="0" w:space="0" w:color="auto"/>
                <w:right w:val="none" w:sz="0" w:space="0" w:color="auto"/>
              </w:divBdr>
              <w:divsChild>
                <w:div w:id="188012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34341">
          <w:marLeft w:val="0"/>
          <w:marRight w:val="0"/>
          <w:marTop w:val="0"/>
          <w:marBottom w:val="0"/>
          <w:divBdr>
            <w:top w:val="none" w:sz="0" w:space="0" w:color="auto"/>
            <w:left w:val="none" w:sz="0" w:space="0" w:color="auto"/>
            <w:bottom w:val="none" w:sz="0" w:space="0" w:color="auto"/>
            <w:right w:val="none" w:sz="0" w:space="0" w:color="auto"/>
          </w:divBdr>
          <w:divsChild>
            <w:div w:id="769199131">
              <w:marLeft w:val="75"/>
              <w:marRight w:val="75"/>
              <w:marTop w:val="300"/>
              <w:marBottom w:val="75"/>
              <w:divBdr>
                <w:top w:val="none" w:sz="0" w:space="0" w:color="auto"/>
                <w:left w:val="none" w:sz="0" w:space="0" w:color="auto"/>
                <w:bottom w:val="none" w:sz="0" w:space="0" w:color="auto"/>
                <w:right w:val="none" w:sz="0" w:space="0" w:color="auto"/>
              </w:divBdr>
              <w:divsChild>
                <w:div w:id="1113549229">
                  <w:marLeft w:val="0"/>
                  <w:marRight w:val="0"/>
                  <w:marTop w:val="0"/>
                  <w:marBottom w:val="0"/>
                  <w:divBdr>
                    <w:top w:val="none" w:sz="0" w:space="0" w:color="auto"/>
                    <w:left w:val="none" w:sz="0" w:space="0" w:color="auto"/>
                    <w:bottom w:val="none" w:sz="0" w:space="0" w:color="auto"/>
                    <w:right w:val="none" w:sz="0" w:space="0" w:color="auto"/>
                  </w:divBdr>
                  <w:divsChild>
                    <w:div w:id="1613394894">
                      <w:marLeft w:val="0"/>
                      <w:marRight w:val="0"/>
                      <w:marTop w:val="0"/>
                      <w:marBottom w:val="0"/>
                      <w:divBdr>
                        <w:top w:val="none" w:sz="0" w:space="0" w:color="auto"/>
                        <w:left w:val="none" w:sz="0" w:space="0" w:color="auto"/>
                        <w:bottom w:val="none" w:sz="0" w:space="0" w:color="auto"/>
                        <w:right w:val="none" w:sz="0" w:space="0" w:color="auto"/>
                      </w:divBdr>
                      <w:divsChild>
                        <w:div w:id="265306597">
                          <w:marLeft w:val="75"/>
                          <w:marRight w:val="0"/>
                          <w:marTop w:val="0"/>
                          <w:marBottom w:val="0"/>
                          <w:divBdr>
                            <w:top w:val="none" w:sz="0" w:space="0" w:color="auto"/>
                            <w:left w:val="none" w:sz="0" w:space="0" w:color="auto"/>
                            <w:bottom w:val="none" w:sz="0" w:space="0" w:color="auto"/>
                            <w:right w:val="none" w:sz="0" w:space="0" w:color="auto"/>
                          </w:divBdr>
                        </w:div>
                        <w:div w:id="457727258">
                          <w:marLeft w:val="75"/>
                          <w:marRight w:val="0"/>
                          <w:marTop w:val="0"/>
                          <w:marBottom w:val="0"/>
                          <w:divBdr>
                            <w:top w:val="none" w:sz="0" w:space="0" w:color="auto"/>
                            <w:left w:val="none" w:sz="0" w:space="0" w:color="auto"/>
                            <w:bottom w:val="none" w:sz="0" w:space="0" w:color="auto"/>
                            <w:right w:val="none" w:sz="0" w:space="0" w:color="auto"/>
                          </w:divBdr>
                        </w:div>
                        <w:div w:id="1134257520">
                          <w:marLeft w:val="75"/>
                          <w:marRight w:val="0"/>
                          <w:marTop w:val="0"/>
                          <w:marBottom w:val="0"/>
                          <w:divBdr>
                            <w:top w:val="none" w:sz="0" w:space="0" w:color="auto"/>
                            <w:left w:val="none" w:sz="0" w:space="0" w:color="auto"/>
                            <w:bottom w:val="none" w:sz="0" w:space="0" w:color="auto"/>
                            <w:right w:val="none" w:sz="0" w:space="0" w:color="auto"/>
                          </w:divBdr>
                        </w:div>
                      </w:divsChild>
                    </w:div>
                    <w:div w:id="2086994999">
                      <w:marLeft w:val="0"/>
                      <w:marRight w:val="0"/>
                      <w:marTop w:val="0"/>
                      <w:marBottom w:val="0"/>
                      <w:divBdr>
                        <w:top w:val="dashed" w:sz="6" w:space="12" w:color="666666"/>
                        <w:left w:val="none" w:sz="0" w:space="0" w:color="auto"/>
                        <w:bottom w:val="none" w:sz="0" w:space="0" w:color="auto"/>
                        <w:right w:val="none" w:sz="0" w:space="0" w:color="auto"/>
                      </w:divBdr>
                    </w:div>
                  </w:divsChild>
                </w:div>
              </w:divsChild>
            </w:div>
          </w:divsChild>
        </w:div>
        <w:div w:id="1847402419">
          <w:marLeft w:val="0"/>
          <w:marRight w:val="0"/>
          <w:marTop w:val="0"/>
          <w:marBottom w:val="0"/>
          <w:divBdr>
            <w:top w:val="none" w:sz="0" w:space="0" w:color="auto"/>
            <w:left w:val="none" w:sz="0" w:space="0" w:color="auto"/>
            <w:bottom w:val="none" w:sz="0" w:space="0" w:color="auto"/>
            <w:right w:val="none" w:sz="0" w:space="0" w:color="auto"/>
          </w:divBdr>
          <w:divsChild>
            <w:div w:id="1265917511">
              <w:marLeft w:val="75"/>
              <w:marRight w:val="75"/>
              <w:marTop w:val="300"/>
              <w:marBottom w:val="75"/>
              <w:divBdr>
                <w:top w:val="none" w:sz="0" w:space="0" w:color="auto"/>
                <w:left w:val="none" w:sz="0" w:space="0" w:color="auto"/>
                <w:bottom w:val="none" w:sz="0" w:space="0" w:color="auto"/>
                <w:right w:val="none" w:sz="0" w:space="0" w:color="auto"/>
              </w:divBdr>
              <w:divsChild>
                <w:div w:id="618799221">
                  <w:marLeft w:val="0"/>
                  <w:marRight w:val="0"/>
                  <w:marTop w:val="0"/>
                  <w:marBottom w:val="0"/>
                  <w:divBdr>
                    <w:top w:val="none" w:sz="0" w:space="0" w:color="auto"/>
                    <w:left w:val="none" w:sz="0" w:space="0" w:color="auto"/>
                    <w:bottom w:val="none" w:sz="0" w:space="0" w:color="auto"/>
                    <w:right w:val="none" w:sz="0" w:space="0" w:color="auto"/>
                  </w:divBdr>
                  <w:divsChild>
                    <w:div w:id="161623603">
                      <w:marLeft w:val="-15"/>
                      <w:marRight w:val="-15"/>
                      <w:marTop w:val="0"/>
                      <w:marBottom w:val="0"/>
                      <w:divBdr>
                        <w:top w:val="none" w:sz="0" w:space="0" w:color="auto"/>
                        <w:left w:val="none" w:sz="0" w:space="0" w:color="auto"/>
                        <w:bottom w:val="none" w:sz="0" w:space="0" w:color="auto"/>
                        <w:right w:val="none" w:sz="0" w:space="0" w:color="auto"/>
                      </w:divBdr>
                    </w:div>
                    <w:div w:id="307393628">
                      <w:marLeft w:val="300"/>
                      <w:marRight w:val="0"/>
                      <w:marTop w:val="0"/>
                      <w:marBottom w:val="0"/>
                      <w:divBdr>
                        <w:top w:val="none" w:sz="0" w:space="0" w:color="auto"/>
                        <w:left w:val="none" w:sz="0" w:space="0" w:color="auto"/>
                        <w:bottom w:val="none" w:sz="0" w:space="0" w:color="auto"/>
                        <w:right w:val="none" w:sz="0" w:space="0" w:color="auto"/>
                      </w:divBdr>
                    </w:div>
                    <w:div w:id="17263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00261">
          <w:marLeft w:val="0"/>
          <w:marRight w:val="0"/>
          <w:marTop w:val="0"/>
          <w:marBottom w:val="0"/>
          <w:divBdr>
            <w:top w:val="none" w:sz="0" w:space="0" w:color="auto"/>
            <w:left w:val="none" w:sz="0" w:space="0" w:color="auto"/>
            <w:bottom w:val="none" w:sz="0" w:space="0" w:color="auto"/>
            <w:right w:val="none" w:sz="0" w:space="0" w:color="auto"/>
          </w:divBdr>
          <w:divsChild>
            <w:div w:id="314920485">
              <w:marLeft w:val="75"/>
              <w:marRight w:val="75"/>
              <w:marTop w:val="300"/>
              <w:marBottom w:val="75"/>
              <w:divBdr>
                <w:top w:val="none" w:sz="0" w:space="0" w:color="auto"/>
                <w:left w:val="none" w:sz="0" w:space="0" w:color="auto"/>
                <w:bottom w:val="none" w:sz="0" w:space="0" w:color="auto"/>
                <w:right w:val="none" w:sz="0" w:space="0" w:color="auto"/>
              </w:divBdr>
              <w:divsChild>
                <w:div w:id="201896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063364">
          <w:marLeft w:val="0"/>
          <w:marRight w:val="0"/>
          <w:marTop w:val="0"/>
          <w:marBottom w:val="0"/>
          <w:divBdr>
            <w:top w:val="none" w:sz="0" w:space="0" w:color="auto"/>
            <w:left w:val="none" w:sz="0" w:space="0" w:color="auto"/>
            <w:bottom w:val="none" w:sz="0" w:space="0" w:color="auto"/>
            <w:right w:val="none" w:sz="0" w:space="0" w:color="auto"/>
          </w:divBdr>
          <w:divsChild>
            <w:div w:id="2072800880">
              <w:marLeft w:val="75"/>
              <w:marRight w:val="75"/>
              <w:marTop w:val="300"/>
              <w:marBottom w:val="75"/>
              <w:divBdr>
                <w:top w:val="none" w:sz="0" w:space="0" w:color="auto"/>
                <w:left w:val="none" w:sz="0" w:space="0" w:color="auto"/>
                <w:bottom w:val="none" w:sz="0" w:space="0" w:color="auto"/>
                <w:right w:val="none" w:sz="0" w:space="0" w:color="auto"/>
              </w:divBdr>
              <w:divsChild>
                <w:div w:id="123825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54035">
          <w:marLeft w:val="0"/>
          <w:marRight w:val="0"/>
          <w:marTop w:val="0"/>
          <w:marBottom w:val="0"/>
          <w:divBdr>
            <w:top w:val="none" w:sz="0" w:space="0" w:color="auto"/>
            <w:left w:val="none" w:sz="0" w:space="0" w:color="auto"/>
            <w:bottom w:val="none" w:sz="0" w:space="0" w:color="auto"/>
            <w:right w:val="none" w:sz="0" w:space="0" w:color="auto"/>
          </w:divBdr>
          <w:divsChild>
            <w:div w:id="1395664061">
              <w:marLeft w:val="75"/>
              <w:marRight w:val="75"/>
              <w:marTop w:val="300"/>
              <w:marBottom w:val="75"/>
              <w:divBdr>
                <w:top w:val="none" w:sz="0" w:space="0" w:color="auto"/>
                <w:left w:val="none" w:sz="0" w:space="0" w:color="auto"/>
                <w:bottom w:val="none" w:sz="0" w:space="0" w:color="auto"/>
                <w:right w:val="none" w:sz="0" w:space="0" w:color="auto"/>
              </w:divBdr>
              <w:divsChild>
                <w:div w:id="780033333">
                  <w:marLeft w:val="0"/>
                  <w:marRight w:val="0"/>
                  <w:marTop w:val="0"/>
                  <w:marBottom w:val="0"/>
                  <w:divBdr>
                    <w:top w:val="none" w:sz="0" w:space="0" w:color="auto"/>
                    <w:left w:val="none" w:sz="0" w:space="0" w:color="auto"/>
                    <w:bottom w:val="none" w:sz="0" w:space="0" w:color="auto"/>
                    <w:right w:val="none" w:sz="0" w:space="0" w:color="auto"/>
                  </w:divBdr>
                  <w:divsChild>
                    <w:div w:id="599146471">
                      <w:marLeft w:val="0"/>
                      <w:marRight w:val="0"/>
                      <w:marTop w:val="0"/>
                      <w:marBottom w:val="0"/>
                      <w:divBdr>
                        <w:top w:val="none" w:sz="0" w:space="0" w:color="auto"/>
                        <w:left w:val="none" w:sz="0" w:space="0" w:color="auto"/>
                        <w:bottom w:val="none" w:sz="0" w:space="0" w:color="auto"/>
                        <w:right w:val="none" w:sz="0" w:space="0" w:color="auto"/>
                      </w:divBdr>
                    </w:div>
                    <w:div w:id="636297730">
                      <w:marLeft w:val="300"/>
                      <w:marRight w:val="0"/>
                      <w:marTop w:val="0"/>
                      <w:marBottom w:val="0"/>
                      <w:divBdr>
                        <w:top w:val="none" w:sz="0" w:space="0" w:color="auto"/>
                        <w:left w:val="none" w:sz="0" w:space="0" w:color="auto"/>
                        <w:bottom w:val="none" w:sz="0" w:space="0" w:color="auto"/>
                        <w:right w:val="none" w:sz="0" w:space="0" w:color="auto"/>
                      </w:divBdr>
                    </w:div>
                    <w:div w:id="20725775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13868372">
          <w:marLeft w:val="0"/>
          <w:marRight w:val="0"/>
          <w:marTop w:val="0"/>
          <w:marBottom w:val="0"/>
          <w:divBdr>
            <w:top w:val="none" w:sz="0" w:space="0" w:color="auto"/>
            <w:left w:val="none" w:sz="0" w:space="0" w:color="auto"/>
            <w:bottom w:val="none" w:sz="0" w:space="0" w:color="auto"/>
            <w:right w:val="none" w:sz="0" w:space="0" w:color="auto"/>
          </w:divBdr>
          <w:divsChild>
            <w:div w:id="314380459">
              <w:marLeft w:val="75"/>
              <w:marRight w:val="75"/>
              <w:marTop w:val="300"/>
              <w:marBottom w:val="75"/>
              <w:divBdr>
                <w:top w:val="none" w:sz="0" w:space="0" w:color="auto"/>
                <w:left w:val="none" w:sz="0" w:space="0" w:color="auto"/>
                <w:bottom w:val="none" w:sz="0" w:space="0" w:color="auto"/>
                <w:right w:val="none" w:sz="0" w:space="0" w:color="auto"/>
              </w:divBdr>
              <w:divsChild>
                <w:div w:id="1323505623">
                  <w:marLeft w:val="0"/>
                  <w:marRight w:val="0"/>
                  <w:marTop w:val="0"/>
                  <w:marBottom w:val="0"/>
                  <w:divBdr>
                    <w:top w:val="none" w:sz="0" w:space="0" w:color="auto"/>
                    <w:left w:val="none" w:sz="0" w:space="0" w:color="auto"/>
                    <w:bottom w:val="none" w:sz="0" w:space="0" w:color="auto"/>
                    <w:right w:val="none" w:sz="0" w:space="0" w:color="auto"/>
                  </w:divBdr>
                  <w:divsChild>
                    <w:div w:id="486169427">
                      <w:marLeft w:val="-15"/>
                      <w:marRight w:val="-15"/>
                      <w:marTop w:val="0"/>
                      <w:marBottom w:val="0"/>
                      <w:divBdr>
                        <w:top w:val="none" w:sz="0" w:space="0" w:color="auto"/>
                        <w:left w:val="none" w:sz="0" w:space="0" w:color="auto"/>
                        <w:bottom w:val="none" w:sz="0" w:space="0" w:color="auto"/>
                        <w:right w:val="none" w:sz="0" w:space="0" w:color="auto"/>
                      </w:divBdr>
                    </w:div>
                    <w:div w:id="704672906">
                      <w:marLeft w:val="0"/>
                      <w:marRight w:val="0"/>
                      <w:marTop w:val="0"/>
                      <w:marBottom w:val="0"/>
                      <w:divBdr>
                        <w:top w:val="none" w:sz="0" w:space="0" w:color="auto"/>
                        <w:left w:val="none" w:sz="0" w:space="0" w:color="auto"/>
                        <w:bottom w:val="none" w:sz="0" w:space="0" w:color="auto"/>
                        <w:right w:val="none" w:sz="0" w:space="0" w:color="auto"/>
                      </w:divBdr>
                    </w:div>
                    <w:div w:id="183561040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86042">
          <w:marLeft w:val="0"/>
          <w:marRight w:val="0"/>
          <w:marTop w:val="0"/>
          <w:marBottom w:val="0"/>
          <w:divBdr>
            <w:top w:val="none" w:sz="0" w:space="0" w:color="auto"/>
            <w:left w:val="none" w:sz="0" w:space="0" w:color="auto"/>
            <w:bottom w:val="none" w:sz="0" w:space="0" w:color="auto"/>
            <w:right w:val="none" w:sz="0" w:space="0" w:color="auto"/>
          </w:divBdr>
          <w:divsChild>
            <w:div w:id="1856846288">
              <w:marLeft w:val="75"/>
              <w:marRight w:val="75"/>
              <w:marTop w:val="300"/>
              <w:marBottom w:val="75"/>
              <w:divBdr>
                <w:top w:val="none" w:sz="0" w:space="0" w:color="auto"/>
                <w:left w:val="none" w:sz="0" w:space="0" w:color="auto"/>
                <w:bottom w:val="none" w:sz="0" w:space="0" w:color="auto"/>
                <w:right w:val="none" w:sz="0" w:space="0" w:color="auto"/>
              </w:divBdr>
              <w:divsChild>
                <w:div w:id="1959487491">
                  <w:marLeft w:val="0"/>
                  <w:marRight w:val="0"/>
                  <w:marTop w:val="0"/>
                  <w:marBottom w:val="0"/>
                  <w:divBdr>
                    <w:top w:val="none" w:sz="0" w:space="0" w:color="auto"/>
                    <w:left w:val="none" w:sz="0" w:space="0" w:color="auto"/>
                    <w:bottom w:val="none" w:sz="0" w:space="0" w:color="auto"/>
                    <w:right w:val="none" w:sz="0" w:space="0" w:color="auto"/>
                  </w:divBdr>
                  <w:divsChild>
                    <w:div w:id="210045158">
                      <w:marLeft w:val="0"/>
                      <w:marRight w:val="0"/>
                      <w:marTop w:val="0"/>
                      <w:marBottom w:val="0"/>
                      <w:divBdr>
                        <w:top w:val="none" w:sz="0" w:space="0" w:color="auto"/>
                        <w:left w:val="none" w:sz="0" w:space="0" w:color="auto"/>
                        <w:bottom w:val="none" w:sz="0" w:space="0" w:color="auto"/>
                        <w:right w:val="none" w:sz="0" w:space="0" w:color="auto"/>
                      </w:divBdr>
                      <w:divsChild>
                        <w:div w:id="1092556344">
                          <w:marLeft w:val="75"/>
                          <w:marRight w:val="0"/>
                          <w:marTop w:val="0"/>
                          <w:marBottom w:val="0"/>
                          <w:divBdr>
                            <w:top w:val="none" w:sz="0" w:space="0" w:color="auto"/>
                            <w:left w:val="none" w:sz="0" w:space="0" w:color="auto"/>
                            <w:bottom w:val="none" w:sz="0" w:space="0" w:color="auto"/>
                            <w:right w:val="none" w:sz="0" w:space="0" w:color="auto"/>
                          </w:divBdr>
                        </w:div>
                        <w:div w:id="1686134529">
                          <w:marLeft w:val="75"/>
                          <w:marRight w:val="0"/>
                          <w:marTop w:val="0"/>
                          <w:marBottom w:val="0"/>
                          <w:divBdr>
                            <w:top w:val="none" w:sz="0" w:space="0" w:color="auto"/>
                            <w:left w:val="none" w:sz="0" w:space="0" w:color="auto"/>
                            <w:bottom w:val="none" w:sz="0" w:space="0" w:color="auto"/>
                            <w:right w:val="none" w:sz="0" w:space="0" w:color="auto"/>
                          </w:divBdr>
                        </w:div>
                        <w:div w:id="197004319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573315">
          <w:marLeft w:val="0"/>
          <w:marRight w:val="0"/>
          <w:marTop w:val="0"/>
          <w:marBottom w:val="0"/>
          <w:divBdr>
            <w:top w:val="none" w:sz="0" w:space="0" w:color="auto"/>
            <w:left w:val="none" w:sz="0" w:space="0" w:color="auto"/>
            <w:bottom w:val="none" w:sz="0" w:space="0" w:color="auto"/>
            <w:right w:val="none" w:sz="0" w:space="0" w:color="auto"/>
          </w:divBdr>
          <w:divsChild>
            <w:div w:id="1453086626">
              <w:marLeft w:val="75"/>
              <w:marRight w:val="75"/>
              <w:marTop w:val="300"/>
              <w:marBottom w:val="75"/>
              <w:divBdr>
                <w:top w:val="none" w:sz="0" w:space="0" w:color="auto"/>
                <w:left w:val="none" w:sz="0" w:space="0" w:color="auto"/>
                <w:bottom w:val="none" w:sz="0" w:space="0" w:color="auto"/>
                <w:right w:val="none" w:sz="0" w:space="0" w:color="auto"/>
              </w:divBdr>
              <w:divsChild>
                <w:div w:id="1146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694527">
          <w:marLeft w:val="0"/>
          <w:marRight w:val="0"/>
          <w:marTop w:val="0"/>
          <w:marBottom w:val="0"/>
          <w:divBdr>
            <w:top w:val="none" w:sz="0" w:space="0" w:color="auto"/>
            <w:left w:val="none" w:sz="0" w:space="0" w:color="auto"/>
            <w:bottom w:val="none" w:sz="0" w:space="0" w:color="auto"/>
            <w:right w:val="none" w:sz="0" w:space="0" w:color="auto"/>
          </w:divBdr>
          <w:divsChild>
            <w:div w:id="817919444">
              <w:marLeft w:val="75"/>
              <w:marRight w:val="75"/>
              <w:marTop w:val="300"/>
              <w:marBottom w:val="75"/>
              <w:divBdr>
                <w:top w:val="none" w:sz="0" w:space="0" w:color="auto"/>
                <w:left w:val="none" w:sz="0" w:space="0" w:color="auto"/>
                <w:bottom w:val="none" w:sz="0" w:space="0" w:color="auto"/>
                <w:right w:val="none" w:sz="0" w:space="0" w:color="auto"/>
              </w:divBdr>
              <w:divsChild>
                <w:div w:id="1533809933">
                  <w:marLeft w:val="0"/>
                  <w:marRight w:val="0"/>
                  <w:marTop w:val="0"/>
                  <w:marBottom w:val="0"/>
                  <w:divBdr>
                    <w:top w:val="none" w:sz="0" w:space="0" w:color="auto"/>
                    <w:left w:val="none" w:sz="0" w:space="0" w:color="auto"/>
                    <w:bottom w:val="none" w:sz="0" w:space="0" w:color="auto"/>
                    <w:right w:val="none" w:sz="0" w:space="0" w:color="auto"/>
                  </w:divBdr>
                  <w:divsChild>
                    <w:div w:id="1886716250">
                      <w:marLeft w:val="0"/>
                      <w:marRight w:val="0"/>
                      <w:marTop w:val="0"/>
                      <w:marBottom w:val="0"/>
                      <w:divBdr>
                        <w:top w:val="none" w:sz="0" w:space="0" w:color="auto"/>
                        <w:left w:val="none" w:sz="0" w:space="0" w:color="auto"/>
                        <w:bottom w:val="none" w:sz="0" w:space="0" w:color="auto"/>
                        <w:right w:val="none" w:sz="0" w:space="0" w:color="auto"/>
                      </w:divBdr>
                      <w:divsChild>
                        <w:div w:id="271476664">
                          <w:marLeft w:val="75"/>
                          <w:marRight w:val="0"/>
                          <w:marTop w:val="0"/>
                          <w:marBottom w:val="0"/>
                          <w:divBdr>
                            <w:top w:val="none" w:sz="0" w:space="0" w:color="auto"/>
                            <w:left w:val="none" w:sz="0" w:space="0" w:color="auto"/>
                            <w:bottom w:val="none" w:sz="0" w:space="0" w:color="auto"/>
                            <w:right w:val="none" w:sz="0" w:space="0" w:color="auto"/>
                          </w:divBdr>
                        </w:div>
                        <w:div w:id="474641607">
                          <w:marLeft w:val="75"/>
                          <w:marRight w:val="0"/>
                          <w:marTop w:val="0"/>
                          <w:marBottom w:val="0"/>
                          <w:divBdr>
                            <w:top w:val="none" w:sz="0" w:space="0" w:color="auto"/>
                            <w:left w:val="none" w:sz="0" w:space="0" w:color="auto"/>
                            <w:bottom w:val="none" w:sz="0" w:space="0" w:color="auto"/>
                            <w:right w:val="none" w:sz="0" w:space="0" w:color="auto"/>
                          </w:divBdr>
                        </w:div>
                        <w:div w:id="79844903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773265">
          <w:marLeft w:val="0"/>
          <w:marRight w:val="0"/>
          <w:marTop w:val="0"/>
          <w:marBottom w:val="0"/>
          <w:divBdr>
            <w:top w:val="none" w:sz="0" w:space="0" w:color="auto"/>
            <w:left w:val="none" w:sz="0" w:space="0" w:color="auto"/>
            <w:bottom w:val="none" w:sz="0" w:space="0" w:color="auto"/>
            <w:right w:val="none" w:sz="0" w:space="0" w:color="auto"/>
          </w:divBdr>
          <w:divsChild>
            <w:div w:id="60368385">
              <w:marLeft w:val="75"/>
              <w:marRight w:val="75"/>
              <w:marTop w:val="300"/>
              <w:marBottom w:val="75"/>
              <w:divBdr>
                <w:top w:val="none" w:sz="0" w:space="0" w:color="auto"/>
                <w:left w:val="none" w:sz="0" w:space="0" w:color="auto"/>
                <w:bottom w:val="none" w:sz="0" w:space="0" w:color="auto"/>
                <w:right w:val="none" w:sz="0" w:space="0" w:color="auto"/>
              </w:divBdr>
              <w:divsChild>
                <w:div w:id="470364921">
                  <w:marLeft w:val="0"/>
                  <w:marRight w:val="0"/>
                  <w:marTop w:val="0"/>
                  <w:marBottom w:val="0"/>
                  <w:divBdr>
                    <w:top w:val="none" w:sz="0" w:space="0" w:color="auto"/>
                    <w:left w:val="none" w:sz="0" w:space="0" w:color="auto"/>
                    <w:bottom w:val="none" w:sz="0" w:space="0" w:color="auto"/>
                    <w:right w:val="none" w:sz="0" w:space="0" w:color="auto"/>
                  </w:divBdr>
                  <w:divsChild>
                    <w:div w:id="480119903">
                      <w:marLeft w:val="-15"/>
                      <w:marRight w:val="-15"/>
                      <w:marTop w:val="0"/>
                      <w:marBottom w:val="0"/>
                      <w:divBdr>
                        <w:top w:val="none" w:sz="0" w:space="0" w:color="auto"/>
                        <w:left w:val="none" w:sz="0" w:space="0" w:color="auto"/>
                        <w:bottom w:val="none" w:sz="0" w:space="0" w:color="auto"/>
                        <w:right w:val="none" w:sz="0" w:space="0" w:color="auto"/>
                      </w:divBdr>
                    </w:div>
                    <w:div w:id="545023781">
                      <w:marLeft w:val="0"/>
                      <w:marRight w:val="0"/>
                      <w:marTop w:val="0"/>
                      <w:marBottom w:val="0"/>
                      <w:divBdr>
                        <w:top w:val="none" w:sz="0" w:space="0" w:color="auto"/>
                        <w:left w:val="none" w:sz="0" w:space="0" w:color="auto"/>
                        <w:bottom w:val="none" w:sz="0" w:space="0" w:color="auto"/>
                        <w:right w:val="none" w:sz="0" w:space="0" w:color="auto"/>
                      </w:divBdr>
                    </w:div>
                    <w:div w:id="6712263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67736">
          <w:marLeft w:val="0"/>
          <w:marRight w:val="0"/>
          <w:marTop w:val="0"/>
          <w:marBottom w:val="0"/>
          <w:divBdr>
            <w:top w:val="none" w:sz="0" w:space="0" w:color="auto"/>
            <w:left w:val="none" w:sz="0" w:space="0" w:color="auto"/>
            <w:bottom w:val="none" w:sz="0" w:space="0" w:color="auto"/>
            <w:right w:val="none" w:sz="0" w:space="0" w:color="auto"/>
          </w:divBdr>
          <w:divsChild>
            <w:div w:id="1321498619">
              <w:marLeft w:val="75"/>
              <w:marRight w:val="75"/>
              <w:marTop w:val="300"/>
              <w:marBottom w:val="75"/>
              <w:divBdr>
                <w:top w:val="none" w:sz="0" w:space="0" w:color="auto"/>
                <w:left w:val="none" w:sz="0" w:space="0" w:color="auto"/>
                <w:bottom w:val="none" w:sz="0" w:space="0" w:color="auto"/>
                <w:right w:val="none" w:sz="0" w:space="0" w:color="auto"/>
              </w:divBdr>
              <w:divsChild>
                <w:div w:id="1045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067786">
      <w:bodyDiv w:val="1"/>
      <w:marLeft w:val="0"/>
      <w:marRight w:val="0"/>
      <w:marTop w:val="0"/>
      <w:marBottom w:val="0"/>
      <w:divBdr>
        <w:top w:val="none" w:sz="0" w:space="0" w:color="auto"/>
        <w:left w:val="none" w:sz="0" w:space="0" w:color="auto"/>
        <w:bottom w:val="none" w:sz="0" w:space="0" w:color="auto"/>
        <w:right w:val="none" w:sz="0" w:space="0" w:color="auto"/>
      </w:divBdr>
    </w:div>
    <w:div w:id="1637027120">
      <w:bodyDiv w:val="1"/>
      <w:marLeft w:val="0"/>
      <w:marRight w:val="0"/>
      <w:marTop w:val="0"/>
      <w:marBottom w:val="0"/>
      <w:divBdr>
        <w:top w:val="none" w:sz="0" w:space="0" w:color="auto"/>
        <w:left w:val="none" w:sz="0" w:space="0" w:color="auto"/>
        <w:bottom w:val="none" w:sz="0" w:space="0" w:color="auto"/>
        <w:right w:val="none" w:sz="0" w:space="0" w:color="auto"/>
      </w:divBdr>
      <w:divsChild>
        <w:div w:id="137653168">
          <w:marLeft w:val="-15"/>
          <w:marRight w:val="-15"/>
          <w:marTop w:val="0"/>
          <w:marBottom w:val="0"/>
          <w:divBdr>
            <w:top w:val="none" w:sz="0" w:space="0" w:color="auto"/>
            <w:left w:val="none" w:sz="0" w:space="0" w:color="auto"/>
            <w:bottom w:val="none" w:sz="0" w:space="0" w:color="auto"/>
            <w:right w:val="none" w:sz="0" w:space="0" w:color="auto"/>
          </w:divBdr>
        </w:div>
      </w:divsChild>
    </w:div>
    <w:div w:id="1654600844">
      <w:bodyDiv w:val="1"/>
      <w:marLeft w:val="0"/>
      <w:marRight w:val="0"/>
      <w:marTop w:val="0"/>
      <w:marBottom w:val="0"/>
      <w:divBdr>
        <w:top w:val="none" w:sz="0" w:space="0" w:color="auto"/>
        <w:left w:val="none" w:sz="0" w:space="0" w:color="auto"/>
        <w:bottom w:val="none" w:sz="0" w:space="0" w:color="auto"/>
        <w:right w:val="none" w:sz="0" w:space="0" w:color="auto"/>
      </w:divBdr>
    </w:div>
    <w:div w:id="1680309216">
      <w:bodyDiv w:val="1"/>
      <w:marLeft w:val="0"/>
      <w:marRight w:val="0"/>
      <w:marTop w:val="0"/>
      <w:marBottom w:val="0"/>
      <w:divBdr>
        <w:top w:val="none" w:sz="0" w:space="0" w:color="auto"/>
        <w:left w:val="none" w:sz="0" w:space="0" w:color="auto"/>
        <w:bottom w:val="none" w:sz="0" w:space="0" w:color="auto"/>
        <w:right w:val="none" w:sz="0" w:space="0" w:color="auto"/>
      </w:divBdr>
      <w:divsChild>
        <w:div w:id="992174476">
          <w:marLeft w:val="-15"/>
          <w:marRight w:val="-15"/>
          <w:marTop w:val="0"/>
          <w:marBottom w:val="0"/>
          <w:divBdr>
            <w:top w:val="none" w:sz="0" w:space="0" w:color="auto"/>
            <w:left w:val="none" w:sz="0" w:space="0" w:color="auto"/>
            <w:bottom w:val="none" w:sz="0" w:space="0" w:color="auto"/>
            <w:right w:val="none" w:sz="0" w:space="0" w:color="auto"/>
          </w:divBdr>
        </w:div>
      </w:divsChild>
    </w:div>
    <w:div w:id="1714117975">
      <w:bodyDiv w:val="1"/>
      <w:marLeft w:val="0"/>
      <w:marRight w:val="0"/>
      <w:marTop w:val="0"/>
      <w:marBottom w:val="0"/>
      <w:divBdr>
        <w:top w:val="none" w:sz="0" w:space="0" w:color="auto"/>
        <w:left w:val="none" w:sz="0" w:space="0" w:color="auto"/>
        <w:bottom w:val="none" w:sz="0" w:space="0" w:color="auto"/>
        <w:right w:val="none" w:sz="0" w:space="0" w:color="auto"/>
      </w:divBdr>
    </w:div>
    <w:div w:id="1737119032">
      <w:bodyDiv w:val="1"/>
      <w:marLeft w:val="0"/>
      <w:marRight w:val="0"/>
      <w:marTop w:val="0"/>
      <w:marBottom w:val="0"/>
      <w:divBdr>
        <w:top w:val="none" w:sz="0" w:space="0" w:color="auto"/>
        <w:left w:val="none" w:sz="0" w:space="0" w:color="auto"/>
        <w:bottom w:val="none" w:sz="0" w:space="0" w:color="auto"/>
        <w:right w:val="none" w:sz="0" w:space="0" w:color="auto"/>
      </w:divBdr>
    </w:div>
    <w:div w:id="1768232268">
      <w:bodyDiv w:val="1"/>
      <w:marLeft w:val="0"/>
      <w:marRight w:val="0"/>
      <w:marTop w:val="0"/>
      <w:marBottom w:val="0"/>
      <w:divBdr>
        <w:top w:val="none" w:sz="0" w:space="0" w:color="auto"/>
        <w:left w:val="none" w:sz="0" w:space="0" w:color="auto"/>
        <w:bottom w:val="none" w:sz="0" w:space="0" w:color="auto"/>
        <w:right w:val="none" w:sz="0" w:space="0" w:color="auto"/>
      </w:divBdr>
    </w:div>
    <w:div w:id="1770807030">
      <w:bodyDiv w:val="1"/>
      <w:marLeft w:val="0"/>
      <w:marRight w:val="0"/>
      <w:marTop w:val="0"/>
      <w:marBottom w:val="0"/>
      <w:divBdr>
        <w:top w:val="none" w:sz="0" w:space="0" w:color="auto"/>
        <w:left w:val="none" w:sz="0" w:space="0" w:color="auto"/>
        <w:bottom w:val="none" w:sz="0" w:space="0" w:color="auto"/>
        <w:right w:val="none" w:sz="0" w:space="0" w:color="auto"/>
      </w:divBdr>
    </w:div>
    <w:div w:id="1793938017">
      <w:bodyDiv w:val="1"/>
      <w:marLeft w:val="0"/>
      <w:marRight w:val="0"/>
      <w:marTop w:val="0"/>
      <w:marBottom w:val="0"/>
      <w:divBdr>
        <w:top w:val="none" w:sz="0" w:space="0" w:color="auto"/>
        <w:left w:val="none" w:sz="0" w:space="0" w:color="auto"/>
        <w:bottom w:val="none" w:sz="0" w:space="0" w:color="auto"/>
        <w:right w:val="none" w:sz="0" w:space="0" w:color="auto"/>
      </w:divBdr>
    </w:div>
    <w:div w:id="1823304275">
      <w:bodyDiv w:val="1"/>
      <w:marLeft w:val="0"/>
      <w:marRight w:val="0"/>
      <w:marTop w:val="0"/>
      <w:marBottom w:val="0"/>
      <w:divBdr>
        <w:top w:val="none" w:sz="0" w:space="0" w:color="auto"/>
        <w:left w:val="none" w:sz="0" w:space="0" w:color="auto"/>
        <w:bottom w:val="none" w:sz="0" w:space="0" w:color="auto"/>
        <w:right w:val="none" w:sz="0" w:space="0" w:color="auto"/>
      </w:divBdr>
    </w:div>
    <w:div w:id="1865485629">
      <w:bodyDiv w:val="1"/>
      <w:marLeft w:val="0"/>
      <w:marRight w:val="0"/>
      <w:marTop w:val="0"/>
      <w:marBottom w:val="0"/>
      <w:divBdr>
        <w:top w:val="none" w:sz="0" w:space="0" w:color="auto"/>
        <w:left w:val="none" w:sz="0" w:space="0" w:color="auto"/>
        <w:bottom w:val="none" w:sz="0" w:space="0" w:color="auto"/>
        <w:right w:val="none" w:sz="0" w:space="0" w:color="auto"/>
      </w:divBdr>
    </w:div>
    <w:div w:id="2028170951">
      <w:bodyDiv w:val="1"/>
      <w:marLeft w:val="0"/>
      <w:marRight w:val="0"/>
      <w:marTop w:val="0"/>
      <w:marBottom w:val="0"/>
      <w:divBdr>
        <w:top w:val="none" w:sz="0" w:space="0" w:color="auto"/>
        <w:left w:val="none" w:sz="0" w:space="0" w:color="auto"/>
        <w:bottom w:val="none" w:sz="0" w:space="0" w:color="auto"/>
        <w:right w:val="none" w:sz="0" w:space="0" w:color="auto"/>
      </w:divBdr>
    </w:div>
    <w:div w:id="2095742622">
      <w:bodyDiv w:val="1"/>
      <w:marLeft w:val="0"/>
      <w:marRight w:val="0"/>
      <w:marTop w:val="0"/>
      <w:marBottom w:val="0"/>
      <w:divBdr>
        <w:top w:val="none" w:sz="0" w:space="0" w:color="auto"/>
        <w:left w:val="none" w:sz="0" w:space="0" w:color="auto"/>
        <w:bottom w:val="none" w:sz="0" w:space="0" w:color="auto"/>
        <w:right w:val="none" w:sz="0" w:space="0" w:color="auto"/>
      </w:divBdr>
    </w:div>
    <w:div w:id="210687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inance.ec.europa.eu/regulation-and-supervision/consultations-0/targeted-consultation-functioning-eu-securitisation-framework-2024_"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cid:image004.png@01DB307A.39271E90"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FBF" ma:contentTypeID="0x010100AB21FF7DF9BA5D49B77444CB243134C200D896C68C3973AE4080B35F862B7439EB" ma:contentTypeVersion="1738" ma:contentTypeDescription="Type de contenu personnalisé et disponible niveau Tenant pour stocker des métadonnées types pour les documents FBF&#10;** Type de contenu créé par Claranet **" ma:contentTypeScope="" ma:versionID="de08b9ba41017191ad198a825198ace9">
  <xsd:schema xmlns:xsd="http://www.w3.org/2001/XMLSchema" xmlns:xs="http://www.w3.org/2001/XMLSchema" xmlns:p="http://schemas.microsoft.com/office/2006/metadata/properties" xmlns:ns2="8971c205-0449-498f-89fe-dff1948c4b20" targetNamespace="http://schemas.microsoft.com/office/2006/metadata/properties" ma:root="true" ma:fieldsID="38b5f1b9eb789e8708e6ed7b7a664288" ns2:_="">
    <xsd:import namespace="8971c205-0449-498f-89fe-dff1948c4b20"/>
    <xsd:element name="properties">
      <xsd:complexType>
        <xsd:sequence>
          <xsd:element name="documentManagement">
            <xsd:complexType>
              <xsd:all>
                <xsd:element ref="ns2:TaxCatchAll" minOccurs="0"/>
                <xsd:element ref="ns2:Date_x0020_du_x0020_document" minOccurs="0"/>
                <xsd:element ref="ns2:FBF_AccordStatus" minOccurs="0"/>
                <xsd:element ref="ns2:FBF_DateReferenceAccord" minOccurs="0"/>
                <xsd:element ref="ns2:nf6b8cf801aa4dac90a568d8ff005f81" minOccurs="0"/>
                <xsd:element ref="ns2:TaxCatchAllLabel" minOccurs="0"/>
                <xsd:element ref="ns2:kab5dc79534745eebdaf05548104ce5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71c205-0449-498f-89fe-dff1948c4b2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1416f488-c936-41a8-873b-ead705a2a18f}" ma:internalName="TaxCatchAll" ma:showField="CatchAllData" ma:web="71f0221c-f6f1-4e82-80ec-1de5c038d08a">
      <xsd:complexType>
        <xsd:complexContent>
          <xsd:extension base="dms:MultiChoiceLookup">
            <xsd:sequence>
              <xsd:element name="Value" type="dms:Lookup" maxOccurs="unbounded" minOccurs="0" nillable="true"/>
            </xsd:sequence>
          </xsd:extension>
        </xsd:complexContent>
      </xsd:complexType>
    </xsd:element>
    <xsd:element name="Date_x0020_du_x0020_document" ma:index="11" nillable="true" ma:displayName="Date du document" ma:default="[today]" ma:description=" Date correspondant à la période à laquelle le document se réfère, selon son contexte d'utilisation. Indispensable pour contextualiser les contenus, faciliter la recherche par temporalité et soutenir l'analyse historique ou événementielle des données. Joue un rôle clé dans la gestion des archives et les processus de migration." ma:format="DateOnly" ma:internalName="Date_x0020_du_x0020_document" ma:readOnly="false">
      <xsd:simpleType>
        <xsd:restriction base="dms:DateTime"/>
      </xsd:simpleType>
    </xsd:element>
    <xsd:element name="FBF_AccordStatus" ma:index="12" nillable="true" ma:displayName="Statut de la Collection" ma:default="Statut 1" ma:format="Dropdown" ma:internalName="FBF_AccordStatus" ma:readOnly="false">
      <xsd:simpleType>
        <xsd:restriction base="dms:Choice">
          <xsd:enumeration value="Statut 1"/>
          <xsd:enumeration value="Statut 2"/>
          <xsd:enumeration value="Statut 3"/>
        </xsd:restriction>
      </xsd:simpleType>
    </xsd:element>
    <xsd:element name="FBF_DateReferenceAccord" ma:index="13" nillable="true" ma:displayName="Date référence Collection" ma:description="Date de référence pour de la collection &#10;Colonne personnalisée et disponible niveau Tenant &#10;** Colonne créé par Claranet **" ma:format="DateOnly" ma:internalName="FBF_DateReferenceAccord" ma:readOnly="false">
      <xsd:simpleType>
        <xsd:restriction base="dms:DateTime"/>
      </xsd:simpleType>
    </xsd:element>
    <xsd:element name="nf6b8cf801aa4dac90a568d8ff005f81" ma:index="14" nillable="true" ma:taxonomy="true" ma:internalName="nf6b8cf801aa4dac90a568d8ff005f81" ma:taxonomyFieldName="FBF_DocumentType" ma:displayName="Type de Document" ma:readOnly="false" ma:fieldId="{7f6b8cf8-01aa-4dac-90a5-68d8ff005f81}" ma:sspId="37bc3043-3246-467f-a677-2384b97cfdb5" ma:termSetId="bd5739d1-703f-47d7-894b-3c85be48732c" ma:anchorId="00000000-0000-0000-0000-000000000000" ma:open="false" ma:isKeyword="false">
      <xsd:complexType>
        <xsd:sequence>
          <xsd:element ref="pc:Terms" minOccurs="0" maxOccurs="1"/>
        </xsd:sequence>
      </xsd:complexType>
    </xsd:element>
    <xsd:element name="TaxCatchAllLabel" ma:index="15" nillable="true" ma:displayName="Taxonomy Catch All Column1" ma:hidden="true" ma:list="{1416f488-c936-41a8-873b-ead705a2a18f}" ma:internalName="TaxCatchAllLabel" ma:readOnly="true" ma:showField="CatchAllDataLabel" ma:web="71f0221c-f6f1-4e82-80ec-1de5c038d08a">
      <xsd:complexType>
        <xsd:complexContent>
          <xsd:extension base="dms:MultiChoiceLookup">
            <xsd:sequence>
              <xsd:element name="Value" type="dms:Lookup" maxOccurs="unbounded" minOccurs="0" nillable="true"/>
            </xsd:sequence>
          </xsd:extension>
        </xsd:complexContent>
      </xsd:complexType>
    </xsd:element>
    <xsd:element name="kab5dc79534745eebdaf05548104ce59" ma:index="16" nillable="true" ma:taxonomy="true" ma:internalName="kab5dc79534745eebdaf05548104ce59" ma:taxonomyFieldName="FBF_DocumentTheme" ma:displayName="Thème de Document" ma:readOnly="false" ma:fieldId="{4ab5dc79-5347-45ee-bdaf-05548104ce59}" ma:sspId="37bc3043-3246-467f-a677-2384b97cfdb5" ma:termSetId="bec3cf2f-7431-44bd-bb81-dd35f21378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b5dc79534745eebdaf05548104ce59 xmlns="8971c205-0449-498f-89fe-dff1948c4b20">
      <Terms xmlns="http://schemas.microsoft.com/office/infopath/2007/PartnerControls"/>
    </kab5dc79534745eebdaf05548104ce59>
    <FBF_DateReferenceAccord xmlns="8971c205-0449-498f-89fe-dff1948c4b20" xsi:nil="true"/>
    <Date_x0020_du_x0020_document xmlns="8971c205-0449-498f-89fe-dff1948c4b20">2024-10-23T14:40:24+00:00</Date_x0020_du_x0020_document>
    <nf6b8cf801aa4dac90a568d8ff005f81 xmlns="8971c205-0449-498f-89fe-dff1948c4b20">
      <Terms xmlns="http://schemas.microsoft.com/office/infopath/2007/PartnerControls"/>
    </nf6b8cf801aa4dac90a568d8ff005f81>
    <FBF_AccordStatus xmlns="8971c205-0449-498f-89fe-dff1948c4b20">Statut 1</FBF_AccordStatus>
    <TaxCatchAll xmlns="8971c205-0449-498f-89fe-dff1948c4b20" xsi:nil="true"/>
  </documentManagement>
</p:properties>
</file>

<file path=customXml/item3.xml><?xml version="1.0" encoding="utf-8"?>
<?mso-contentType ?>
<SharedContentType xmlns="Microsoft.SharePoint.Taxonomy.ContentTypeSync" SourceId="37bc3043-3246-467f-a677-2384b97cfdb5" ContentTypeId="0x010100AB21FF7DF9BA5D49B77444CB243134C2" PreviousValue="false"/>
</file>

<file path=customXml/item4.xml><?xml version="1.0" encoding="utf-8"?>
<?mso-contentType ?>
<FormTemplates xmlns="http://schemas.microsoft.com/sharepoint/v3/contenttype/form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BA088-036C-4311-9B83-62CD1D237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71c205-0449-498f-89fe-dff1948c4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13094B-1EE6-479F-906F-1923367D9396}">
  <ds:schemaRefs>
    <ds:schemaRef ds:uri="http://schemas.microsoft.com/office/2006/metadata/properties"/>
    <ds:schemaRef ds:uri="http://schemas.microsoft.com/office/infopath/2007/PartnerControls"/>
    <ds:schemaRef ds:uri="8971c205-0449-498f-89fe-dff1948c4b20"/>
  </ds:schemaRefs>
</ds:datastoreItem>
</file>

<file path=customXml/itemProps3.xml><?xml version="1.0" encoding="utf-8"?>
<ds:datastoreItem xmlns:ds="http://schemas.openxmlformats.org/officeDocument/2006/customXml" ds:itemID="{2C2DB254-55AA-4A39-9457-FAB4E29DCA7A}">
  <ds:schemaRefs>
    <ds:schemaRef ds:uri="Microsoft.SharePoint.Taxonomy.ContentTypeSync"/>
  </ds:schemaRefs>
</ds:datastoreItem>
</file>

<file path=customXml/itemProps4.xml><?xml version="1.0" encoding="utf-8"?>
<ds:datastoreItem xmlns:ds="http://schemas.openxmlformats.org/officeDocument/2006/customXml" ds:itemID="{09926362-372F-42B3-B9BD-726CCD94D717}">
  <ds:schemaRefs>
    <ds:schemaRef ds:uri="http://schemas.microsoft.com/sharepoint/v3/contenttype/forms"/>
  </ds:schemaRefs>
</ds:datastoreItem>
</file>

<file path=customXml/itemProps5.xml><?xml version="1.0" encoding="utf-8"?>
<ds:datastoreItem xmlns:ds="http://schemas.openxmlformats.org/officeDocument/2006/customXml" ds:itemID="{E8E35267-A253-4143-B679-43D9FA734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53</Pages>
  <Words>27797</Words>
  <Characters>152888</Characters>
  <Application>Microsoft Office Word</Application>
  <DocSecurity>8</DocSecurity>
  <Lines>1274</Lines>
  <Paragraphs>360</Paragraphs>
  <ScaleCrop>false</ScaleCrop>
  <Company>FBF</Company>
  <LinksUpToDate>false</LinksUpToDate>
  <CharactersWithSpaces>180325</CharactersWithSpaces>
  <SharedDoc>false</SharedDoc>
  <HLinks>
    <vt:vector size="114" baseType="variant">
      <vt:variant>
        <vt:i4>2359357</vt:i4>
      </vt:variant>
      <vt:variant>
        <vt:i4>54</vt:i4>
      </vt:variant>
      <vt:variant>
        <vt:i4>0</vt:i4>
      </vt:variant>
      <vt:variant>
        <vt:i4>5</vt:i4>
      </vt:variant>
      <vt:variant>
        <vt:lpwstr>https://www.riskcontrollimited.com/insights/comparing-cb-abs-and-corporate-bond-liquidity/</vt:lpwstr>
      </vt:variant>
      <vt:variant>
        <vt:lpwstr/>
      </vt:variant>
      <vt:variant>
        <vt:i4>3145815</vt:i4>
      </vt:variant>
      <vt:variant>
        <vt:i4>51</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2359357</vt:i4>
      </vt:variant>
      <vt:variant>
        <vt:i4>48</vt:i4>
      </vt:variant>
      <vt:variant>
        <vt:i4>0</vt:i4>
      </vt:variant>
      <vt:variant>
        <vt:i4>5</vt:i4>
      </vt:variant>
      <vt:variant>
        <vt:lpwstr>https://www.riskcontrollimited.com/insights/comparing-cb-abs-and-corporate-bond-liquidity/</vt:lpwstr>
      </vt:variant>
      <vt:variant>
        <vt:lpwstr/>
      </vt:variant>
      <vt:variant>
        <vt:i4>3145815</vt:i4>
      </vt:variant>
      <vt:variant>
        <vt:i4>45</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1048647</vt:i4>
      </vt:variant>
      <vt:variant>
        <vt:i4>42</vt:i4>
      </vt:variant>
      <vt:variant>
        <vt:i4>0</vt:i4>
      </vt:variant>
      <vt:variant>
        <vt:i4>5</vt:i4>
      </vt:variant>
      <vt:variant>
        <vt:lpwstr>https://eur-lex.europa.eu/legal-content/EN/TXT/?uri=CELEX:32022R2365</vt:lpwstr>
      </vt:variant>
      <vt:variant>
        <vt:lpwstr/>
      </vt:variant>
      <vt:variant>
        <vt:i4>1835078</vt:i4>
      </vt:variant>
      <vt:variant>
        <vt:i4>39</vt:i4>
      </vt:variant>
      <vt:variant>
        <vt:i4>0</vt:i4>
      </vt:variant>
      <vt:variant>
        <vt:i4>5</vt:i4>
      </vt:variant>
      <vt:variant>
        <vt:lpwstr>https://eur-lex.europa.eu/legal-content/EN/TXT/?uri=CELEX:32016R1801</vt:lpwstr>
      </vt:variant>
      <vt:variant>
        <vt:lpwstr/>
      </vt:variant>
      <vt:variant>
        <vt:i4>5242924</vt:i4>
      </vt:variant>
      <vt:variant>
        <vt:i4>36</vt:i4>
      </vt:variant>
      <vt:variant>
        <vt:i4>0</vt:i4>
      </vt:variant>
      <vt:variant>
        <vt:i4>5</vt:i4>
      </vt:variant>
      <vt:variant>
        <vt:lpwstr>https://www.eba.europa.eu/single-rule-book-qa/qna/view/publicId/2019_4786</vt:lpwstr>
      </vt:variant>
      <vt:variant>
        <vt:lpwstr/>
      </vt:variant>
      <vt:variant>
        <vt:i4>6946922</vt:i4>
      </vt:variant>
      <vt:variant>
        <vt:i4>33</vt:i4>
      </vt:variant>
      <vt:variant>
        <vt:i4>0</vt:i4>
      </vt:variant>
      <vt:variant>
        <vt:i4>5</vt:i4>
      </vt:variant>
      <vt:variant>
        <vt:lpwstr>https://eur-lex.europa.eu/legal-content/EN/TXT/?uri=CELEX%3A02015R0061-20220708</vt:lpwstr>
      </vt:variant>
      <vt:variant>
        <vt:lpwstr/>
      </vt:variant>
      <vt:variant>
        <vt:i4>1245254</vt:i4>
      </vt:variant>
      <vt:variant>
        <vt:i4>30</vt:i4>
      </vt:variant>
      <vt:variant>
        <vt:i4>0</vt:i4>
      </vt:variant>
      <vt:variant>
        <vt:i4>5</vt:i4>
      </vt:variant>
      <vt:variant>
        <vt:lpwstr>https://eur-lex.europa.eu/legal-content/EN/TXT/?uri=CELEX:32024R1623</vt:lpwstr>
      </vt:variant>
      <vt:variant>
        <vt:lpwstr/>
      </vt:variant>
      <vt:variant>
        <vt:i4>4587606</vt:i4>
      </vt:variant>
      <vt:variant>
        <vt:i4>27</vt:i4>
      </vt:variant>
      <vt:variant>
        <vt:i4>0</vt:i4>
      </vt:variant>
      <vt:variant>
        <vt:i4>5</vt:i4>
      </vt:variant>
      <vt:variant>
        <vt:lpwstr>https://www.eba.europa.eu/eba-calls-european-commission-harmonise-significant-risk-transfer-assessment-securitisation</vt:lpwstr>
      </vt:variant>
      <vt:variant>
        <vt:lpwstr/>
      </vt:variant>
      <vt:variant>
        <vt:i4>3145815</vt:i4>
      </vt:variant>
      <vt:variant>
        <vt:i4>24</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2359357</vt:i4>
      </vt:variant>
      <vt:variant>
        <vt:i4>21</vt:i4>
      </vt:variant>
      <vt:variant>
        <vt:i4>0</vt:i4>
      </vt:variant>
      <vt:variant>
        <vt:i4>5</vt:i4>
      </vt:variant>
      <vt:variant>
        <vt:lpwstr>https://www.riskcontrollimited.com/insights/comparing-cb-abs-and-corporate-bond-liquidity/</vt:lpwstr>
      </vt:variant>
      <vt:variant>
        <vt:lpwstr/>
      </vt:variant>
      <vt:variant>
        <vt:i4>3145815</vt:i4>
      </vt:variant>
      <vt:variant>
        <vt:i4>18</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3145815</vt:i4>
      </vt:variant>
      <vt:variant>
        <vt:i4>15</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1245252</vt:i4>
      </vt:variant>
      <vt:variant>
        <vt:i4>12</vt:i4>
      </vt:variant>
      <vt:variant>
        <vt:i4>0</vt:i4>
      </vt:variant>
      <vt:variant>
        <vt:i4>5</vt:i4>
      </vt:variant>
      <vt:variant>
        <vt:lpwstr>https://eur-lex.europa.eu/legal-content/EN/TXT/?uri=CELEX:32017R2402</vt:lpwstr>
      </vt:variant>
      <vt:variant>
        <vt:lpwstr/>
      </vt:variant>
      <vt:variant>
        <vt:i4>3145815</vt:i4>
      </vt:variant>
      <vt:variant>
        <vt:i4>9</vt:i4>
      </vt:variant>
      <vt:variant>
        <vt:i4>0</vt:i4>
      </vt:variant>
      <vt:variant>
        <vt:i4>5</vt:i4>
      </vt:variant>
      <vt:variant>
        <vt:lpwstr>https://www.eba.europa.eu/sites/default/files/document_library/Publications/Other publications/2022/Joint advice to the EU Commission on the review of the securitisation prudential framework/1045321/JC 2022 66 - JC Advice on the review of the securitisation prudential framework  - Banking.pdf</vt:lpwstr>
      </vt:variant>
      <vt:variant>
        <vt:lpwstr/>
      </vt:variant>
      <vt:variant>
        <vt:i4>6946922</vt:i4>
      </vt:variant>
      <vt:variant>
        <vt:i4>6</vt:i4>
      </vt:variant>
      <vt:variant>
        <vt:i4>0</vt:i4>
      </vt:variant>
      <vt:variant>
        <vt:i4>5</vt:i4>
      </vt:variant>
      <vt:variant>
        <vt:lpwstr>https://eur-lex.europa.eu/legal-content/EN/TXT/?uri=CELEX%3A02015R0061-20220708</vt:lpwstr>
      </vt:variant>
      <vt:variant>
        <vt:lpwstr/>
      </vt:variant>
      <vt:variant>
        <vt:i4>1376344</vt:i4>
      </vt:variant>
      <vt:variant>
        <vt:i4>3</vt:i4>
      </vt:variant>
      <vt:variant>
        <vt:i4>0</vt:i4>
      </vt:variant>
      <vt:variant>
        <vt:i4>5</vt:i4>
      </vt:variant>
      <vt:variant>
        <vt:lpwstr>https://eur-lex.europa.eu/legal-content/EN/TXT/?uri=CELEX:02013R0575-20240709</vt:lpwstr>
      </vt:variant>
      <vt:variant>
        <vt:lpwstr/>
      </vt:variant>
      <vt:variant>
        <vt:i4>2949241</vt:i4>
      </vt:variant>
      <vt:variant>
        <vt:i4>0</vt:i4>
      </vt:variant>
      <vt:variant>
        <vt:i4>0</vt:i4>
      </vt:variant>
      <vt:variant>
        <vt:i4>5</vt:i4>
      </vt:variant>
      <vt:variant>
        <vt:lpwstr>https://finance.ec.europa.eu/regulation-and-supervision/consultations-0/targeted-consultation-functioning-eu-securitisation-framework-2024_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Marangon, Anne</dc:creator>
  <cp:keywords/>
  <dc:description/>
  <cp:lastModifiedBy>Marangon, Anne</cp:lastModifiedBy>
  <cp:revision>3</cp:revision>
  <dcterms:created xsi:type="dcterms:W3CDTF">2024-12-04T17:12:00Z</dcterms:created>
  <dcterms:modified xsi:type="dcterms:W3CDTF">2024-12-04T17:13:00Z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0x010100AB21FF7DF9BA5D49B77444CB243134C200D896C68C3973AE4080B35F862B7439EB</vt:lpwstr>
  </property>
  <property fmtid="{D5CDD505-2E9C-101B-9397-08002B2CF9AE}" pid="3" name="FBF_DocumentType">
    <vt:lpwstr/>
  </property>
  <property fmtid="{D5CDD505-2E9C-101B-9397-08002B2CF9AE}" pid="4" name="FBF_DocumentTheme">
    <vt:lpwstr/>
  </property>
  <property fmtid="{D5CDD505-2E9C-101B-9397-08002B2CF9AE}" pid="5" name="MSIP_Label_a401b303-ecb1-4a9d-936a-70858c2d9a3e_Enabled">
    <vt:lpwstr>true</vt:lpwstr>
  </property>
  <property fmtid="{D5CDD505-2E9C-101B-9397-08002B2CF9AE}" pid="6" name="MSIP_Label_a401b303-ecb1-4a9d-936a-70858c2d9a3e_SetDate">
    <vt:lpwstr>2024-11-12T06:59:04Z</vt:lpwstr>
  </property>
  <property fmtid="{D5CDD505-2E9C-101B-9397-08002B2CF9AE}" pid="7" name="MSIP_Label_a401b303-ecb1-4a9d-936a-70858c2d9a3e_Method">
    <vt:lpwstr>Privileged</vt:lpwstr>
  </property>
  <property fmtid="{D5CDD505-2E9C-101B-9397-08002B2CF9AE}" pid="8" name="MSIP_Label_a401b303-ecb1-4a9d-936a-70858c2d9a3e_Name">
    <vt:lpwstr>a401b303-ecb1-4a9d-936a-70858c2d9a3e</vt:lpwstr>
  </property>
  <property fmtid="{D5CDD505-2E9C-101B-9397-08002B2CF9AE}" pid="9" name="MSIP_Label_a401b303-ecb1-4a9d-936a-70858c2d9a3e_SiteId">
    <vt:lpwstr>c9a7d621-4bc4-4407-b730-f428e656aa9e</vt:lpwstr>
  </property>
  <property fmtid="{D5CDD505-2E9C-101B-9397-08002B2CF9AE}" pid="10" name="MSIP_Label_a401b303-ecb1-4a9d-936a-70858c2d9a3e_ActionId">
    <vt:lpwstr>028bebd4-b92d-4f0b-be31-69cd121b9488</vt:lpwstr>
  </property>
  <property fmtid="{D5CDD505-2E9C-101B-9397-08002B2CF9AE}" pid="11" name="MSIP_Label_a401b303-ecb1-4a9d-936a-70858c2d9a3e_ContentBits">
    <vt:lpwstr>0</vt:lpwstr>
  </property>
  <property fmtid="{D5CDD505-2E9C-101B-9397-08002B2CF9AE}" pid="12" name="ClassificationContentMarkingFooterShapeIds">
    <vt:lpwstr>1,2,3</vt:lpwstr>
  </property>
  <property fmtid="{D5CDD505-2E9C-101B-9397-08002B2CF9AE}" pid="13" name="ClassificationContentMarkingFooterFontProps">
    <vt:lpwstr>#0078d7,10,Calibri</vt:lpwstr>
  </property>
  <property fmtid="{D5CDD505-2E9C-101B-9397-08002B2CF9AE}" pid="14" name="ClassificationContentMarkingFooterText">
    <vt:lpwstr>Classification : Internal</vt:lpwstr>
  </property>
  <property fmtid="{D5CDD505-2E9C-101B-9397-08002B2CF9AE}" pid="15" name="MSIP_Label_8ffbc0b8-e97b-47d1-beac-cb0955d66f3b_Enabled">
    <vt:lpwstr>true</vt:lpwstr>
  </property>
  <property fmtid="{D5CDD505-2E9C-101B-9397-08002B2CF9AE}" pid="16" name="MSIP_Label_8ffbc0b8-e97b-47d1-beac-cb0955d66f3b_SetDate">
    <vt:lpwstr>2024-11-19T08:49:18Z</vt:lpwstr>
  </property>
  <property fmtid="{D5CDD505-2E9C-101B-9397-08002B2CF9AE}" pid="17" name="MSIP_Label_8ffbc0b8-e97b-47d1-beac-cb0955d66f3b_Method">
    <vt:lpwstr>Privileged</vt:lpwstr>
  </property>
  <property fmtid="{D5CDD505-2E9C-101B-9397-08002B2CF9AE}" pid="18" name="MSIP_Label_8ffbc0b8-e97b-47d1-beac-cb0955d66f3b_Name">
    <vt:lpwstr>8ffbc0b8-e97b-47d1-beac-cb0955d66f3b</vt:lpwstr>
  </property>
  <property fmtid="{D5CDD505-2E9C-101B-9397-08002B2CF9AE}" pid="19" name="MSIP_Label_8ffbc0b8-e97b-47d1-beac-cb0955d66f3b_SiteId">
    <vt:lpwstr>614f9c25-bffa-42c7-86d8-964101f55fa2</vt:lpwstr>
  </property>
  <property fmtid="{D5CDD505-2E9C-101B-9397-08002B2CF9AE}" pid="20" name="MSIP_Label_8ffbc0b8-e97b-47d1-beac-cb0955d66f3b_ActionId">
    <vt:lpwstr>300c885a-92c2-4bec-bbd0-f7c34e772e7b</vt:lpwstr>
  </property>
  <property fmtid="{D5CDD505-2E9C-101B-9397-08002B2CF9AE}" pid="21" name="MSIP_Label_8ffbc0b8-e97b-47d1-beac-cb0955d66f3b_ContentBits">
    <vt:lpwstr>2</vt:lpwstr>
  </property>
</Properties>
</file>